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47086C" w:rsidRPr="0047086C" w:rsidRDefault="0047086C" w:rsidP="0047086C">
      <w:pPr>
        <w:jc w:val="right"/>
        <w:rPr>
          <w:b/>
          <w:szCs w:val="22"/>
        </w:rPr>
      </w:pPr>
      <w:r w:rsidRPr="0047086C">
        <w:rPr>
          <w:b/>
          <w:szCs w:val="22"/>
        </w:rPr>
        <w:lastRenderedPageBreak/>
        <w:t>DA 15-722</w:t>
      </w:r>
    </w:p>
    <w:p w:rsidR="0047086C" w:rsidRPr="0047086C" w:rsidRDefault="0047086C" w:rsidP="0047086C">
      <w:pPr>
        <w:jc w:val="right"/>
        <w:rPr>
          <w:szCs w:val="22"/>
        </w:rPr>
      </w:pPr>
      <w:r w:rsidRPr="0047086C">
        <w:rPr>
          <w:b/>
          <w:szCs w:val="22"/>
        </w:rPr>
        <w:t xml:space="preserve">June </w:t>
      </w:r>
      <w:r w:rsidR="00397A45">
        <w:rPr>
          <w:b/>
          <w:szCs w:val="22"/>
        </w:rPr>
        <w:t>22</w:t>
      </w:r>
      <w:r w:rsidRPr="0047086C">
        <w:rPr>
          <w:b/>
          <w:szCs w:val="22"/>
        </w:rPr>
        <w:t xml:space="preserve">, 2015 </w:t>
      </w:r>
    </w:p>
    <w:p w:rsidR="0047086C" w:rsidRPr="0047086C" w:rsidRDefault="0047086C" w:rsidP="0047086C">
      <w:pPr>
        <w:jc w:val="right"/>
        <w:rPr>
          <w:szCs w:val="22"/>
        </w:rPr>
      </w:pPr>
    </w:p>
    <w:p w:rsidR="0047086C" w:rsidRPr="0047086C" w:rsidRDefault="0047086C" w:rsidP="0047086C">
      <w:pPr>
        <w:autoSpaceDE w:val="0"/>
        <w:autoSpaceDN w:val="0"/>
        <w:adjustRightInd w:val="0"/>
        <w:jc w:val="center"/>
        <w:rPr>
          <w:b/>
          <w:bCs/>
          <w:caps/>
          <w:szCs w:val="22"/>
        </w:rPr>
      </w:pPr>
      <w:r w:rsidRPr="0047086C">
        <w:rPr>
          <w:b/>
          <w:bCs/>
          <w:caps/>
          <w:szCs w:val="22"/>
        </w:rPr>
        <w:t xml:space="preserve">CONSUMER AND GOVERNMENTAL AFFAIRS BUREAU </w:t>
      </w:r>
    </w:p>
    <w:p w:rsidR="0047086C" w:rsidRPr="0047086C" w:rsidRDefault="0047086C" w:rsidP="0047086C">
      <w:pPr>
        <w:autoSpaceDE w:val="0"/>
        <w:autoSpaceDN w:val="0"/>
        <w:adjustRightInd w:val="0"/>
        <w:jc w:val="center"/>
        <w:rPr>
          <w:b/>
          <w:bCs/>
          <w:caps/>
          <w:szCs w:val="22"/>
        </w:rPr>
      </w:pPr>
      <w:r w:rsidRPr="0047086C">
        <w:rPr>
          <w:b/>
          <w:bCs/>
          <w:caps/>
          <w:szCs w:val="22"/>
        </w:rPr>
        <w:t xml:space="preserve">announces 2015-2016 allocations for the </w:t>
      </w:r>
    </w:p>
    <w:p w:rsidR="0047086C" w:rsidRPr="0047086C" w:rsidRDefault="0047086C" w:rsidP="0047086C">
      <w:pPr>
        <w:autoSpaceDE w:val="0"/>
        <w:autoSpaceDN w:val="0"/>
        <w:adjustRightInd w:val="0"/>
        <w:jc w:val="center"/>
        <w:rPr>
          <w:b/>
          <w:bCs/>
          <w:caps/>
          <w:szCs w:val="22"/>
        </w:rPr>
      </w:pPr>
      <w:r w:rsidRPr="0047086C">
        <w:rPr>
          <w:b/>
          <w:bCs/>
          <w:caps/>
          <w:szCs w:val="22"/>
        </w:rPr>
        <w:t>national deaf-blind equipment distribution program</w:t>
      </w:r>
    </w:p>
    <w:p w:rsidR="0047086C" w:rsidRPr="0047086C" w:rsidRDefault="0047086C" w:rsidP="0047086C">
      <w:pPr>
        <w:autoSpaceDE w:val="0"/>
        <w:autoSpaceDN w:val="0"/>
        <w:adjustRightInd w:val="0"/>
        <w:jc w:val="center"/>
        <w:rPr>
          <w:b/>
          <w:bCs/>
          <w:caps/>
          <w:szCs w:val="22"/>
        </w:rPr>
      </w:pPr>
    </w:p>
    <w:p w:rsidR="0047086C" w:rsidRPr="0047086C" w:rsidRDefault="0047086C" w:rsidP="0047086C">
      <w:pPr>
        <w:ind w:firstLine="720"/>
        <w:rPr>
          <w:szCs w:val="22"/>
        </w:rPr>
      </w:pPr>
      <w:r w:rsidRPr="0047086C">
        <w:rPr>
          <w:szCs w:val="22"/>
        </w:rPr>
        <w:t>Washington, D.C. – The Consumer and Governmental Affairs Bureau (CGB or Bureau) of the Federal Communications Commission (FCC) announces the funding allocations for the National Deaf-Blind Equipment Distribution Program (NDBEDP), also called “iCanConnect,” for the 2015-2016 fund year.</w:t>
      </w:r>
    </w:p>
    <w:p w:rsidR="0047086C" w:rsidRPr="0047086C" w:rsidRDefault="0047086C" w:rsidP="0047086C">
      <w:pPr>
        <w:ind w:firstLine="720"/>
        <w:rPr>
          <w:szCs w:val="22"/>
        </w:rPr>
      </w:pPr>
    </w:p>
    <w:p w:rsidR="0047086C" w:rsidRPr="0047086C" w:rsidRDefault="0047086C" w:rsidP="0047086C">
      <w:pPr>
        <w:ind w:firstLine="720"/>
        <w:rPr>
          <w:color w:val="010101"/>
          <w:szCs w:val="22"/>
        </w:rPr>
      </w:pPr>
      <w:r w:rsidRPr="0047086C">
        <w:rPr>
          <w:szCs w:val="22"/>
        </w:rPr>
        <w:t>The NDBEDP is a program mandated by section 105 of the Twenty-First Century Communications and Video Accessibility Act (CVAA) that provides funding of up to $10 million annually for the distribution of communications equipment to low-income individuals who are deaf-blind.</w:t>
      </w:r>
      <w:r w:rsidRPr="0047086C">
        <w:rPr>
          <w:szCs w:val="22"/>
          <w:vertAlign w:val="superscript"/>
        </w:rPr>
        <w:footnoteReference w:id="1"/>
      </w:r>
      <w:r w:rsidRPr="0047086C">
        <w:rPr>
          <w:szCs w:val="22"/>
        </w:rPr>
        <w:t xml:space="preserve">  In 2011, the Commission established the framework for a pilot program to fulfill this CVAA mandate.</w:t>
      </w:r>
      <w:r w:rsidRPr="0047086C">
        <w:rPr>
          <w:szCs w:val="22"/>
          <w:vertAlign w:val="superscript"/>
        </w:rPr>
        <w:footnoteReference w:id="2"/>
      </w:r>
      <w:r w:rsidRPr="0047086C">
        <w:rPr>
          <w:szCs w:val="22"/>
        </w:rPr>
        <w:t xml:space="preserve">  </w:t>
      </w:r>
      <w:r w:rsidRPr="0047086C">
        <w:t>The Bureau launched the NDBEDP pilot program on July 1, 2012.</w:t>
      </w:r>
      <w:r w:rsidRPr="0047086C">
        <w:rPr>
          <w:szCs w:val="22"/>
          <w:vertAlign w:val="superscript"/>
        </w:rPr>
        <w:footnoteReference w:id="3"/>
      </w:r>
      <w:r w:rsidRPr="0047086C">
        <w:t xml:space="preserve">  </w:t>
      </w:r>
      <w:r w:rsidRPr="0047086C">
        <w:rPr>
          <w:szCs w:val="22"/>
        </w:rPr>
        <w:t xml:space="preserve">At present, there are </w:t>
      </w:r>
      <w:r w:rsidRPr="0047086C">
        <w:t>53 entities certified by the Commission to participate in the NDBEDP – one entity to distribute communications equipment in each state, plus the District of Columbia, Puerto Rico, and the U.S. Virgin Islands.</w:t>
      </w:r>
      <w:r w:rsidRPr="0047086C">
        <w:rPr>
          <w:szCs w:val="22"/>
          <w:vertAlign w:val="superscript"/>
        </w:rPr>
        <w:footnoteReference w:id="4"/>
      </w:r>
      <w:r w:rsidRPr="0047086C">
        <w:t xml:space="preserve">   </w:t>
      </w:r>
    </w:p>
    <w:p w:rsidR="0047086C" w:rsidRPr="0047086C" w:rsidRDefault="0047086C" w:rsidP="0047086C">
      <w:pPr>
        <w:autoSpaceDE w:val="0"/>
        <w:autoSpaceDN w:val="0"/>
        <w:adjustRightInd w:val="0"/>
        <w:jc w:val="center"/>
        <w:rPr>
          <w:b/>
          <w:bCs/>
          <w:caps/>
          <w:szCs w:val="22"/>
        </w:rPr>
      </w:pPr>
    </w:p>
    <w:p w:rsidR="0047086C" w:rsidRPr="0047086C" w:rsidRDefault="0047086C" w:rsidP="0047086C">
      <w:pPr>
        <w:autoSpaceDE w:val="0"/>
        <w:autoSpaceDN w:val="0"/>
        <w:adjustRightInd w:val="0"/>
        <w:ind w:firstLine="720"/>
        <w:rPr>
          <w:color w:val="010101"/>
          <w:szCs w:val="22"/>
        </w:rPr>
      </w:pPr>
      <w:r w:rsidRPr="0047086C">
        <w:rPr>
          <w:szCs w:val="22"/>
        </w:rPr>
        <w:lastRenderedPageBreak/>
        <w:t>For each year of the pilot program, the Commission sets aside $500,000 of the $10 million annually allocated for the NDBEDP for national outreach efforts.</w:t>
      </w:r>
      <w:r w:rsidRPr="0047086C">
        <w:rPr>
          <w:szCs w:val="22"/>
          <w:vertAlign w:val="superscript"/>
        </w:rPr>
        <w:footnoteReference w:id="5"/>
      </w:r>
      <w:r w:rsidRPr="0047086C">
        <w:rPr>
          <w:szCs w:val="22"/>
        </w:rPr>
        <w:t xml:space="preserve">  The remaining $9.5 million of annual funding is used to reimburse NDBEDP certified programs for the reasonable costs of operating their programs in compliance with the Commission’s NDBEDP rules.</w:t>
      </w:r>
      <w:r w:rsidRPr="0047086C">
        <w:rPr>
          <w:szCs w:val="22"/>
          <w:vertAlign w:val="superscript"/>
        </w:rPr>
        <w:footnoteReference w:id="6"/>
      </w:r>
      <w:r w:rsidRPr="0047086C">
        <w:rPr>
          <w:szCs w:val="22"/>
        </w:rPr>
        <w:t xml:space="preserve">  Funding allocations for each year of the pilot program have been calculated by allocating a </w:t>
      </w:r>
      <w:r w:rsidRPr="0047086C">
        <w:rPr>
          <w:color w:val="010101"/>
          <w:szCs w:val="22"/>
        </w:rPr>
        <w:t>minimum base amount of $50,000 for each jurisdiction plus a portion of the remaining available funding in an amount proportionate to the population of each jurisdiction.</w:t>
      </w:r>
      <w:r w:rsidRPr="0047086C">
        <w:rPr>
          <w:color w:val="010101"/>
          <w:szCs w:val="22"/>
          <w:vertAlign w:val="superscript"/>
        </w:rPr>
        <w:footnoteReference w:id="7"/>
      </w:r>
      <w:r w:rsidRPr="0047086C">
        <w:rPr>
          <w:color w:val="010101"/>
          <w:szCs w:val="22"/>
        </w:rPr>
        <w:t xml:space="preserve">  Allocations for the upcoming 2015-2016 fund year have been calculated by using the same formula, using the most current census population estimates.  These allocations are as follows:</w:t>
      </w:r>
      <w:r w:rsidRPr="0047086C">
        <w:rPr>
          <w:color w:val="010101"/>
          <w:szCs w:val="22"/>
          <w:vertAlign w:val="superscript"/>
        </w:rPr>
        <w:footnoteReference w:id="8"/>
      </w:r>
    </w:p>
    <w:p w:rsidR="0047086C" w:rsidRPr="0047086C" w:rsidRDefault="0047086C" w:rsidP="0047086C">
      <w:pPr>
        <w:autoSpaceDE w:val="0"/>
        <w:autoSpaceDN w:val="0"/>
        <w:adjustRightInd w:val="0"/>
        <w:ind w:firstLine="720"/>
        <w:rPr>
          <w:color w:val="010101"/>
          <w:szCs w:val="22"/>
        </w:rPr>
      </w:pPr>
    </w:p>
    <w:tbl>
      <w:tblPr>
        <w:tblW w:w="9408" w:type="dxa"/>
        <w:tblInd w:w="93" w:type="dxa"/>
        <w:tblLook w:val="0000" w:firstRow="0" w:lastRow="0" w:firstColumn="0" w:lastColumn="0" w:noHBand="0" w:noVBand="0"/>
      </w:tblPr>
      <w:tblGrid>
        <w:gridCol w:w="2062"/>
        <w:gridCol w:w="5333"/>
        <w:gridCol w:w="2013"/>
      </w:tblGrid>
      <w:tr w:rsidR="0047086C" w:rsidRPr="0047086C" w:rsidTr="00D43333">
        <w:trPr>
          <w:trHeight w:val="255"/>
        </w:trPr>
        <w:tc>
          <w:tcPr>
            <w:tcW w:w="2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jc w:val="center"/>
              <w:rPr>
                <w:b/>
                <w:bCs/>
                <w:szCs w:val="22"/>
              </w:rPr>
            </w:pPr>
            <w:r w:rsidRPr="0047086C">
              <w:rPr>
                <w:b/>
                <w:bCs/>
                <w:szCs w:val="22"/>
              </w:rPr>
              <w:t>State</w:t>
            </w:r>
          </w:p>
        </w:tc>
        <w:tc>
          <w:tcPr>
            <w:tcW w:w="5333" w:type="dxa"/>
            <w:tcBorders>
              <w:top w:val="single" w:sz="4" w:space="0" w:color="auto"/>
              <w:left w:val="nil"/>
              <w:bottom w:val="single" w:sz="4" w:space="0" w:color="auto"/>
              <w:right w:val="single" w:sz="4" w:space="0" w:color="auto"/>
            </w:tcBorders>
            <w:shd w:val="clear" w:color="auto" w:fill="auto"/>
            <w:noWrap/>
            <w:vAlign w:val="center"/>
          </w:tcPr>
          <w:p w:rsidR="0047086C" w:rsidRPr="0047086C" w:rsidRDefault="0047086C" w:rsidP="0047086C">
            <w:pPr>
              <w:jc w:val="center"/>
              <w:rPr>
                <w:b/>
                <w:bCs/>
                <w:szCs w:val="22"/>
              </w:rPr>
            </w:pPr>
            <w:r w:rsidRPr="0047086C">
              <w:rPr>
                <w:b/>
                <w:bCs/>
                <w:szCs w:val="22"/>
              </w:rPr>
              <w:t>NDBEDP Certified Program</w:t>
            </w:r>
          </w:p>
        </w:tc>
        <w:tc>
          <w:tcPr>
            <w:tcW w:w="2013" w:type="dxa"/>
            <w:tcBorders>
              <w:top w:val="single" w:sz="4" w:space="0" w:color="auto"/>
              <w:left w:val="nil"/>
              <w:bottom w:val="single" w:sz="4" w:space="0" w:color="auto"/>
              <w:right w:val="single" w:sz="4" w:space="0" w:color="auto"/>
            </w:tcBorders>
            <w:vAlign w:val="center"/>
          </w:tcPr>
          <w:p w:rsidR="0047086C" w:rsidRPr="0047086C" w:rsidRDefault="0047086C" w:rsidP="0047086C">
            <w:pPr>
              <w:jc w:val="center"/>
              <w:rPr>
                <w:b/>
                <w:bCs/>
                <w:szCs w:val="22"/>
              </w:rPr>
            </w:pPr>
            <w:r w:rsidRPr="0047086C">
              <w:rPr>
                <w:b/>
                <w:bCs/>
                <w:szCs w:val="22"/>
              </w:rPr>
              <w:t>Funding Allocation</w:t>
            </w:r>
          </w:p>
          <w:p w:rsidR="0047086C" w:rsidRPr="0047086C" w:rsidRDefault="0047086C" w:rsidP="0047086C">
            <w:pPr>
              <w:jc w:val="center"/>
              <w:rPr>
                <w:bCs/>
                <w:szCs w:val="22"/>
              </w:rPr>
            </w:pPr>
            <w:r w:rsidRPr="0047086C">
              <w:rPr>
                <w:b/>
                <w:bCs/>
                <w:szCs w:val="22"/>
              </w:rPr>
              <w:t>for 2015-2016</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Alabama</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Alabama Institute for the Deaf and Blind</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pPr>
            <w:r w:rsidRPr="0047086C">
              <w:t xml:space="preserve"> $152,998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Alaska</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Assistive Technology of Alaska</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pPr>
            <w:r w:rsidRPr="0047086C">
              <w:t xml:space="preserve"> $65,648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Arizona</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pPr>
            <w:r w:rsidRPr="0047086C">
              <w:t xml:space="preserve"> $192,974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Arkansas</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pPr>
            <w:r w:rsidRPr="0047086C">
              <w:t xml:space="preserve"> $113,004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California</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Lighthouse for the Blind and Visually Impaired</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pPr>
            <w:r w:rsidRPr="0047086C">
              <w:t xml:space="preserve"> $874,147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Colorado</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Colorado Commission for the Deaf and Hard of Hearing</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pPr>
            <w:r w:rsidRPr="0047086C">
              <w:t xml:space="preserve"> $163,756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Connecticut</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Connecticut Tech Act Project</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pPr>
            <w:r w:rsidRPr="0047086C">
              <w:t xml:space="preserve"> $126,392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Delaware</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University of Delaware – Center For Disabilities Studies</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pPr>
            <w:r w:rsidRPr="0047086C">
              <w:t xml:space="preserve"> $69,872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Florida</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Florida Telecommunications Relay, Inc.</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pPr>
            <w:r w:rsidRPr="0047086C">
              <w:t xml:space="preserve"> $472,524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Georgia</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Georgia Council for the Hearing Impaired</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pPr>
            <w:r w:rsidRPr="0047086C">
              <w:t xml:space="preserve"> $264,463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Hawaii</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Helen Keller National Center for Deaf-Blind Youth and Adults</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pPr>
            <w:r w:rsidRPr="0047086C">
              <w:t xml:space="preserve"> $80,151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Idaho</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University of Idaho – Idaho Assistive Technology Project</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pPr>
            <w:r w:rsidRPr="0047086C">
              <w:t xml:space="preserve"> $84,715 </w:t>
            </w:r>
          </w:p>
        </w:tc>
      </w:tr>
      <w:tr w:rsidR="0047086C" w:rsidRPr="0047086C" w:rsidTr="00D43333">
        <w:trPr>
          <w:trHeight w:val="255"/>
        </w:trPr>
        <w:tc>
          <w:tcPr>
            <w:tcW w:w="2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keepNext/>
              <w:keepLines/>
              <w:rPr>
                <w:szCs w:val="22"/>
              </w:rPr>
            </w:pPr>
            <w:r w:rsidRPr="0047086C">
              <w:rPr>
                <w:szCs w:val="22"/>
              </w:rPr>
              <w:t>Illinois</w:t>
            </w:r>
          </w:p>
        </w:tc>
        <w:tc>
          <w:tcPr>
            <w:tcW w:w="5333" w:type="dxa"/>
            <w:tcBorders>
              <w:top w:val="single" w:sz="4" w:space="0" w:color="auto"/>
              <w:left w:val="nil"/>
              <w:bottom w:val="single" w:sz="4" w:space="0" w:color="auto"/>
              <w:right w:val="single" w:sz="4" w:space="0" w:color="auto"/>
            </w:tcBorders>
            <w:shd w:val="clear" w:color="auto" w:fill="auto"/>
            <w:noWrap/>
            <w:vAlign w:val="center"/>
          </w:tcPr>
          <w:p w:rsidR="0047086C" w:rsidRPr="0047086C" w:rsidRDefault="0047086C" w:rsidP="0047086C">
            <w:pPr>
              <w:keepNext/>
              <w:keepLines/>
              <w:rPr>
                <w:szCs w:val="22"/>
              </w:rPr>
            </w:pPr>
            <w:r w:rsidRPr="0047086C">
              <w:rPr>
                <w:szCs w:val="22"/>
              </w:rPr>
              <w:t>The Chicago Lighthouse for People Who Are Blind or Visually Impaired</w:t>
            </w:r>
          </w:p>
        </w:tc>
        <w:tc>
          <w:tcPr>
            <w:tcW w:w="2013" w:type="dxa"/>
            <w:tcBorders>
              <w:top w:val="single" w:sz="4" w:space="0" w:color="auto"/>
              <w:left w:val="nil"/>
              <w:bottom w:val="single" w:sz="4" w:space="0" w:color="auto"/>
              <w:right w:val="single" w:sz="4" w:space="0" w:color="auto"/>
            </w:tcBorders>
            <w:vAlign w:val="center"/>
          </w:tcPr>
          <w:p w:rsidR="0047086C" w:rsidRPr="0047086C" w:rsidRDefault="0047086C" w:rsidP="0047086C">
            <w:pPr>
              <w:ind w:right="465"/>
              <w:jc w:val="right"/>
            </w:pPr>
            <w:r w:rsidRPr="0047086C">
              <w:t xml:space="preserve"> $323,577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Indiana</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pPr>
            <w:r w:rsidRPr="0047086C">
              <w:t xml:space="preserve"> $190,114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Iowa</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Helen Keller National Center for Deaf-Blind Youth and Adults</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pPr>
            <w:r w:rsidRPr="0047086C">
              <w:t xml:space="preserve"> $115,994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Kansas</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Assistive Technology for Kansans</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pPr>
            <w:r w:rsidRPr="0047086C">
              <w:t xml:space="preserve"> $111,680 </w:t>
            </w:r>
          </w:p>
        </w:tc>
      </w:tr>
      <w:tr w:rsidR="0047086C" w:rsidRPr="0047086C" w:rsidTr="00397A45">
        <w:trPr>
          <w:cantSplit/>
          <w:trHeight w:val="255"/>
        </w:trPr>
        <w:tc>
          <w:tcPr>
            <w:tcW w:w="2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jc w:val="center"/>
              <w:rPr>
                <w:b/>
                <w:szCs w:val="22"/>
              </w:rPr>
            </w:pPr>
            <w:r w:rsidRPr="0047086C">
              <w:rPr>
                <w:b/>
                <w:szCs w:val="22"/>
              </w:rPr>
              <w:lastRenderedPageBreak/>
              <w:t>State</w:t>
            </w:r>
          </w:p>
        </w:tc>
        <w:tc>
          <w:tcPr>
            <w:tcW w:w="53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jc w:val="center"/>
              <w:rPr>
                <w:b/>
                <w:szCs w:val="22"/>
              </w:rPr>
            </w:pPr>
            <w:r w:rsidRPr="0047086C">
              <w:rPr>
                <w:b/>
                <w:szCs w:val="22"/>
              </w:rPr>
              <w:t>NDBEDP Certified Program</w:t>
            </w:r>
          </w:p>
        </w:tc>
        <w:tc>
          <w:tcPr>
            <w:tcW w:w="2013" w:type="dxa"/>
            <w:tcBorders>
              <w:top w:val="single" w:sz="4" w:space="0" w:color="auto"/>
              <w:left w:val="single" w:sz="4" w:space="0" w:color="auto"/>
              <w:bottom w:val="single" w:sz="4" w:space="0" w:color="auto"/>
              <w:right w:val="single" w:sz="4" w:space="0" w:color="auto"/>
            </w:tcBorders>
            <w:vAlign w:val="center"/>
          </w:tcPr>
          <w:p w:rsidR="0047086C" w:rsidRPr="0047086C" w:rsidRDefault="0047086C" w:rsidP="00397A45">
            <w:pPr>
              <w:keepNext/>
              <w:keepLines/>
              <w:ind w:right="14"/>
              <w:jc w:val="center"/>
              <w:rPr>
                <w:b/>
              </w:rPr>
            </w:pPr>
            <w:r w:rsidRPr="0047086C">
              <w:rPr>
                <w:b/>
              </w:rPr>
              <w:t>Funding Allocation</w:t>
            </w:r>
          </w:p>
          <w:p w:rsidR="0047086C" w:rsidRPr="0047086C" w:rsidRDefault="0047086C" w:rsidP="00397A45">
            <w:pPr>
              <w:keepNext/>
              <w:keepLines/>
              <w:ind w:right="14"/>
              <w:jc w:val="center"/>
              <w:rPr>
                <w:b/>
              </w:rPr>
            </w:pPr>
            <w:r w:rsidRPr="0047086C">
              <w:rPr>
                <w:b/>
              </w:rPr>
              <w:t>for 2015-2016</w:t>
            </w:r>
          </w:p>
        </w:tc>
      </w:tr>
      <w:tr w:rsidR="00397A45"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397A45" w:rsidRPr="0047086C" w:rsidRDefault="00397A45" w:rsidP="00D43333">
            <w:pPr>
              <w:rPr>
                <w:szCs w:val="22"/>
              </w:rPr>
            </w:pPr>
            <w:r w:rsidRPr="0047086C">
              <w:rPr>
                <w:szCs w:val="22"/>
              </w:rPr>
              <w:t>Kentucky</w:t>
            </w:r>
          </w:p>
        </w:tc>
        <w:tc>
          <w:tcPr>
            <w:tcW w:w="5333" w:type="dxa"/>
            <w:tcBorders>
              <w:top w:val="nil"/>
              <w:left w:val="nil"/>
              <w:bottom w:val="single" w:sz="4" w:space="0" w:color="auto"/>
              <w:right w:val="single" w:sz="4" w:space="0" w:color="auto"/>
            </w:tcBorders>
            <w:shd w:val="clear" w:color="auto" w:fill="auto"/>
            <w:noWrap/>
            <w:vAlign w:val="center"/>
          </w:tcPr>
          <w:p w:rsidR="00397A45" w:rsidRPr="0047086C" w:rsidRDefault="00397A45" w:rsidP="00D43333">
            <w:pPr>
              <w:rPr>
                <w:szCs w:val="22"/>
              </w:rPr>
            </w:pPr>
            <w:r w:rsidRPr="0047086C">
              <w:rPr>
                <w:szCs w:val="22"/>
              </w:rPr>
              <w:t>Eastern Kentucky University Center on Deafness and Hearing Loss</w:t>
            </w:r>
          </w:p>
        </w:tc>
        <w:tc>
          <w:tcPr>
            <w:tcW w:w="2013" w:type="dxa"/>
            <w:tcBorders>
              <w:top w:val="nil"/>
              <w:left w:val="nil"/>
              <w:bottom w:val="single" w:sz="4" w:space="0" w:color="auto"/>
              <w:right w:val="single" w:sz="4" w:space="0" w:color="auto"/>
            </w:tcBorders>
            <w:vAlign w:val="center"/>
          </w:tcPr>
          <w:p w:rsidR="00397A45" w:rsidRPr="0047086C" w:rsidRDefault="00397A45" w:rsidP="00D43333">
            <w:pPr>
              <w:ind w:right="465"/>
              <w:jc w:val="right"/>
            </w:pPr>
            <w:r w:rsidRPr="0047086C">
              <w:t xml:space="preserve"> $143,740 </w:t>
            </w:r>
          </w:p>
        </w:tc>
      </w:tr>
      <w:tr w:rsidR="00397A45"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397A45" w:rsidRPr="0047086C" w:rsidRDefault="00397A45" w:rsidP="00D43333">
            <w:pPr>
              <w:rPr>
                <w:szCs w:val="22"/>
              </w:rPr>
            </w:pPr>
            <w:r w:rsidRPr="0047086C">
              <w:rPr>
                <w:szCs w:val="22"/>
              </w:rPr>
              <w:t>Louisiana</w:t>
            </w:r>
          </w:p>
        </w:tc>
        <w:tc>
          <w:tcPr>
            <w:tcW w:w="5333" w:type="dxa"/>
            <w:tcBorders>
              <w:top w:val="nil"/>
              <w:left w:val="nil"/>
              <w:bottom w:val="single" w:sz="4" w:space="0" w:color="auto"/>
              <w:right w:val="single" w:sz="4" w:space="0" w:color="auto"/>
            </w:tcBorders>
            <w:shd w:val="clear" w:color="auto" w:fill="auto"/>
            <w:noWrap/>
            <w:vAlign w:val="center"/>
          </w:tcPr>
          <w:p w:rsidR="00397A45" w:rsidRPr="0047086C" w:rsidRDefault="00397A45" w:rsidP="00D43333">
            <w:pPr>
              <w:rPr>
                <w:szCs w:val="22"/>
              </w:rPr>
            </w:pPr>
            <w:r w:rsidRPr="0047086C">
              <w:rPr>
                <w:szCs w:val="22"/>
              </w:rPr>
              <w:t>Affiliated Blind of Louisiana Training Center</w:t>
            </w:r>
          </w:p>
        </w:tc>
        <w:tc>
          <w:tcPr>
            <w:tcW w:w="2013" w:type="dxa"/>
            <w:tcBorders>
              <w:top w:val="nil"/>
              <w:left w:val="nil"/>
              <w:bottom w:val="single" w:sz="4" w:space="0" w:color="auto"/>
              <w:right w:val="single" w:sz="4" w:space="0" w:color="auto"/>
            </w:tcBorders>
            <w:vAlign w:val="center"/>
          </w:tcPr>
          <w:p w:rsidR="00397A45" w:rsidRPr="0047086C" w:rsidRDefault="00397A45" w:rsidP="00D43333">
            <w:pPr>
              <w:ind w:right="465"/>
              <w:jc w:val="right"/>
            </w:pPr>
            <w:r w:rsidRPr="0047086C">
              <w:t xml:space="preserve"> $148,757 </w:t>
            </w:r>
          </w:p>
        </w:tc>
      </w:tr>
      <w:tr w:rsidR="00397A45"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397A45" w:rsidRPr="0047086C" w:rsidRDefault="00397A45" w:rsidP="00D43333">
            <w:pPr>
              <w:rPr>
                <w:szCs w:val="22"/>
              </w:rPr>
            </w:pPr>
            <w:r w:rsidRPr="0047086C">
              <w:rPr>
                <w:szCs w:val="22"/>
              </w:rPr>
              <w:t>Maine</w:t>
            </w:r>
          </w:p>
        </w:tc>
        <w:tc>
          <w:tcPr>
            <w:tcW w:w="5333" w:type="dxa"/>
            <w:tcBorders>
              <w:top w:val="nil"/>
              <w:left w:val="nil"/>
              <w:bottom w:val="single" w:sz="4" w:space="0" w:color="auto"/>
              <w:right w:val="single" w:sz="4" w:space="0" w:color="auto"/>
            </w:tcBorders>
            <w:shd w:val="clear" w:color="auto" w:fill="auto"/>
            <w:noWrap/>
            <w:vAlign w:val="center"/>
          </w:tcPr>
          <w:p w:rsidR="00397A45" w:rsidRPr="0047086C" w:rsidRDefault="00397A45" w:rsidP="00D43333">
            <w:pPr>
              <w:rPr>
                <w:szCs w:val="22"/>
              </w:rPr>
            </w:pPr>
            <w:r w:rsidRPr="0047086C">
              <w:rPr>
                <w:szCs w:val="22"/>
              </w:rPr>
              <w:t>Maine Center on Deafness</w:t>
            </w:r>
          </w:p>
        </w:tc>
        <w:tc>
          <w:tcPr>
            <w:tcW w:w="2013" w:type="dxa"/>
            <w:tcBorders>
              <w:top w:val="nil"/>
              <w:left w:val="nil"/>
              <w:bottom w:val="single" w:sz="4" w:space="0" w:color="auto"/>
              <w:right w:val="single" w:sz="4" w:space="0" w:color="auto"/>
            </w:tcBorders>
            <w:vAlign w:val="center"/>
          </w:tcPr>
          <w:p w:rsidR="00397A45" w:rsidRPr="0047086C" w:rsidRDefault="00397A45" w:rsidP="00D43333">
            <w:pPr>
              <w:ind w:right="465"/>
              <w:jc w:val="right"/>
            </w:pPr>
            <w:r w:rsidRPr="0047086C">
              <w:t xml:space="preserve"> $78,250 </w:t>
            </w:r>
          </w:p>
        </w:tc>
      </w:tr>
      <w:tr w:rsidR="00397A45"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397A45" w:rsidRPr="0047086C" w:rsidRDefault="00397A45" w:rsidP="00D43333">
            <w:pPr>
              <w:rPr>
                <w:szCs w:val="22"/>
              </w:rPr>
            </w:pPr>
            <w:r w:rsidRPr="0047086C">
              <w:rPr>
                <w:szCs w:val="22"/>
              </w:rPr>
              <w:t>Maryland</w:t>
            </w:r>
          </w:p>
        </w:tc>
        <w:tc>
          <w:tcPr>
            <w:tcW w:w="5333" w:type="dxa"/>
            <w:tcBorders>
              <w:top w:val="nil"/>
              <w:left w:val="nil"/>
              <w:bottom w:val="single" w:sz="4" w:space="0" w:color="auto"/>
              <w:right w:val="single" w:sz="4" w:space="0" w:color="auto"/>
            </w:tcBorders>
            <w:shd w:val="clear" w:color="auto" w:fill="auto"/>
            <w:noWrap/>
            <w:vAlign w:val="center"/>
          </w:tcPr>
          <w:p w:rsidR="00397A45" w:rsidRPr="0047086C" w:rsidRDefault="00397A45" w:rsidP="00D43333">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center"/>
          </w:tcPr>
          <w:p w:rsidR="00397A45" w:rsidRPr="0047086C" w:rsidRDefault="00397A45" w:rsidP="00D43333">
            <w:pPr>
              <w:ind w:right="465"/>
              <w:jc w:val="right"/>
            </w:pPr>
            <w:r w:rsidRPr="0047086C">
              <w:t xml:space="preserve"> $176,936 </w:t>
            </w:r>
          </w:p>
        </w:tc>
      </w:tr>
      <w:tr w:rsidR="00397A45"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397A45" w:rsidRPr="0047086C" w:rsidRDefault="00397A45" w:rsidP="00D43333">
            <w:pPr>
              <w:rPr>
                <w:szCs w:val="22"/>
              </w:rPr>
            </w:pPr>
            <w:r w:rsidRPr="0047086C">
              <w:rPr>
                <w:szCs w:val="22"/>
              </w:rPr>
              <w:t>Massachusetts</w:t>
            </w:r>
          </w:p>
        </w:tc>
        <w:tc>
          <w:tcPr>
            <w:tcW w:w="5333" w:type="dxa"/>
            <w:tcBorders>
              <w:top w:val="nil"/>
              <w:left w:val="nil"/>
              <w:bottom w:val="single" w:sz="4" w:space="0" w:color="auto"/>
              <w:right w:val="single" w:sz="4" w:space="0" w:color="auto"/>
            </w:tcBorders>
            <w:shd w:val="clear" w:color="auto" w:fill="auto"/>
            <w:noWrap/>
            <w:vAlign w:val="center"/>
          </w:tcPr>
          <w:p w:rsidR="00397A45" w:rsidRPr="0047086C" w:rsidRDefault="00397A45" w:rsidP="00D43333">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center"/>
          </w:tcPr>
          <w:p w:rsidR="00397A45" w:rsidRPr="0047086C" w:rsidRDefault="00397A45" w:rsidP="00D43333">
            <w:pPr>
              <w:ind w:right="465"/>
              <w:jc w:val="right"/>
            </w:pPr>
            <w:r w:rsidRPr="0047086C">
              <w:t xml:space="preserve"> $193,269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Michigan</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pPr>
            <w:r w:rsidRPr="0047086C">
              <w:t xml:space="preserve"> $260,481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Minnesota</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pPr>
            <w:r w:rsidRPr="0047086C">
              <w:t xml:space="preserve"> $165,908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Mississippi</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pPr>
            <w:r w:rsidRPr="0047086C">
              <w:t xml:space="preserve"> $113,593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Missouri</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Missouri Assistive Technology</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pPr>
            <w:r w:rsidRPr="0047086C">
              <w:t xml:space="preserve"> $178,788 </w:t>
            </w:r>
          </w:p>
        </w:tc>
      </w:tr>
      <w:tr w:rsidR="0047086C" w:rsidRPr="0047086C" w:rsidTr="00D43333">
        <w:trPr>
          <w:trHeight w:val="255"/>
        </w:trPr>
        <w:tc>
          <w:tcPr>
            <w:tcW w:w="2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Montana</w:t>
            </w:r>
          </w:p>
        </w:tc>
        <w:tc>
          <w:tcPr>
            <w:tcW w:w="5333" w:type="dxa"/>
            <w:tcBorders>
              <w:top w:val="single" w:sz="4" w:space="0" w:color="auto"/>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Perkins School for the Blind</w:t>
            </w:r>
          </w:p>
        </w:tc>
        <w:tc>
          <w:tcPr>
            <w:tcW w:w="2013" w:type="dxa"/>
            <w:tcBorders>
              <w:top w:val="single" w:sz="4" w:space="0" w:color="auto"/>
              <w:left w:val="nil"/>
              <w:bottom w:val="single" w:sz="4" w:space="0" w:color="auto"/>
              <w:right w:val="single" w:sz="4" w:space="0" w:color="auto"/>
            </w:tcBorders>
            <w:vAlign w:val="center"/>
          </w:tcPr>
          <w:p w:rsidR="0047086C" w:rsidRPr="0047086C" w:rsidRDefault="0047086C" w:rsidP="0047086C">
            <w:pPr>
              <w:ind w:right="465"/>
              <w:jc w:val="right"/>
            </w:pPr>
            <w:r w:rsidRPr="0047086C">
              <w:t xml:space="preserve"> $71,740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Nebraska</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 xml:space="preserve">Nebraska Assistive Technology Partnership </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pPr>
            <w:r w:rsidRPr="0047086C">
              <w:t xml:space="preserve"> $89,962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Nevada</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pPr>
            <w:r w:rsidRPr="0047086C">
              <w:t xml:space="preserve"> $110,301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b/>
                <w:bCs/>
                <w:szCs w:val="22"/>
              </w:rPr>
            </w:pPr>
            <w:r w:rsidRPr="0047086C">
              <w:rPr>
                <w:szCs w:val="22"/>
              </w:rPr>
              <w:t>New Hampshire</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b/>
                <w:bCs/>
                <w:szCs w:val="22"/>
              </w:rPr>
            </w:pPr>
            <w:r w:rsidRPr="0047086C">
              <w:rPr>
                <w:szCs w:val="22"/>
              </w:rPr>
              <w:t>Northeast Deaf and Hard of Hearing Services, Inc.</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szCs w:val="22"/>
              </w:rPr>
            </w:pPr>
            <w:r w:rsidRPr="0047086C">
              <w:rPr>
                <w:szCs w:val="22"/>
              </w:rPr>
              <w:t xml:space="preserve"> $78,181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New Jersey</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New Jersey Commission for the Blind and Visually Impaired</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szCs w:val="22"/>
              </w:rPr>
            </w:pPr>
            <w:r w:rsidRPr="0047086C">
              <w:rPr>
                <w:szCs w:val="22"/>
              </w:rPr>
              <w:t xml:space="preserve"> $239,843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New Mexico</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szCs w:val="22"/>
              </w:rPr>
            </w:pPr>
            <w:r w:rsidRPr="0047086C">
              <w:rPr>
                <w:szCs w:val="22"/>
              </w:rPr>
              <w:t xml:space="preserve"> $94,297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New York</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Helen Keller National Center for Deaf-Blind Youth and Adults</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szCs w:val="22"/>
              </w:rPr>
            </w:pPr>
            <w:r w:rsidRPr="0047086C">
              <w:rPr>
                <w:szCs w:val="22"/>
              </w:rPr>
              <w:t xml:space="preserve"> $469,401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North Carolina</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North Carolina Division of Services for the Deaf and the Hard of Hearing</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szCs w:val="22"/>
              </w:rPr>
            </w:pPr>
            <w:r w:rsidRPr="0047086C">
              <w:rPr>
                <w:szCs w:val="22"/>
              </w:rPr>
              <w:t xml:space="preserve"> $261,205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North Dakota</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Interagency Program for Assistive Technology</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szCs w:val="22"/>
              </w:rPr>
            </w:pPr>
            <w:r w:rsidRPr="0047086C">
              <w:rPr>
                <w:szCs w:val="22"/>
              </w:rPr>
              <w:t xml:space="preserve"> $65,706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Ohio</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Ohio Deaf-Blind Outreach Program</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szCs w:val="22"/>
              </w:rPr>
            </w:pPr>
            <w:r w:rsidRPr="0047086C">
              <w:rPr>
                <w:szCs w:val="22"/>
              </w:rPr>
              <w:t xml:space="preserve"> $296,255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Oklahoma</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Oklahoma Department of Rehabilitation Services</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szCs w:val="22"/>
              </w:rPr>
            </w:pPr>
            <w:r w:rsidRPr="0047086C">
              <w:rPr>
                <w:szCs w:val="22"/>
              </w:rPr>
              <w:t xml:space="preserve"> $132,368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Oregon</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Access Technologies, Inc.</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szCs w:val="22"/>
              </w:rPr>
            </w:pPr>
            <w:r w:rsidRPr="0047086C">
              <w:rPr>
                <w:szCs w:val="22"/>
              </w:rPr>
              <w:t xml:space="preserve"> $134,326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Pennsylvania</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Institute on Disabilities – Temple University</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szCs w:val="22"/>
              </w:rPr>
            </w:pPr>
            <w:r w:rsidRPr="0047086C">
              <w:rPr>
                <w:szCs w:val="22"/>
              </w:rPr>
              <w:t xml:space="preserve"> $321,594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Rhode Island</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szCs w:val="22"/>
              </w:rPr>
            </w:pPr>
            <w:r w:rsidRPr="0047086C">
              <w:rPr>
                <w:szCs w:val="22"/>
              </w:rPr>
              <w:t xml:space="preserve"> $72,411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South Carolina</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szCs w:val="22"/>
              </w:rPr>
            </w:pPr>
            <w:r w:rsidRPr="0047086C">
              <w:rPr>
                <w:szCs w:val="22"/>
              </w:rPr>
              <w:t xml:space="preserve"> $152,640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South Dakota</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South Dakota Department of Human Services</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szCs w:val="22"/>
              </w:rPr>
            </w:pPr>
            <w:r w:rsidRPr="0047086C">
              <w:rPr>
                <w:szCs w:val="22"/>
              </w:rPr>
              <w:t xml:space="preserve"> $68,121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Tennessee</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Tennessee Regulatory Authority</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szCs w:val="22"/>
              </w:rPr>
            </w:pPr>
            <w:r w:rsidRPr="0047086C">
              <w:rPr>
                <w:szCs w:val="22"/>
              </w:rPr>
              <w:t xml:space="preserve"> $189,105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Texas</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szCs w:val="22"/>
              </w:rPr>
            </w:pPr>
            <w:r w:rsidRPr="0047086C">
              <w:rPr>
                <w:szCs w:val="22"/>
              </w:rPr>
              <w:t xml:space="preserve"> $622,553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Utah</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szCs w:val="22"/>
              </w:rPr>
            </w:pPr>
            <w:r w:rsidRPr="0047086C">
              <w:rPr>
                <w:szCs w:val="22"/>
              </w:rPr>
              <w:t xml:space="preserve"> $112,506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Vermont</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szCs w:val="22"/>
              </w:rPr>
            </w:pPr>
            <w:r w:rsidRPr="0047086C">
              <w:rPr>
                <w:szCs w:val="22"/>
              </w:rPr>
              <w:t xml:space="preserve"> $63,308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Virginia</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Virginia Department for the Deaf and Hard of Hearing</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szCs w:val="22"/>
              </w:rPr>
            </w:pPr>
            <w:r w:rsidRPr="0047086C">
              <w:rPr>
                <w:szCs w:val="22"/>
              </w:rPr>
              <w:t xml:space="preserve"> $226,846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Washington</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Department of Social and Health Services – Office of the Deaf and Hard of Hearing</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szCs w:val="22"/>
              </w:rPr>
            </w:pPr>
            <w:r w:rsidRPr="0047086C">
              <w:rPr>
                <w:szCs w:val="22"/>
              </w:rPr>
              <w:t xml:space="preserve"> $199,984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West Virginia</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szCs w:val="22"/>
              </w:rPr>
            </w:pPr>
            <w:r w:rsidRPr="0047086C">
              <w:rPr>
                <w:szCs w:val="22"/>
              </w:rPr>
              <w:t xml:space="preserve"> $89,300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Wisconsin</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Public Service Commission of Wisconsin</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szCs w:val="22"/>
              </w:rPr>
            </w:pPr>
            <w:r w:rsidRPr="0047086C">
              <w:rPr>
                <w:szCs w:val="22"/>
              </w:rPr>
              <w:t xml:space="preserve"> $172,288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Wyoming</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 xml:space="preserve">Wyoming Institute for Disabilities – University of Wyoming </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szCs w:val="22"/>
              </w:rPr>
            </w:pPr>
            <w:r w:rsidRPr="0047086C">
              <w:rPr>
                <w:szCs w:val="22"/>
              </w:rPr>
              <w:t xml:space="preserve"> $62,407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 </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 </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bCs/>
                <w:szCs w:val="22"/>
              </w:rPr>
            </w:pPr>
            <w:r w:rsidRPr="0047086C">
              <w:rPr>
                <w:bCs/>
                <w:szCs w:val="22"/>
              </w:rPr>
              <w:t xml:space="preserve">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District of Columbia</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Columbia Lighthouse for the Blind</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bCs/>
                <w:szCs w:val="22"/>
              </w:rPr>
            </w:pPr>
            <w:r w:rsidRPr="0047086C">
              <w:rPr>
                <w:bCs/>
                <w:szCs w:val="22"/>
              </w:rPr>
              <w:t>$63,995</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Puerto Rico</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szCs w:val="22"/>
              </w:rPr>
            </w:pPr>
            <w:r w:rsidRPr="0047086C">
              <w:rPr>
                <w:szCs w:val="22"/>
              </w:rPr>
              <w:t xml:space="preserve"> $125,366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U.S. Virgin Islands</w:t>
            </w: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szCs w:val="22"/>
              </w:rPr>
            </w:pPr>
            <w:r w:rsidRPr="0047086C">
              <w:rPr>
                <w:szCs w:val="22"/>
              </w:rPr>
              <w:t xml:space="preserve"> $52,260 </w:t>
            </w:r>
          </w:p>
        </w:tc>
      </w:tr>
      <w:tr w:rsidR="0047086C" w:rsidRPr="0047086C" w:rsidTr="00D43333">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szCs w:val="22"/>
              </w:rPr>
            </w:pPr>
          </w:p>
        </w:tc>
        <w:tc>
          <w:tcPr>
            <w:tcW w:w="5333" w:type="dxa"/>
            <w:tcBorders>
              <w:top w:val="nil"/>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p>
        </w:tc>
        <w:tc>
          <w:tcPr>
            <w:tcW w:w="2013" w:type="dxa"/>
            <w:tcBorders>
              <w:top w:val="nil"/>
              <w:left w:val="nil"/>
              <w:bottom w:val="single" w:sz="4" w:space="0" w:color="auto"/>
              <w:right w:val="single" w:sz="4" w:space="0" w:color="auto"/>
            </w:tcBorders>
            <w:vAlign w:val="center"/>
          </w:tcPr>
          <w:p w:rsidR="0047086C" w:rsidRPr="0047086C" w:rsidRDefault="0047086C" w:rsidP="0047086C">
            <w:pPr>
              <w:ind w:right="465"/>
              <w:jc w:val="right"/>
              <w:rPr>
                <w:szCs w:val="22"/>
              </w:rPr>
            </w:pPr>
          </w:p>
        </w:tc>
      </w:tr>
      <w:tr w:rsidR="0047086C" w:rsidRPr="0047086C" w:rsidTr="00D43333">
        <w:trPr>
          <w:trHeight w:val="255"/>
        </w:trPr>
        <w:tc>
          <w:tcPr>
            <w:tcW w:w="2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86C" w:rsidRPr="0047086C" w:rsidRDefault="0047086C" w:rsidP="0047086C">
            <w:pPr>
              <w:rPr>
                <w:b/>
                <w:szCs w:val="22"/>
              </w:rPr>
            </w:pPr>
            <w:r w:rsidRPr="0047086C">
              <w:rPr>
                <w:b/>
                <w:szCs w:val="22"/>
              </w:rPr>
              <w:t>Total</w:t>
            </w:r>
          </w:p>
        </w:tc>
        <w:tc>
          <w:tcPr>
            <w:tcW w:w="5333" w:type="dxa"/>
            <w:tcBorders>
              <w:top w:val="single" w:sz="4" w:space="0" w:color="auto"/>
              <w:left w:val="nil"/>
              <w:bottom w:val="single" w:sz="4" w:space="0" w:color="auto"/>
              <w:right w:val="single" w:sz="4" w:space="0" w:color="auto"/>
            </w:tcBorders>
            <w:shd w:val="clear" w:color="auto" w:fill="auto"/>
            <w:noWrap/>
            <w:vAlign w:val="center"/>
          </w:tcPr>
          <w:p w:rsidR="0047086C" w:rsidRPr="0047086C" w:rsidRDefault="0047086C" w:rsidP="0047086C">
            <w:pPr>
              <w:rPr>
                <w:szCs w:val="22"/>
              </w:rPr>
            </w:pPr>
          </w:p>
        </w:tc>
        <w:tc>
          <w:tcPr>
            <w:tcW w:w="2013" w:type="dxa"/>
            <w:tcBorders>
              <w:top w:val="single" w:sz="4" w:space="0" w:color="auto"/>
              <w:left w:val="nil"/>
              <w:bottom w:val="single" w:sz="4" w:space="0" w:color="auto"/>
              <w:right w:val="single" w:sz="4" w:space="0" w:color="auto"/>
            </w:tcBorders>
            <w:vAlign w:val="center"/>
          </w:tcPr>
          <w:p w:rsidR="0047086C" w:rsidRPr="0047086C" w:rsidRDefault="0047086C" w:rsidP="0047086C">
            <w:pPr>
              <w:ind w:right="465"/>
              <w:jc w:val="right"/>
              <w:rPr>
                <w:szCs w:val="22"/>
              </w:rPr>
            </w:pPr>
            <w:r w:rsidRPr="0047086C">
              <w:rPr>
                <w:szCs w:val="22"/>
              </w:rPr>
              <w:t>$9,500,000</w:t>
            </w:r>
          </w:p>
        </w:tc>
      </w:tr>
    </w:tbl>
    <w:p w:rsidR="0047086C" w:rsidRPr="0047086C" w:rsidRDefault="0047086C" w:rsidP="0047086C">
      <w:pPr>
        <w:autoSpaceDE w:val="0"/>
        <w:autoSpaceDN w:val="0"/>
        <w:adjustRightInd w:val="0"/>
        <w:ind w:firstLine="720"/>
        <w:rPr>
          <w:szCs w:val="22"/>
        </w:rPr>
      </w:pPr>
      <w:r w:rsidRPr="0047086C">
        <w:rPr>
          <w:b/>
          <w:bCs/>
          <w:szCs w:val="22"/>
        </w:rPr>
        <w:t>ACCESSIBLE FORMATS</w:t>
      </w:r>
      <w:r w:rsidRPr="0047086C">
        <w:rPr>
          <w:b/>
          <w:szCs w:val="22"/>
        </w:rPr>
        <w:t>:</w:t>
      </w:r>
      <w:r w:rsidRPr="0047086C">
        <w:rPr>
          <w:szCs w:val="22"/>
        </w:rPr>
        <w:t xml:space="preserve">  To request materials in accessible formats for people with disabilities (Braille, large print, electronic files, audio format), send an e-mail to </w:t>
      </w:r>
      <w:r w:rsidRPr="0047086C">
        <w:rPr>
          <w:color w:val="0000FF"/>
          <w:szCs w:val="22"/>
          <w:u w:val="single"/>
        </w:rPr>
        <w:t>fcc504@fcc.gov</w:t>
      </w:r>
      <w:r w:rsidRPr="0047086C">
        <w:rPr>
          <w:szCs w:val="22"/>
        </w:rPr>
        <w:t xml:space="preserve"> or call the Consumer and Governmental Affairs Bureau at 202-418-0530 (voice), 202-418-0432 (TTY).</w:t>
      </w:r>
    </w:p>
    <w:p w:rsidR="0047086C" w:rsidRPr="0047086C" w:rsidRDefault="0047086C" w:rsidP="0047086C">
      <w:pPr>
        <w:autoSpaceDE w:val="0"/>
        <w:autoSpaceDN w:val="0"/>
        <w:adjustRightInd w:val="0"/>
        <w:rPr>
          <w:szCs w:val="22"/>
        </w:rPr>
      </w:pPr>
    </w:p>
    <w:p w:rsidR="0047086C" w:rsidRPr="0047086C" w:rsidRDefault="0047086C" w:rsidP="0047086C">
      <w:pPr>
        <w:autoSpaceDE w:val="0"/>
        <w:autoSpaceDN w:val="0"/>
        <w:adjustRightInd w:val="0"/>
        <w:ind w:firstLine="720"/>
        <w:rPr>
          <w:szCs w:val="22"/>
        </w:rPr>
      </w:pPr>
      <w:r w:rsidRPr="0047086C">
        <w:rPr>
          <w:b/>
          <w:szCs w:val="22"/>
        </w:rPr>
        <w:t>FOR FURTHER INFORMATION CONTACT:</w:t>
      </w:r>
      <w:r w:rsidRPr="0047086C">
        <w:rPr>
          <w:szCs w:val="22"/>
        </w:rPr>
        <w:t xml:space="preserve">  Jackie Ellington, Consumer and Governmental Affairs Bureau, 202-418-1153, e-mail </w:t>
      </w:r>
      <w:hyperlink r:id="rId14" w:history="1">
        <w:r w:rsidRPr="0047086C">
          <w:rPr>
            <w:color w:val="0000FF"/>
            <w:szCs w:val="22"/>
            <w:u w:val="single"/>
          </w:rPr>
          <w:t>Jackie.Ellington@fcc.gov</w:t>
        </w:r>
      </w:hyperlink>
      <w:r w:rsidRPr="0047086C">
        <w:rPr>
          <w:szCs w:val="22"/>
        </w:rPr>
        <w:t xml:space="preserve">; or Rosaline Crawford, Consumer and Governmental Affairs Bureau, 202-418-2075, e-mail </w:t>
      </w:r>
      <w:hyperlink r:id="rId15" w:history="1">
        <w:r w:rsidRPr="0047086C">
          <w:rPr>
            <w:color w:val="0000FF"/>
            <w:szCs w:val="22"/>
            <w:u w:val="single"/>
          </w:rPr>
          <w:t>Rosaline.Crawford@fcc.gov</w:t>
        </w:r>
      </w:hyperlink>
      <w:r w:rsidRPr="0047086C">
        <w:rPr>
          <w:szCs w:val="22"/>
        </w:rPr>
        <w:t>.</w:t>
      </w:r>
    </w:p>
    <w:p w:rsidR="0047086C" w:rsidRPr="0047086C" w:rsidRDefault="0047086C" w:rsidP="0047086C">
      <w:pPr>
        <w:tabs>
          <w:tab w:val="left" w:pos="720"/>
          <w:tab w:val="left" w:pos="9990"/>
        </w:tabs>
        <w:autoSpaceDE w:val="0"/>
        <w:autoSpaceDN w:val="0"/>
        <w:adjustRightInd w:val="0"/>
        <w:jc w:val="center"/>
        <w:rPr>
          <w:szCs w:val="22"/>
        </w:rPr>
      </w:pPr>
    </w:p>
    <w:p w:rsidR="0047086C" w:rsidRPr="0047086C" w:rsidRDefault="0047086C" w:rsidP="0047086C">
      <w:pPr>
        <w:tabs>
          <w:tab w:val="left" w:pos="720"/>
          <w:tab w:val="left" w:pos="9990"/>
        </w:tabs>
        <w:autoSpaceDE w:val="0"/>
        <w:autoSpaceDN w:val="0"/>
        <w:adjustRightInd w:val="0"/>
        <w:jc w:val="center"/>
        <w:rPr>
          <w:b/>
          <w:szCs w:val="22"/>
        </w:rPr>
      </w:pPr>
      <w:r w:rsidRPr="0047086C">
        <w:rPr>
          <w:b/>
          <w:szCs w:val="22"/>
        </w:rPr>
        <w:t>-FCC-</w:t>
      </w:r>
    </w:p>
    <w:p w:rsidR="0047086C" w:rsidRPr="0047086C" w:rsidRDefault="0047086C" w:rsidP="0047086C">
      <w:pPr>
        <w:tabs>
          <w:tab w:val="left" w:pos="720"/>
          <w:tab w:val="left" w:pos="9990"/>
        </w:tabs>
        <w:autoSpaceDE w:val="0"/>
        <w:autoSpaceDN w:val="0"/>
        <w:adjustRightInd w:val="0"/>
        <w:rPr>
          <w:szCs w:val="22"/>
        </w:rPr>
      </w:pPr>
    </w:p>
    <w:p w:rsidR="0047086C" w:rsidRPr="0047086C" w:rsidRDefault="0047086C" w:rsidP="0047086C">
      <w:pPr>
        <w:spacing w:before="120" w:after="240"/>
        <w:rPr>
          <w:sz w:val="24"/>
        </w:rPr>
      </w:pPr>
    </w:p>
    <w:p w:rsidR="00602577" w:rsidRDefault="00602577">
      <w:pPr>
        <w:spacing w:before="120" w:after="240"/>
        <w:rPr>
          <w:sz w:val="24"/>
        </w:rPr>
      </w:pPr>
    </w:p>
    <w:sectPr w:rsidR="00602577" w:rsidSect="00397A45">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00B" w:rsidRDefault="00A8400B">
      <w:r>
        <w:separator/>
      </w:r>
    </w:p>
  </w:endnote>
  <w:endnote w:type="continuationSeparator" w:id="0">
    <w:p w:rsidR="00A8400B" w:rsidRDefault="00A8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57" w:rsidRDefault="00A612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45" w:rsidRDefault="00397A45">
    <w:pPr>
      <w:pStyle w:val="Footer"/>
      <w:jc w:val="center"/>
    </w:pPr>
    <w:r>
      <w:fldChar w:fldCharType="begin"/>
    </w:r>
    <w:r>
      <w:instrText xml:space="preserve"> PAGE   \* MERGEFORMAT </w:instrText>
    </w:r>
    <w:r>
      <w:fldChar w:fldCharType="separate"/>
    </w:r>
    <w:r w:rsidR="00193871">
      <w:rPr>
        <w:noProof/>
      </w:rPr>
      <w:t>2</w:t>
    </w:r>
    <w:r>
      <w:rPr>
        <w:noProof/>
      </w:rPr>
      <w:fldChar w:fldCharType="end"/>
    </w:r>
  </w:p>
  <w:p w:rsidR="00397A45" w:rsidRDefault="00397A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57" w:rsidRDefault="00A61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00B" w:rsidRDefault="00A8400B">
      <w:r>
        <w:separator/>
      </w:r>
    </w:p>
  </w:footnote>
  <w:footnote w:type="continuationSeparator" w:id="0">
    <w:p w:rsidR="00A8400B" w:rsidRDefault="00A8400B">
      <w:r>
        <w:continuationSeparator/>
      </w:r>
    </w:p>
  </w:footnote>
  <w:footnote w:id="1">
    <w:p w:rsidR="0047086C" w:rsidRPr="00397A45" w:rsidRDefault="0047086C" w:rsidP="00397A45">
      <w:pPr>
        <w:pStyle w:val="FootnoteText"/>
        <w:spacing w:after="120"/>
        <w:rPr>
          <w:sz w:val="20"/>
        </w:rPr>
      </w:pPr>
      <w:r w:rsidRPr="00397A45">
        <w:rPr>
          <w:rStyle w:val="FootnoteReference"/>
          <w:sz w:val="20"/>
        </w:rPr>
        <w:footnoteRef/>
      </w:r>
      <w:r w:rsidRPr="00397A45">
        <w:rPr>
          <w:bCs/>
          <w:sz w:val="20"/>
        </w:rPr>
        <w:t xml:space="preserve"> </w:t>
      </w:r>
      <w:r w:rsidRPr="00397A45">
        <w:rPr>
          <w:sz w:val="20"/>
        </w:rPr>
        <w:t xml:space="preserve">Pub. L. 111-260, 124 Stat. 2751 (2010); </w:t>
      </w:r>
      <w:r w:rsidRPr="00397A45">
        <w:rPr>
          <w:bCs/>
          <w:i/>
          <w:sz w:val="20"/>
        </w:rPr>
        <w:t>see also</w:t>
      </w:r>
      <w:r w:rsidRPr="00397A45">
        <w:rPr>
          <w:bCs/>
          <w:sz w:val="20"/>
        </w:rPr>
        <w:t xml:space="preserve"> Pub. L. 111-265, </w:t>
      </w:r>
      <w:r w:rsidRPr="00397A45">
        <w:rPr>
          <w:sz w:val="20"/>
        </w:rPr>
        <w:t>124 Stat. 2795 (2010) (providing technical corrections to the CVAA).  Section 105 of the CVAA adds Section 719 to the Communications Act of 1934, as amended, and is codified at 47 U.S.C. § 620.  The CVAA allows the Commission to allocate these funds from the Interstate Telecommunications Relay Service Fund (TRS Fund).</w:t>
      </w:r>
    </w:p>
  </w:footnote>
  <w:footnote w:id="2">
    <w:p w:rsidR="0047086C" w:rsidRPr="00397A45" w:rsidRDefault="0047086C" w:rsidP="00397A45">
      <w:pPr>
        <w:pStyle w:val="FootnoteText"/>
        <w:spacing w:after="120"/>
        <w:rPr>
          <w:sz w:val="20"/>
        </w:rPr>
      </w:pPr>
      <w:r w:rsidRPr="00397A45">
        <w:rPr>
          <w:rStyle w:val="FootnoteReference"/>
          <w:sz w:val="20"/>
        </w:rPr>
        <w:footnoteRef/>
      </w:r>
      <w:r w:rsidRPr="00397A45">
        <w:rPr>
          <w:sz w:val="20"/>
        </w:rPr>
        <w:t xml:space="preserve"> </w:t>
      </w:r>
      <w:r w:rsidRPr="00397A45">
        <w:rPr>
          <w:i/>
          <w:sz w:val="20"/>
        </w:rPr>
        <w:t>See Implementation of the Twenty-First Century Communications and Video Accessibility Act of 2010, Section 105, Relay Services for Deaf-Blind Individuals</w:t>
      </w:r>
      <w:r w:rsidRPr="00397A45">
        <w:rPr>
          <w:sz w:val="20"/>
        </w:rPr>
        <w:t>, Report and Order, 26 FCC Rcd 5640 (2011) (</w:t>
      </w:r>
      <w:r w:rsidRPr="00397A45">
        <w:rPr>
          <w:i/>
          <w:sz w:val="20"/>
        </w:rPr>
        <w:t>NDBEDP Pilot Program Order</w:t>
      </w:r>
      <w:r w:rsidRPr="00397A45">
        <w:rPr>
          <w:sz w:val="20"/>
        </w:rPr>
        <w:t xml:space="preserve">).  The NDBEDP pilot program was established to run for two years, with an option for the Commission to extend it for another year.  </w:t>
      </w:r>
      <w:r w:rsidRPr="00397A45">
        <w:rPr>
          <w:i/>
          <w:sz w:val="20"/>
        </w:rPr>
        <w:t>Id.</w:t>
      </w:r>
      <w:r w:rsidRPr="00397A45">
        <w:rPr>
          <w:sz w:val="20"/>
        </w:rPr>
        <w:t xml:space="preserve">, 26 FCC Rcd at 5649, ¶ 22.  In 2014, the Bureau extended the pilot program for a third year.  </w:t>
      </w:r>
      <w:r w:rsidRPr="00397A45">
        <w:rPr>
          <w:i/>
          <w:sz w:val="20"/>
        </w:rPr>
        <w:t>See Implementation of the Twenty-First Century Communications and Video Accessibility Act of 2010, Section 105, Relay Services for Deaf-Blind Individuals</w:t>
      </w:r>
      <w:r w:rsidRPr="00397A45">
        <w:rPr>
          <w:sz w:val="20"/>
        </w:rPr>
        <w:t xml:space="preserve">, Public Notice, 29 FCC Rcd 1234 (CGB 2014).  In 2015, the Commission extended the pilot program for an additional year, until June 30, 2016.  </w:t>
      </w:r>
      <w:r w:rsidRPr="00397A45">
        <w:rPr>
          <w:i/>
          <w:sz w:val="20"/>
        </w:rPr>
        <w:t>See Implementation of the Twenty-First Century Communications and Video Accessibility Act of 2010, Section 105, Relay Services for Deaf-Blind Individuals</w:t>
      </w:r>
      <w:r w:rsidRPr="00397A45">
        <w:rPr>
          <w:sz w:val="20"/>
        </w:rPr>
        <w:t>, CG Docket No. 10-210, Order, FCC 15-57 (rel. May 27, 2015).</w:t>
      </w:r>
    </w:p>
  </w:footnote>
  <w:footnote w:id="3">
    <w:p w:rsidR="0047086C" w:rsidRPr="00397A45" w:rsidRDefault="0047086C" w:rsidP="00397A45">
      <w:pPr>
        <w:pStyle w:val="FootnoteText"/>
        <w:spacing w:after="120"/>
        <w:rPr>
          <w:sz w:val="20"/>
        </w:rPr>
      </w:pPr>
      <w:r w:rsidRPr="00397A45">
        <w:rPr>
          <w:rStyle w:val="FootnoteReference"/>
          <w:sz w:val="20"/>
        </w:rPr>
        <w:footnoteRef/>
      </w:r>
      <w:r w:rsidRPr="00397A45">
        <w:rPr>
          <w:sz w:val="20"/>
        </w:rPr>
        <w:t xml:space="preserve"> </w:t>
      </w:r>
      <w:r w:rsidRPr="00397A45">
        <w:rPr>
          <w:i/>
          <w:sz w:val="20"/>
        </w:rPr>
        <w:t>Commission Announces Launch of the National Deaf-Blind Equipment Distribution Program</w:t>
      </w:r>
      <w:r w:rsidRPr="00397A45">
        <w:rPr>
          <w:sz w:val="20"/>
        </w:rPr>
        <w:t>, Public Notice, 27 FCC Rcd 7403 (CGB 2012).</w:t>
      </w:r>
    </w:p>
  </w:footnote>
  <w:footnote w:id="4">
    <w:p w:rsidR="0047086C" w:rsidRPr="00397A45" w:rsidRDefault="0047086C" w:rsidP="00397A45">
      <w:pPr>
        <w:pStyle w:val="FootnoteText"/>
        <w:spacing w:after="120"/>
        <w:rPr>
          <w:sz w:val="20"/>
        </w:rPr>
      </w:pPr>
      <w:r w:rsidRPr="00397A45">
        <w:rPr>
          <w:rStyle w:val="FootnoteReference"/>
          <w:sz w:val="20"/>
        </w:rPr>
        <w:footnoteRef/>
      </w:r>
      <w:r w:rsidRPr="00397A45">
        <w:rPr>
          <w:sz w:val="20"/>
        </w:rPr>
        <w:t xml:space="preserve"> A full list of the entities currently certified to participate in the NDBEDP is provided below.  Contact information for these entities is available at </w:t>
      </w:r>
      <w:hyperlink r:id="rId1" w:history="1">
        <w:r w:rsidRPr="00397A45">
          <w:rPr>
            <w:rStyle w:val="Hyperlink"/>
            <w:sz w:val="20"/>
          </w:rPr>
          <w:t>http://www.icanconnect.org/state-partners</w:t>
        </w:r>
      </w:hyperlink>
      <w:r w:rsidRPr="00397A45">
        <w:rPr>
          <w:sz w:val="20"/>
        </w:rPr>
        <w:t xml:space="preserve">.   </w:t>
      </w:r>
    </w:p>
  </w:footnote>
  <w:footnote w:id="5">
    <w:p w:rsidR="0047086C" w:rsidRPr="00397A45" w:rsidRDefault="0047086C" w:rsidP="00397A45">
      <w:pPr>
        <w:autoSpaceDE w:val="0"/>
        <w:autoSpaceDN w:val="0"/>
        <w:adjustRightInd w:val="0"/>
        <w:spacing w:after="120"/>
        <w:rPr>
          <w:sz w:val="20"/>
        </w:rPr>
      </w:pPr>
      <w:r w:rsidRPr="00397A45">
        <w:rPr>
          <w:rStyle w:val="FootnoteReference"/>
          <w:sz w:val="20"/>
        </w:rPr>
        <w:footnoteRef/>
      </w:r>
      <w:r w:rsidRPr="00397A45">
        <w:rPr>
          <w:sz w:val="20"/>
        </w:rPr>
        <w:t xml:space="preserve"> </w:t>
      </w:r>
      <w:r w:rsidRPr="00397A45">
        <w:rPr>
          <w:i/>
          <w:sz w:val="20"/>
        </w:rPr>
        <w:t>See NDBEDP Pilot Program Order</w:t>
      </w:r>
      <w:r w:rsidRPr="00397A45">
        <w:rPr>
          <w:sz w:val="20"/>
        </w:rPr>
        <w:t xml:space="preserve">, 26 FCC Rcd at 5675-76, ¶ 80.  The Commission announced the selection of the Perkins School for the Blind to conduct national outreach efforts to promote the NDBEDP.  </w:t>
      </w:r>
      <w:r w:rsidRPr="00397A45">
        <w:rPr>
          <w:i/>
          <w:sz w:val="20"/>
        </w:rPr>
        <w:t>See Perkins School for the Blind to Conduct National Outreach for the National Deaf-Blind Equipment Distribution Program</w:t>
      </w:r>
      <w:r w:rsidRPr="00397A45">
        <w:rPr>
          <w:sz w:val="20"/>
        </w:rPr>
        <w:t xml:space="preserve">, Public Notice, 27 FCC Rcd 6143 (CGB 2012).  For this effort, the Perkins School for the Blind is partnering with the Helen Keller National Center for Deaf-Blind Youths and Adults, FableVision, Inc., and other national and local consumer groups, parent groups, agencies, and associations.  </w:t>
      </w:r>
      <w:r w:rsidRPr="00397A45">
        <w:rPr>
          <w:i/>
          <w:sz w:val="20"/>
        </w:rPr>
        <w:t>Id</w:t>
      </w:r>
      <w:r w:rsidRPr="00397A45">
        <w:rPr>
          <w:sz w:val="20"/>
        </w:rPr>
        <w:t>.</w:t>
      </w:r>
    </w:p>
  </w:footnote>
  <w:footnote w:id="6">
    <w:p w:rsidR="0047086C" w:rsidRPr="00397A45" w:rsidRDefault="0047086C" w:rsidP="00397A45">
      <w:pPr>
        <w:pStyle w:val="FootnoteText"/>
        <w:spacing w:after="120"/>
        <w:rPr>
          <w:sz w:val="20"/>
        </w:rPr>
      </w:pPr>
      <w:r w:rsidRPr="00397A45">
        <w:rPr>
          <w:rStyle w:val="FootnoteReference"/>
          <w:sz w:val="20"/>
        </w:rPr>
        <w:footnoteRef/>
      </w:r>
      <w:r w:rsidRPr="00397A45">
        <w:rPr>
          <w:sz w:val="20"/>
        </w:rPr>
        <w:t xml:space="preserve"> </w:t>
      </w:r>
      <w:r w:rsidRPr="00397A45">
        <w:rPr>
          <w:i/>
          <w:sz w:val="20"/>
        </w:rPr>
        <w:t>NDBEDP Pilot Program Order</w:t>
      </w:r>
      <w:r w:rsidRPr="00397A45">
        <w:rPr>
          <w:sz w:val="20"/>
        </w:rPr>
        <w:t xml:space="preserve">, 26 FCC Rcd at 5677, ¶ 85.  </w:t>
      </w:r>
      <w:r w:rsidRPr="00397A45">
        <w:rPr>
          <w:i/>
          <w:sz w:val="20"/>
        </w:rPr>
        <w:t xml:space="preserve">See also </w:t>
      </w:r>
      <w:r w:rsidRPr="00397A45">
        <w:rPr>
          <w:sz w:val="20"/>
        </w:rPr>
        <w:t>47 C.F.R. § 64.610.</w:t>
      </w:r>
    </w:p>
  </w:footnote>
  <w:footnote w:id="7">
    <w:p w:rsidR="0047086C" w:rsidRPr="00397A45" w:rsidRDefault="0047086C" w:rsidP="00397A45">
      <w:pPr>
        <w:pStyle w:val="FootnoteText"/>
        <w:spacing w:after="120"/>
        <w:rPr>
          <w:sz w:val="20"/>
        </w:rPr>
      </w:pPr>
      <w:r w:rsidRPr="00397A45">
        <w:rPr>
          <w:rStyle w:val="FootnoteReference"/>
          <w:sz w:val="20"/>
        </w:rPr>
        <w:footnoteRef/>
      </w:r>
      <w:r w:rsidRPr="00397A45">
        <w:rPr>
          <w:sz w:val="20"/>
        </w:rPr>
        <w:t xml:space="preserve"> </w:t>
      </w:r>
      <w:r w:rsidRPr="00397A45">
        <w:rPr>
          <w:i/>
          <w:sz w:val="20"/>
        </w:rPr>
        <w:t>NDBEDP Pilot Program Order</w:t>
      </w:r>
      <w:r w:rsidRPr="00397A45">
        <w:rPr>
          <w:sz w:val="20"/>
        </w:rPr>
        <w:t xml:space="preserve">, 26 FCC Rcd at 5677, ¶ 84.  </w:t>
      </w:r>
    </w:p>
  </w:footnote>
  <w:footnote w:id="8">
    <w:p w:rsidR="0047086C" w:rsidRPr="00397A45" w:rsidRDefault="0047086C" w:rsidP="00397A45">
      <w:pPr>
        <w:spacing w:after="120"/>
        <w:rPr>
          <w:sz w:val="20"/>
        </w:rPr>
      </w:pPr>
      <w:r w:rsidRPr="00397A45">
        <w:rPr>
          <w:rStyle w:val="FootnoteReference"/>
          <w:sz w:val="20"/>
        </w:rPr>
        <w:footnoteRef/>
      </w:r>
      <w:r w:rsidRPr="00397A45">
        <w:rPr>
          <w:sz w:val="20"/>
        </w:rPr>
        <w:t xml:space="preserve"> </w:t>
      </w:r>
      <w:r w:rsidRPr="00397A45">
        <w:rPr>
          <w:color w:val="010101"/>
          <w:sz w:val="20"/>
        </w:rPr>
        <w:t xml:space="preserve">Population figures for these calculations are derived from U.S. Census data.  </w:t>
      </w:r>
      <w:r w:rsidRPr="00397A45">
        <w:rPr>
          <w:i/>
          <w:color w:val="010101"/>
          <w:sz w:val="20"/>
        </w:rPr>
        <w:t xml:space="preserve">See </w:t>
      </w:r>
      <w:r w:rsidRPr="00397A45">
        <w:rPr>
          <w:color w:val="010101"/>
          <w:sz w:val="20"/>
        </w:rPr>
        <w:t xml:space="preserve">National, State, and Puerto Rico Commonwealth Totals Datasets:  Population change and rankings:  April 1, 2010 to July 1, 2014 (NST-EST2014-popchg2010-2014), available at </w:t>
      </w:r>
      <w:hyperlink r:id="rId2" w:history="1">
        <w:r w:rsidRPr="00397A45">
          <w:rPr>
            <w:rStyle w:val="Hyperlink"/>
            <w:sz w:val="20"/>
          </w:rPr>
          <w:t>http://www.census.gov/popest/data/national/totals/2014/NST-EST2014-popchg2010-2014.html</w:t>
        </w:r>
      </w:hyperlink>
      <w:r w:rsidRPr="00397A45">
        <w:rPr>
          <w:color w:val="010101"/>
          <w:sz w:val="20"/>
        </w:rPr>
        <w:t xml:space="preserve"> </w:t>
      </w:r>
      <w:r w:rsidRPr="00397A45">
        <w:rPr>
          <w:sz w:val="20"/>
        </w:rPr>
        <w:t xml:space="preserve">(last viewed June 15, 2015).  </w:t>
      </w:r>
      <w:r w:rsidRPr="00397A45">
        <w:rPr>
          <w:i/>
          <w:sz w:val="20"/>
        </w:rPr>
        <w:t>See also</w:t>
      </w:r>
      <w:r w:rsidRPr="00397A45">
        <w:rPr>
          <w:sz w:val="20"/>
        </w:rPr>
        <w:t xml:space="preserve"> U.S. Census Bureau, Population of the U.S. Virgin Islands:  2000 and 2010, available at </w:t>
      </w:r>
      <w:hyperlink w:history="1"/>
      <w:hyperlink r:id="rId3" w:history="1">
        <w:r w:rsidRPr="00397A45">
          <w:rPr>
            <w:rStyle w:val="Hyperlink"/>
            <w:sz w:val="20"/>
          </w:rPr>
          <w:t>https://www.census.gov/2010census/news/xls/cb11cn180_vi.xls</w:t>
        </w:r>
      </w:hyperlink>
      <w:r w:rsidRPr="00397A45">
        <w:rPr>
          <w:sz w:val="20"/>
        </w:rPr>
        <w:t xml:space="preserve"> (last viewed June 15, 2015).  The Bureau reviews funding data as it becomes available during the year and works with certified programs to reallocate funding between programs to maximize the use of available funding during each fund year.  </w:t>
      </w:r>
      <w:r w:rsidRPr="00397A45">
        <w:rPr>
          <w:i/>
          <w:sz w:val="20"/>
        </w:rPr>
        <w:t>See id.</w:t>
      </w:r>
      <w:r w:rsidRPr="00397A45">
        <w:rPr>
          <w:sz w:val="20"/>
        </w:rPr>
        <w:t>, 26 FCC Rcd</w:t>
      </w:r>
      <w:r w:rsidRPr="00397A45">
        <w:rPr>
          <w:i/>
          <w:sz w:val="20"/>
        </w:rPr>
        <w:t xml:space="preserve"> </w:t>
      </w:r>
      <w:r w:rsidRPr="00397A45">
        <w:rPr>
          <w:sz w:val="20"/>
        </w:rPr>
        <w:t>at 5677, 5679, ¶¶ 85, 90.</w:t>
      </w:r>
      <w:r w:rsidRPr="00397A45">
        <w:rPr>
          <w:color w:val="010101"/>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57" w:rsidRDefault="00A612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57" w:rsidRDefault="00A612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8D0DF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8D0DF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41661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6C"/>
    <w:rsid w:val="000265AE"/>
    <w:rsid w:val="00193871"/>
    <w:rsid w:val="001F684B"/>
    <w:rsid w:val="00397A45"/>
    <w:rsid w:val="0047086C"/>
    <w:rsid w:val="00602577"/>
    <w:rsid w:val="008D0DF1"/>
    <w:rsid w:val="00A61257"/>
    <w:rsid w:val="00A8400B"/>
    <w:rsid w:val="00D17DC0"/>
    <w:rsid w:val="00D60EFF"/>
    <w:rsid w:val="00E8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47086C"/>
    <w:rPr>
      <w:sz w:val="22"/>
    </w:rPr>
  </w:style>
  <w:style w:type="character" w:customStyle="1" w:styleId="FooterChar">
    <w:name w:val="Footer Char"/>
    <w:link w:val="Footer"/>
    <w:uiPriority w:val="99"/>
    <w:rsid w:val="00397A4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47086C"/>
    <w:rPr>
      <w:sz w:val="22"/>
    </w:rPr>
  </w:style>
  <w:style w:type="character" w:customStyle="1" w:styleId="FooterChar">
    <w:name w:val="Footer Char"/>
    <w:link w:val="Footer"/>
    <w:uiPriority w:val="99"/>
    <w:rsid w:val="00397A4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osaline.Crawford@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ackie.Ellington@fcc.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2010census/news/xls/cb11cn180_vi.xls" TargetMode="External"/><Relationship Id="rId2" Type="http://schemas.openxmlformats.org/officeDocument/2006/relationships/hyperlink" Target="http://www.census.gov/popest/data/national/totals/2014/NST-EST2014-popchg2010-2014.html" TargetMode="External"/><Relationship Id="rId1" Type="http://schemas.openxmlformats.org/officeDocument/2006/relationships/hyperlink" Target="http://www.icanconnect.org/state-partne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803</Words>
  <Characters>4924</Characters>
  <Application>Microsoft Office Word</Application>
  <DocSecurity>0</DocSecurity>
  <Lines>229</Lines>
  <Paragraphs>180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5677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2015-06-22T15:41:00Z</dcterms:created>
  <dcterms:modified xsi:type="dcterms:W3CDTF">2015-06-22T15:41:00Z</dcterms:modified>
  <cp:category> </cp:category>
  <cp:contentStatus> </cp:contentStatus>
</cp:coreProperties>
</file>