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43" w:rsidRDefault="00474143">
      <w:pPr>
        <w:jc w:val="center"/>
        <w:rPr>
          <w:b/>
        </w:rPr>
      </w:pPr>
      <w:bookmarkStart w:id="0" w:name="_GoBack"/>
      <w:bookmarkEnd w:id="0"/>
      <w:r>
        <w:rPr>
          <w:b/>
        </w:rPr>
        <w:t>Before the</w:t>
      </w:r>
    </w:p>
    <w:p w:rsidR="00474143" w:rsidRDefault="00474143">
      <w:pPr>
        <w:jc w:val="center"/>
        <w:rPr>
          <w:b/>
        </w:rPr>
      </w:pPr>
      <w:r>
        <w:rPr>
          <w:b/>
        </w:rPr>
        <w:t>Federal Communications Commission</w:t>
      </w:r>
    </w:p>
    <w:p w:rsidR="00474143" w:rsidRDefault="00474143">
      <w:pPr>
        <w:jc w:val="center"/>
        <w:rPr>
          <w:b/>
        </w:rPr>
      </w:pPr>
      <w:r>
        <w:rPr>
          <w:b/>
        </w:rPr>
        <w:t>Washington, D.C. 20554</w:t>
      </w:r>
    </w:p>
    <w:p w:rsidR="00474143" w:rsidRDefault="00474143"/>
    <w:p w:rsidR="00474143" w:rsidRDefault="00474143"/>
    <w:tbl>
      <w:tblPr>
        <w:tblW w:w="0" w:type="auto"/>
        <w:tblLayout w:type="fixed"/>
        <w:tblLook w:val="0000" w:firstRow="0" w:lastRow="0" w:firstColumn="0" w:lastColumn="0" w:noHBand="0" w:noVBand="0"/>
      </w:tblPr>
      <w:tblGrid>
        <w:gridCol w:w="4698"/>
        <w:gridCol w:w="720"/>
        <w:gridCol w:w="4230"/>
      </w:tblGrid>
      <w:tr w:rsidR="00474143">
        <w:tc>
          <w:tcPr>
            <w:tcW w:w="4698" w:type="dxa"/>
          </w:tcPr>
          <w:p w:rsidR="00474143" w:rsidRDefault="00474143">
            <w:pPr>
              <w:ind w:right="-18"/>
            </w:pPr>
            <w:r>
              <w:t>In the Matter of</w:t>
            </w:r>
          </w:p>
          <w:p w:rsidR="00474143" w:rsidRDefault="00474143">
            <w:pPr>
              <w:ind w:right="-18"/>
            </w:pPr>
          </w:p>
          <w:p w:rsidR="00474143" w:rsidRDefault="00D1561D">
            <w:pPr>
              <w:ind w:right="-18"/>
            </w:pPr>
            <w:r>
              <w:t>WESTEX TOWERS</w:t>
            </w:r>
          </w:p>
          <w:p w:rsidR="00474143" w:rsidRDefault="00474143">
            <w:pPr>
              <w:ind w:right="-18"/>
            </w:pPr>
          </w:p>
          <w:p w:rsidR="00474143" w:rsidRDefault="00474143" w:rsidP="005247C5">
            <w:pPr>
              <w:ind w:right="-18"/>
            </w:pPr>
            <w:r>
              <w:t>Petition for Reconsideration of Pending Termination of License</w:t>
            </w:r>
            <w:r w:rsidR="00D1561D">
              <w:t xml:space="preserve"> for Station</w:t>
            </w:r>
            <w:r>
              <w:t xml:space="preserve"> </w:t>
            </w:r>
            <w:r w:rsidR="00F157DE">
              <w:t>WQ</w:t>
            </w:r>
            <w:r w:rsidR="00D1561D">
              <w:t>RX</w:t>
            </w:r>
            <w:r w:rsidR="00CE0A49">
              <w:t>9</w:t>
            </w:r>
            <w:r w:rsidR="005247C5">
              <w:t>7</w:t>
            </w:r>
            <w:r w:rsidR="00CE0A49">
              <w:t>2</w:t>
            </w:r>
            <w:r w:rsidR="00F157DE">
              <w:t xml:space="preserve"> </w:t>
            </w:r>
          </w:p>
        </w:tc>
        <w:tc>
          <w:tcPr>
            <w:tcW w:w="720" w:type="dxa"/>
          </w:tcPr>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rsidP="00BB3018">
            <w:pPr>
              <w:rPr>
                <w:b/>
              </w:rPr>
            </w:pPr>
            <w:r>
              <w:rPr>
                <w:b/>
              </w:rPr>
              <w:t>)</w:t>
            </w:r>
          </w:p>
        </w:tc>
        <w:tc>
          <w:tcPr>
            <w:tcW w:w="4230" w:type="dxa"/>
          </w:tcPr>
          <w:p w:rsidR="00474143" w:rsidRDefault="00474143"/>
          <w:p w:rsidR="00474143" w:rsidRDefault="00474143"/>
          <w:p w:rsidR="00474143" w:rsidRDefault="00474143" w:rsidP="00DB35F1">
            <w:r>
              <w:t xml:space="preserve">File No. </w:t>
            </w:r>
            <w:r w:rsidR="00DB35F1" w:rsidRPr="00DB35F1">
              <w:t>0005790070</w:t>
            </w:r>
          </w:p>
        </w:tc>
      </w:tr>
    </w:tbl>
    <w:p w:rsidR="00474143" w:rsidRDefault="00474143"/>
    <w:p w:rsidR="00474143" w:rsidRDefault="00474143">
      <w:pPr>
        <w:spacing w:before="120"/>
        <w:jc w:val="center"/>
        <w:rPr>
          <w:b/>
        </w:rPr>
      </w:pPr>
      <w:r>
        <w:rPr>
          <w:b/>
          <w:spacing w:val="-2"/>
        </w:rPr>
        <w:t>ORDER ON RECONSIDERATION</w:t>
      </w:r>
    </w:p>
    <w:p w:rsidR="00474143" w:rsidRDefault="00474143"/>
    <w:p w:rsidR="00474143" w:rsidRDefault="00016A26">
      <w:pPr>
        <w:tabs>
          <w:tab w:val="left" w:pos="5760"/>
        </w:tabs>
        <w:rPr>
          <w:b/>
        </w:rPr>
      </w:pPr>
      <w:r>
        <w:rPr>
          <w:b/>
        </w:rPr>
        <w:t xml:space="preserve">Adopted:  </w:t>
      </w:r>
      <w:r w:rsidR="00CE0A49">
        <w:rPr>
          <w:b/>
        </w:rPr>
        <w:t xml:space="preserve">June </w:t>
      </w:r>
      <w:r w:rsidR="007C46A0">
        <w:rPr>
          <w:b/>
        </w:rPr>
        <w:t>22</w:t>
      </w:r>
      <w:r w:rsidRPr="00D72610">
        <w:rPr>
          <w:b/>
        </w:rPr>
        <w:t>,</w:t>
      </w:r>
      <w:r>
        <w:rPr>
          <w:b/>
        </w:rPr>
        <w:t xml:space="preserve"> 201</w:t>
      </w:r>
      <w:r w:rsidR="00CE0A49">
        <w:rPr>
          <w:b/>
        </w:rPr>
        <w:t>5</w:t>
      </w:r>
      <w:r>
        <w:rPr>
          <w:b/>
        </w:rPr>
        <w:tab/>
      </w:r>
      <w:r>
        <w:rPr>
          <w:b/>
        </w:rPr>
        <w:tab/>
        <w:t xml:space="preserve"> Released:  </w:t>
      </w:r>
      <w:r w:rsidR="00CE0A49">
        <w:rPr>
          <w:b/>
        </w:rPr>
        <w:t xml:space="preserve">June </w:t>
      </w:r>
      <w:r w:rsidR="007C46A0">
        <w:rPr>
          <w:b/>
        </w:rPr>
        <w:t>23</w:t>
      </w:r>
      <w:r w:rsidRPr="00D72610">
        <w:rPr>
          <w:b/>
        </w:rPr>
        <w:t>, 201</w:t>
      </w:r>
      <w:r w:rsidR="00CE0A49">
        <w:rPr>
          <w:b/>
        </w:rPr>
        <w:t>5</w:t>
      </w:r>
    </w:p>
    <w:p w:rsidR="00474143" w:rsidRDefault="00474143">
      <w:pPr>
        <w:tabs>
          <w:tab w:val="left" w:pos="5760"/>
        </w:tabs>
        <w:rPr>
          <w:b/>
        </w:rPr>
      </w:pPr>
    </w:p>
    <w:p w:rsidR="00474143" w:rsidRDefault="00474143">
      <w:pPr>
        <w:tabs>
          <w:tab w:val="left" w:pos="5760"/>
        </w:tabs>
      </w:pPr>
      <w:r>
        <w:t>By the Deputy Chief, Broadband Division, Wireless Telecommunications Bureau:</w:t>
      </w:r>
    </w:p>
    <w:p w:rsidR="00474143" w:rsidRDefault="00474143">
      <w:pPr>
        <w:tabs>
          <w:tab w:val="left" w:pos="5760"/>
        </w:tabs>
      </w:pPr>
    </w:p>
    <w:p w:rsidR="00474143" w:rsidRDefault="00474143">
      <w:pPr>
        <w:pStyle w:val="Heading1"/>
        <w:keepNext w:val="0"/>
      </w:pPr>
      <w:r>
        <w:t>introduction</w:t>
      </w:r>
    </w:p>
    <w:p w:rsidR="00474143" w:rsidRDefault="00474143" w:rsidP="008970F4">
      <w:pPr>
        <w:pStyle w:val="Heading3"/>
        <w:keepNext w:val="0"/>
        <w:widowControl/>
        <w:numPr>
          <w:ilvl w:val="0"/>
          <w:numId w:val="22"/>
        </w:numPr>
        <w:tabs>
          <w:tab w:val="clear" w:pos="1800"/>
          <w:tab w:val="num" w:pos="1440"/>
        </w:tabs>
        <w:ind w:left="0"/>
        <w:jc w:val="left"/>
        <w:rPr>
          <w:b w:val="0"/>
        </w:rPr>
      </w:pPr>
      <w:r>
        <w:rPr>
          <w:b w:val="0"/>
        </w:rPr>
        <w:t xml:space="preserve">In this </w:t>
      </w:r>
      <w:r>
        <w:rPr>
          <w:b w:val="0"/>
          <w:i/>
        </w:rPr>
        <w:t>Order on Reconsideration</w:t>
      </w:r>
      <w:r>
        <w:rPr>
          <w:b w:val="0"/>
        </w:rPr>
        <w:t xml:space="preserve">, we dismiss as untimely </w:t>
      </w:r>
      <w:r w:rsidR="00F21474">
        <w:rPr>
          <w:b w:val="0"/>
        </w:rPr>
        <w:t xml:space="preserve">a </w:t>
      </w:r>
      <w:r>
        <w:rPr>
          <w:b w:val="0"/>
        </w:rPr>
        <w:t>petition for reconsideration of our placement into termination pending status</w:t>
      </w:r>
      <w:r>
        <w:rPr>
          <w:rStyle w:val="FootnoteReference"/>
          <w:b w:val="0"/>
        </w:rPr>
        <w:footnoteReference w:id="2"/>
      </w:r>
      <w:r w:rsidR="00F53613">
        <w:rPr>
          <w:b w:val="0"/>
        </w:rPr>
        <w:t xml:space="preserve"> of a path</w:t>
      </w:r>
      <w:r>
        <w:rPr>
          <w:b w:val="0"/>
        </w:rPr>
        <w:t xml:space="preserve"> for </w:t>
      </w:r>
      <w:r w:rsidR="0009411E" w:rsidRPr="0009411E">
        <w:rPr>
          <w:b w:val="0"/>
        </w:rPr>
        <w:t>Microwave Industrial/Business Pool</w:t>
      </w:r>
      <w:r w:rsidR="00F53613">
        <w:rPr>
          <w:b w:val="0"/>
        </w:rPr>
        <w:t xml:space="preserve"> station</w:t>
      </w:r>
      <w:r>
        <w:rPr>
          <w:b w:val="0"/>
        </w:rPr>
        <w:t xml:space="preserve"> in</w:t>
      </w:r>
      <w:r w:rsidR="00D1561D">
        <w:rPr>
          <w:b w:val="0"/>
        </w:rPr>
        <w:t xml:space="preserve"> Texas</w:t>
      </w:r>
      <w:r>
        <w:rPr>
          <w:b w:val="0"/>
        </w:rPr>
        <w:t xml:space="preserve">.  </w:t>
      </w:r>
    </w:p>
    <w:p w:rsidR="00474143" w:rsidRDefault="00474143">
      <w:pPr>
        <w:pStyle w:val="Heading1"/>
        <w:keepNext w:val="0"/>
        <w:widowControl/>
      </w:pPr>
      <w:r>
        <w:t>background</w:t>
      </w:r>
    </w:p>
    <w:p w:rsidR="00474143" w:rsidRDefault="00E52D62" w:rsidP="008970F4">
      <w:pPr>
        <w:pStyle w:val="Heading3"/>
        <w:keepNext w:val="0"/>
        <w:widowControl/>
        <w:numPr>
          <w:ilvl w:val="0"/>
          <w:numId w:val="22"/>
        </w:numPr>
        <w:tabs>
          <w:tab w:val="clear" w:pos="1800"/>
          <w:tab w:val="num" w:pos="1440"/>
        </w:tabs>
        <w:ind w:left="0"/>
        <w:jc w:val="left"/>
        <w:rPr>
          <w:b w:val="0"/>
        </w:rPr>
      </w:pPr>
      <w:r>
        <w:rPr>
          <w:b w:val="0"/>
        </w:rPr>
        <w:t xml:space="preserve">On </w:t>
      </w:r>
      <w:r w:rsidR="00DB35F1">
        <w:rPr>
          <w:b w:val="0"/>
        </w:rPr>
        <w:t>August 13</w:t>
      </w:r>
      <w:r w:rsidR="004815BE">
        <w:rPr>
          <w:b w:val="0"/>
        </w:rPr>
        <w:t>, 201</w:t>
      </w:r>
      <w:r w:rsidR="00095E7B">
        <w:rPr>
          <w:b w:val="0"/>
        </w:rPr>
        <w:t>3</w:t>
      </w:r>
      <w:r w:rsidR="00474143">
        <w:rPr>
          <w:b w:val="0"/>
        </w:rPr>
        <w:t xml:space="preserve">, the Wireless Telecommunications Bureau </w:t>
      </w:r>
      <w:r w:rsidR="00300542">
        <w:rPr>
          <w:b w:val="0"/>
        </w:rPr>
        <w:t xml:space="preserve">(Bureau) </w:t>
      </w:r>
      <w:r w:rsidR="00016A26">
        <w:rPr>
          <w:b w:val="0"/>
        </w:rPr>
        <w:t>issued</w:t>
      </w:r>
      <w:r w:rsidR="00CE0A49">
        <w:rPr>
          <w:b w:val="0"/>
        </w:rPr>
        <w:t xml:space="preserve"> </w:t>
      </w:r>
      <w:r w:rsidR="00DB35F1">
        <w:rPr>
          <w:b w:val="0"/>
        </w:rPr>
        <w:t>WesTex Towers</w:t>
      </w:r>
      <w:r w:rsidR="00016A26">
        <w:rPr>
          <w:b w:val="0"/>
        </w:rPr>
        <w:t xml:space="preserve"> (</w:t>
      </w:r>
      <w:r w:rsidR="00DB35F1">
        <w:rPr>
          <w:b w:val="0"/>
        </w:rPr>
        <w:t>WesTex</w:t>
      </w:r>
      <w:r w:rsidR="00474143">
        <w:rPr>
          <w:b w:val="0"/>
        </w:rPr>
        <w:t>)</w:t>
      </w:r>
      <w:r w:rsidR="00F53613">
        <w:rPr>
          <w:b w:val="0"/>
        </w:rPr>
        <w:t xml:space="preserve"> a</w:t>
      </w:r>
      <w:r w:rsidR="00474143">
        <w:rPr>
          <w:b w:val="0"/>
        </w:rPr>
        <w:t xml:space="preserve"> license</w:t>
      </w:r>
      <w:r w:rsidR="00F53613">
        <w:rPr>
          <w:b w:val="0"/>
        </w:rPr>
        <w:t xml:space="preserve"> </w:t>
      </w:r>
      <w:r w:rsidR="00474143">
        <w:rPr>
          <w:b w:val="0"/>
        </w:rPr>
        <w:t xml:space="preserve">for </w:t>
      </w:r>
      <w:r w:rsidR="0009411E" w:rsidRPr="0009411E">
        <w:rPr>
          <w:b w:val="0"/>
        </w:rPr>
        <w:t>Microwave Industrial/Business Pool</w:t>
      </w:r>
      <w:r w:rsidR="00300542">
        <w:rPr>
          <w:b w:val="0"/>
        </w:rPr>
        <w:t xml:space="preserve"> </w:t>
      </w:r>
      <w:r w:rsidR="00016A26">
        <w:rPr>
          <w:b w:val="0"/>
        </w:rPr>
        <w:t>Station</w:t>
      </w:r>
      <w:r w:rsidR="00DB35F1">
        <w:rPr>
          <w:b w:val="0"/>
        </w:rPr>
        <w:t xml:space="preserve"> WQRX972</w:t>
      </w:r>
      <w:r w:rsidR="00754C7F">
        <w:rPr>
          <w:b w:val="0"/>
        </w:rPr>
        <w:t xml:space="preserve"> (the License</w:t>
      </w:r>
      <w:r w:rsidR="00CE0A49">
        <w:rPr>
          <w:b w:val="0"/>
        </w:rPr>
        <w:t>)</w:t>
      </w:r>
      <w:r w:rsidR="00095E7B">
        <w:rPr>
          <w:b w:val="0"/>
        </w:rPr>
        <w:t>.</w:t>
      </w:r>
      <w:r w:rsidR="004D56F2">
        <w:rPr>
          <w:rStyle w:val="FootnoteReference"/>
          <w:b w:val="0"/>
        </w:rPr>
        <w:footnoteReference w:id="3"/>
      </w:r>
      <w:r w:rsidR="00095E7B">
        <w:rPr>
          <w:b w:val="0"/>
        </w:rPr>
        <w:t xml:space="preserve">  </w:t>
      </w:r>
      <w:r w:rsidR="00474143">
        <w:rPr>
          <w:b w:val="0"/>
        </w:rPr>
        <w:t>The deadline for constructin</w:t>
      </w:r>
      <w:r w:rsidR="000E2DF9">
        <w:rPr>
          <w:b w:val="0"/>
        </w:rPr>
        <w:t xml:space="preserve">g the </w:t>
      </w:r>
      <w:r w:rsidR="00F53613">
        <w:rPr>
          <w:b w:val="0"/>
        </w:rPr>
        <w:t>License</w:t>
      </w:r>
      <w:r w:rsidR="00604CB4">
        <w:rPr>
          <w:b w:val="0"/>
        </w:rPr>
        <w:t xml:space="preserve"> </w:t>
      </w:r>
      <w:r w:rsidR="000E2DF9">
        <w:rPr>
          <w:b w:val="0"/>
        </w:rPr>
        <w:t xml:space="preserve">was </w:t>
      </w:r>
      <w:r w:rsidR="008A5A3E">
        <w:rPr>
          <w:b w:val="0"/>
        </w:rPr>
        <w:t>February 1</w:t>
      </w:r>
      <w:r w:rsidR="005247C5">
        <w:rPr>
          <w:b w:val="0"/>
        </w:rPr>
        <w:t>3</w:t>
      </w:r>
      <w:r w:rsidR="00CE0A49">
        <w:rPr>
          <w:b w:val="0"/>
        </w:rPr>
        <w:t>, 2015</w:t>
      </w:r>
      <w:r w:rsidR="00474143">
        <w:rPr>
          <w:b w:val="0"/>
        </w:rPr>
        <w:t>.</w:t>
      </w:r>
      <w:r w:rsidR="00474143">
        <w:rPr>
          <w:rStyle w:val="FootnoteReference"/>
          <w:b w:val="0"/>
        </w:rPr>
        <w:footnoteReference w:id="4"/>
      </w:r>
      <w:r w:rsidR="00474143">
        <w:rPr>
          <w:b w:val="0"/>
        </w:rPr>
        <w:t xml:space="preserve">  On </w:t>
      </w:r>
      <w:r w:rsidR="003F6B5D">
        <w:rPr>
          <w:b w:val="0"/>
        </w:rPr>
        <w:t>November</w:t>
      </w:r>
      <w:r w:rsidR="008A5A3E">
        <w:rPr>
          <w:b w:val="0"/>
        </w:rPr>
        <w:t xml:space="preserve"> 18</w:t>
      </w:r>
      <w:r w:rsidR="000E2DF9">
        <w:rPr>
          <w:b w:val="0"/>
        </w:rPr>
        <w:t xml:space="preserve">, 2014, the Bureau sent </w:t>
      </w:r>
      <w:r w:rsidR="008A5A3E">
        <w:rPr>
          <w:b w:val="0"/>
        </w:rPr>
        <w:t>WesTex</w:t>
      </w:r>
      <w:r w:rsidR="003F6B5D">
        <w:rPr>
          <w:b w:val="0"/>
        </w:rPr>
        <w:t xml:space="preserve"> </w:t>
      </w:r>
      <w:r w:rsidR="00474143">
        <w:rPr>
          <w:b w:val="0"/>
        </w:rPr>
        <w:t>construction/coverage</w:t>
      </w:r>
      <w:r w:rsidR="008A5A3E">
        <w:rPr>
          <w:b w:val="0"/>
        </w:rPr>
        <w:t xml:space="preserve"> </w:t>
      </w:r>
      <w:r w:rsidR="00F53613">
        <w:rPr>
          <w:b w:val="0"/>
        </w:rPr>
        <w:t xml:space="preserve">a </w:t>
      </w:r>
      <w:r w:rsidR="008A5A3E">
        <w:rPr>
          <w:b w:val="0"/>
        </w:rPr>
        <w:t>reminder letter for the License</w:t>
      </w:r>
      <w:r w:rsidR="00474143">
        <w:rPr>
          <w:b w:val="0"/>
        </w:rPr>
        <w:t>.</w:t>
      </w:r>
      <w:r w:rsidR="00474143">
        <w:rPr>
          <w:rStyle w:val="FootnoteReference"/>
          <w:b w:val="0"/>
        </w:rPr>
        <w:footnoteReference w:id="5"/>
      </w:r>
      <w:r w:rsidR="003C7D18">
        <w:rPr>
          <w:b w:val="0"/>
        </w:rPr>
        <w:t xml:space="preserve">  On </w:t>
      </w:r>
      <w:r w:rsidR="008A5A3E">
        <w:rPr>
          <w:b w:val="0"/>
        </w:rPr>
        <w:t>March 25</w:t>
      </w:r>
      <w:r w:rsidR="003C7D18">
        <w:rPr>
          <w:b w:val="0"/>
        </w:rPr>
        <w:t>, 201</w:t>
      </w:r>
      <w:r w:rsidR="003F6B5D">
        <w:rPr>
          <w:b w:val="0"/>
        </w:rPr>
        <w:t>5</w:t>
      </w:r>
      <w:r w:rsidR="00474143">
        <w:rPr>
          <w:b w:val="0"/>
        </w:rPr>
        <w:t xml:space="preserve">, </w:t>
      </w:r>
      <w:r w:rsidR="008A5A3E">
        <w:rPr>
          <w:b w:val="0"/>
        </w:rPr>
        <w:t xml:space="preserve">a </w:t>
      </w:r>
      <w:r w:rsidR="00474143">
        <w:rPr>
          <w:b w:val="0"/>
        </w:rPr>
        <w:t>licen</w:t>
      </w:r>
      <w:r w:rsidR="008A5A3E">
        <w:rPr>
          <w:b w:val="0"/>
        </w:rPr>
        <w:t>se auto-termination letter was</w:t>
      </w:r>
      <w:r w:rsidR="00474143">
        <w:rPr>
          <w:b w:val="0"/>
        </w:rPr>
        <w:t xml:space="preserve"> sent</w:t>
      </w:r>
      <w:r w:rsidR="00474143">
        <w:rPr>
          <w:rStyle w:val="FootnoteReference"/>
          <w:b w:val="0"/>
        </w:rPr>
        <w:footnoteReference w:id="6"/>
      </w:r>
      <w:r w:rsidR="00474143">
        <w:rPr>
          <w:b w:val="0"/>
        </w:rPr>
        <w:t xml:space="preserve"> and the </w:t>
      </w:r>
      <w:r w:rsidR="00300542">
        <w:rPr>
          <w:b w:val="0"/>
        </w:rPr>
        <w:t>L</w:t>
      </w:r>
      <w:r w:rsidR="008A5A3E">
        <w:rPr>
          <w:b w:val="0"/>
        </w:rPr>
        <w:t>icense</w:t>
      </w:r>
      <w:r w:rsidR="004668EB">
        <w:rPr>
          <w:b w:val="0"/>
        </w:rPr>
        <w:t xml:space="preserve"> </w:t>
      </w:r>
      <w:r w:rsidR="00474143">
        <w:rPr>
          <w:b w:val="0"/>
        </w:rPr>
        <w:t>entered termination pending status</w:t>
      </w:r>
      <w:r w:rsidR="00E3385A">
        <w:rPr>
          <w:b w:val="0"/>
        </w:rPr>
        <w:t>.  Accordingly, on the same day</w:t>
      </w:r>
      <w:r w:rsidR="00474143">
        <w:rPr>
          <w:b w:val="0"/>
        </w:rPr>
        <w:t xml:space="preserve">, the Bureau provided public notice of </w:t>
      </w:r>
      <w:r w:rsidR="00E3385A">
        <w:rPr>
          <w:b w:val="0"/>
        </w:rPr>
        <w:t>the pending license termination</w:t>
      </w:r>
      <w:r w:rsidR="00474143">
        <w:rPr>
          <w:b w:val="0"/>
        </w:rPr>
        <w:t>.</w:t>
      </w:r>
      <w:r w:rsidR="00474143">
        <w:rPr>
          <w:rStyle w:val="FootnoteReference"/>
          <w:b w:val="0"/>
        </w:rPr>
        <w:footnoteReference w:id="7"/>
      </w:r>
      <w:r w:rsidR="008208C9">
        <w:rPr>
          <w:b w:val="0"/>
        </w:rPr>
        <w:t xml:space="preserve">  On </w:t>
      </w:r>
      <w:r w:rsidR="00DF2F76">
        <w:rPr>
          <w:b w:val="0"/>
        </w:rPr>
        <w:t>May 31</w:t>
      </w:r>
      <w:r w:rsidR="008208C9">
        <w:rPr>
          <w:b w:val="0"/>
        </w:rPr>
        <w:t>, 201</w:t>
      </w:r>
      <w:r w:rsidR="003F6B5D">
        <w:rPr>
          <w:b w:val="0"/>
        </w:rPr>
        <w:t>5</w:t>
      </w:r>
      <w:r w:rsidR="00474143">
        <w:rPr>
          <w:b w:val="0"/>
        </w:rPr>
        <w:t xml:space="preserve">, </w:t>
      </w:r>
      <w:r w:rsidR="005247C5">
        <w:rPr>
          <w:b w:val="0"/>
        </w:rPr>
        <w:lastRenderedPageBreak/>
        <w:t xml:space="preserve">WesTex </w:t>
      </w:r>
      <w:r w:rsidR="00DF2F76">
        <w:rPr>
          <w:b w:val="0"/>
        </w:rPr>
        <w:t>filed</w:t>
      </w:r>
      <w:r w:rsidR="003F6B5D">
        <w:rPr>
          <w:b w:val="0"/>
        </w:rPr>
        <w:t xml:space="preserve"> </w:t>
      </w:r>
      <w:r w:rsidR="00DF2F76">
        <w:rPr>
          <w:b w:val="0"/>
        </w:rPr>
        <w:t xml:space="preserve">a </w:t>
      </w:r>
      <w:r w:rsidR="008208C9">
        <w:rPr>
          <w:b w:val="0"/>
        </w:rPr>
        <w:t>petition</w:t>
      </w:r>
      <w:r w:rsidR="00474143">
        <w:rPr>
          <w:b w:val="0"/>
        </w:rPr>
        <w:t xml:space="preserve"> for reconsideration of the placement of the </w:t>
      </w:r>
      <w:r w:rsidR="00DF2F76">
        <w:rPr>
          <w:b w:val="0"/>
        </w:rPr>
        <w:t>License</w:t>
      </w:r>
      <w:r w:rsidR="004668EB">
        <w:rPr>
          <w:b w:val="0"/>
        </w:rPr>
        <w:t xml:space="preserve"> </w:t>
      </w:r>
      <w:r w:rsidR="00474143">
        <w:rPr>
          <w:b w:val="0"/>
        </w:rPr>
        <w:t>into termination pending status.</w:t>
      </w:r>
      <w:r w:rsidR="00474143">
        <w:rPr>
          <w:rStyle w:val="FootnoteReference"/>
          <w:b w:val="0"/>
        </w:rPr>
        <w:footnoteReference w:id="8"/>
      </w:r>
    </w:p>
    <w:p w:rsidR="00474143" w:rsidRDefault="00474143">
      <w:pPr>
        <w:pStyle w:val="Heading1"/>
        <w:keepNext w:val="0"/>
        <w:widowControl/>
      </w:pPr>
      <w:r>
        <w:t>discussion</w:t>
      </w:r>
    </w:p>
    <w:p w:rsidR="00474143" w:rsidRDefault="00474143">
      <w:pPr>
        <w:pStyle w:val="Heading3"/>
        <w:keepNext w:val="0"/>
        <w:widowControl/>
        <w:numPr>
          <w:ilvl w:val="0"/>
          <w:numId w:val="22"/>
        </w:numPr>
        <w:tabs>
          <w:tab w:val="clear" w:pos="1800"/>
          <w:tab w:val="num" w:pos="1440"/>
        </w:tabs>
        <w:ind w:left="0"/>
        <w:jc w:val="left"/>
        <w:rPr>
          <w:b w:val="0"/>
        </w:rPr>
      </w:pPr>
      <w:r>
        <w:rPr>
          <w:b w:val="0"/>
        </w:rPr>
        <w:t>Section 405(a) of the Communications Act, as implemented by Section 1.106(f) of the Commission’s Rules, requires that a petition for reconsideration be filed within thirty days from the date of public notice of Commission action.</w:t>
      </w:r>
      <w:r>
        <w:rPr>
          <w:rStyle w:val="FootnoteReference"/>
          <w:b w:val="0"/>
        </w:rPr>
        <w:footnoteReference w:id="9"/>
      </w:r>
      <w:r>
        <w:rPr>
          <w:b w:val="0"/>
        </w:rPr>
        <w:t xml:space="preserve">  Computation of the thirty-day period is determined in accordance with Section 1.4 of the Commission’s Rules.</w:t>
      </w:r>
      <w:r>
        <w:rPr>
          <w:rStyle w:val="FootnoteReference"/>
          <w:b w:val="0"/>
        </w:rPr>
        <w:footnoteReference w:id="10"/>
      </w:r>
      <w:r>
        <w:rPr>
          <w:b w:val="0"/>
        </w:rPr>
        <w:t xml:space="preserve">  Since public notice of th</w:t>
      </w:r>
      <w:r w:rsidR="008208C9">
        <w:rPr>
          <w:b w:val="0"/>
        </w:rPr>
        <w:t>e impending license termination was</w:t>
      </w:r>
      <w:r>
        <w:rPr>
          <w:b w:val="0"/>
        </w:rPr>
        <w:t xml:space="preserve"> given on </w:t>
      </w:r>
      <w:r w:rsidR="00DF2F76">
        <w:rPr>
          <w:b w:val="0"/>
        </w:rPr>
        <w:t>March 25</w:t>
      </w:r>
      <w:r w:rsidR="008208C9">
        <w:rPr>
          <w:b w:val="0"/>
        </w:rPr>
        <w:t>, 201</w:t>
      </w:r>
      <w:r w:rsidR="003F6B5D">
        <w:rPr>
          <w:b w:val="0"/>
        </w:rPr>
        <w:t>5</w:t>
      </w:r>
      <w:r>
        <w:rPr>
          <w:b w:val="0"/>
        </w:rPr>
        <w:t>, pursuant to Section 1.4(b)(4) of the Commission’s Rules, the first day to be counted in computing the thirty-day period was</w:t>
      </w:r>
      <w:r w:rsidR="004668EB">
        <w:rPr>
          <w:b w:val="0"/>
        </w:rPr>
        <w:t xml:space="preserve"> </w:t>
      </w:r>
      <w:r w:rsidR="00DF2F76">
        <w:rPr>
          <w:b w:val="0"/>
        </w:rPr>
        <w:t>March 26</w:t>
      </w:r>
      <w:r w:rsidR="004668EB">
        <w:rPr>
          <w:b w:val="0"/>
        </w:rPr>
        <w:t>, 201</w:t>
      </w:r>
      <w:r w:rsidR="003F6B5D">
        <w:rPr>
          <w:b w:val="0"/>
        </w:rPr>
        <w:t>5</w:t>
      </w:r>
      <w:r>
        <w:rPr>
          <w:b w:val="0"/>
        </w:rPr>
        <w:t xml:space="preserve">.  The last day for filing </w:t>
      </w:r>
      <w:r w:rsidR="004668EB">
        <w:rPr>
          <w:b w:val="0"/>
        </w:rPr>
        <w:t xml:space="preserve">a </w:t>
      </w:r>
      <w:r>
        <w:rPr>
          <w:b w:val="0"/>
        </w:rPr>
        <w:t xml:space="preserve">petition for reconsideration </w:t>
      </w:r>
      <w:r w:rsidR="004668EB">
        <w:rPr>
          <w:b w:val="0"/>
        </w:rPr>
        <w:t xml:space="preserve">was </w:t>
      </w:r>
      <w:r w:rsidR="00DF2F76">
        <w:rPr>
          <w:b w:val="0"/>
        </w:rPr>
        <w:t>April 25</w:t>
      </w:r>
      <w:r w:rsidR="008208C9">
        <w:rPr>
          <w:b w:val="0"/>
        </w:rPr>
        <w:t>, 201</w:t>
      </w:r>
      <w:r w:rsidR="003F6B5D">
        <w:rPr>
          <w:b w:val="0"/>
        </w:rPr>
        <w:t>5</w:t>
      </w:r>
      <w:r>
        <w:rPr>
          <w:b w:val="0"/>
        </w:rPr>
        <w:t>.</w:t>
      </w:r>
    </w:p>
    <w:p w:rsidR="00474143" w:rsidRDefault="00474143" w:rsidP="00525134">
      <w:pPr>
        <w:pStyle w:val="Heading3"/>
        <w:keepNext w:val="0"/>
        <w:widowControl/>
        <w:numPr>
          <w:ilvl w:val="0"/>
          <w:numId w:val="22"/>
        </w:numPr>
        <w:tabs>
          <w:tab w:val="clear" w:pos="1800"/>
          <w:tab w:val="num" w:pos="1440"/>
        </w:tabs>
        <w:ind w:left="0"/>
        <w:jc w:val="left"/>
        <w:rPr>
          <w:b w:val="0"/>
        </w:rPr>
      </w:pPr>
      <w:r>
        <w:rPr>
          <w:b w:val="0"/>
        </w:rPr>
        <w:t xml:space="preserve">We received </w:t>
      </w:r>
      <w:r w:rsidR="005247C5">
        <w:rPr>
          <w:b w:val="0"/>
        </w:rPr>
        <w:t xml:space="preserve">WesTex’s </w:t>
      </w:r>
      <w:r w:rsidR="0010147D">
        <w:rPr>
          <w:b w:val="0"/>
        </w:rPr>
        <w:t>Petition on</w:t>
      </w:r>
      <w:r w:rsidR="00DF2F76">
        <w:rPr>
          <w:b w:val="0"/>
        </w:rPr>
        <w:t xml:space="preserve"> May 31</w:t>
      </w:r>
      <w:r w:rsidR="0010147D">
        <w:rPr>
          <w:b w:val="0"/>
        </w:rPr>
        <w:t>, 201</w:t>
      </w:r>
      <w:r w:rsidR="003F6B5D">
        <w:rPr>
          <w:b w:val="0"/>
        </w:rPr>
        <w:t>5</w:t>
      </w:r>
      <w:r>
        <w:rPr>
          <w:b w:val="0"/>
        </w:rPr>
        <w:t>.  Theref</w:t>
      </w:r>
      <w:r w:rsidR="00DF2F76">
        <w:rPr>
          <w:b w:val="0"/>
        </w:rPr>
        <w:t>ore, we find that the Petition was</w:t>
      </w:r>
      <w:r>
        <w:rPr>
          <w:b w:val="0"/>
        </w:rPr>
        <w:t xml:space="preserve"> filed late.  The United States Court of Appeals for the District of Columbia Circuit has consistently held that the Commission is without authority to extend or waive the statutory thirty-day filing period for filing petitions for reconsideration specified in Section 405(a) of the Communications Act,</w:t>
      </w:r>
      <w:r>
        <w:rPr>
          <w:b w:val="0"/>
          <w:vertAlign w:val="superscript"/>
        </w:rPr>
        <w:footnoteReference w:id="11"/>
      </w:r>
      <w:r>
        <w:rPr>
          <w:b w:val="0"/>
        </w:rPr>
        <w:t xml:space="preserve"> except where “extraordinary circumstances indicate that justice would thus be served.”</w:t>
      </w:r>
      <w:r>
        <w:rPr>
          <w:b w:val="0"/>
          <w:vertAlign w:val="superscript"/>
        </w:rPr>
        <w:footnoteReference w:id="12"/>
      </w:r>
      <w:r>
        <w:rPr>
          <w:b w:val="0"/>
        </w:rPr>
        <w:t xml:space="preserve">  We note the filing requirement of Section 405(a) of the Act applies even if the petition for reconsideration is filed only one day late.</w:t>
      </w:r>
      <w:r>
        <w:rPr>
          <w:b w:val="0"/>
          <w:vertAlign w:val="superscript"/>
        </w:rPr>
        <w:footnoteReference w:id="13"/>
      </w:r>
      <w:r>
        <w:rPr>
          <w:b w:val="0"/>
        </w:rPr>
        <w:t xml:space="preserve">  We do not believe that </w:t>
      </w:r>
      <w:r w:rsidR="00DF2F76">
        <w:rPr>
          <w:b w:val="0"/>
        </w:rPr>
        <w:t>WesTex</w:t>
      </w:r>
      <w:r w:rsidR="003F6B5D">
        <w:rPr>
          <w:b w:val="0"/>
        </w:rPr>
        <w:t xml:space="preserve"> </w:t>
      </w:r>
      <w:r>
        <w:rPr>
          <w:b w:val="0"/>
        </w:rPr>
        <w:t xml:space="preserve">has shown such extraordinary circumstances to be present here.  </w:t>
      </w:r>
      <w:r w:rsidR="005247C5">
        <w:rPr>
          <w:b w:val="0"/>
        </w:rPr>
        <w:t xml:space="preserve">Indeed, WesTex has failed to acknowledge that it did not file in a timely manner.  </w:t>
      </w:r>
      <w:r>
        <w:rPr>
          <w:b w:val="0"/>
        </w:rPr>
        <w:t>Accordingly, we dismiss the Petition as late-filed.</w:t>
      </w:r>
    </w:p>
    <w:p w:rsidR="00474143" w:rsidRDefault="00474143">
      <w:pPr>
        <w:pStyle w:val="Heading3"/>
        <w:keepNext w:val="0"/>
        <w:widowControl/>
        <w:numPr>
          <w:ilvl w:val="0"/>
          <w:numId w:val="22"/>
        </w:numPr>
        <w:tabs>
          <w:tab w:val="clear" w:pos="1800"/>
          <w:tab w:val="num" w:pos="1440"/>
        </w:tabs>
        <w:ind w:left="0"/>
        <w:jc w:val="left"/>
        <w:rPr>
          <w:b w:val="0"/>
        </w:rPr>
      </w:pPr>
      <w:r>
        <w:rPr>
          <w:b w:val="0"/>
        </w:rPr>
        <w:t xml:space="preserve">If </w:t>
      </w:r>
      <w:r w:rsidR="00957861">
        <w:rPr>
          <w:b w:val="0"/>
        </w:rPr>
        <w:t>WesTex</w:t>
      </w:r>
      <w:r w:rsidR="003F6B5D">
        <w:rPr>
          <w:b w:val="0"/>
        </w:rPr>
        <w:t xml:space="preserve"> </w:t>
      </w:r>
      <w:r>
        <w:rPr>
          <w:b w:val="0"/>
        </w:rPr>
        <w:t>wishes to continue ope</w:t>
      </w:r>
      <w:r w:rsidR="00E3385A">
        <w:rPr>
          <w:b w:val="0"/>
        </w:rPr>
        <w:t>rating the terminated facility</w:t>
      </w:r>
      <w:r>
        <w:rPr>
          <w:b w:val="0"/>
        </w:rPr>
        <w:t>, it must file a completed Form 601, in accordance with all applicable Commission rule</w:t>
      </w:r>
      <w:r w:rsidR="00E3385A">
        <w:rPr>
          <w:b w:val="0"/>
        </w:rPr>
        <w:t>s, to reauthorize the facility</w:t>
      </w:r>
      <w:r>
        <w:rPr>
          <w:b w:val="0"/>
        </w:rPr>
        <w:t xml:space="preserve">.   In the interim, </w:t>
      </w:r>
      <w:r w:rsidR="00957861">
        <w:rPr>
          <w:b w:val="0"/>
        </w:rPr>
        <w:t>WesTex</w:t>
      </w:r>
      <w:r w:rsidR="003F6B5D">
        <w:rPr>
          <w:b w:val="0"/>
        </w:rPr>
        <w:t xml:space="preserve"> </w:t>
      </w:r>
      <w:r>
        <w:rPr>
          <w:b w:val="0"/>
        </w:rPr>
        <w:t xml:space="preserve">should file a request for Special Temporary Authority, in accordance with Section 1.931 of the Commission’s rules, if it wishes to </w:t>
      </w:r>
      <w:r w:rsidR="00E3385A">
        <w:rPr>
          <w:b w:val="0"/>
        </w:rPr>
        <w:t>continue operating the facility</w:t>
      </w:r>
      <w:r>
        <w:rPr>
          <w:b w:val="0"/>
        </w:rPr>
        <w:t>.</w:t>
      </w:r>
    </w:p>
    <w:p w:rsidR="00474143" w:rsidRDefault="00474143">
      <w:pPr>
        <w:pStyle w:val="Heading1"/>
      </w:pPr>
      <w:r>
        <w:br w:type="page"/>
      </w:r>
      <w:r>
        <w:lastRenderedPageBreak/>
        <w:t>ordering clauseS</w:t>
      </w:r>
    </w:p>
    <w:p w:rsidR="00474143" w:rsidRPr="007E2111" w:rsidRDefault="00474143" w:rsidP="007E2111">
      <w:pPr>
        <w:pStyle w:val="Heading3"/>
        <w:keepNext w:val="0"/>
        <w:widowControl/>
        <w:numPr>
          <w:ilvl w:val="0"/>
          <w:numId w:val="22"/>
        </w:numPr>
        <w:tabs>
          <w:tab w:val="clear" w:pos="1800"/>
          <w:tab w:val="num" w:pos="1440"/>
        </w:tabs>
        <w:ind w:left="0"/>
        <w:jc w:val="left"/>
        <w:rPr>
          <w:b w:val="0"/>
        </w:rPr>
      </w:pPr>
      <w:r>
        <w:rPr>
          <w:b w:val="0"/>
        </w:rPr>
        <w:t xml:space="preserve">Accordingly, IT IS ORDERED that pursuant to Sections 4(i) and 405 of the Communications Act of 1934, as amended, 47 U.S.C. §§ 154(i), 405, and Section 1.106 of the Commission’s rules, </w:t>
      </w:r>
      <w:r w:rsidR="00A0381D">
        <w:rPr>
          <w:b w:val="0"/>
        </w:rPr>
        <w:t>47 C.F.R. § 1.106, the petition</w:t>
      </w:r>
      <w:r>
        <w:rPr>
          <w:b w:val="0"/>
        </w:rPr>
        <w:t xml:space="preserve"> for reconsideration filed by</w:t>
      </w:r>
      <w:r w:rsidR="00254593">
        <w:rPr>
          <w:b w:val="0"/>
        </w:rPr>
        <w:t xml:space="preserve"> </w:t>
      </w:r>
      <w:r w:rsidR="00957861">
        <w:rPr>
          <w:b w:val="0"/>
        </w:rPr>
        <w:t xml:space="preserve">WesTex Towers </w:t>
      </w:r>
      <w:r>
        <w:rPr>
          <w:b w:val="0"/>
        </w:rPr>
        <w:t xml:space="preserve">on </w:t>
      </w:r>
      <w:r w:rsidR="00957861">
        <w:rPr>
          <w:b w:val="0"/>
        </w:rPr>
        <w:t>May 31</w:t>
      </w:r>
      <w:r w:rsidR="00A0381D" w:rsidRPr="00D72610">
        <w:rPr>
          <w:b w:val="0"/>
        </w:rPr>
        <w:t>, 201</w:t>
      </w:r>
      <w:r w:rsidR="003F6B5D">
        <w:rPr>
          <w:b w:val="0"/>
        </w:rPr>
        <w:t>5</w:t>
      </w:r>
      <w:r w:rsidR="00A0381D">
        <w:rPr>
          <w:b w:val="0"/>
        </w:rPr>
        <w:t xml:space="preserve"> </w:t>
      </w:r>
      <w:r w:rsidR="00957861">
        <w:rPr>
          <w:b w:val="0"/>
        </w:rPr>
        <w:t>IS</w:t>
      </w:r>
      <w:r w:rsidR="00EF0F59">
        <w:rPr>
          <w:b w:val="0"/>
        </w:rPr>
        <w:t xml:space="preserve"> </w:t>
      </w:r>
      <w:r w:rsidRPr="007E2111">
        <w:rPr>
          <w:b w:val="0"/>
        </w:rPr>
        <w:t>DISMISSED.</w:t>
      </w:r>
    </w:p>
    <w:p w:rsidR="00474143" w:rsidRDefault="00474143">
      <w:pPr>
        <w:pStyle w:val="Heading3"/>
        <w:keepNext w:val="0"/>
        <w:widowControl/>
        <w:numPr>
          <w:ilvl w:val="0"/>
          <w:numId w:val="22"/>
        </w:numPr>
        <w:tabs>
          <w:tab w:val="clear" w:pos="1800"/>
          <w:tab w:val="num" w:pos="1440"/>
        </w:tabs>
        <w:ind w:left="0"/>
        <w:jc w:val="left"/>
        <w:rPr>
          <w:b w:val="0"/>
        </w:rPr>
      </w:pPr>
      <w:r>
        <w:rPr>
          <w:b w:val="0"/>
        </w:rPr>
        <w:t>This action is taken under delegated authority pursuant to Sections 0.131 and 0.331 of the Commission’s rules, 47 C.F.R. §§ 0.131, 0.331.</w:t>
      </w:r>
    </w:p>
    <w:p w:rsidR="00474143" w:rsidRDefault="00474143">
      <w:pPr>
        <w:pStyle w:val="ParaNum"/>
        <w:widowControl/>
        <w:numPr>
          <w:ilvl w:val="0"/>
          <w:numId w:val="0"/>
        </w:numPr>
        <w:jc w:val="left"/>
      </w:pPr>
      <w:r>
        <w:tab/>
      </w:r>
      <w:r>
        <w:tab/>
      </w:r>
      <w:r>
        <w:tab/>
      </w:r>
      <w:r>
        <w:tab/>
      </w:r>
      <w:r>
        <w:tab/>
        <w:t>FEDERAL COMMUNICATIONS COMMISSION</w:t>
      </w:r>
    </w:p>
    <w:p w:rsidR="00474143" w:rsidRDefault="00474143">
      <w:pPr>
        <w:pStyle w:val="ParaNum"/>
        <w:widowControl/>
        <w:numPr>
          <w:ilvl w:val="0"/>
          <w:numId w:val="0"/>
        </w:numPr>
        <w:spacing w:after="0"/>
        <w:jc w:val="left"/>
      </w:pPr>
    </w:p>
    <w:p w:rsidR="00474143" w:rsidRDefault="00474143">
      <w:pPr>
        <w:pStyle w:val="ParaNum"/>
        <w:widowControl/>
        <w:numPr>
          <w:ilvl w:val="0"/>
          <w:numId w:val="0"/>
        </w:numPr>
        <w:spacing w:after="0"/>
        <w:jc w:val="left"/>
      </w:pPr>
    </w:p>
    <w:p w:rsidR="00474143" w:rsidRDefault="00474143">
      <w:pPr>
        <w:pStyle w:val="ParaNum"/>
        <w:widowControl/>
        <w:numPr>
          <w:ilvl w:val="0"/>
          <w:numId w:val="0"/>
        </w:numPr>
        <w:spacing w:after="0"/>
        <w:jc w:val="left"/>
      </w:pPr>
    </w:p>
    <w:p w:rsidR="00474143" w:rsidRDefault="00474143">
      <w:pPr>
        <w:pStyle w:val="ParaNum"/>
        <w:widowControl/>
        <w:numPr>
          <w:ilvl w:val="0"/>
          <w:numId w:val="0"/>
        </w:numPr>
        <w:spacing w:after="0"/>
        <w:jc w:val="left"/>
      </w:pPr>
      <w:r>
        <w:tab/>
      </w:r>
      <w:r>
        <w:tab/>
      </w:r>
      <w:r>
        <w:tab/>
      </w:r>
      <w:r>
        <w:tab/>
      </w:r>
      <w:r>
        <w:tab/>
        <w:t>John J. Schauble</w:t>
      </w:r>
    </w:p>
    <w:p w:rsidR="00474143" w:rsidRDefault="00474143">
      <w:pPr>
        <w:pStyle w:val="ParaNum"/>
        <w:widowControl/>
        <w:numPr>
          <w:ilvl w:val="0"/>
          <w:numId w:val="0"/>
        </w:numPr>
        <w:spacing w:after="0"/>
        <w:jc w:val="left"/>
      </w:pPr>
      <w:r>
        <w:tab/>
      </w:r>
      <w:r>
        <w:tab/>
      </w:r>
      <w:r>
        <w:tab/>
      </w:r>
      <w:r>
        <w:tab/>
      </w:r>
      <w:r>
        <w:tab/>
        <w:t>Deputy Chief, Broadband Division</w:t>
      </w:r>
    </w:p>
    <w:p w:rsidR="00474143" w:rsidRDefault="00474143">
      <w:pPr>
        <w:pStyle w:val="ParaNum"/>
        <w:widowControl/>
        <w:numPr>
          <w:ilvl w:val="0"/>
          <w:numId w:val="0"/>
        </w:numPr>
        <w:spacing w:after="0"/>
        <w:jc w:val="left"/>
      </w:pPr>
      <w:r>
        <w:tab/>
      </w:r>
      <w:r>
        <w:tab/>
      </w:r>
      <w:r>
        <w:tab/>
      </w:r>
      <w:r>
        <w:tab/>
      </w:r>
      <w:r>
        <w:tab/>
        <w:t>Wireless Telecommunications Bureau</w:t>
      </w:r>
    </w:p>
    <w:sectPr w:rsidR="004741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99" w:rsidRDefault="00DF7599">
      <w:r>
        <w:separator/>
      </w:r>
    </w:p>
  </w:endnote>
  <w:endnote w:type="continuationSeparator" w:id="0">
    <w:p w:rsidR="00DF7599" w:rsidRDefault="00DF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46" w:rsidRDefault="00485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46" w:rsidRDefault="00485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99" w:rsidRDefault="00DF7599">
      <w:pPr>
        <w:rPr>
          <w:sz w:val="20"/>
        </w:rPr>
      </w:pPr>
      <w:r>
        <w:rPr>
          <w:sz w:val="20"/>
        </w:rPr>
        <w:separator/>
      </w:r>
    </w:p>
  </w:footnote>
  <w:footnote w:type="continuationSeparator" w:id="0">
    <w:p w:rsidR="00DF7599" w:rsidRDefault="00DF7599">
      <w:pPr>
        <w:rPr>
          <w:sz w:val="20"/>
        </w:rPr>
      </w:pPr>
      <w:r>
        <w:rPr>
          <w:sz w:val="20"/>
        </w:rPr>
        <w:separator/>
      </w:r>
    </w:p>
    <w:p w:rsidR="00DF7599" w:rsidRDefault="00DF7599">
      <w:pPr>
        <w:rPr>
          <w:sz w:val="20"/>
        </w:rPr>
      </w:pPr>
      <w:r>
        <w:rPr>
          <w:sz w:val="20"/>
        </w:rPr>
        <w:t>(...continued from previous page)</w:t>
      </w:r>
    </w:p>
  </w:footnote>
  <w:footnote w:type="continuationNotice" w:id="1">
    <w:p w:rsidR="00DF7599" w:rsidRDefault="00DF7599">
      <w:pPr>
        <w:jc w:val="right"/>
        <w:rPr>
          <w:sz w:val="20"/>
        </w:rPr>
      </w:pPr>
      <w:r>
        <w:rPr>
          <w:sz w:val="20"/>
        </w:rPr>
        <w:t>(continued....)</w:t>
      </w:r>
    </w:p>
  </w:footnote>
  <w:footnote w:id="2">
    <w:p w:rsidR="00474143" w:rsidRDefault="00474143">
      <w:pPr>
        <w:pStyle w:val="FootnoteText"/>
      </w:pPr>
      <w:r>
        <w:rPr>
          <w:rStyle w:val="FootnoteReference"/>
        </w:rPr>
        <w:footnoteRef/>
      </w:r>
      <w:r>
        <w:t xml:space="preserve"> 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p>
  </w:footnote>
  <w:footnote w:id="3">
    <w:p w:rsidR="004D56F2" w:rsidRDefault="004D56F2">
      <w:pPr>
        <w:pStyle w:val="FootnoteText"/>
      </w:pPr>
      <w:r>
        <w:rPr>
          <w:rStyle w:val="FootnoteReference"/>
        </w:rPr>
        <w:footnoteRef/>
      </w:r>
      <w:r>
        <w:t xml:space="preserve"> </w:t>
      </w:r>
      <w:r>
        <w:rPr>
          <w:i/>
        </w:rPr>
        <w:t>See</w:t>
      </w:r>
      <w:r>
        <w:t xml:space="preserve"> File No. </w:t>
      </w:r>
      <w:r w:rsidR="00DB35F1" w:rsidRPr="00DB35F1">
        <w:t xml:space="preserve">0005790070 </w:t>
      </w:r>
      <w:r>
        <w:t>(filed</w:t>
      </w:r>
      <w:r w:rsidRPr="004815BE">
        <w:t xml:space="preserve"> </w:t>
      </w:r>
      <w:r w:rsidR="00DB35F1">
        <w:t>May 22</w:t>
      </w:r>
      <w:r w:rsidRPr="004815BE">
        <w:t>, 201</w:t>
      </w:r>
      <w:r w:rsidR="003F6B5D">
        <w:t>3</w:t>
      </w:r>
      <w:r>
        <w:t xml:space="preserve">, granted </w:t>
      </w:r>
      <w:r w:rsidR="003F6B5D">
        <w:t>Aug</w:t>
      </w:r>
      <w:r w:rsidR="00DB35F1">
        <w:t>. 13</w:t>
      </w:r>
      <w:r>
        <w:t>, 2013).</w:t>
      </w:r>
    </w:p>
  </w:footnote>
  <w:footnote w:id="4">
    <w:p w:rsidR="00474143" w:rsidRPr="00A639C9" w:rsidRDefault="00474143" w:rsidP="004815BE">
      <w:pPr>
        <w:pStyle w:val="FootnoteText"/>
      </w:pPr>
      <w:r>
        <w:rPr>
          <w:rStyle w:val="FootnoteReference"/>
        </w:rPr>
        <w:footnoteRef/>
      </w:r>
      <w:r w:rsidR="008A5A3E">
        <w:rPr>
          <w:i/>
        </w:rPr>
        <w:t xml:space="preserve"> </w:t>
      </w:r>
      <w:r w:rsidR="003F6B5D">
        <w:rPr>
          <w:i/>
        </w:rPr>
        <w:t>See</w:t>
      </w:r>
      <w:r w:rsidR="008A5A3E">
        <w:t xml:space="preserve"> File No</w:t>
      </w:r>
      <w:r w:rsidR="003F6B5D">
        <w:t xml:space="preserve">. </w:t>
      </w:r>
      <w:r w:rsidR="008A5A3E" w:rsidRPr="008A5A3E">
        <w:t xml:space="preserve">0005790070 </w:t>
      </w:r>
      <w:r w:rsidR="008A5A3E">
        <w:t>(granted Aug. 1</w:t>
      </w:r>
      <w:r w:rsidR="003F6B5D">
        <w:t>3, 2013).</w:t>
      </w:r>
      <w:r w:rsidR="00A639C9">
        <w:t xml:space="preserve">  </w:t>
      </w:r>
    </w:p>
  </w:footnote>
  <w:footnote w:id="5">
    <w:p w:rsidR="00474143" w:rsidRDefault="00474143">
      <w:pPr>
        <w:pStyle w:val="FootnoteText"/>
      </w:pPr>
      <w:r>
        <w:rPr>
          <w:rStyle w:val="FootnoteReference"/>
        </w:rPr>
        <w:footnoteRef/>
      </w:r>
      <w:r>
        <w:t xml:space="preserve"> Construct/Cover</w:t>
      </w:r>
      <w:r w:rsidR="003F6B5D">
        <w:t>age Reminder, Ref. No</w:t>
      </w:r>
      <w:r w:rsidR="000E2DF9">
        <w:t xml:space="preserve">. </w:t>
      </w:r>
      <w:r w:rsidR="008A5A3E" w:rsidRPr="008A5A3E">
        <w:t>5900457</w:t>
      </w:r>
      <w:r w:rsidR="00A40440">
        <w:t xml:space="preserve"> </w:t>
      </w:r>
      <w:r w:rsidR="003C7D18">
        <w:t>(</w:t>
      </w:r>
      <w:r w:rsidR="003F6B5D">
        <w:t>Nov.</w:t>
      </w:r>
      <w:r w:rsidR="008A5A3E">
        <w:t xml:space="preserve"> 18</w:t>
      </w:r>
      <w:r w:rsidR="003C7D18">
        <w:t>, 2014</w:t>
      </w:r>
      <w:r>
        <w:t>).</w:t>
      </w:r>
    </w:p>
  </w:footnote>
  <w:footnote w:id="6">
    <w:p w:rsidR="00474143" w:rsidRDefault="00474143">
      <w:pPr>
        <w:pStyle w:val="FootnoteText"/>
      </w:pPr>
      <w:r>
        <w:rPr>
          <w:rStyle w:val="FootnoteReference"/>
        </w:rPr>
        <w:footnoteRef/>
      </w:r>
      <w:r>
        <w:t xml:space="preserve"> Auto Termin</w:t>
      </w:r>
      <w:r w:rsidR="003C7D18">
        <w:t>ation letter, Ref. No.</w:t>
      </w:r>
      <w:r w:rsidR="007E3DE7" w:rsidRPr="007E3DE7">
        <w:t xml:space="preserve"> </w:t>
      </w:r>
      <w:r w:rsidR="008A5A3E" w:rsidRPr="008A5A3E">
        <w:t xml:space="preserve">5969223 </w:t>
      </w:r>
      <w:r w:rsidR="007E3DE7">
        <w:t>(</w:t>
      </w:r>
      <w:r w:rsidR="008A5A3E">
        <w:t>Mar. 25</w:t>
      </w:r>
      <w:r w:rsidR="007E3DE7">
        <w:t>, 201</w:t>
      </w:r>
      <w:r w:rsidR="003F6B5D">
        <w:t>5</w:t>
      </w:r>
      <w:r w:rsidR="007E3DE7">
        <w:t>)</w:t>
      </w:r>
      <w:r w:rsidR="00687C44">
        <w:t>.</w:t>
      </w:r>
    </w:p>
  </w:footnote>
  <w:footnote w:id="7">
    <w:p w:rsidR="00474143" w:rsidRDefault="00474143">
      <w:pPr>
        <w:pStyle w:val="FootnoteText"/>
      </w:pPr>
      <w:r>
        <w:rPr>
          <w:rStyle w:val="FootnoteReference"/>
        </w:rPr>
        <w:footnoteRef/>
      </w:r>
      <w:r>
        <w:t xml:space="preserve"> Wireless Telecommunications Bureau Site Based Licenses Termination Pending, Report No. </w:t>
      </w:r>
      <w:r w:rsidR="00DF2F76">
        <w:t>10375</w:t>
      </w:r>
      <w:r>
        <w:t xml:space="preserve">, </w:t>
      </w:r>
      <w:r>
        <w:rPr>
          <w:i/>
        </w:rPr>
        <w:t>Public Notice</w:t>
      </w:r>
      <w:r w:rsidR="008208C9">
        <w:t xml:space="preserve"> (</w:t>
      </w:r>
      <w:r w:rsidR="00DF2F76">
        <w:t>Mar. 25</w:t>
      </w:r>
      <w:r w:rsidR="003F6B5D">
        <w:t>, 2015</w:t>
      </w:r>
      <w:r w:rsidR="008208C9">
        <w:t xml:space="preserve">) at </w:t>
      </w:r>
      <w:r w:rsidR="00DF2F76">
        <w:t>2</w:t>
      </w:r>
      <w:r w:rsidR="008208C9">
        <w:t>.</w:t>
      </w:r>
    </w:p>
  </w:footnote>
  <w:footnote w:id="8">
    <w:p w:rsidR="00474143" w:rsidRDefault="00474143">
      <w:pPr>
        <w:pStyle w:val="FootnoteText"/>
      </w:pPr>
      <w:r>
        <w:rPr>
          <w:rStyle w:val="FootnoteReference"/>
        </w:rPr>
        <w:footnoteRef/>
      </w:r>
      <w:r w:rsidR="008208C9">
        <w:t xml:space="preserve"> Petition</w:t>
      </w:r>
      <w:r w:rsidR="00E3385A">
        <w:t xml:space="preserve"> for Reconsideration filed by</w:t>
      </w:r>
      <w:r>
        <w:t xml:space="preserve"> </w:t>
      </w:r>
      <w:r w:rsidR="00DF2F76">
        <w:t>Elizabeth Creekmore, Frequen</w:t>
      </w:r>
      <w:r w:rsidR="00E3385A">
        <w:t xml:space="preserve">cy Coordinator, Intelpath </w:t>
      </w:r>
      <w:r w:rsidR="00DF2F76">
        <w:t>on behalf of WesTex Towers</w:t>
      </w:r>
      <w:r w:rsidR="008208C9">
        <w:t xml:space="preserve"> (filed </w:t>
      </w:r>
      <w:r w:rsidR="00DF2F76">
        <w:t>May 31</w:t>
      </w:r>
      <w:r w:rsidR="008208C9">
        <w:t>, 201</w:t>
      </w:r>
      <w:r w:rsidR="00DC7AD5">
        <w:t>5</w:t>
      </w:r>
      <w:r w:rsidR="008208C9">
        <w:t>) (Petition</w:t>
      </w:r>
      <w:r>
        <w:t>).</w:t>
      </w:r>
    </w:p>
  </w:footnote>
  <w:footnote w:id="9">
    <w:p w:rsidR="00474143" w:rsidRDefault="00474143">
      <w:pPr>
        <w:pStyle w:val="FootnoteText"/>
      </w:pPr>
      <w:r>
        <w:rPr>
          <w:rStyle w:val="FootnoteReference"/>
        </w:rPr>
        <w:footnoteRef/>
      </w:r>
      <w:r>
        <w:t xml:space="preserve"> 47 U.S.C. § 405(a); 47 C.F.R. § 1.106(f).</w:t>
      </w:r>
    </w:p>
  </w:footnote>
  <w:footnote w:id="10">
    <w:p w:rsidR="00474143" w:rsidRDefault="00474143">
      <w:pPr>
        <w:pStyle w:val="FootnoteText"/>
      </w:pPr>
      <w:r>
        <w:rPr>
          <w:rStyle w:val="FootnoteReference"/>
        </w:rPr>
        <w:footnoteRef/>
      </w:r>
      <w:r>
        <w:t xml:space="preserve"> 47 C.F.R. § 1.4.</w:t>
      </w:r>
    </w:p>
  </w:footnote>
  <w:footnote w:id="11">
    <w:p w:rsidR="00474143" w:rsidRDefault="00474143">
      <w:pPr>
        <w:pStyle w:val="FootnoteText"/>
      </w:pPr>
      <w:r>
        <w:rPr>
          <w:rStyle w:val="FootnoteReference"/>
        </w:rPr>
        <w:footnoteRef/>
      </w:r>
      <w:r>
        <w:t xml:space="preserve"> </w:t>
      </w:r>
      <w:r>
        <w:rPr>
          <w:i/>
        </w:rPr>
        <w:t>See Reuters Ltd. v. FCC</w:t>
      </w:r>
      <w:r>
        <w:t xml:space="preserve">, 781 F.2d 946, 951-52 (D.C. Cir. 1986); </w:t>
      </w:r>
      <w:r>
        <w:rPr>
          <w:i/>
        </w:rPr>
        <w:t>Gardner v. FCC</w:t>
      </w:r>
      <w:r>
        <w:t xml:space="preserve">, 530 F.2d 1086 (D.C. Cir. 1976). </w:t>
      </w:r>
    </w:p>
  </w:footnote>
  <w:footnote w:id="12">
    <w:p w:rsidR="00474143" w:rsidRDefault="00474143">
      <w:pPr>
        <w:pStyle w:val="FootnoteText"/>
      </w:pPr>
      <w:r>
        <w:rPr>
          <w:rStyle w:val="FootnoteReference"/>
        </w:rPr>
        <w:footnoteRef/>
      </w:r>
      <w:r>
        <w:t xml:space="preserve"> </w:t>
      </w:r>
      <w:r>
        <w:rPr>
          <w:i/>
        </w:rPr>
        <w:t>Gardner v. FCC</w:t>
      </w:r>
      <w:r>
        <w:t>, 530 F.2d at 1091.</w:t>
      </w:r>
    </w:p>
  </w:footnote>
  <w:footnote w:id="13">
    <w:p w:rsidR="00474143" w:rsidRDefault="00474143">
      <w:pPr>
        <w:pStyle w:val="FootnoteText"/>
      </w:pPr>
      <w:r>
        <w:rPr>
          <w:rStyle w:val="FootnoteReference"/>
        </w:rPr>
        <w:footnoteRef/>
      </w:r>
      <w:r>
        <w:t xml:space="preserve"> </w:t>
      </w:r>
      <w:r>
        <w:rPr>
          <w:i/>
        </w:rPr>
        <w:t>See, e.g.</w:t>
      </w:r>
      <w:r>
        <w:t xml:space="preserve">, Panola Broadcasting Co., </w:t>
      </w:r>
      <w:r>
        <w:rPr>
          <w:i/>
        </w:rPr>
        <w:t>Memorandum Opinion and Order</w:t>
      </w:r>
      <w:r>
        <w:t xml:space="preserve">, 68 FCC 2d 533 (1978); Metromedia, Inc., </w:t>
      </w:r>
      <w:r>
        <w:rPr>
          <w:i/>
        </w:rPr>
        <w:t>Memorandum Opinion and Order</w:t>
      </w:r>
      <w:r>
        <w:t>, 56 FCC 2d 909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46" w:rsidRDefault="00485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Header"/>
      <w:tabs>
        <w:tab w:val="clear" w:pos="4320"/>
        <w:tab w:val="clear" w:pos="8640"/>
        <w:tab w:val="center" w:pos="4680"/>
        <w:tab w:val="right" w:pos="9360"/>
      </w:tabs>
      <w:rPr>
        <w:b/>
      </w:rPr>
    </w:pPr>
    <w:r>
      <w:rPr>
        <w:b/>
      </w:rPr>
      <w:tab/>
      <w:t>Federal</w:t>
    </w:r>
    <w:r w:rsidR="00A0381D">
      <w:rPr>
        <w:b/>
      </w:rPr>
      <w:t xml:space="preserve"> Communications Commission</w:t>
    </w:r>
    <w:r w:rsidR="00A0381D">
      <w:rPr>
        <w:b/>
      </w:rPr>
      <w:tab/>
      <w:t>DA 1</w:t>
    </w:r>
    <w:r w:rsidR="003F6B5D">
      <w:rPr>
        <w:b/>
      </w:rPr>
      <w:t>5</w:t>
    </w:r>
    <w:r w:rsidR="00A0381D">
      <w:rPr>
        <w:b/>
      </w:rPr>
      <w:t>-</w:t>
    </w:r>
    <w:r w:rsidR="00A03775">
      <w:rPr>
        <w:b/>
      </w:rPr>
      <w:t>725</w:t>
    </w:r>
  </w:p>
  <w:p w:rsidR="00474143" w:rsidRDefault="008579F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Header"/>
      <w:tabs>
        <w:tab w:val="clear" w:pos="4320"/>
        <w:tab w:val="clear" w:pos="8640"/>
        <w:tab w:val="center" w:pos="4680"/>
        <w:tab w:val="right" w:pos="9360"/>
      </w:tabs>
      <w:rPr>
        <w:b/>
      </w:rPr>
    </w:pPr>
    <w:r>
      <w:rPr>
        <w:b/>
      </w:rPr>
      <w:tab/>
      <w:t>Federal Com</w:t>
    </w:r>
    <w:r w:rsidR="00F64D42">
      <w:rPr>
        <w:b/>
      </w:rPr>
      <w:t>munications Commission</w:t>
    </w:r>
    <w:r w:rsidR="00F64D42">
      <w:rPr>
        <w:b/>
      </w:rPr>
      <w:tab/>
      <w:t>DA 1</w:t>
    </w:r>
    <w:r w:rsidR="003F6B5D">
      <w:rPr>
        <w:b/>
      </w:rPr>
      <w:t>5</w:t>
    </w:r>
    <w:r w:rsidR="00F64D42">
      <w:rPr>
        <w:b/>
      </w:rPr>
      <w:t>-</w:t>
    </w:r>
    <w:r w:rsidR="00A03775">
      <w:rPr>
        <w:b/>
      </w:rPr>
      <w:t>725</w:t>
    </w:r>
    <w:r w:rsidR="00F157DE">
      <w:rPr>
        <w:b/>
      </w:rPr>
      <w:t xml:space="preserve"> </w:t>
    </w:r>
  </w:p>
  <w:p w:rsidR="00474143" w:rsidRDefault="008579FD">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95F"/>
    <w:multiLevelType w:val="multilevel"/>
    <w:tmpl w:val="DC2ADF6A"/>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0394036"/>
    <w:multiLevelType w:val="hybridMultilevel"/>
    <w:tmpl w:val="7B8E87B8"/>
    <w:lvl w:ilvl="0" w:tplc="8C2009A4">
      <w:start w:val="1"/>
      <w:numFmt w:val="decimal"/>
      <w:lvlText w:val="%1."/>
      <w:lvlJc w:val="left"/>
      <w:pPr>
        <w:tabs>
          <w:tab w:val="num" w:pos="1800"/>
        </w:tabs>
        <w:ind w:left="72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B64653"/>
    <w:multiLevelType w:val="multilevel"/>
    <w:tmpl w:val="E6BA34F8"/>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108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05A41F1"/>
    <w:multiLevelType w:val="multilevel"/>
    <w:tmpl w:val="388E0476"/>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Castellar" w:hAnsi="Castellar"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380"/>
        </w:tabs>
        <w:ind w:left="1380" w:hanging="720"/>
      </w:pPr>
    </w:lvl>
    <w:lvl w:ilvl="2">
      <w:start w:val="1"/>
      <w:numFmt w:val="decimal"/>
      <w:pStyle w:val="Heading3"/>
      <w:lvlText w:val="%3."/>
      <w:lvlJc w:val="left"/>
      <w:pPr>
        <w:tabs>
          <w:tab w:val="num" w:pos="2260"/>
        </w:tabs>
        <w:ind w:left="22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734162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2"/>
  </w:num>
  <w:num w:numId="11">
    <w:abstractNumId w:val="11"/>
  </w:num>
  <w:num w:numId="12">
    <w:abstractNumId w:val="7"/>
  </w:num>
  <w:num w:numId="13">
    <w:abstractNumId w:val="13"/>
  </w:num>
  <w:num w:numId="14">
    <w:abstractNumId w:val="20"/>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8"/>
  </w:num>
  <w:num w:numId="22">
    <w:abstractNumId w:val="8"/>
  </w:num>
  <w:num w:numId="23">
    <w:abstractNumId w:val="14"/>
  </w:num>
  <w:num w:numId="24">
    <w:abstractNumId w:val="17"/>
  </w:num>
  <w:num w:numId="25">
    <w:abstractNumId w:val="0"/>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AC"/>
    <w:rsid w:val="00016A26"/>
    <w:rsid w:val="0009411E"/>
    <w:rsid w:val="00095E7B"/>
    <w:rsid w:val="000E2DF9"/>
    <w:rsid w:val="0010147D"/>
    <w:rsid w:val="00154BAC"/>
    <w:rsid w:val="00165879"/>
    <w:rsid w:val="00242967"/>
    <w:rsid w:val="00254593"/>
    <w:rsid w:val="00260655"/>
    <w:rsid w:val="00274F51"/>
    <w:rsid w:val="002E3127"/>
    <w:rsid w:val="00300542"/>
    <w:rsid w:val="0038682E"/>
    <w:rsid w:val="003C7D18"/>
    <w:rsid w:val="003F6B5D"/>
    <w:rsid w:val="004668EB"/>
    <w:rsid w:val="00467E24"/>
    <w:rsid w:val="00474143"/>
    <w:rsid w:val="004815BE"/>
    <w:rsid w:val="00485446"/>
    <w:rsid w:val="004A0DD3"/>
    <w:rsid w:val="004A1A65"/>
    <w:rsid w:val="004D56F2"/>
    <w:rsid w:val="005247C5"/>
    <w:rsid w:val="00525134"/>
    <w:rsid w:val="00526644"/>
    <w:rsid w:val="005614A8"/>
    <w:rsid w:val="005B39BD"/>
    <w:rsid w:val="005E446C"/>
    <w:rsid w:val="005E5E15"/>
    <w:rsid w:val="00604CB4"/>
    <w:rsid w:val="00676765"/>
    <w:rsid w:val="00687C44"/>
    <w:rsid w:val="00754C7F"/>
    <w:rsid w:val="007566BA"/>
    <w:rsid w:val="007610CF"/>
    <w:rsid w:val="0076197C"/>
    <w:rsid w:val="00775B91"/>
    <w:rsid w:val="007C46A0"/>
    <w:rsid w:val="007E2111"/>
    <w:rsid w:val="007E3DE7"/>
    <w:rsid w:val="008208C9"/>
    <w:rsid w:val="008579FD"/>
    <w:rsid w:val="00867745"/>
    <w:rsid w:val="008970F4"/>
    <w:rsid w:val="008A5A3E"/>
    <w:rsid w:val="009278EA"/>
    <w:rsid w:val="00957861"/>
    <w:rsid w:val="00A03775"/>
    <w:rsid w:val="00A0381D"/>
    <w:rsid w:val="00A40440"/>
    <w:rsid w:val="00A5066B"/>
    <w:rsid w:val="00A639C9"/>
    <w:rsid w:val="00AC258C"/>
    <w:rsid w:val="00AE60FD"/>
    <w:rsid w:val="00B43B64"/>
    <w:rsid w:val="00BA016B"/>
    <w:rsid w:val="00BB3018"/>
    <w:rsid w:val="00BD03EA"/>
    <w:rsid w:val="00CE0A49"/>
    <w:rsid w:val="00D1561D"/>
    <w:rsid w:val="00D60F23"/>
    <w:rsid w:val="00D72610"/>
    <w:rsid w:val="00DB35F1"/>
    <w:rsid w:val="00DC4C5F"/>
    <w:rsid w:val="00DC7AD5"/>
    <w:rsid w:val="00DF1114"/>
    <w:rsid w:val="00DF2F76"/>
    <w:rsid w:val="00DF7599"/>
    <w:rsid w:val="00E3385A"/>
    <w:rsid w:val="00E52D62"/>
    <w:rsid w:val="00E97324"/>
    <w:rsid w:val="00EF0F59"/>
    <w:rsid w:val="00F157DE"/>
    <w:rsid w:val="00F21474"/>
    <w:rsid w:val="00F36B12"/>
    <w:rsid w:val="00F53613"/>
    <w:rsid w:val="00F64D42"/>
    <w:rsid w:val="00F7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link w:val="FootnoteText"/>
    <w:semiHidden/>
  </w:style>
  <w:style w:type="character" w:styleId="CommentReference">
    <w:name w:val="annotation reference"/>
    <w:rsid w:val="009278EA"/>
    <w:rPr>
      <w:sz w:val="16"/>
      <w:szCs w:val="16"/>
    </w:rPr>
  </w:style>
  <w:style w:type="paragraph" w:styleId="CommentText">
    <w:name w:val="annotation text"/>
    <w:basedOn w:val="Normal"/>
    <w:link w:val="CommentTextChar"/>
    <w:rsid w:val="009278EA"/>
    <w:rPr>
      <w:sz w:val="20"/>
    </w:rPr>
  </w:style>
  <w:style w:type="character" w:customStyle="1" w:styleId="CommentTextChar">
    <w:name w:val="Comment Text Char"/>
    <w:basedOn w:val="DefaultParagraphFont"/>
    <w:link w:val="CommentText"/>
    <w:rsid w:val="009278EA"/>
  </w:style>
  <w:style w:type="paragraph" w:styleId="CommentSubject">
    <w:name w:val="annotation subject"/>
    <w:basedOn w:val="CommentText"/>
    <w:next w:val="CommentText"/>
    <w:link w:val="CommentSubjectChar"/>
    <w:rsid w:val="009278EA"/>
    <w:rPr>
      <w:b/>
      <w:bCs/>
    </w:rPr>
  </w:style>
  <w:style w:type="character" w:customStyle="1" w:styleId="CommentSubjectChar">
    <w:name w:val="Comment Subject Char"/>
    <w:link w:val="CommentSubject"/>
    <w:rsid w:val="009278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link w:val="FootnoteText"/>
    <w:semiHidden/>
  </w:style>
  <w:style w:type="character" w:styleId="CommentReference">
    <w:name w:val="annotation reference"/>
    <w:rsid w:val="009278EA"/>
    <w:rPr>
      <w:sz w:val="16"/>
      <w:szCs w:val="16"/>
    </w:rPr>
  </w:style>
  <w:style w:type="paragraph" w:styleId="CommentText">
    <w:name w:val="annotation text"/>
    <w:basedOn w:val="Normal"/>
    <w:link w:val="CommentTextChar"/>
    <w:rsid w:val="009278EA"/>
    <w:rPr>
      <w:sz w:val="20"/>
    </w:rPr>
  </w:style>
  <w:style w:type="character" w:customStyle="1" w:styleId="CommentTextChar">
    <w:name w:val="Comment Text Char"/>
    <w:basedOn w:val="DefaultParagraphFont"/>
    <w:link w:val="CommentText"/>
    <w:rsid w:val="009278EA"/>
  </w:style>
  <w:style w:type="paragraph" w:styleId="CommentSubject">
    <w:name w:val="annotation subject"/>
    <w:basedOn w:val="CommentText"/>
    <w:next w:val="CommentText"/>
    <w:link w:val="CommentSubjectChar"/>
    <w:rsid w:val="009278EA"/>
    <w:rPr>
      <w:b/>
      <w:bCs/>
    </w:rPr>
  </w:style>
  <w:style w:type="character" w:customStyle="1" w:styleId="CommentSubjectChar">
    <w:name w:val="Comment Subject Char"/>
    <w:link w:val="CommentSubject"/>
    <w:rsid w:val="0092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574</Words>
  <Characters>3174</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2012-06-04T18:34:00Z</cp:lastPrinted>
  <dcterms:created xsi:type="dcterms:W3CDTF">2015-06-22T17:56:00Z</dcterms:created>
  <dcterms:modified xsi:type="dcterms:W3CDTF">2015-06-22T17:56:00Z</dcterms:modified>
  <cp:category> </cp:category>
  <cp:contentStatus> </cp:contentStatus>
</cp:coreProperties>
</file>