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87094" w14:textId="7F4F8AAB" w:rsidR="000F69DF" w:rsidRDefault="000F69DF">
      <w:pPr>
        <w:pStyle w:val="Header"/>
        <w:tabs>
          <w:tab w:val="clear" w:pos="4320"/>
          <w:tab w:val="clear" w:pos="8640"/>
        </w:tabs>
        <w:sectPr w:rsidR="000F69DF" w:rsidSect="00E347E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sectPr>
      </w:pPr>
      <w:bookmarkStart w:id="1" w:name="_GoBack"/>
      <w:bookmarkEnd w:id="1"/>
    </w:p>
    <w:p w14:paraId="6C13DECA" w14:textId="47A11396" w:rsidR="000F69DF" w:rsidRPr="001E68FC" w:rsidRDefault="000F69DF">
      <w:pPr>
        <w:jc w:val="right"/>
        <w:rPr>
          <w:b/>
          <w:sz w:val="24"/>
        </w:rPr>
      </w:pPr>
      <w:r w:rsidRPr="001E68FC">
        <w:rPr>
          <w:b/>
          <w:sz w:val="24"/>
        </w:rPr>
        <w:lastRenderedPageBreak/>
        <w:t>DA</w:t>
      </w:r>
      <w:r w:rsidR="0061149A">
        <w:rPr>
          <w:b/>
          <w:sz w:val="24"/>
        </w:rPr>
        <w:t xml:space="preserve"> 15</w:t>
      </w:r>
      <w:r w:rsidR="00D93F55">
        <w:rPr>
          <w:b/>
          <w:sz w:val="24"/>
        </w:rPr>
        <w:t>-731</w:t>
      </w:r>
    </w:p>
    <w:p w14:paraId="5156E37E" w14:textId="162958A6" w:rsidR="000F69DF" w:rsidRPr="001E68FC" w:rsidRDefault="00A77412">
      <w:pPr>
        <w:spacing w:before="60"/>
        <w:jc w:val="right"/>
        <w:rPr>
          <w:b/>
          <w:sz w:val="24"/>
        </w:rPr>
      </w:pPr>
      <w:r>
        <w:rPr>
          <w:b/>
          <w:sz w:val="24"/>
        </w:rPr>
        <w:t>June 22</w:t>
      </w:r>
      <w:r w:rsidR="0061149A">
        <w:rPr>
          <w:b/>
          <w:sz w:val="24"/>
        </w:rPr>
        <w:t>, 2015</w:t>
      </w:r>
    </w:p>
    <w:p w14:paraId="0D623936" w14:textId="77777777" w:rsidR="000F69DF" w:rsidRDefault="000F69DF">
      <w:pPr>
        <w:jc w:val="right"/>
        <w:rPr>
          <w:sz w:val="24"/>
        </w:rPr>
      </w:pPr>
    </w:p>
    <w:p w14:paraId="5D5F848A" w14:textId="77777777" w:rsidR="006A13D3" w:rsidRDefault="001E68FC" w:rsidP="001E68FC">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sidR="0079324D">
        <w:rPr>
          <w:b/>
          <w:caps/>
          <w:szCs w:val="22"/>
        </w:rPr>
        <w:t xml:space="preserve">n </w:t>
      </w:r>
    </w:p>
    <w:p w14:paraId="0C397754" w14:textId="20BC5BEF" w:rsidR="001E68FC" w:rsidRDefault="00F07FCA" w:rsidP="001E68FC">
      <w:pPr>
        <w:jc w:val="center"/>
        <w:rPr>
          <w:b/>
          <w:caps/>
          <w:szCs w:val="22"/>
        </w:rPr>
      </w:pPr>
      <w:r>
        <w:rPr>
          <w:b/>
          <w:caps/>
          <w:szCs w:val="22"/>
        </w:rPr>
        <w:t>Small Business</w:t>
      </w:r>
      <w:r w:rsidR="006A13D3">
        <w:rPr>
          <w:b/>
          <w:caps/>
          <w:szCs w:val="22"/>
        </w:rPr>
        <w:t xml:space="preserve"> exemption</w:t>
      </w:r>
      <w:r>
        <w:rPr>
          <w:b/>
          <w:caps/>
          <w:szCs w:val="22"/>
        </w:rPr>
        <w:t xml:space="preserve"> from </w:t>
      </w:r>
      <w:r w:rsidR="0076018C">
        <w:rPr>
          <w:b/>
          <w:caps/>
          <w:szCs w:val="22"/>
        </w:rPr>
        <w:t xml:space="preserve">Open Internet </w:t>
      </w:r>
      <w:r w:rsidR="005C2975">
        <w:rPr>
          <w:b/>
          <w:caps/>
          <w:szCs w:val="22"/>
        </w:rPr>
        <w:t>Enhanced Transpare</w:t>
      </w:r>
      <w:r>
        <w:rPr>
          <w:b/>
          <w:caps/>
          <w:szCs w:val="22"/>
        </w:rPr>
        <w:t>n</w:t>
      </w:r>
      <w:r w:rsidR="005C2975">
        <w:rPr>
          <w:b/>
          <w:caps/>
          <w:szCs w:val="22"/>
        </w:rPr>
        <w:t>c</w:t>
      </w:r>
      <w:r>
        <w:rPr>
          <w:b/>
          <w:caps/>
          <w:szCs w:val="22"/>
        </w:rPr>
        <w:t>y requirements</w:t>
      </w:r>
    </w:p>
    <w:p w14:paraId="13A39986" w14:textId="77777777" w:rsidR="0061149A" w:rsidRDefault="0061149A" w:rsidP="001E68FC">
      <w:pPr>
        <w:jc w:val="center"/>
        <w:rPr>
          <w:b/>
          <w:szCs w:val="22"/>
        </w:rPr>
      </w:pPr>
    </w:p>
    <w:p w14:paraId="06457284" w14:textId="77777777" w:rsidR="000F69DF" w:rsidRDefault="0061149A" w:rsidP="00F07FCA">
      <w:pPr>
        <w:jc w:val="center"/>
        <w:rPr>
          <w:b/>
          <w:szCs w:val="22"/>
        </w:rPr>
      </w:pPr>
      <w:r>
        <w:rPr>
          <w:b/>
          <w:szCs w:val="22"/>
        </w:rPr>
        <w:t>GN</w:t>
      </w:r>
      <w:r w:rsidR="001E68FC" w:rsidRPr="009007BF">
        <w:rPr>
          <w:b/>
          <w:szCs w:val="22"/>
        </w:rPr>
        <w:t xml:space="preserve"> Docket No. </w:t>
      </w:r>
      <w:r>
        <w:rPr>
          <w:b/>
          <w:szCs w:val="22"/>
        </w:rPr>
        <w:t>14-28</w:t>
      </w:r>
    </w:p>
    <w:p w14:paraId="3146D459" w14:textId="77777777" w:rsidR="00F07FCA" w:rsidRPr="00F07FCA" w:rsidRDefault="00F07FCA" w:rsidP="00F07FCA">
      <w:pPr>
        <w:jc w:val="center"/>
        <w:rPr>
          <w:b/>
          <w:szCs w:val="22"/>
        </w:rPr>
      </w:pPr>
    </w:p>
    <w:p w14:paraId="054D1C1F" w14:textId="77777777" w:rsidR="001E68FC" w:rsidRDefault="001E68FC" w:rsidP="001E68FC">
      <w:pPr>
        <w:pStyle w:val="Heading3"/>
        <w:numPr>
          <w:ilvl w:val="0"/>
          <w:numId w:val="0"/>
        </w:numPr>
        <w:spacing w:after="0"/>
        <w:rPr>
          <w:szCs w:val="22"/>
        </w:rPr>
      </w:pPr>
      <w:r w:rsidRPr="009007BF">
        <w:rPr>
          <w:szCs w:val="22"/>
        </w:rPr>
        <w:t>Comment Date</w:t>
      </w:r>
      <w:r w:rsidRPr="009007BF">
        <w:rPr>
          <w:b w:val="0"/>
          <w:szCs w:val="22"/>
        </w:rPr>
        <w:t>:</w:t>
      </w:r>
      <w:r w:rsidR="00A21224">
        <w:rPr>
          <w:szCs w:val="22"/>
        </w:rPr>
        <w:t xml:space="preserve">  </w:t>
      </w:r>
      <w:r w:rsidR="00405B7F">
        <w:rPr>
          <w:szCs w:val="22"/>
        </w:rPr>
        <w:t>30 days after publication in the Federal Register</w:t>
      </w:r>
    </w:p>
    <w:p w14:paraId="7A3C972B" w14:textId="358C0088" w:rsidR="000F69DF" w:rsidRPr="00405B7F" w:rsidRDefault="001E68FC" w:rsidP="00997FAC">
      <w:pPr>
        <w:rPr>
          <w:b/>
        </w:rPr>
      </w:pPr>
      <w:r>
        <w:rPr>
          <w:b/>
        </w:rPr>
        <w:t>Reply Comment Date</w:t>
      </w:r>
      <w:r>
        <w:t xml:space="preserve">:  </w:t>
      </w:r>
      <w:r w:rsidR="00AB6C32">
        <w:rPr>
          <w:b/>
        </w:rPr>
        <w:t>60</w:t>
      </w:r>
      <w:r w:rsidR="00405B7F">
        <w:rPr>
          <w:b/>
        </w:rPr>
        <w:t xml:space="preserve"> days after publication in the Federal Register</w:t>
      </w:r>
    </w:p>
    <w:p w14:paraId="01803886" w14:textId="77777777" w:rsidR="00DD44B0" w:rsidRPr="00997FAC" w:rsidRDefault="00DD44B0" w:rsidP="00997FAC">
      <w:pPr>
        <w:rPr>
          <w:b/>
        </w:rPr>
      </w:pPr>
    </w:p>
    <w:p w14:paraId="2F050F5F" w14:textId="467D4E1E" w:rsidR="005C2975" w:rsidRDefault="00EF07AB" w:rsidP="006D7609">
      <w:pPr>
        <w:ind w:firstLine="720"/>
        <w:rPr>
          <w:szCs w:val="22"/>
        </w:rPr>
      </w:pPr>
      <w:r w:rsidRPr="00EF07AB">
        <w:rPr>
          <w:szCs w:val="22"/>
        </w:rPr>
        <w:t xml:space="preserve">In the </w:t>
      </w:r>
      <w:r w:rsidRPr="00EF07AB">
        <w:rPr>
          <w:i/>
          <w:szCs w:val="22"/>
        </w:rPr>
        <w:t>2015 Open Internet Order</w:t>
      </w:r>
      <w:r w:rsidRPr="00EF07AB">
        <w:rPr>
          <w:szCs w:val="22"/>
        </w:rPr>
        <w:t xml:space="preserve">, the Commission adopted </w:t>
      </w:r>
      <w:r>
        <w:rPr>
          <w:szCs w:val="22"/>
        </w:rPr>
        <w:t xml:space="preserve">certain </w:t>
      </w:r>
      <w:r w:rsidRPr="00EF07AB">
        <w:rPr>
          <w:szCs w:val="22"/>
        </w:rPr>
        <w:t xml:space="preserve">enhancements to the existing </w:t>
      </w:r>
      <w:r w:rsidR="00832A22">
        <w:rPr>
          <w:szCs w:val="22"/>
        </w:rPr>
        <w:t>transparency rule</w:t>
      </w:r>
      <w:r w:rsidR="0076018C">
        <w:rPr>
          <w:szCs w:val="22"/>
        </w:rPr>
        <w:t xml:space="preserve"> that </w:t>
      </w:r>
      <w:r w:rsidR="00832A22">
        <w:rPr>
          <w:szCs w:val="22"/>
        </w:rPr>
        <w:t>govern</w:t>
      </w:r>
      <w:r w:rsidR="00D0339E">
        <w:rPr>
          <w:szCs w:val="22"/>
        </w:rPr>
        <w:t>s the</w:t>
      </w:r>
      <w:r w:rsidR="00832A22">
        <w:rPr>
          <w:szCs w:val="22"/>
        </w:rPr>
        <w:t xml:space="preserve"> </w:t>
      </w:r>
      <w:r w:rsidRPr="00EF07AB">
        <w:rPr>
          <w:szCs w:val="22"/>
        </w:rPr>
        <w:t>content and format of disclosures made by providers of broadband Internet access service.</w:t>
      </w:r>
      <w:r>
        <w:rPr>
          <w:rStyle w:val="FootnoteReference"/>
          <w:szCs w:val="22"/>
        </w:rPr>
        <w:footnoteReference w:id="2"/>
      </w:r>
      <w:r w:rsidRPr="00EF07AB">
        <w:rPr>
          <w:szCs w:val="22"/>
        </w:rPr>
        <w:t xml:space="preserve">  </w:t>
      </w:r>
      <w:r w:rsidR="005603B5">
        <w:rPr>
          <w:szCs w:val="22"/>
        </w:rPr>
        <w:t xml:space="preserve">These </w:t>
      </w:r>
      <w:r w:rsidR="00CF79AD">
        <w:rPr>
          <w:szCs w:val="22"/>
        </w:rPr>
        <w:t>enhanced</w:t>
      </w:r>
      <w:r w:rsidR="005603B5">
        <w:rPr>
          <w:szCs w:val="22"/>
        </w:rPr>
        <w:t xml:space="preserve"> transparency requirements build on the original transparency rule </w:t>
      </w:r>
      <w:r w:rsidR="006D7609">
        <w:rPr>
          <w:szCs w:val="22"/>
        </w:rPr>
        <w:t xml:space="preserve">the Commission </w:t>
      </w:r>
      <w:r w:rsidR="005603B5">
        <w:rPr>
          <w:szCs w:val="22"/>
        </w:rPr>
        <w:t xml:space="preserve">adopted in 2010 </w:t>
      </w:r>
      <w:r w:rsidR="006D7609">
        <w:rPr>
          <w:szCs w:val="22"/>
        </w:rPr>
        <w:t>to provide critical information to end-user consumers, edge providers,</w:t>
      </w:r>
      <w:r w:rsidR="00F81AAB">
        <w:rPr>
          <w:szCs w:val="22"/>
        </w:rPr>
        <w:t xml:space="preserve"> and</w:t>
      </w:r>
      <w:r w:rsidR="006D7609">
        <w:rPr>
          <w:szCs w:val="22"/>
        </w:rPr>
        <w:t xml:space="preserve"> the Internet community.</w:t>
      </w:r>
      <w:r w:rsidR="006D7609">
        <w:rPr>
          <w:rStyle w:val="FootnoteReference"/>
          <w:szCs w:val="22"/>
        </w:rPr>
        <w:footnoteReference w:id="3"/>
      </w:r>
      <w:r w:rsidR="005545E5">
        <w:rPr>
          <w:szCs w:val="22"/>
        </w:rPr>
        <w:t xml:space="preserve">  </w:t>
      </w:r>
      <w:r w:rsidR="005603B5">
        <w:rPr>
          <w:szCs w:val="22"/>
        </w:rPr>
        <w:t>The</w:t>
      </w:r>
      <w:r w:rsidR="00820CA0">
        <w:rPr>
          <w:szCs w:val="22"/>
        </w:rPr>
        <w:t>se</w:t>
      </w:r>
      <w:r w:rsidR="005603B5">
        <w:rPr>
          <w:szCs w:val="22"/>
        </w:rPr>
        <w:t xml:space="preserve"> enhancements apply to provider disclosures </w:t>
      </w:r>
      <w:r w:rsidR="000F22A8">
        <w:rPr>
          <w:szCs w:val="22"/>
        </w:rPr>
        <w:t>required by the existing transparen</w:t>
      </w:r>
      <w:r w:rsidR="00635EB7">
        <w:rPr>
          <w:szCs w:val="22"/>
        </w:rPr>
        <w:t>c</w:t>
      </w:r>
      <w:r w:rsidR="000F22A8">
        <w:rPr>
          <w:szCs w:val="22"/>
        </w:rPr>
        <w:t xml:space="preserve">y rule regarding </w:t>
      </w:r>
      <w:r w:rsidR="005603B5">
        <w:rPr>
          <w:szCs w:val="22"/>
        </w:rPr>
        <w:t>commercial terms, performance characteristics, and network practices.</w:t>
      </w:r>
      <w:r w:rsidR="005603B5">
        <w:rPr>
          <w:rStyle w:val="FootnoteReference"/>
          <w:szCs w:val="22"/>
        </w:rPr>
        <w:footnoteReference w:id="4"/>
      </w:r>
    </w:p>
    <w:p w14:paraId="702B8D2C" w14:textId="77777777" w:rsidR="005C2975" w:rsidRDefault="005C2975" w:rsidP="006D7609">
      <w:pPr>
        <w:ind w:firstLine="720"/>
        <w:rPr>
          <w:szCs w:val="22"/>
        </w:rPr>
      </w:pPr>
    </w:p>
    <w:p w14:paraId="51D3B846" w14:textId="3CE6DD61" w:rsidR="00B82C21" w:rsidRPr="00FA60E0" w:rsidRDefault="005545E5" w:rsidP="006D7609">
      <w:pPr>
        <w:ind w:firstLine="720"/>
        <w:rPr>
          <w:szCs w:val="22"/>
        </w:rPr>
      </w:pPr>
      <w:r>
        <w:rPr>
          <w:szCs w:val="22"/>
        </w:rPr>
        <w:lastRenderedPageBreak/>
        <w:t xml:space="preserve">In response </w:t>
      </w:r>
      <w:r w:rsidR="000F22A8">
        <w:rPr>
          <w:szCs w:val="22"/>
        </w:rPr>
        <w:t xml:space="preserve">to </w:t>
      </w:r>
      <w:r w:rsidR="005603B5">
        <w:rPr>
          <w:szCs w:val="22"/>
        </w:rPr>
        <w:t xml:space="preserve">concerns </w:t>
      </w:r>
      <w:r w:rsidR="000C6C2A">
        <w:rPr>
          <w:szCs w:val="22"/>
        </w:rPr>
        <w:t>from small</w:t>
      </w:r>
      <w:r w:rsidR="005371C9">
        <w:rPr>
          <w:szCs w:val="22"/>
        </w:rPr>
        <w:t>er</w:t>
      </w:r>
      <w:r w:rsidR="000C6C2A">
        <w:rPr>
          <w:szCs w:val="22"/>
        </w:rPr>
        <w:t xml:space="preserve"> providers </w:t>
      </w:r>
      <w:r w:rsidR="005603B5">
        <w:rPr>
          <w:szCs w:val="22"/>
        </w:rPr>
        <w:t>about the compliance burden of the</w:t>
      </w:r>
      <w:r w:rsidR="00C035F4">
        <w:rPr>
          <w:szCs w:val="22"/>
        </w:rPr>
        <w:t xml:space="preserve"> enhancements</w:t>
      </w:r>
      <w:r w:rsidR="005603B5">
        <w:rPr>
          <w:szCs w:val="22"/>
        </w:rPr>
        <w:t xml:space="preserve">, </w:t>
      </w:r>
      <w:r>
        <w:rPr>
          <w:szCs w:val="22"/>
        </w:rPr>
        <w:t xml:space="preserve">the Commission </w:t>
      </w:r>
      <w:r w:rsidR="00F81AAB">
        <w:rPr>
          <w:szCs w:val="22"/>
        </w:rPr>
        <w:t>temporar</w:t>
      </w:r>
      <w:r w:rsidR="005603B5">
        <w:rPr>
          <w:szCs w:val="22"/>
        </w:rPr>
        <w:t>ily</w:t>
      </w:r>
      <w:r w:rsidR="00F81AAB">
        <w:rPr>
          <w:szCs w:val="22"/>
        </w:rPr>
        <w:t xml:space="preserve"> exempt</w:t>
      </w:r>
      <w:r w:rsidR="005603B5">
        <w:rPr>
          <w:szCs w:val="22"/>
        </w:rPr>
        <w:t xml:space="preserve">ed </w:t>
      </w:r>
      <w:r w:rsidR="00CF79AD">
        <w:rPr>
          <w:szCs w:val="22"/>
        </w:rPr>
        <w:t xml:space="preserve">those </w:t>
      </w:r>
      <w:r w:rsidR="000C6C2A">
        <w:rPr>
          <w:szCs w:val="22"/>
        </w:rPr>
        <w:t xml:space="preserve">providers </w:t>
      </w:r>
      <w:r w:rsidR="00A15226">
        <w:rPr>
          <w:szCs w:val="22"/>
        </w:rPr>
        <w:t>“</w:t>
      </w:r>
      <w:r w:rsidR="00F81AAB">
        <w:rPr>
          <w:szCs w:val="22"/>
        </w:rPr>
        <w:t xml:space="preserve">with 100,000 or fewer broadband subscribers </w:t>
      </w:r>
      <w:r w:rsidR="005603B5">
        <w:rPr>
          <w:szCs w:val="22"/>
        </w:rPr>
        <w:t xml:space="preserve">as </w:t>
      </w:r>
      <w:r w:rsidR="00A15226">
        <w:rPr>
          <w:szCs w:val="22"/>
        </w:rPr>
        <w:t xml:space="preserve">per </w:t>
      </w:r>
      <w:r w:rsidR="005603B5">
        <w:rPr>
          <w:szCs w:val="22"/>
        </w:rPr>
        <w:t xml:space="preserve">their </w:t>
      </w:r>
      <w:r>
        <w:rPr>
          <w:szCs w:val="22"/>
        </w:rPr>
        <w:t>most recent Form 477</w:t>
      </w:r>
      <w:r w:rsidR="00A15226">
        <w:rPr>
          <w:szCs w:val="22"/>
        </w:rPr>
        <w:t xml:space="preserve">, </w:t>
      </w:r>
      <w:r w:rsidR="00F81AAB">
        <w:rPr>
          <w:szCs w:val="22"/>
        </w:rPr>
        <w:t>a</w:t>
      </w:r>
      <w:r>
        <w:rPr>
          <w:szCs w:val="22"/>
        </w:rPr>
        <w:t>ggregated over all</w:t>
      </w:r>
      <w:r w:rsidR="00F23D8D">
        <w:rPr>
          <w:szCs w:val="22"/>
        </w:rPr>
        <w:t xml:space="preserve"> the providers’</w:t>
      </w:r>
      <w:r>
        <w:rPr>
          <w:szCs w:val="22"/>
        </w:rPr>
        <w:t xml:space="preserve"> affiliates</w:t>
      </w:r>
      <w:r w:rsidR="00F81AAB">
        <w:rPr>
          <w:szCs w:val="22"/>
        </w:rPr>
        <w:t>.</w:t>
      </w:r>
      <w:r w:rsidR="00F23D8D">
        <w:rPr>
          <w:szCs w:val="22"/>
        </w:rPr>
        <w:t>”</w:t>
      </w:r>
      <w:r w:rsidR="00F81AAB">
        <w:rPr>
          <w:rStyle w:val="FootnoteReference"/>
          <w:szCs w:val="22"/>
        </w:rPr>
        <w:footnoteReference w:id="5"/>
      </w:r>
      <w:r w:rsidR="00F81AAB">
        <w:rPr>
          <w:szCs w:val="22"/>
        </w:rPr>
        <w:t xml:space="preserve">  </w:t>
      </w:r>
      <w:r w:rsidR="00CF79AD">
        <w:rPr>
          <w:szCs w:val="22"/>
        </w:rPr>
        <w:t>At the same time, t</w:t>
      </w:r>
      <w:r>
        <w:rPr>
          <w:szCs w:val="22"/>
        </w:rPr>
        <w:t xml:space="preserve">he Commission </w:t>
      </w:r>
      <w:r w:rsidR="00C035F4">
        <w:rPr>
          <w:szCs w:val="22"/>
        </w:rPr>
        <w:t>stated that</w:t>
      </w:r>
      <w:r>
        <w:rPr>
          <w:szCs w:val="22"/>
        </w:rPr>
        <w:t xml:space="preserve"> </w:t>
      </w:r>
      <w:r w:rsidR="00C035F4">
        <w:rPr>
          <w:szCs w:val="22"/>
        </w:rPr>
        <w:t>“</w:t>
      </w:r>
      <w:r w:rsidR="005C2975">
        <w:rPr>
          <w:szCs w:val="22"/>
        </w:rPr>
        <w:t xml:space="preserve">both the </w:t>
      </w:r>
      <w:r w:rsidR="00C035F4">
        <w:rPr>
          <w:szCs w:val="22"/>
        </w:rPr>
        <w:t xml:space="preserve">appropriateness of the </w:t>
      </w:r>
      <w:r>
        <w:rPr>
          <w:szCs w:val="22"/>
        </w:rPr>
        <w:t xml:space="preserve">exemption </w:t>
      </w:r>
      <w:r w:rsidR="00767E79">
        <w:rPr>
          <w:szCs w:val="22"/>
        </w:rPr>
        <w:t xml:space="preserve">and </w:t>
      </w:r>
      <w:r w:rsidR="00C035F4">
        <w:rPr>
          <w:szCs w:val="22"/>
        </w:rPr>
        <w:t xml:space="preserve">the [subscriber] </w:t>
      </w:r>
      <w:r>
        <w:rPr>
          <w:szCs w:val="22"/>
        </w:rPr>
        <w:t>threshold require further deliberation</w:t>
      </w:r>
      <w:r w:rsidR="00CF79AD" w:rsidRPr="00FA60E0">
        <w:rPr>
          <w:szCs w:val="22"/>
        </w:rPr>
        <w:t>,</w:t>
      </w:r>
      <w:r w:rsidR="00C035F4" w:rsidRPr="00FA60E0">
        <w:rPr>
          <w:szCs w:val="22"/>
        </w:rPr>
        <w:t>”</w:t>
      </w:r>
      <w:r w:rsidR="00C035F4" w:rsidRPr="00FA60E0">
        <w:rPr>
          <w:rStyle w:val="FootnoteReference"/>
          <w:szCs w:val="22"/>
        </w:rPr>
        <w:footnoteReference w:id="6"/>
      </w:r>
      <w:r w:rsidRPr="00FA60E0">
        <w:rPr>
          <w:szCs w:val="22"/>
        </w:rPr>
        <w:t xml:space="preserve"> </w:t>
      </w:r>
      <w:r w:rsidR="00CF79AD" w:rsidRPr="00FA60E0">
        <w:rPr>
          <w:szCs w:val="22"/>
        </w:rPr>
        <w:t>and</w:t>
      </w:r>
      <w:r w:rsidR="00920A4A" w:rsidRPr="00FA60E0">
        <w:rPr>
          <w:szCs w:val="22"/>
        </w:rPr>
        <w:t xml:space="preserve"> </w:t>
      </w:r>
      <w:r w:rsidR="00C035F4" w:rsidRPr="00FA60E0">
        <w:rPr>
          <w:szCs w:val="22"/>
        </w:rPr>
        <w:t xml:space="preserve">directed </w:t>
      </w:r>
      <w:r w:rsidRPr="00FA60E0">
        <w:rPr>
          <w:szCs w:val="22"/>
        </w:rPr>
        <w:t>the Consumer and Governmental Affairs Bureau to seek comment on the</w:t>
      </w:r>
      <w:r w:rsidR="00C035F4" w:rsidRPr="00FA60E0">
        <w:rPr>
          <w:szCs w:val="22"/>
        </w:rPr>
        <w:t xml:space="preserve"> exemption </w:t>
      </w:r>
      <w:r w:rsidRPr="00FA60E0">
        <w:rPr>
          <w:szCs w:val="22"/>
        </w:rPr>
        <w:t xml:space="preserve">and </w:t>
      </w:r>
      <w:r w:rsidR="00E927CE" w:rsidRPr="00FA60E0">
        <w:rPr>
          <w:szCs w:val="22"/>
        </w:rPr>
        <w:t xml:space="preserve">to </w:t>
      </w:r>
      <w:r w:rsidR="00124D5D" w:rsidRPr="00FA60E0">
        <w:rPr>
          <w:szCs w:val="22"/>
        </w:rPr>
        <w:t>“</w:t>
      </w:r>
      <w:r w:rsidR="002048D4" w:rsidRPr="00FA60E0">
        <w:rPr>
          <w:szCs w:val="22"/>
        </w:rPr>
        <w:t xml:space="preserve">adopt an order announcing </w:t>
      </w:r>
      <w:r w:rsidR="00D0339E" w:rsidRPr="00FA60E0">
        <w:rPr>
          <w:szCs w:val="22"/>
        </w:rPr>
        <w:t xml:space="preserve">whether </w:t>
      </w:r>
      <w:r w:rsidR="00BB31D5" w:rsidRPr="00FA60E0">
        <w:rPr>
          <w:szCs w:val="22"/>
        </w:rPr>
        <w:t xml:space="preserve">it is maintaining an </w:t>
      </w:r>
      <w:r w:rsidR="000C6C2A" w:rsidRPr="00FA60E0">
        <w:rPr>
          <w:szCs w:val="22"/>
        </w:rPr>
        <w:t>exemption</w:t>
      </w:r>
      <w:r w:rsidR="00BB31D5" w:rsidRPr="00FA60E0">
        <w:rPr>
          <w:szCs w:val="22"/>
        </w:rPr>
        <w:t xml:space="preserve"> and at what level</w:t>
      </w:r>
      <w:r w:rsidR="00124D5D" w:rsidRPr="00FA60E0">
        <w:rPr>
          <w:szCs w:val="22"/>
        </w:rPr>
        <w:t xml:space="preserve"> by no later than December 15, 2015</w:t>
      </w:r>
      <w:r w:rsidR="00BB31D5" w:rsidRPr="00FA60E0">
        <w:rPr>
          <w:szCs w:val="22"/>
        </w:rPr>
        <w:t>.”</w:t>
      </w:r>
      <w:r w:rsidRPr="00FA60E0">
        <w:rPr>
          <w:rStyle w:val="FootnoteReference"/>
          <w:szCs w:val="22"/>
        </w:rPr>
        <w:footnoteReference w:id="7"/>
      </w:r>
      <w:r w:rsidRPr="00FA60E0">
        <w:rPr>
          <w:szCs w:val="22"/>
        </w:rPr>
        <w:t xml:space="preserve">  With thi</w:t>
      </w:r>
      <w:r w:rsidR="005C2975" w:rsidRPr="00FA60E0">
        <w:rPr>
          <w:szCs w:val="22"/>
        </w:rPr>
        <w:t xml:space="preserve">s Public Notice we </w:t>
      </w:r>
      <w:r w:rsidRPr="00FA60E0">
        <w:rPr>
          <w:szCs w:val="22"/>
        </w:rPr>
        <w:t>seek comment on these issues.</w:t>
      </w:r>
    </w:p>
    <w:p w14:paraId="352B9441" w14:textId="77777777" w:rsidR="00FA60E0" w:rsidRPr="006060AF" w:rsidRDefault="00FA60E0" w:rsidP="006D7609">
      <w:pPr>
        <w:ind w:firstLine="720"/>
        <w:rPr>
          <w:szCs w:val="22"/>
        </w:rPr>
      </w:pPr>
    </w:p>
    <w:p w14:paraId="6AD27FBF" w14:textId="4C873B81" w:rsidR="00FA60E0" w:rsidRPr="006060AF" w:rsidRDefault="00FA60E0" w:rsidP="006D7609">
      <w:pPr>
        <w:ind w:firstLine="720"/>
        <w:rPr>
          <w:szCs w:val="22"/>
        </w:rPr>
      </w:pPr>
      <w:r>
        <w:rPr>
          <w:szCs w:val="22"/>
        </w:rPr>
        <w:t xml:space="preserve">While the Commission described the threshold </w:t>
      </w:r>
      <w:r w:rsidR="009E0AD2">
        <w:rPr>
          <w:szCs w:val="22"/>
        </w:rPr>
        <w:t>using the terms “subscribers” and “subscriber lines,”</w:t>
      </w:r>
      <w:r>
        <w:rPr>
          <w:szCs w:val="22"/>
        </w:rPr>
        <w:t xml:space="preserve"> it emphasized that </w:t>
      </w:r>
      <w:r w:rsidRPr="006E47FF">
        <w:rPr>
          <w:szCs w:val="22"/>
        </w:rPr>
        <w:t xml:space="preserve">the relevant metric </w:t>
      </w:r>
      <w:r>
        <w:rPr>
          <w:szCs w:val="22"/>
        </w:rPr>
        <w:t xml:space="preserve">should be that </w:t>
      </w:r>
      <w:r w:rsidRPr="006E47FF">
        <w:rPr>
          <w:szCs w:val="22"/>
        </w:rPr>
        <w:t xml:space="preserve">used </w:t>
      </w:r>
      <w:r>
        <w:rPr>
          <w:szCs w:val="22"/>
        </w:rPr>
        <w:t xml:space="preserve">on </w:t>
      </w:r>
      <w:r w:rsidRPr="006E47FF">
        <w:rPr>
          <w:szCs w:val="22"/>
        </w:rPr>
        <w:t>Form 477</w:t>
      </w:r>
      <w:r>
        <w:rPr>
          <w:szCs w:val="22"/>
        </w:rPr>
        <w:t xml:space="preserve">, </w:t>
      </w:r>
      <w:r>
        <w:rPr>
          <w:i/>
          <w:szCs w:val="22"/>
        </w:rPr>
        <w:t>Local Telephone Competition and Broadband Reporting</w:t>
      </w:r>
      <w:r w:rsidRPr="006E47FF">
        <w:rPr>
          <w:szCs w:val="22"/>
        </w:rPr>
        <w:t>.</w:t>
      </w:r>
      <w:r>
        <w:rPr>
          <w:rStyle w:val="FootnoteReference"/>
          <w:szCs w:val="22"/>
        </w:rPr>
        <w:footnoteReference w:id="8"/>
      </w:r>
      <w:r w:rsidRPr="006E47FF">
        <w:rPr>
          <w:szCs w:val="22"/>
        </w:rPr>
        <w:t xml:space="preserve">  That metric is broadband “connections</w:t>
      </w:r>
      <w:r w:rsidR="00B60D07">
        <w:rPr>
          <w:szCs w:val="22"/>
        </w:rPr>
        <w:t>,</w:t>
      </w:r>
      <w:r w:rsidRPr="006E47FF">
        <w:rPr>
          <w:szCs w:val="22"/>
        </w:rPr>
        <w:t>”</w:t>
      </w:r>
      <w:r w:rsidR="00B60D07">
        <w:rPr>
          <w:rStyle w:val="FootnoteReference"/>
          <w:szCs w:val="22"/>
        </w:rPr>
        <w:footnoteReference w:id="9"/>
      </w:r>
      <w:r w:rsidR="00B60D07">
        <w:rPr>
          <w:szCs w:val="22"/>
        </w:rPr>
        <w:t xml:space="preserve"> the broadband equivalent of subscriber lines, which the Commission used in </w:t>
      </w:r>
      <w:r w:rsidRPr="006E47FF">
        <w:rPr>
          <w:szCs w:val="22"/>
        </w:rPr>
        <w:t>the analogous exemption adopted in the Rural Call Completion Order.</w:t>
      </w:r>
      <w:r w:rsidR="00B60D07">
        <w:rPr>
          <w:rStyle w:val="FootnoteReference"/>
          <w:szCs w:val="22"/>
        </w:rPr>
        <w:footnoteReference w:id="10"/>
      </w:r>
      <w:r w:rsidRPr="006E47FF">
        <w:rPr>
          <w:szCs w:val="22"/>
        </w:rPr>
        <w:t xml:space="preserve">  For these reasons, we </w:t>
      </w:r>
      <w:r w:rsidR="009E0AD2">
        <w:rPr>
          <w:szCs w:val="22"/>
        </w:rPr>
        <w:t>make clear that</w:t>
      </w:r>
      <w:r w:rsidR="009E0AD2" w:rsidRPr="006E47FF">
        <w:rPr>
          <w:szCs w:val="22"/>
        </w:rPr>
        <w:t xml:space="preserve"> </w:t>
      </w:r>
      <w:r w:rsidRPr="006E47FF">
        <w:rPr>
          <w:szCs w:val="22"/>
        </w:rPr>
        <w:t>th</w:t>
      </w:r>
      <w:r w:rsidR="00B60D07">
        <w:rPr>
          <w:szCs w:val="22"/>
        </w:rPr>
        <w:t xml:space="preserve">e </w:t>
      </w:r>
      <w:r w:rsidRPr="006E47FF">
        <w:rPr>
          <w:szCs w:val="22"/>
        </w:rPr>
        <w:t xml:space="preserve">exemption </w:t>
      </w:r>
      <w:r w:rsidR="00B60D07">
        <w:rPr>
          <w:szCs w:val="22"/>
        </w:rPr>
        <w:t xml:space="preserve">from the enhanced transparency requirements </w:t>
      </w:r>
      <w:r w:rsidRPr="006E47FF">
        <w:rPr>
          <w:szCs w:val="22"/>
        </w:rPr>
        <w:t>appli</w:t>
      </w:r>
      <w:r w:rsidR="009E0AD2">
        <w:rPr>
          <w:szCs w:val="22"/>
        </w:rPr>
        <w:t>es</w:t>
      </w:r>
      <w:r w:rsidRPr="006E47FF">
        <w:rPr>
          <w:szCs w:val="22"/>
        </w:rPr>
        <w:t xml:space="preserve"> to providers with 100,000 or fewer broadband </w:t>
      </w:r>
      <w:r w:rsidRPr="006E47FF">
        <w:rPr>
          <w:i/>
          <w:szCs w:val="22"/>
        </w:rPr>
        <w:t>connections</w:t>
      </w:r>
      <w:r w:rsidRPr="006E47FF">
        <w:rPr>
          <w:szCs w:val="22"/>
        </w:rPr>
        <w:t>.</w:t>
      </w:r>
    </w:p>
    <w:p w14:paraId="42512B39" w14:textId="77777777" w:rsidR="00B82C21" w:rsidRDefault="00B82C21" w:rsidP="00EF07AB">
      <w:pPr>
        <w:ind w:firstLine="720"/>
        <w:rPr>
          <w:szCs w:val="22"/>
        </w:rPr>
      </w:pPr>
    </w:p>
    <w:p w14:paraId="5E34493A" w14:textId="1E3668FD" w:rsidR="000C0475" w:rsidRDefault="00BA7F68" w:rsidP="00B82C21">
      <w:pPr>
        <w:ind w:firstLine="720"/>
        <w:rPr>
          <w:szCs w:val="22"/>
        </w:rPr>
      </w:pPr>
      <w:r w:rsidRPr="00BA7F68">
        <w:rPr>
          <w:i/>
          <w:szCs w:val="22"/>
          <w:u w:val="single"/>
        </w:rPr>
        <w:t>Small Business Exemption</w:t>
      </w:r>
      <w:r>
        <w:rPr>
          <w:szCs w:val="22"/>
        </w:rPr>
        <w:t xml:space="preserve">.  </w:t>
      </w:r>
      <w:r w:rsidR="0007609A">
        <w:rPr>
          <w:szCs w:val="22"/>
        </w:rPr>
        <w:t>W</w:t>
      </w:r>
      <w:r w:rsidR="009313FC">
        <w:rPr>
          <w:szCs w:val="22"/>
        </w:rPr>
        <w:t>e seek comment on</w:t>
      </w:r>
      <w:r w:rsidR="006A3B96">
        <w:rPr>
          <w:szCs w:val="22"/>
        </w:rPr>
        <w:t xml:space="preserve"> whether the</w:t>
      </w:r>
      <w:r w:rsidR="0007609A">
        <w:rPr>
          <w:szCs w:val="22"/>
        </w:rPr>
        <w:t xml:space="preserve"> enhancements to the transparency rule </w:t>
      </w:r>
      <w:r w:rsidR="009313FC">
        <w:rPr>
          <w:szCs w:val="22"/>
        </w:rPr>
        <w:t xml:space="preserve">raise </w:t>
      </w:r>
      <w:r w:rsidR="0007609A">
        <w:rPr>
          <w:szCs w:val="22"/>
        </w:rPr>
        <w:t xml:space="preserve">compliance burden </w:t>
      </w:r>
      <w:r w:rsidR="009313FC">
        <w:rPr>
          <w:szCs w:val="22"/>
        </w:rPr>
        <w:t xml:space="preserve">concerns </w:t>
      </w:r>
      <w:r w:rsidR="00D10C93">
        <w:rPr>
          <w:szCs w:val="22"/>
        </w:rPr>
        <w:t>that warrant</w:t>
      </w:r>
      <w:r w:rsidR="00AB6C32">
        <w:rPr>
          <w:szCs w:val="22"/>
        </w:rPr>
        <w:t xml:space="preserve"> </w:t>
      </w:r>
      <w:r w:rsidR="00E06002">
        <w:rPr>
          <w:szCs w:val="22"/>
        </w:rPr>
        <w:t>making permanent</w:t>
      </w:r>
      <w:r w:rsidR="00A167A4">
        <w:rPr>
          <w:szCs w:val="22"/>
        </w:rPr>
        <w:t xml:space="preserve"> </w:t>
      </w:r>
      <w:r w:rsidR="00B41D60">
        <w:rPr>
          <w:szCs w:val="22"/>
        </w:rPr>
        <w:t xml:space="preserve">the </w:t>
      </w:r>
      <w:r w:rsidR="0007609A">
        <w:rPr>
          <w:szCs w:val="22"/>
        </w:rPr>
        <w:t>exemption</w:t>
      </w:r>
      <w:r w:rsidR="009313FC">
        <w:rPr>
          <w:szCs w:val="22"/>
        </w:rPr>
        <w:t xml:space="preserve">.  </w:t>
      </w:r>
      <w:r w:rsidR="0007609A">
        <w:rPr>
          <w:szCs w:val="22"/>
        </w:rPr>
        <w:t>We note that t</w:t>
      </w:r>
      <w:r w:rsidR="0007609A" w:rsidRPr="00BA7F68">
        <w:rPr>
          <w:szCs w:val="22"/>
        </w:rPr>
        <w:t>he</w:t>
      </w:r>
      <w:r w:rsidR="0007609A" w:rsidRPr="00EF07AB">
        <w:rPr>
          <w:szCs w:val="22"/>
        </w:rPr>
        <w:t xml:space="preserve"> Commission </w:t>
      </w:r>
      <w:r w:rsidR="0007609A">
        <w:rPr>
          <w:szCs w:val="22"/>
        </w:rPr>
        <w:t xml:space="preserve">did not adopt </w:t>
      </w:r>
      <w:r w:rsidR="00B41D60">
        <w:rPr>
          <w:szCs w:val="22"/>
        </w:rPr>
        <w:t xml:space="preserve">some of </w:t>
      </w:r>
      <w:r w:rsidR="00BF5CE9">
        <w:rPr>
          <w:szCs w:val="22"/>
        </w:rPr>
        <w:t>the</w:t>
      </w:r>
      <w:r w:rsidR="00B41D60">
        <w:rPr>
          <w:szCs w:val="22"/>
        </w:rPr>
        <w:t xml:space="preserve"> </w:t>
      </w:r>
      <w:r w:rsidR="00CF79AD">
        <w:rPr>
          <w:szCs w:val="22"/>
        </w:rPr>
        <w:t xml:space="preserve">enhancements </w:t>
      </w:r>
      <w:r w:rsidR="00BF5CE9">
        <w:rPr>
          <w:szCs w:val="22"/>
        </w:rPr>
        <w:t xml:space="preserve">proposed in the </w:t>
      </w:r>
      <w:r w:rsidR="00BF5CE9">
        <w:rPr>
          <w:i/>
          <w:szCs w:val="22"/>
        </w:rPr>
        <w:t xml:space="preserve">Notice of Proposed Rulemaking </w:t>
      </w:r>
      <w:r w:rsidR="0007609A">
        <w:rPr>
          <w:szCs w:val="22"/>
        </w:rPr>
        <w:t xml:space="preserve">and </w:t>
      </w:r>
      <w:r w:rsidR="00B41D60">
        <w:rPr>
          <w:szCs w:val="22"/>
        </w:rPr>
        <w:t xml:space="preserve">found those it did adopt </w:t>
      </w:r>
      <w:r w:rsidR="00767E79">
        <w:rPr>
          <w:szCs w:val="22"/>
        </w:rPr>
        <w:t xml:space="preserve">were </w:t>
      </w:r>
      <w:r w:rsidR="0007609A" w:rsidRPr="00EF07AB">
        <w:rPr>
          <w:szCs w:val="22"/>
        </w:rPr>
        <w:t>“modest in n</w:t>
      </w:r>
      <w:r w:rsidR="0007609A">
        <w:rPr>
          <w:szCs w:val="22"/>
        </w:rPr>
        <w:t>ature</w:t>
      </w:r>
      <w:r w:rsidR="00DF2C64">
        <w:rPr>
          <w:szCs w:val="22"/>
        </w:rPr>
        <w:t>.</w:t>
      </w:r>
      <w:r w:rsidR="0007609A">
        <w:rPr>
          <w:szCs w:val="22"/>
        </w:rPr>
        <w:t>”</w:t>
      </w:r>
      <w:r w:rsidR="0007609A">
        <w:rPr>
          <w:rStyle w:val="FootnoteReference"/>
          <w:szCs w:val="22"/>
        </w:rPr>
        <w:footnoteReference w:id="11"/>
      </w:r>
      <w:r w:rsidR="0007609A">
        <w:rPr>
          <w:szCs w:val="22"/>
        </w:rPr>
        <w:t xml:space="preserve">  </w:t>
      </w:r>
      <w:r w:rsidR="00A15858">
        <w:rPr>
          <w:szCs w:val="22"/>
        </w:rPr>
        <w:t xml:space="preserve">For example, the Commission declined to adopt disclosures </w:t>
      </w:r>
      <w:r w:rsidR="00B41D60">
        <w:rPr>
          <w:szCs w:val="22"/>
        </w:rPr>
        <w:t xml:space="preserve">relating to </w:t>
      </w:r>
      <w:r w:rsidR="00A15858">
        <w:rPr>
          <w:szCs w:val="22"/>
        </w:rPr>
        <w:t>the source of congestion, packet corruption</w:t>
      </w:r>
      <w:r w:rsidR="008A3D58">
        <w:rPr>
          <w:szCs w:val="22"/>
        </w:rPr>
        <w:t>,</w:t>
      </w:r>
      <w:r w:rsidR="00A15858">
        <w:rPr>
          <w:szCs w:val="22"/>
        </w:rPr>
        <w:t xml:space="preserve"> and jitter</w:t>
      </w:r>
      <w:r w:rsidR="008A3D58">
        <w:rPr>
          <w:szCs w:val="22"/>
        </w:rPr>
        <w:t>,</w:t>
      </w:r>
      <w:r w:rsidR="00A15858">
        <w:rPr>
          <w:szCs w:val="22"/>
        </w:rPr>
        <w:t xml:space="preserve"> in recognition of commenter concerns with difficulties of making these particular disclosures.</w:t>
      </w:r>
      <w:r w:rsidR="00A15858">
        <w:rPr>
          <w:rStyle w:val="FootnoteReference"/>
          <w:szCs w:val="22"/>
        </w:rPr>
        <w:footnoteReference w:id="12"/>
      </w:r>
      <w:r w:rsidR="00A15858">
        <w:rPr>
          <w:szCs w:val="22"/>
        </w:rPr>
        <w:t xml:space="preserve">  The Commission also did not require “real-time” disclosures</w:t>
      </w:r>
      <w:r w:rsidR="00B41D60">
        <w:rPr>
          <w:szCs w:val="22"/>
        </w:rPr>
        <w:t>,</w:t>
      </w:r>
      <w:r w:rsidR="00B41D60">
        <w:rPr>
          <w:rStyle w:val="FootnoteReference"/>
          <w:szCs w:val="22"/>
        </w:rPr>
        <w:footnoteReference w:id="13"/>
      </w:r>
      <w:r w:rsidR="00B41D60">
        <w:rPr>
          <w:szCs w:val="22"/>
        </w:rPr>
        <w:t xml:space="preserve"> and stated that </w:t>
      </w:r>
      <w:r w:rsidR="00A15858">
        <w:rPr>
          <w:szCs w:val="22"/>
        </w:rPr>
        <w:t xml:space="preserve">the bulk of the </w:t>
      </w:r>
      <w:r w:rsidR="000C6C2A">
        <w:rPr>
          <w:szCs w:val="22"/>
        </w:rPr>
        <w:t xml:space="preserve">objections from </w:t>
      </w:r>
      <w:r w:rsidR="00B41D60">
        <w:rPr>
          <w:szCs w:val="22"/>
        </w:rPr>
        <w:t>small</w:t>
      </w:r>
      <w:r w:rsidR="0098635D">
        <w:rPr>
          <w:szCs w:val="22"/>
        </w:rPr>
        <w:t>er</w:t>
      </w:r>
      <w:r w:rsidR="00B41D60">
        <w:rPr>
          <w:szCs w:val="22"/>
        </w:rPr>
        <w:t xml:space="preserve"> provider</w:t>
      </w:r>
      <w:r w:rsidR="000C6C2A">
        <w:rPr>
          <w:szCs w:val="22"/>
        </w:rPr>
        <w:t>s</w:t>
      </w:r>
      <w:r w:rsidR="00B41D60">
        <w:rPr>
          <w:szCs w:val="22"/>
        </w:rPr>
        <w:t xml:space="preserve"> </w:t>
      </w:r>
      <w:r w:rsidR="00454485">
        <w:rPr>
          <w:szCs w:val="22"/>
        </w:rPr>
        <w:t>concerned propos</w:t>
      </w:r>
      <w:r w:rsidR="00B41D60">
        <w:rPr>
          <w:szCs w:val="22"/>
        </w:rPr>
        <w:t xml:space="preserve">als </w:t>
      </w:r>
      <w:r w:rsidR="00820CA0">
        <w:rPr>
          <w:szCs w:val="22"/>
        </w:rPr>
        <w:t xml:space="preserve">that </w:t>
      </w:r>
      <w:r w:rsidR="00CF79AD">
        <w:rPr>
          <w:szCs w:val="22"/>
        </w:rPr>
        <w:t xml:space="preserve">were </w:t>
      </w:r>
      <w:r w:rsidR="00B41D60">
        <w:rPr>
          <w:szCs w:val="22"/>
        </w:rPr>
        <w:t xml:space="preserve">not </w:t>
      </w:r>
      <w:r w:rsidR="00454485">
        <w:rPr>
          <w:szCs w:val="22"/>
        </w:rPr>
        <w:t>adopted</w:t>
      </w:r>
      <w:r w:rsidR="00A15858">
        <w:rPr>
          <w:szCs w:val="22"/>
        </w:rPr>
        <w:t>.</w:t>
      </w:r>
      <w:r w:rsidR="00A15858">
        <w:rPr>
          <w:rStyle w:val="FootnoteReference"/>
          <w:szCs w:val="22"/>
        </w:rPr>
        <w:footnoteReference w:id="14"/>
      </w:r>
      <w:r w:rsidR="00A15858">
        <w:rPr>
          <w:szCs w:val="22"/>
        </w:rPr>
        <w:t xml:space="preserve">  </w:t>
      </w:r>
      <w:r w:rsidR="00486AB4">
        <w:rPr>
          <w:szCs w:val="22"/>
        </w:rPr>
        <w:t>W</w:t>
      </w:r>
      <w:r w:rsidR="00292900">
        <w:rPr>
          <w:szCs w:val="22"/>
        </w:rPr>
        <w:t>e</w:t>
      </w:r>
      <w:r w:rsidR="00486AB4">
        <w:rPr>
          <w:szCs w:val="22"/>
        </w:rPr>
        <w:t xml:space="preserve"> </w:t>
      </w:r>
      <w:r w:rsidR="00292900">
        <w:rPr>
          <w:szCs w:val="22"/>
        </w:rPr>
        <w:t>se</w:t>
      </w:r>
      <w:r w:rsidR="00510CF1">
        <w:rPr>
          <w:szCs w:val="22"/>
        </w:rPr>
        <w:t xml:space="preserve">ek comment on whether the </w:t>
      </w:r>
      <w:r w:rsidR="000C0475">
        <w:rPr>
          <w:szCs w:val="22"/>
        </w:rPr>
        <w:t xml:space="preserve">adopted </w:t>
      </w:r>
      <w:r w:rsidR="00510CF1">
        <w:rPr>
          <w:szCs w:val="22"/>
        </w:rPr>
        <w:t xml:space="preserve">enhanced transparency requirements </w:t>
      </w:r>
      <w:r w:rsidR="000C0475">
        <w:rPr>
          <w:szCs w:val="22"/>
        </w:rPr>
        <w:t xml:space="preserve">nevertheless </w:t>
      </w:r>
      <w:r w:rsidR="00510CF1">
        <w:rPr>
          <w:szCs w:val="22"/>
        </w:rPr>
        <w:t>impose burdens on small</w:t>
      </w:r>
      <w:r w:rsidR="0098635D">
        <w:rPr>
          <w:szCs w:val="22"/>
        </w:rPr>
        <w:t>er</w:t>
      </w:r>
      <w:r w:rsidR="00696527">
        <w:rPr>
          <w:szCs w:val="22"/>
        </w:rPr>
        <w:t xml:space="preserve"> providers sufficient to </w:t>
      </w:r>
      <w:r w:rsidR="00861515">
        <w:rPr>
          <w:szCs w:val="22"/>
        </w:rPr>
        <w:t xml:space="preserve">justify </w:t>
      </w:r>
      <w:r w:rsidR="00696527">
        <w:rPr>
          <w:szCs w:val="22"/>
        </w:rPr>
        <w:t>retain</w:t>
      </w:r>
      <w:r w:rsidR="00861515">
        <w:rPr>
          <w:szCs w:val="22"/>
        </w:rPr>
        <w:t>ing</w:t>
      </w:r>
      <w:r w:rsidR="00696527">
        <w:rPr>
          <w:szCs w:val="22"/>
        </w:rPr>
        <w:t xml:space="preserve"> th</w:t>
      </w:r>
      <w:r w:rsidR="000C0475">
        <w:rPr>
          <w:szCs w:val="22"/>
        </w:rPr>
        <w:t>e</w:t>
      </w:r>
      <w:r w:rsidR="00696527">
        <w:rPr>
          <w:szCs w:val="22"/>
        </w:rPr>
        <w:t xml:space="preserve"> exemption</w:t>
      </w:r>
      <w:r w:rsidR="00510CF1">
        <w:rPr>
          <w:szCs w:val="22"/>
        </w:rPr>
        <w:t xml:space="preserve">.  </w:t>
      </w:r>
    </w:p>
    <w:p w14:paraId="4502416E" w14:textId="77777777" w:rsidR="000C0475" w:rsidRDefault="000C0475" w:rsidP="00B82C21">
      <w:pPr>
        <w:ind w:firstLine="720"/>
        <w:rPr>
          <w:szCs w:val="22"/>
        </w:rPr>
      </w:pPr>
    </w:p>
    <w:p w14:paraId="27A1CF8D" w14:textId="049CF194" w:rsidR="00C8568D" w:rsidRDefault="000C6C2A" w:rsidP="00C8568D">
      <w:pPr>
        <w:ind w:firstLine="720"/>
        <w:rPr>
          <w:szCs w:val="22"/>
        </w:rPr>
      </w:pPr>
      <w:r>
        <w:rPr>
          <w:szCs w:val="22"/>
        </w:rPr>
        <w:lastRenderedPageBreak/>
        <w:t xml:space="preserve">We seek specific comment on the following questions.  </w:t>
      </w:r>
      <w:r w:rsidR="000C0475">
        <w:rPr>
          <w:szCs w:val="22"/>
        </w:rPr>
        <w:t xml:space="preserve">What is the burden </w:t>
      </w:r>
      <w:r w:rsidR="00CF79AD">
        <w:rPr>
          <w:szCs w:val="22"/>
        </w:rPr>
        <w:t xml:space="preserve">of the enhanced disclosures </w:t>
      </w:r>
      <w:r w:rsidR="000C0475">
        <w:rPr>
          <w:szCs w:val="22"/>
        </w:rPr>
        <w:t>to small</w:t>
      </w:r>
      <w:r w:rsidR="005371C9">
        <w:rPr>
          <w:szCs w:val="22"/>
        </w:rPr>
        <w:t>er</w:t>
      </w:r>
      <w:r w:rsidR="000C0475">
        <w:rPr>
          <w:szCs w:val="22"/>
        </w:rPr>
        <w:t xml:space="preserve"> providers as measured in financial and other resources</w:t>
      </w:r>
      <w:r w:rsidR="000F22A8">
        <w:rPr>
          <w:szCs w:val="22"/>
        </w:rPr>
        <w:t>, and how is the burden disproportionately experienced by small</w:t>
      </w:r>
      <w:r w:rsidR="003E16B4">
        <w:rPr>
          <w:szCs w:val="22"/>
        </w:rPr>
        <w:t>er</w:t>
      </w:r>
      <w:r w:rsidR="000F22A8">
        <w:rPr>
          <w:szCs w:val="22"/>
        </w:rPr>
        <w:t xml:space="preserve"> providers</w:t>
      </w:r>
      <w:r w:rsidR="000C0475">
        <w:rPr>
          <w:szCs w:val="22"/>
        </w:rPr>
        <w:t xml:space="preserve">?  </w:t>
      </w:r>
      <w:r w:rsidR="00AC1A55">
        <w:rPr>
          <w:szCs w:val="22"/>
        </w:rPr>
        <w:t xml:space="preserve">To the extent that </w:t>
      </w:r>
      <w:r w:rsidR="00D0339E">
        <w:rPr>
          <w:szCs w:val="22"/>
        </w:rPr>
        <w:t xml:space="preserve">concerns remain </w:t>
      </w:r>
      <w:r w:rsidR="00405B7F">
        <w:rPr>
          <w:szCs w:val="22"/>
        </w:rPr>
        <w:t xml:space="preserve">regarding any </w:t>
      </w:r>
      <w:r w:rsidR="00AC1A55">
        <w:rPr>
          <w:szCs w:val="22"/>
        </w:rPr>
        <w:t>burdens</w:t>
      </w:r>
      <w:r w:rsidR="00CF79AD">
        <w:rPr>
          <w:szCs w:val="22"/>
        </w:rPr>
        <w:t>,</w:t>
      </w:r>
      <w:r w:rsidR="00AC1A55">
        <w:rPr>
          <w:szCs w:val="22"/>
        </w:rPr>
        <w:t xml:space="preserve"> </w:t>
      </w:r>
      <w:r w:rsidR="00CF79AD">
        <w:rPr>
          <w:szCs w:val="22"/>
        </w:rPr>
        <w:t xml:space="preserve">what is the </w:t>
      </w:r>
      <w:r w:rsidR="00D0339E">
        <w:rPr>
          <w:szCs w:val="22"/>
        </w:rPr>
        <w:t>corresponding</w:t>
      </w:r>
      <w:r w:rsidR="00AC1A55">
        <w:rPr>
          <w:szCs w:val="22"/>
        </w:rPr>
        <w:t xml:space="preserve"> benefit to custo</w:t>
      </w:r>
      <w:r w:rsidR="002E4CF6">
        <w:rPr>
          <w:szCs w:val="22"/>
        </w:rPr>
        <w:t xml:space="preserve">mers of </w:t>
      </w:r>
      <w:r w:rsidR="00F30293">
        <w:rPr>
          <w:szCs w:val="22"/>
        </w:rPr>
        <w:t>small</w:t>
      </w:r>
      <w:r w:rsidR="005371C9">
        <w:rPr>
          <w:szCs w:val="22"/>
        </w:rPr>
        <w:t>er</w:t>
      </w:r>
      <w:r w:rsidR="00F30293">
        <w:rPr>
          <w:szCs w:val="22"/>
        </w:rPr>
        <w:t xml:space="preserve"> providers of </w:t>
      </w:r>
      <w:r w:rsidR="007B714A">
        <w:rPr>
          <w:szCs w:val="22"/>
        </w:rPr>
        <w:t>the information contained in those</w:t>
      </w:r>
      <w:r w:rsidR="00D0339E">
        <w:rPr>
          <w:szCs w:val="22"/>
        </w:rPr>
        <w:t xml:space="preserve"> </w:t>
      </w:r>
      <w:r w:rsidR="00AC1A55">
        <w:rPr>
          <w:szCs w:val="22"/>
        </w:rPr>
        <w:t>disclosures</w:t>
      </w:r>
      <w:r w:rsidR="00CF79AD">
        <w:rPr>
          <w:szCs w:val="22"/>
        </w:rPr>
        <w:t>?</w:t>
      </w:r>
      <w:r w:rsidR="00D0339E">
        <w:rPr>
          <w:szCs w:val="22"/>
        </w:rPr>
        <w:t xml:space="preserve"> </w:t>
      </w:r>
      <w:r w:rsidR="003F6283">
        <w:rPr>
          <w:szCs w:val="22"/>
        </w:rPr>
        <w:t xml:space="preserve"> F</w:t>
      </w:r>
      <w:r w:rsidR="00405B7F">
        <w:rPr>
          <w:szCs w:val="22"/>
        </w:rPr>
        <w:t>or example, to what extent are</w:t>
      </w:r>
      <w:r w:rsidR="00D0339E">
        <w:rPr>
          <w:szCs w:val="22"/>
        </w:rPr>
        <w:t xml:space="preserve"> customers of exempted providers deprived of information they need</w:t>
      </w:r>
      <w:r w:rsidR="003A4775">
        <w:rPr>
          <w:szCs w:val="22"/>
        </w:rPr>
        <w:t xml:space="preserve"> to understand the services they </w:t>
      </w:r>
      <w:r w:rsidR="00255FCF">
        <w:rPr>
          <w:szCs w:val="22"/>
        </w:rPr>
        <w:t xml:space="preserve">purchase and </w:t>
      </w:r>
      <w:r w:rsidR="003A4775">
        <w:rPr>
          <w:szCs w:val="22"/>
        </w:rPr>
        <w:t>receive</w:t>
      </w:r>
      <w:r w:rsidR="00255FCF">
        <w:rPr>
          <w:szCs w:val="22"/>
        </w:rPr>
        <w:t>,</w:t>
      </w:r>
      <w:r w:rsidR="003A4775">
        <w:rPr>
          <w:szCs w:val="22"/>
        </w:rPr>
        <w:t xml:space="preserve"> and to monitor practices that could undermine </w:t>
      </w:r>
      <w:r w:rsidR="00127B2A">
        <w:rPr>
          <w:szCs w:val="22"/>
        </w:rPr>
        <w:t xml:space="preserve">an </w:t>
      </w:r>
      <w:r w:rsidR="003A4775">
        <w:rPr>
          <w:szCs w:val="22"/>
        </w:rPr>
        <w:t xml:space="preserve">open Internet?  </w:t>
      </w:r>
      <w:r w:rsidR="00634383">
        <w:rPr>
          <w:szCs w:val="22"/>
        </w:rPr>
        <w:t>A</w:t>
      </w:r>
      <w:r w:rsidR="00F30293">
        <w:rPr>
          <w:szCs w:val="22"/>
        </w:rPr>
        <w:t xml:space="preserve">re rural customers likely to be disproportionally affected by exempting </w:t>
      </w:r>
      <w:r w:rsidR="006060AF">
        <w:rPr>
          <w:szCs w:val="22"/>
        </w:rPr>
        <w:t>small</w:t>
      </w:r>
      <w:r w:rsidR="005371C9">
        <w:rPr>
          <w:szCs w:val="22"/>
        </w:rPr>
        <w:t>er</w:t>
      </w:r>
      <w:r w:rsidR="00F30293">
        <w:rPr>
          <w:szCs w:val="22"/>
        </w:rPr>
        <w:t xml:space="preserve"> providers from the enhanced disclosure requirements?  </w:t>
      </w:r>
      <w:r w:rsidR="00D1484C">
        <w:rPr>
          <w:szCs w:val="22"/>
        </w:rPr>
        <w:t xml:space="preserve">How should any </w:t>
      </w:r>
      <w:r w:rsidR="003A4775">
        <w:rPr>
          <w:szCs w:val="22"/>
        </w:rPr>
        <w:t>benefit</w:t>
      </w:r>
      <w:r w:rsidR="00D1484C">
        <w:rPr>
          <w:szCs w:val="22"/>
        </w:rPr>
        <w:t>s</w:t>
      </w:r>
      <w:r w:rsidR="003A4775">
        <w:rPr>
          <w:szCs w:val="22"/>
        </w:rPr>
        <w:t xml:space="preserve"> </w:t>
      </w:r>
      <w:r w:rsidR="003F6283">
        <w:rPr>
          <w:szCs w:val="22"/>
        </w:rPr>
        <w:t>of the enhanced transparency</w:t>
      </w:r>
      <w:r w:rsidR="00127B2A">
        <w:rPr>
          <w:szCs w:val="22"/>
        </w:rPr>
        <w:t xml:space="preserve"> requirements</w:t>
      </w:r>
      <w:r w:rsidR="003F6283">
        <w:rPr>
          <w:szCs w:val="22"/>
        </w:rPr>
        <w:t xml:space="preserve"> </w:t>
      </w:r>
      <w:r w:rsidR="003A4775">
        <w:rPr>
          <w:szCs w:val="22"/>
        </w:rPr>
        <w:t xml:space="preserve">to customers of </w:t>
      </w:r>
      <w:r w:rsidR="002E4CF6">
        <w:rPr>
          <w:szCs w:val="22"/>
        </w:rPr>
        <w:t xml:space="preserve">exempted </w:t>
      </w:r>
      <w:r w:rsidR="003A4775">
        <w:rPr>
          <w:szCs w:val="22"/>
        </w:rPr>
        <w:t xml:space="preserve">providers be balanced against any </w:t>
      </w:r>
      <w:r w:rsidR="00F30293">
        <w:rPr>
          <w:szCs w:val="22"/>
        </w:rPr>
        <w:t xml:space="preserve">public interest benefits of reducing </w:t>
      </w:r>
      <w:r w:rsidR="003A4775">
        <w:rPr>
          <w:szCs w:val="22"/>
        </w:rPr>
        <w:t>burden</w:t>
      </w:r>
      <w:r w:rsidR="00510CF1">
        <w:rPr>
          <w:szCs w:val="22"/>
        </w:rPr>
        <w:t>s</w:t>
      </w:r>
      <w:r w:rsidR="003A4775">
        <w:rPr>
          <w:szCs w:val="22"/>
        </w:rPr>
        <w:t xml:space="preserve"> to the provider</w:t>
      </w:r>
      <w:r w:rsidR="00F30293">
        <w:rPr>
          <w:szCs w:val="22"/>
        </w:rPr>
        <w:t>s</w:t>
      </w:r>
      <w:r w:rsidR="003A4775">
        <w:rPr>
          <w:szCs w:val="22"/>
        </w:rPr>
        <w:t xml:space="preserve">?  </w:t>
      </w:r>
      <w:r w:rsidR="00F30293">
        <w:rPr>
          <w:szCs w:val="22"/>
        </w:rPr>
        <w:t>Will the reduction of compliance burdens for small</w:t>
      </w:r>
      <w:r w:rsidR="005371C9">
        <w:rPr>
          <w:szCs w:val="22"/>
        </w:rPr>
        <w:t>er</w:t>
      </w:r>
      <w:r w:rsidR="00F30293">
        <w:rPr>
          <w:szCs w:val="22"/>
        </w:rPr>
        <w:t xml:space="preserve"> providers benefit consumers in the areas served by those providers by, for example, facilitating broadband deployment, lower prices, or better quality services for consumers?  </w:t>
      </w:r>
    </w:p>
    <w:p w14:paraId="0FC502FD" w14:textId="77777777" w:rsidR="00C8568D" w:rsidRDefault="00C8568D" w:rsidP="00C8568D">
      <w:pPr>
        <w:ind w:firstLine="720"/>
        <w:rPr>
          <w:szCs w:val="22"/>
        </w:rPr>
      </w:pPr>
    </w:p>
    <w:p w14:paraId="65612211" w14:textId="6E7F39CA" w:rsidR="002150B7" w:rsidRDefault="00C8568D" w:rsidP="00C8568D">
      <w:pPr>
        <w:ind w:firstLine="720"/>
        <w:rPr>
          <w:szCs w:val="22"/>
        </w:rPr>
      </w:pPr>
      <w:r>
        <w:rPr>
          <w:szCs w:val="22"/>
        </w:rPr>
        <w:t xml:space="preserve">If </w:t>
      </w:r>
      <w:r w:rsidR="00D631CF">
        <w:rPr>
          <w:szCs w:val="22"/>
        </w:rPr>
        <w:t xml:space="preserve">the Commission does </w:t>
      </w:r>
      <w:r>
        <w:rPr>
          <w:szCs w:val="22"/>
        </w:rPr>
        <w:t>not</w:t>
      </w:r>
      <w:r w:rsidR="00D631CF">
        <w:rPr>
          <w:szCs w:val="22"/>
        </w:rPr>
        <w:t xml:space="preserve"> make the exemption permanent</w:t>
      </w:r>
      <w:r>
        <w:rPr>
          <w:szCs w:val="22"/>
        </w:rPr>
        <w:t xml:space="preserve">, </w:t>
      </w:r>
      <w:r w:rsidR="00D10C93">
        <w:rPr>
          <w:szCs w:val="22"/>
        </w:rPr>
        <w:t xml:space="preserve">would </w:t>
      </w:r>
      <w:r w:rsidR="00C672D6">
        <w:rPr>
          <w:szCs w:val="22"/>
        </w:rPr>
        <w:t xml:space="preserve">a one-time temporary extension of </w:t>
      </w:r>
      <w:r w:rsidR="00D10C93">
        <w:rPr>
          <w:szCs w:val="22"/>
        </w:rPr>
        <w:t xml:space="preserve">the exemption for some period </w:t>
      </w:r>
      <w:r w:rsidR="00D631CF">
        <w:rPr>
          <w:szCs w:val="22"/>
        </w:rPr>
        <w:t xml:space="preserve">be necessary to </w:t>
      </w:r>
      <w:r w:rsidR="00D10C93">
        <w:rPr>
          <w:szCs w:val="22"/>
        </w:rPr>
        <w:t>allow a smooth transition to full compliance, and would such an approach be more beneficial to consumers than a permanent exemption? W</w:t>
      </w:r>
      <w:r>
        <w:rPr>
          <w:szCs w:val="22"/>
        </w:rPr>
        <w:t xml:space="preserve">hat period of time would be appropriate for </w:t>
      </w:r>
      <w:r w:rsidR="006060AF">
        <w:rPr>
          <w:szCs w:val="22"/>
        </w:rPr>
        <w:t>small</w:t>
      </w:r>
      <w:r w:rsidR="005371C9">
        <w:rPr>
          <w:szCs w:val="22"/>
        </w:rPr>
        <w:t>er</w:t>
      </w:r>
      <w:r>
        <w:rPr>
          <w:szCs w:val="22"/>
        </w:rPr>
        <w:t xml:space="preserve"> providers to adequately address the potential burdens associated with the enhanced transparency rules?</w:t>
      </w:r>
      <w:r w:rsidR="003747C5">
        <w:rPr>
          <w:szCs w:val="22"/>
        </w:rPr>
        <w:t xml:space="preserve"> </w:t>
      </w:r>
      <w:r w:rsidR="001E317B">
        <w:rPr>
          <w:szCs w:val="22"/>
        </w:rPr>
        <w:t xml:space="preserve"> </w:t>
      </w:r>
      <w:r w:rsidR="00D631CF">
        <w:rPr>
          <w:szCs w:val="22"/>
        </w:rPr>
        <w:t>How d</w:t>
      </w:r>
      <w:r w:rsidR="007B714A">
        <w:rPr>
          <w:szCs w:val="22"/>
        </w:rPr>
        <w:t>oes</w:t>
      </w:r>
      <w:r w:rsidR="00510CF1">
        <w:rPr>
          <w:szCs w:val="22"/>
        </w:rPr>
        <w:t xml:space="preserve"> the </w:t>
      </w:r>
      <w:r w:rsidR="00324830">
        <w:rPr>
          <w:szCs w:val="22"/>
        </w:rPr>
        <w:t xml:space="preserve">subscriber </w:t>
      </w:r>
      <w:r w:rsidR="00510CF1">
        <w:rPr>
          <w:szCs w:val="22"/>
        </w:rPr>
        <w:t xml:space="preserve">threshold </w:t>
      </w:r>
      <w:r w:rsidR="00A15858">
        <w:rPr>
          <w:szCs w:val="22"/>
        </w:rPr>
        <w:t xml:space="preserve">discussed below affect this analysis?  </w:t>
      </w:r>
      <w:r w:rsidR="002150B7">
        <w:rPr>
          <w:szCs w:val="22"/>
        </w:rPr>
        <w:t xml:space="preserve">Should the Commission require carriers to report to the Commission on their progress with meeting the goals of the enhanced transparency rules?  What conditions may be appropriate for </w:t>
      </w:r>
      <w:r w:rsidR="00A03877">
        <w:rPr>
          <w:szCs w:val="22"/>
        </w:rPr>
        <w:t xml:space="preserve">a </w:t>
      </w:r>
      <w:r w:rsidR="00900C77">
        <w:rPr>
          <w:szCs w:val="22"/>
        </w:rPr>
        <w:t xml:space="preserve">one-time, </w:t>
      </w:r>
      <w:r w:rsidR="00A03877">
        <w:rPr>
          <w:szCs w:val="22"/>
        </w:rPr>
        <w:t xml:space="preserve">temporary </w:t>
      </w:r>
      <w:r w:rsidR="002150B7">
        <w:rPr>
          <w:szCs w:val="22"/>
        </w:rPr>
        <w:t>extension of the current exemption?  What factors should the Commission consider in de</w:t>
      </w:r>
      <w:r w:rsidR="00516783">
        <w:rPr>
          <w:szCs w:val="22"/>
        </w:rPr>
        <w:t xml:space="preserve">termining the limitations of a </w:t>
      </w:r>
      <w:r w:rsidR="0002492B">
        <w:rPr>
          <w:szCs w:val="22"/>
        </w:rPr>
        <w:t xml:space="preserve">one-time, </w:t>
      </w:r>
      <w:r w:rsidR="00516783">
        <w:rPr>
          <w:szCs w:val="22"/>
        </w:rPr>
        <w:t xml:space="preserve">temporary </w:t>
      </w:r>
      <w:r w:rsidR="002150B7">
        <w:rPr>
          <w:szCs w:val="22"/>
        </w:rPr>
        <w:t>extension of the exemption?</w:t>
      </w:r>
      <w:r w:rsidR="00324830">
        <w:rPr>
          <w:szCs w:val="22"/>
        </w:rPr>
        <w:t xml:space="preserve">  We seek comment on these and any other </w:t>
      </w:r>
      <w:r w:rsidR="00D10C93">
        <w:rPr>
          <w:szCs w:val="22"/>
        </w:rPr>
        <w:t xml:space="preserve">relevant </w:t>
      </w:r>
      <w:r w:rsidR="00324830">
        <w:rPr>
          <w:szCs w:val="22"/>
        </w:rPr>
        <w:t>issues.</w:t>
      </w:r>
    </w:p>
    <w:p w14:paraId="30A12DA5" w14:textId="77777777" w:rsidR="00113CC1" w:rsidRDefault="00113CC1" w:rsidP="00B82C21">
      <w:pPr>
        <w:ind w:firstLine="720"/>
        <w:rPr>
          <w:szCs w:val="22"/>
        </w:rPr>
      </w:pPr>
    </w:p>
    <w:p w14:paraId="3260DF38" w14:textId="3F0825BA" w:rsidR="00AC1A55" w:rsidRDefault="00113CC1" w:rsidP="00655C13">
      <w:pPr>
        <w:ind w:firstLine="720"/>
        <w:rPr>
          <w:szCs w:val="22"/>
        </w:rPr>
      </w:pPr>
      <w:r>
        <w:rPr>
          <w:i/>
          <w:szCs w:val="22"/>
          <w:u w:val="single"/>
        </w:rPr>
        <w:t xml:space="preserve">Small </w:t>
      </w:r>
      <w:r w:rsidR="00BF5CE9">
        <w:rPr>
          <w:i/>
          <w:szCs w:val="22"/>
          <w:u w:val="single"/>
        </w:rPr>
        <w:t xml:space="preserve">Provider </w:t>
      </w:r>
      <w:r>
        <w:rPr>
          <w:i/>
          <w:szCs w:val="22"/>
          <w:u w:val="single"/>
        </w:rPr>
        <w:t>Threshold</w:t>
      </w:r>
      <w:r>
        <w:rPr>
          <w:i/>
          <w:szCs w:val="22"/>
        </w:rPr>
        <w:t xml:space="preserve">.  </w:t>
      </w:r>
      <w:r w:rsidR="00C8568D">
        <w:rPr>
          <w:szCs w:val="22"/>
        </w:rPr>
        <w:t>T</w:t>
      </w:r>
      <w:r>
        <w:rPr>
          <w:szCs w:val="22"/>
        </w:rPr>
        <w:t>he</w:t>
      </w:r>
      <w:r w:rsidR="001127AB">
        <w:rPr>
          <w:szCs w:val="22"/>
        </w:rPr>
        <w:t xml:space="preserve"> Commission </w:t>
      </w:r>
      <w:r w:rsidR="00C8568D">
        <w:rPr>
          <w:szCs w:val="22"/>
        </w:rPr>
        <w:t>set the provider threshold for purposes of the exemption at 1</w:t>
      </w:r>
      <w:r>
        <w:rPr>
          <w:szCs w:val="22"/>
        </w:rPr>
        <w:t xml:space="preserve">00,000 or fewer broadband </w:t>
      </w:r>
      <w:r w:rsidR="00C672D6">
        <w:rPr>
          <w:szCs w:val="22"/>
        </w:rPr>
        <w:t>connections</w:t>
      </w:r>
      <w:r>
        <w:rPr>
          <w:szCs w:val="22"/>
        </w:rPr>
        <w:t xml:space="preserve"> </w:t>
      </w:r>
      <w:r w:rsidR="00C8568D">
        <w:rPr>
          <w:szCs w:val="22"/>
        </w:rPr>
        <w:t xml:space="preserve">as measured by </w:t>
      </w:r>
      <w:r>
        <w:rPr>
          <w:szCs w:val="22"/>
        </w:rPr>
        <w:t>their most recent Form 477, aggregated over all affiliates.</w:t>
      </w:r>
      <w:r>
        <w:rPr>
          <w:rStyle w:val="FootnoteReference"/>
          <w:szCs w:val="22"/>
        </w:rPr>
        <w:footnoteReference w:id="15"/>
      </w:r>
      <w:r w:rsidR="003F6283">
        <w:rPr>
          <w:szCs w:val="22"/>
        </w:rPr>
        <w:t xml:space="preserve">  </w:t>
      </w:r>
      <w:r w:rsidR="00C8568D">
        <w:rPr>
          <w:szCs w:val="22"/>
        </w:rPr>
        <w:t>Is this the right threshold for any extension of the exemption?  If not, what is a more appropriate level to identify those providers “likely to be most disproportionately affected by the new disclosure requirements?”</w:t>
      </w:r>
      <w:r w:rsidR="00C8568D">
        <w:rPr>
          <w:rStyle w:val="FootnoteReference"/>
          <w:szCs w:val="22"/>
        </w:rPr>
        <w:footnoteReference w:id="16"/>
      </w:r>
      <w:r w:rsidR="00C8568D">
        <w:rPr>
          <w:szCs w:val="22"/>
        </w:rPr>
        <w:t xml:space="preserve">  </w:t>
      </w:r>
      <w:r w:rsidR="00130AF2">
        <w:rPr>
          <w:szCs w:val="22"/>
        </w:rPr>
        <w:t>How should the Commission determine whether a provider qualifies for th</w:t>
      </w:r>
      <w:r w:rsidR="00C8568D">
        <w:rPr>
          <w:szCs w:val="22"/>
        </w:rPr>
        <w:t>e</w:t>
      </w:r>
      <w:r w:rsidR="00130AF2">
        <w:rPr>
          <w:szCs w:val="22"/>
        </w:rPr>
        <w:t xml:space="preserve"> exemption if it is required to file a Form 477 but has not done so?  Should such providers be </w:t>
      </w:r>
      <w:r w:rsidR="00C8568D">
        <w:rPr>
          <w:szCs w:val="22"/>
        </w:rPr>
        <w:t xml:space="preserve">ineligible for the </w:t>
      </w:r>
      <w:r w:rsidR="00130AF2">
        <w:rPr>
          <w:szCs w:val="22"/>
        </w:rPr>
        <w:t>exemption</w:t>
      </w:r>
      <w:r w:rsidR="00CF09D4">
        <w:rPr>
          <w:szCs w:val="22"/>
        </w:rPr>
        <w:t xml:space="preserve"> until </w:t>
      </w:r>
      <w:r w:rsidR="00C8568D">
        <w:rPr>
          <w:szCs w:val="22"/>
        </w:rPr>
        <w:t xml:space="preserve">they have </w:t>
      </w:r>
      <w:r w:rsidR="00CF09D4">
        <w:rPr>
          <w:szCs w:val="22"/>
        </w:rPr>
        <w:t>done so</w:t>
      </w:r>
      <w:r w:rsidR="00130AF2">
        <w:rPr>
          <w:szCs w:val="22"/>
        </w:rPr>
        <w:t xml:space="preserve">?  </w:t>
      </w:r>
      <w:r w:rsidR="00C8568D">
        <w:rPr>
          <w:szCs w:val="22"/>
        </w:rPr>
        <w:t>A</w:t>
      </w:r>
      <w:r w:rsidR="00655C13">
        <w:rPr>
          <w:szCs w:val="22"/>
        </w:rPr>
        <w:t xml:space="preserve">re there reasons to adopt thresholds </w:t>
      </w:r>
      <w:r w:rsidR="00696527">
        <w:rPr>
          <w:szCs w:val="22"/>
        </w:rPr>
        <w:t xml:space="preserve">that vary </w:t>
      </w:r>
      <w:r w:rsidR="00655C13">
        <w:rPr>
          <w:szCs w:val="22"/>
        </w:rPr>
        <w:t xml:space="preserve">for fixed and mobile providers?  </w:t>
      </w:r>
      <w:r w:rsidR="00405B7F">
        <w:rPr>
          <w:szCs w:val="22"/>
        </w:rPr>
        <w:t xml:space="preserve">We note that the Final Regulatory Flexibility Analysis contained in the </w:t>
      </w:r>
      <w:r w:rsidR="00405B7F">
        <w:rPr>
          <w:i/>
          <w:szCs w:val="22"/>
        </w:rPr>
        <w:t>2015 Open Internet Order</w:t>
      </w:r>
      <w:r w:rsidR="00405B7F">
        <w:rPr>
          <w:szCs w:val="22"/>
        </w:rPr>
        <w:t xml:space="preserve"> discusses a number of ways to define the small entities impacted by that Order.</w:t>
      </w:r>
      <w:r w:rsidR="00405B7F">
        <w:rPr>
          <w:rStyle w:val="FootnoteReference"/>
          <w:szCs w:val="22"/>
        </w:rPr>
        <w:footnoteReference w:id="17"/>
      </w:r>
      <w:r w:rsidR="00B243E8">
        <w:rPr>
          <w:szCs w:val="22"/>
        </w:rPr>
        <w:t xml:space="preserve">  In this regard, we welcome comments from entities </w:t>
      </w:r>
      <w:r w:rsidR="00CF6317">
        <w:rPr>
          <w:szCs w:val="22"/>
        </w:rPr>
        <w:t xml:space="preserve">with expertise on such questions, </w:t>
      </w:r>
      <w:r w:rsidR="00B243E8">
        <w:rPr>
          <w:szCs w:val="22"/>
        </w:rPr>
        <w:t>such as the Small Business Administration.</w:t>
      </w:r>
      <w:r w:rsidR="00655C13">
        <w:rPr>
          <w:szCs w:val="22"/>
        </w:rPr>
        <w:t xml:space="preserve">  We seek comment on these and any other</w:t>
      </w:r>
      <w:r w:rsidR="00316544">
        <w:rPr>
          <w:szCs w:val="22"/>
        </w:rPr>
        <w:t xml:space="preserve"> issues</w:t>
      </w:r>
      <w:r w:rsidR="00655C13">
        <w:rPr>
          <w:szCs w:val="22"/>
        </w:rPr>
        <w:t xml:space="preserve"> commen</w:t>
      </w:r>
      <w:r w:rsidR="00316544">
        <w:rPr>
          <w:szCs w:val="22"/>
        </w:rPr>
        <w:t>ters deem relevant</w:t>
      </w:r>
      <w:r w:rsidR="00655C13">
        <w:rPr>
          <w:szCs w:val="22"/>
        </w:rPr>
        <w:t>.</w:t>
      </w:r>
    </w:p>
    <w:p w14:paraId="464ECB96" w14:textId="77777777" w:rsidR="00785E89" w:rsidRDefault="00785E89" w:rsidP="000C4691">
      <w:pPr>
        <w:rPr>
          <w:szCs w:val="22"/>
        </w:rPr>
      </w:pPr>
    </w:p>
    <w:p w14:paraId="13EAD8C5" w14:textId="77777777" w:rsidR="00D631CF" w:rsidRDefault="00D631CF">
      <w:pPr>
        <w:rPr>
          <w:b/>
          <w:szCs w:val="22"/>
        </w:rPr>
      </w:pPr>
      <w:r>
        <w:rPr>
          <w:b/>
          <w:szCs w:val="22"/>
        </w:rPr>
        <w:br w:type="page"/>
      </w:r>
    </w:p>
    <w:p w14:paraId="57E5222A" w14:textId="588C2817" w:rsidR="00785E89" w:rsidRDefault="001B6733" w:rsidP="000C4691">
      <w:pPr>
        <w:rPr>
          <w:szCs w:val="22"/>
        </w:rPr>
      </w:pPr>
      <w:r>
        <w:rPr>
          <w:b/>
          <w:szCs w:val="22"/>
        </w:rPr>
        <w:t>PROCED</w:t>
      </w:r>
      <w:r w:rsidR="00785E89">
        <w:rPr>
          <w:b/>
          <w:szCs w:val="22"/>
        </w:rPr>
        <w:t>URAL MATTERS</w:t>
      </w:r>
    </w:p>
    <w:p w14:paraId="57D761F6" w14:textId="77777777" w:rsidR="00785E89" w:rsidRDefault="00785E89" w:rsidP="000C4691">
      <w:pPr>
        <w:rPr>
          <w:szCs w:val="22"/>
        </w:rPr>
      </w:pPr>
    </w:p>
    <w:p w14:paraId="7CD60C68" w14:textId="0FA1AA42" w:rsidR="00785E89" w:rsidRDefault="00785E89" w:rsidP="000C4691">
      <w:pPr>
        <w:rPr>
          <w:szCs w:val="22"/>
        </w:rPr>
      </w:pPr>
      <w:r>
        <w:rPr>
          <w:b/>
          <w:szCs w:val="22"/>
        </w:rPr>
        <w:t>A.  Final Regulatory Flexibility Analysis</w:t>
      </w:r>
    </w:p>
    <w:p w14:paraId="2E7F063F" w14:textId="77777777" w:rsidR="00785E89" w:rsidRDefault="00785E89" w:rsidP="000C4691">
      <w:pPr>
        <w:rPr>
          <w:szCs w:val="22"/>
        </w:rPr>
      </w:pPr>
    </w:p>
    <w:p w14:paraId="5A1F7A00" w14:textId="3D1D09C7" w:rsidR="00785E89" w:rsidRPr="000C4691" w:rsidRDefault="00785E89" w:rsidP="000C4691">
      <w:pPr>
        <w:rPr>
          <w:szCs w:val="22"/>
        </w:rPr>
      </w:pPr>
      <w:r>
        <w:rPr>
          <w:szCs w:val="22"/>
        </w:rPr>
        <w:tab/>
      </w:r>
      <w:r w:rsidRPr="008813B1">
        <w:rPr>
          <w:szCs w:val="22"/>
        </w:rPr>
        <w:t xml:space="preserve">The </w:t>
      </w:r>
      <w:r w:rsidRPr="008813B1">
        <w:rPr>
          <w:i/>
          <w:szCs w:val="22"/>
        </w:rPr>
        <w:t>2015 Open Internet Order</w:t>
      </w:r>
      <w:r w:rsidRPr="008813B1">
        <w:rPr>
          <w:szCs w:val="22"/>
        </w:rPr>
        <w:t xml:space="preserve"> included a Final Regulatory Flexibility Analysis (FRFA) pursuant to 5 U.S.C </w:t>
      </w:r>
      <w:r w:rsidRPr="000C4691">
        <w:rPr>
          <w:szCs w:val="22"/>
        </w:rPr>
        <w:t>§ 603</w:t>
      </w:r>
      <w:r w:rsidR="00901492" w:rsidRPr="000C4691">
        <w:rPr>
          <w:szCs w:val="22"/>
        </w:rPr>
        <w:t>, dis</w:t>
      </w:r>
      <w:r w:rsidR="000D50E6" w:rsidRPr="000D50E6">
        <w:rPr>
          <w:szCs w:val="22"/>
        </w:rPr>
        <w:t xml:space="preserve">cussing the </w:t>
      </w:r>
      <w:r w:rsidR="00901492" w:rsidRPr="000C4691">
        <w:rPr>
          <w:szCs w:val="22"/>
        </w:rPr>
        <w:t>impact on small entities of the policies and rules adopted therein.</w:t>
      </w:r>
      <w:r w:rsidR="00901492" w:rsidRPr="000C4691">
        <w:rPr>
          <w:rStyle w:val="FootnoteReference"/>
          <w:szCs w:val="22"/>
        </w:rPr>
        <w:footnoteReference w:id="18"/>
      </w:r>
      <w:r w:rsidR="00516783">
        <w:rPr>
          <w:szCs w:val="22"/>
        </w:rPr>
        <w:t xml:space="preserve">  </w:t>
      </w:r>
      <w:r w:rsidR="00901492" w:rsidRPr="000C4691">
        <w:rPr>
          <w:szCs w:val="22"/>
        </w:rPr>
        <w:t xml:space="preserve">We </w:t>
      </w:r>
      <w:r w:rsidR="000D50E6">
        <w:rPr>
          <w:szCs w:val="22"/>
        </w:rPr>
        <w:t xml:space="preserve">incorporate the FRFA and </w:t>
      </w:r>
      <w:r w:rsidR="00901492" w:rsidRPr="000C4691">
        <w:rPr>
          <w:szCs w:val="22"/>
        </w:rPr>
        <w:t>invite parti</w:t>
      </w:r>
      <w:r w:rsidR="000D50E6" w:rsidRPr="000D50E6">
        <w:rPr>
          <w:szCs w:val="22"/>
        </w:rPr>
        <w:t>es to file comment</w:t>
      </w:r>
      <w:r w:rsidR="000D50E6" w:rsidRPr="00FD776F">
        <w:rPr>
          <w:szCs w:val="22"/>
        </w:rPr>
        <w:t xml:space="preserve">s </w:t>
      </w:r>
      <w:r w:rsidR="00901492" w:rsidRPr="000C4691">
        <w:rPr>
          <w:szCs w:val="22"/>
        </w:rPr>
        <w:t>in light of this additional Public Notice.</w:t>
      </w:r>
    </w:p>
    <w:p w14:paraId="6F588E60" w14:textId="77777777" w:rsidR="00901492" w:rsidRPr="000C4691" w:rsidRDefault="00901492" w:rsidP="000C4691">
      <w:pPr>
        <w:rPr>
          <w:szCs w:val="22"/>
        </w:rPr>
      </w:pPr>
    </w:p>
    <w:p w14:paraId="4476E190" w14:textId="1C63C498" w:rsidR="00901492" w:rsidRPr="000C4691" w:rsidRDefault="00901492" w:rsidP="000C4691">
      <w:pPr>
        <w:rPr>
          <w:b/>
          <w:i/>
          <w:szCs w:val="22"/>
        </w:rPr>
      </w:pPr>
      <w:r w:rsidRPr="000C4691">
        <w:rPr>
          <w:b/>
          <w:szCs w:val="22"/>
        </w:rPr>
        <w:t>B.  P</w:t>
      </w:r>
      <w:r w:rsidR="000D50E6">
        <w:rPr>
          <w:b/>
          <w:szCs w:val="22"/>
        </w:rPr>
        <w:t>aperwork Reduction Act</w:t>
      </w:r>
    </w:p>
    <w:p w14:paraId="22E6C659" w14:textId="77777777" w:rsidR="00901492" w:rsidRPr="000C4691" w:rsidRDefault="00901492" w:rsidP="000C4691">
      <w:pPr>
        <w:rPr>
          <w:b/>
          <w:i/>
          <w:szCs w:val="22"/>
        </w:rPr>
      </w:pPr>
    </w:p>
    <w:p w14:paraId="68F602F1" w14:textId="282131CF" w:rsidR="009D4DD9" w:rsidRPr="009D4DD9" w:rsidRDefault="00901492" w:rsidP="009D4DD9">
      <w:pPr>
        <w:rPr>
          <w:szCs w:val="22"/>
        </w:rPr>
      </w:pPr>
      <w:r w:rsidRPr="000C4691">
        <w:rPr>
          <w:b/>
          <w:szCs w:val="22"/>
        </w:rPr>
        <w:tab/>
      </w:r>
      <w:r w:rsidRPr="000C4691">
        <w:rPr>
          <w:szCs w:val="22"/>
        </w:rPr>
        <w:t xml:space="preserve">The </w:t>
      </w:r>
      <w:r w:rsidRPr="000C4691">
        <w:rPr>
          <w:i/>
          <w:szCs w:val="22"/>
        </w:rPr>
        <w:t>2015 Open Internet Order</w:t>
      </w:r>
      <w:r w:rsidRPr="000C4691">
        <w:rPr>
          <w:szCs w:val="22"/>
        </w:rPr>
        <w:t xml:space="preserve"> contained new information collections subject to the Paperwork Reduction Act of 1995 (PRA), Public Law 104-13</w:t>
      </w:r>
      <w:r w:rsidR="008813B1" w:rsidRPr="000C4691">
        <w:rPr>
          <w:szCs w:val="22"/>
        </w:rPr>
        <w:t xml:space="preserve"> including new collections relating to the enhanced transparency requirements.</w:t>
      </w:r>
      <w:r w:rsidR="008813B1" w:rsidRPr="000C4691">
        <w:rPr>
          <w:rStyle w:val="FootnoteReference"/>
          <w:szCs w:val="22"/>
        </w:rPr>
        <w:footnoteReference w:id="19"/>
      </w:r>
      <w:r w:rsidR="008813B1" w:rsidRPr="000C4691">
        <w:rPr>
          <w:szCs w:val="22"/>
        </w:rPr>
        <w:t xml:space="preserve">  </w:t>
      </w:r>
      <w:r w:rsidR="009D4DD9" w:rsidRPr="009D4DD9">
        <w:rPr>
          <w:szCs w:val="22"/>
        </w:rPr>
        <w:t>The Commission currently has an Office and Management and Budget (OMB) collection 3060-1158 pending OMB’s r</w:t>
      </w:r>
      <w:r w:rsidR="003A7621">
        <w:rPr>
          <w:szCs w:val="22"/>
        </w:rPr>
        <w:t xml:space="preserve">eview and approval.  The </w:t>
      </w:r>
      <w:r w:rsidR="009D4DD9" w:rsidRPr="003A7621">
        <w:rPr>
          <w:szCs w:val="22"/>
        </w:rPr>
        <w:t>Federal Register</w:t>
      </w:r>
      <w:r w:rsidR="009D4DD9" w:rsidRPr="009D4DD9">
        <w:rPr>
          <w:szCs w:val="22"/>
        </w:rPr>
        <w:t xml:space="preserve"> notice seeking comment on the revision was published in the </w:t>
      </w:r>
      <w:r w:rsidR="009D4DD9" w:rsidRPr="003A7621">
        <w:rPr>
          <w:szCs w:val="22"/>
        </w:rPr>
        <w:t>Federal Register</w:t>
      </w:r>
      <w:r w:rsidR="009D4DD9" w:rsidRPr="009D4DD9">
        <w:rPr>
          <w:szCs w:val="22"/>
        </w:rPr>
        <w:t xml:space="preserve"> on May 20, 2015, at</w:t>
      </w:r>
      <w:r w:rsidR="009D4DD9">
        <w:rPr>
          <w:szCs w:val="22"/>
        </w:rPr>
        <w:t xml:space="preserve"> 80 FR 29000.  </w:t>
      </w:r>
      <w:r w:rsidR="009D4DD9" w:rsidRPr="009D4DD9">
        <w:rPr>
          <w:szCs w:val="22"/>
        </w:rPr>
        <w:t xml:space="preserve">OMB, the general public, and other federal agencies are invited to comment on the information collections contained in this proceeding.  </w:t>
      </w:r>
      <w:r w:rsidR="009D4DD9">
        <w:rPr>
          <w:szCs w:val="22"/>
        </w:rPr>
        <w:t>This Public Notice, however,</w:t>
      </w:r>
      <w:r w:rsidR="009D4DD9" w:rsidRPr="009D4DD9">
        <w:rPr>
          <w:szCs w:val="22"/>
        </w:rPr>
        <w:t xml:space="preserve"> does not modify the existing information collection requirements contained in OMB collection 3060-1158, and it does not contain new or modified information collection requirements subject to the PRA.  In addition, therefore, it does not contain any new or modified information collection burden for small business concerns with fewer than 25 employees, pursuant to the Small Busine</w:t>
      </w:r>
      <w:r w:rsidR="003A7621">
        <w:rPr>
          <w:szCs w:val="22"/>
        </w:rPr>
        <w:t>ss Paperwork Relief Act of 2002,</w:t>
      </w:r>
      <w:r w:rsidR="009D4DD9" w:rsidRPr="009D4DD9">
        <w:rPr>
          <w:szCs w:val="22"/>
        </w:rPr>
        <w:t xml:space="preserve"> Pub. L. 107-198.</w:t>
      </w:r>
      <w:r w:rsidR="003A7621">
        <w:rPr>
          <w:rStyle w:val="FootnoteReference"/>
          <w:szCs w:val="22"/>
        </w:rPr>
        <w:footnoteReference w:id="20"/>
      </w:r>
      <w:r w:rsidR="009D4DD9" w:rsidRPr="009D4DD9">
        <w:rPr>
          <w:szCs w:val="22"/>
        </w:rPr>
        <w:t xml:space="preserve">  </w:t>
      </w:r>
    </w:p>
    <w:p w14:paraId="1EF9E437" w14:textId="396BFD05" w:rsidR="000D50E6" w:rsidRPr="009D4DD9" w:rsidRDefault="000D50E6" w:rsidP="000C4691">
      <w:pPr>
        <w:rPr>
          <w:szCs w:val="22"/>
        </w:rPr>
      </w:pPr>
    </w:p>
    <w:p w14:paraId="7C3286B4" w14:textId="39669BE8" w:rsidR="000D50E6" w:rsidRPr="000C4691" w:rsidRDefault="000D50E6" w:rsidP="000C4691">
      <w:pPr>
        <w:rPr>
          <w:b/>
          <w:szCs w:val="22"/>
        </w:rPr>
      </w:pPr>
      <w:r>
        <w:rPr>
          <w:b/>
          <w:szCs w:val="22"/>
        </w:rPr>
        <w:t>C.  Filing Requirements</w:t>
      </w:r>
    </w:p>
    <w:p w14:paraId="49603DBC" w14:textId="77777777" w:rsidR="00B82C21" w:rsidRPr="008813B1" w:rsidRDefault="00B82C21" w:rsidP="009313FC">
      <w:pPr>
        <w:rPr>
          <w:szCs w:val="22"/>
        </w:rPr>
      </w:pPr>
    </w:p>
    <w:p w14:paraId="0C2D3FB3" w14:textId="77777777" w:rsidR="001E68FC" w:rsidRPr="001E68FC" w:rsidRDefault="001E68FC" w:rsidP="001E68FC">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14:paraId="3EF166CE" w14:textId="77777777" w:rsidR="001E68FC" w:rsidRPr="001E68FC" w:rsidRDefault="001E68FC" w:rsidP="001E68FC">
      <w:pPr>
        <w:autoSpaceDE w:val="0"/>
        <w:autoSpaceDN w:val="0"/>
        <w:adjustRightInd w:val="0"/>
        <w:ind w:firstLine="720"/>
        <w:rPr>
          <w:szCs w:val="22"/>
        </w:rPr>
      </w:pPr>
    </w:p>
    <w:p w14:paraId="4E01D031" w14:textId="77777777" w:rsidR="001E68FC" w:rsidRPr="001E68FC" w:rsidRDefault="001E68FC" w:rsidP="001E68FC">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14:paraId="369CBC19" w14:textId="77777777" w:rsidR="001E68FC" w:rsidRPr="001E68FC" w:rsidRDefault="001E68FC" w:rsidP="001E68FC">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14:paraId="35E8CBD2" w14:textId="77777777" w:rsidR="001E68FC" w:rsidRPr="001E68FC" w:rsidRDefault="001E68FC" w:rsidP="001E68FC">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3EE00EBB" w14:textId="77777777" w:rsidR="001E68FC" w:rsidRPr="001E68FC" w:rsidRDefault="001E68FC" w:rsidP="001E68FC">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14:paraId="34A1F4CD" w14:textId="77777777" w:rsidR="001E68FC" w:rsidRPr="001E68FC" w:rsidRDefault="001E68FC" w:rsidP="001E68FC">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14:paraId="44392048" w14:textId="77777777" w:rsidR="001E68FC" w:rsidRPr="001E68FC" w:rsidRDefault="001E68FC" w:rsidP="001E68FC">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14:paraId="5E9852C1" w14:textId="77777777" w:rsidR="001E68FC" w:rsidRPr="001E68FC" w:rsidRDefault="001E68FC" w:rsidP="001E68FC">
      <w:pPr>
        <w:autoSpaceDE w:val="0"/>
        <w:autoSpaceDN w:val="0"/>
        <w:adjustRightInd w:val="0"/>
        <w:rPr>
          <w:szCs w:val="22"/>
        </w:rPr>
      </w:pPr>
    </w:p>
    <w:p w14:paraId="14ABA5D6" w14:textId="52AFA5D8" w:rsidR="001E68FC" w:rsidRPr="001E68FC" w:rsidRDefault="001E68FC" w:rsidP="001E68FC">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14:paraId="1805AF8D" w14:textId="77777777" w:rsidR="001E68FC" w:rsidRPr="001E68FC" w:rsidRDefault="001E68FC" w:rsidP="001E68FC">
      <w:pPr>
        <w:autoSpaceDE w:val="0"/>
        <w:autoSpaceDN w:val="0"/>
        <w:adjustRightInd w:val="0"/>
        <w:ind w:firstLine="720"/>
        <w:rPr>
          <w:szCs w:val="22"/>
        </w:rPr>
      </w:pPr>
    </w:p>
    <w:p w14:paraId="2D2C7F87" w14:textId="77777777" w:rsidR="001E68FC" w:rsidRPr="001E68FC" w:rsidRDefault="001E68FC" w:rsidP="001E68FC">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21"/>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14:paraId="1F252693" w14:textId="77777777" w:rsidR="001E68FC" w:rsidRPr="001E68FC" w:rsidRDefault="001E68FC" w:rsidP="001E68FC">
      <w:pPr>
        <w:autoSpaceDE w:val="0"/>
        <w:autoSpaceDN w:val="0"/>
        <w:adjustRightInd w:val="0"/>
        <w:rPr>
          <w:szCs w:val="22"/>
        </w:rPr>
      </w:pPr>
    </w:p>
    <w:p w14:paraId="6F45A8A5" w14:textId="24523BC6" w:rsidR="001E68FC" w:rsidRDefault="001E68FC" w:rsidP="001E68FC">
      <w:pPr>
        <w:rPr>
          <w:szCs w:val="22"/>
        </w:rPr>
      </w:pPr>
      <w:r w:rsidRPr="001E68FC">
        <w:rPr>
          <w:b/>
          <w:szCs w:val="22"/>
        </w:rPr>
        <w:t>FOR FURTHER INFORMATION CONTACT:</w:t>
      </w:r>
      <w:r w:rsidRPr="001E68FC">
        <w:rPr>
          <w:szCs w:val="22"/>
        </w:rPr>
        <w:t xml:space="preserve">  Richard D. Smith, Consumer and Governmental Affairs Bureau, Federal Communications Commission, (717) 338-2797</w:t>
      </w:r>
      <w:r w:rsidR="006D0730">
        <w:rPr>
          <w:szCs w:val="22"/>
        </w:rPr>
        <w:t>;</w:t>
      </w:r>
      <w:r w:rsidRPr="001E68FC">
        <w:rPr>
          <w:szCs w:val="22"/>
        </w:rPr>
        <w:t xml:space="preserve"> or </w:t>
      </w:r>
      <w:hyperlink r:id="rId15" w:history="1">
        <w:r w:rsidR="00E41CC7" w:rsidRPr="006C1CE3">
          <w:rPr>
            <w:rStyle w:val="Hyperlink"/>
            <w:szCs w:val="22"/>
          </w:rPr>
          <w:t>Richard.Smith@fcc.gov</w:t>
        </w:r>
      </w:hyperlink>
      <w:r w:rsidRPr="001E68FC">
        <w:rPr>
          <w:szCs w:val="22"/>
        </w:rPr>
        <w:t>.</w:t>
      </w:r>
    </w:p>
    <w:p w14:paraId="5E63BA93" w14:textId="77777777" w:rsidR="00E41CC7" w:rsidRPr="001E68FC" w:rsidRDefault="00E41CC7" w:rsidP="001E68FC">
      <w:pPr>
        <w:rPr>
          <w:szCs w:val="22"/>
        </w:rPr>
      </w:pPr>
    </w:p>
    <w:p w14:paraId="32F98453" w14:textId="77777777" w:rsidR="006878EA" w:rsidRPr="00801FF6" w:rsidRDefault="001E68FC" w:rsidP="00801FF6">
      <w:pPr>
        <w:jc w:val="center"/>
        <w:rPr>
          <w:b/>
          <w:sz w:val="24"/>
          <w:szCs w:val="24"/>
        </w:rPr>
      </w:pPr>
      <w:r w:rsidRPr="001E68FC">
        <w:rPr>
          <w:b/>
          <w:sz w:val="24"/>
          <w:szCs w:val="24"/>
        </w:rPr>
        <w:t>-FCC-</w:t>
      </w:r>
    </w:p>
    <w:sectPr w:rsidR="006878EA" w:rsidRPr="00801FF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82B11" w14:textId="77777777" w:rsidR="00E50D47" w:rsidRDefault="00E50D47">
      <w:r>
        <w:separator/>
      </w:r>
    </w:p>
  </w:endnote>
  <w:endnote w:type="continuationSeparator" w:id="0">
    <w:p w14:paraId="0D468CE2" w14:textId="77777777" w:rsidR="00E50D47" w:rsidRDefault="00E50D47">
      <w:r>
        <w:continuationSeparator/>
      </w:r>
    </w:p>
  </w:endnote>
  <w:endnote w:type="continuationNotice" w:id="1">
    <w:p w14:paraId="5D1F583C" w14:textId="77777777" w:rsidR="00E50D47" w:rsidRDefault="00E50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BF4E4" w14:textId="77777777" w:rsidR="00590EF1" w:rsidRDefault="00590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067462"/>
      <w:docPartObj>
        <w:docPartGallery w:val="Page Numbers (Bottom of Page)"/>
        <w:docPartUnique/>
      </w:docPartObj>
    </w:sdtPr>
    <w:sdtEndPr>
      <w:rPr>
        <w:noProof/>
      </w:rPr>
    </w:sdtEndPr>
    <w:sdtContent>
      <w:p w14:paraId="57F8F2B0" w14:textId="36B292F3" w:rsidR="00CF79AD" w:rsidRDefault="00CF79AD">
        <w:pPr>
          <w:pStyle w:val="Footer"/>
          <w:jc w:val="center"/>
        </w:pPr>
        <w:r>
          <w:fldChar w:fldCharType="begin"/>
        </w:r>
        <w:r>
          <w:instrText xml:space="preserve"> PAGE   \* MERGEFORMAT </w:instrText>
        </w:r>
        <w:r>
          <w:fldChar w:fldCharType="separate"/>
        </w:r>
        <w:r w:rsidR="00FC2E5F">
          <w:rPr>
            <w:noProof/>
          </w:rPr>
          <w:t>2</w:t>
        </w:r>
        <w:r>
          <w:rPr>
            <w:noProof/>
          </w:rPr>
          <w:fldChar w:fldCharType="end"/>
        </w:r>
      </w:p>
    </w:sdtContent>
  </w:sdt>
  <w:p w14:paraId="4E240C4E" w14:textId="77777777" w:rsidR="00CF79AD" w:rsidRDefault="00CF7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51E8" w14:textId="77777777" w:rsidR="00255FCF" w:rsidRDefault="00255FCF">
    <w:pPr>
      <w:pStyle w:val="Footer"/>
      <w:jc w:val="center"/>
    </w:pPr>
  </w:p>
  <w:p w14:paraId="771A04AC" w14:textId="77777777" w:rsidR="00255FCF" w:rsidRDefault="00255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253DE" w14:textId="77777777" w:rsidR="00E50D47" w:rsidRDefault="00E50D47">
      <w:r>
        <w:separator/>
      </w:r>
    </w:p>
  </w:footnote>
  <w:footnote w:type="continuationSeparator" w:id="0">
    <w:p w14:paraId="20EFAD8C" w14:textId="77777777" w:rsidR="00E50D47" w:rsidRDefault="00E50D47">
      <w:r>
        <w:continuationSeparator/>
      </w:r>
    </w:p>
  </w:footnote>
  <w:footnote w:type="continuationNotice" w:id="1">
    <w:p w14:paraId="5A7044A0" w14:textId="77777777" w:rsidR="00E50D47" w:rsidRDefault="00E50D47"/>
  </w:footnote>
  <w:footnote w:id="2">
    <w:p w14:paraId="0349E481" w14:textId="5EB13522" w:rsidR="00255FCF" w:rsidRPr="00FD776F" w:rsidRDefault="00255FCF">
      <w:pPr>
        <w:pStyle w:val="FootnoteText"/>
        <w:rPr>
          <w:sz w:val="20"/>
        </w:rPr>
      </w:pPr>
      <w:r w:rsidRPr="00655C13">
        <w:rPr>
          <w:rStyle w:val="FootnoteReference"/>
          <w:sz w:val="20"/>
        </w:rPr>
        <w:footnoteRef/>
      </w:r>
      <w:r w:rsidRPr="00655C13">
        <w:rPr>
          <w:i/>
          <w:sz w:val="20"/>
        </w:rPr>
        <w:t xml:space="preserve"> See</w:t>
      </w:r>
      <w:r w:rsidRPr="00655C13">
        <w:rPr>
          <w:sz w:val="20"/>
        </w:rPr>
        <w:t xml:space="preserve"> </w:t>
      </w:r>
      <w:r w:rsidRPr="00655C13">
        <w:rPr>
          <w:i/>
          <w:sz w:val="20"/>
        </w:rPr>
        <w:t>Protecting and Promoting the Open Internet</w:t>
      </w:r>
      <w:r w:rsidRPr="00655C13">
        <w:rPr>
          <w:sz w:val="20"/>
        </w:rPr>
        <w:t>, GN Docket No. 14-28, Report and Order on Remand, Declaratory Ruling, and Order, FCC 15-24, paras. 154-181 (rel. Mar. 12, 2015) (</w:t>
      </w:r>
      <w:r w:rsidRPr="00655C13">
        <w:rPr>
          <w:i/>
          <w:sz w:val="20"/>
        </w:rPr>
        <w:t>2015 Open Internet Order</w:t>
      </w:r>
      <w:r w:rsidR="00CF09D4">
        <w:rPr>
          <w:sz w:val="20"/>
        </w:rPr>
        <w:t>)</w:t>
      </w:r>
      <w:r w:rsidRPr="00655C13">
        <w:rPr>
          <w:sz w:val="20"/>
        </w:rPr>
        <w:t>.</w:t>
      </w:r>
      <w:r w:rsidR="00FD776F">
        <w:rPr>
          <w:sz w:val="20"/>
        </w:rPr>
        <w:t xml:space="preserve">  A summary of the </w:t>
      </w:r>
      <w:r w:rsidR="00FD776F">
        <w:rPr>
          <w:i/>
          <w:sz w:val="20"/>
        </w:rPr>
        <w:t>2015 Open Internet Order</w:t>
      </w:r>
      <w:r w:rsidR="00FD776F">
        <w:rPr>
          <w:sz w:val="20"/>
        </w:rPr>
        <w:t xml:space="preserve"> was published in the Federal Register</w:t>
      </w:r>
      <w:r w:rsidR="005E5158">
        <w:rPr>
          <w:sz w:val="20"/>
        </w:rPr>
        <w:t>.</w:t>
      </w:r>
      <w:r w:rsidR="00FD776F">
        <w:rPr>
          <w:sz w:val="20"/>
        </w:rPr>
        <w:t xml:space="preserve">  </w:t>
      </w:r>
      <w:r w:rsidR="005E5158">
        <w:rPr>
          <w:i/>
          <w:sz w:val="20"/>
        </w:rPr>
        <w:t xml:space="preserve">See </w:t>
      </w:r>
      <w:r w:rsidR="005E5158">
        <w:rPr>
          <w:sz w:val="20"/>
        </w:rPr>
        <w:t>80 F</w:t>
      </w:r>
      <w:r w:rsidR="001B6733">
        <w:rPr>
          <w:sz w:val="20"/>
        </w:rPr>
        <w:t xml:space="preserve">ed. </w:t>
      </w:r>
      <w:r w:rsidR="005E5158">
        <w:rPr>
          <w:sz w:val="20"/>
        </w:rPr>
        <w:t>R</w:t>
      </w:r>
      <w:r w:rsidR="001B6733">
        <w:rPr>
          <w:sz w:val="20"/>
        </w:rPr>
        <w:t>eg.</w:t>
      </w:r>
      <w:r w:rsidR="005E5158">
        <w:rPr>
          <w:sz w:val="20"/>
        </w:rPr>
        <w:t xml:space="preserve"> 19738-01 (April 13, 2015).</w:t>
      </w:r>
    </w:p>
  </w:footnote>
  <w:footnote w:id="3">
    <w:p w14:paraId="44CFE99A" w14:textId="0038393D" w:rsidR="00255FCF" w:rsidRPr="00655C13" w:rsidRDefault="00255FCF">
      <w:pPr>
        <w:pStyle w:val="FootnoteText"/>
        <w:rPr>
          <w:sz w:val="20"/>
        </w:rPr>
      </w:pPr>
      <w:r w:rsidRPr="00655C13">
        <w:rPr>
          <w:rStyle w:val="FootnoteReference"/>
          <w:sz w:val="20"/>
        </w:rPr>
        <w:footnoteRef/>
      </w:r>
      <w:r w:rsidRPr="00655C13">
        <w:rPr>
          <w:sz w:val="20"/>
        </w:rPr>
        <w:t xml:space="preserve"> </w:t>
      </w:r>
      <w:r w:rsidR="00CF09D4">
        <w:rPr>
          <w:i/>
          <w:sz w:val="20"/>
        </w:rPr>
        <w:t xml:space="preserve">Id. </w:t>
      </w:r>
      <w:r w:rsidR="00CF09D4">
        <w:rPr>
          <w:sz w:val="20"/>
        </w:rPr>
        <w:t>at paras. 154, 161</w:t>
      </w:r>
      <w:r w:rsidR="00CF09D4" w:rsidRPr="00655C13">
        <w:rPr>
          <w:sz w:val="20"/>
        </w:rPr>
        <w:t xml:space="preserve">; </w:t>
      </w:r>
      <w:r w:rsidR="00CF09D4" w:rsidRPr="00655C13">
        <w:rPr>
          <w:i/>
          <w:sz w:val="20"/>
        </w:rPr>
        <w:t>see also</w:t>
      </w:r>
      <w:r w:rsidR="00CF09D4" w:rsidRPr="00655C13">
        <w:rPr>
          <w:sz w:val="20"/>
        </w:rPr>
        <w:t xml:space="preserve"> 47 C.F.R. § 8.3</w:t>
      </w:r>
      <w:r w:rsidR="00CF09D4">
        <w:rPr>
          <w:sz w:val="20"/>
        </w:rPr>
        <w:t>.</w:t>
      </w:r>
    </w:p>
  </w:footnote>
  <w:footnote w:id="4">
    <w:p w14:paraId="54545B24" w14:textId="3B2D5FCA" w:rsidR="005603B5" w:rsidRPr="000F22A8" w:rsidRDefault="005603B5">
      <w:pPr>
        <w:pStyle w:val="FootnoteText"/>
      </w:pPr>
      <w:r>
        <w:rPr>
          <w:rStyle w:val="FootnoteReference"/>
        </w:rPr>
        <w:footnoteRef/>
      </w:r>
      <w:r>
        <w:t xml:space="preserve"> </w:t>
      </w:r>
      <w:r w:rsidRPr="00820CA0">
        <w:rPr>
          <w:i/>
          <w:sz w:val="20"/>
        </w:rPr>
        <w:t>2015 Open Internet Order</w:t>
      </w:r>
      <w:r>
        <w:rPr>
          <w:i/>
          <w:sz w:val="20"/>
        </w:rPr>
        <w:t xml:space="preserve"> </w:t>
      </w:r>
      <w:r>
        <w:rPr>
          <w:sz w:val="20"/>
        </w:rPr>
        <w:t>at paras. 164-170</w:t>
      </w:r>
      <w:r w:rsidR="00CF79AD">
        <w:rPr>
          <w:sz w:val="20"/>
        </w:rPr>
        <w:t xml:space="preserve">. </w:t>
      </w:r>
      <w:r w:rsidR="002E5938" w:rsidRPr="00655C13">
        <w:rPr>
          <w:sz w:val="20"/>
        </w:rPr>
        <w:t xml:space="preserve">The enhanced requirements include disclosure of: </w:t>
      </w:r>
      <w:r w:rsidR="002E5938">
        <w:rPr>
          <w:sz w:val="20"/>
        </w:rPr>
        <w:t xml:space="preserve"> </w:t>
      </w:r>
      <w:r w:rsidR="002E5938" w:rsidRPr="00655C13">
        <w:rPr>
          <w:sz w:val="20"/>
        </w:rPr>
        <w:t>(i) commercial terms for prices, other fees, and data cap allowances; (ii) performance characteristics including packet loss, performance by geographic area, and average performance over a reasonable time and during peak usage; (iii) network practices including practices that are applied to traffic associated with a particular user or group, including any application-agnostic degradation of service, user based or application based practices should include the purpose of practice, which users or data plans may be affected, the triggers that activate the use of the practice, the types of traffic that are subject to the practice and the practice’s likely effects on the end users’ experience; and (iv) a voluntary safe harbor that providers may use in meeting the existing requirement to make transparency disclosures in a format that meets</w:t>
      </w:r>
      <w:r w:rsidR="002E5938">
        <w:rPr>
          <w:sz w:val="20"/>
        </w:rPr>
        <w:t xml:space="preserve"> the needs of end users.  </w:t>
      </w:r>
      <w:r w:rsidR="00767E79">
        <w:rPr>
          <w:i/>
          <w:sz w:val="20"/>
        </w:rPr>
        <w:t xml:space="preserve">See </w:t>
      </w:r>
      <w:r w:rsidR="002E5938">
        <w:rPr>
          <w:i/>
          <w:sz w:val="20"/>
        </w:rPr>
        <w:t xml:space="preserve">id. </w:t>
      </w:r>
      <w:r w:rsidR="002E5938" w:rsidRPr="00655C13">
        <w:rPr>
          <w:sz w:val="20"/>
        </w:rPr>
        <w:t>at paras. 164-170, 176-181.</w:t>
      </w:r>
      <w:r w:rsidR="000F22A8">
        <w:rPr>
          <w:sz w:val="20"/>
        </w:rPr>
        <w:t xml:space="preserve">  As noted in the </w:t>
      </w:r>
      <w:r w:rsidR="000F22A8">
        <w:rPr>
          <w:i/>
          <w:sz w:val="20"/>
        </w:rPr>
        <w:t>Order</w:t>
      </w:r>
      <w:r w:rsidR="000F22A8">
        <w:rPr>
          <w:sz w:val="20"/>
        </w:rPr>
        <w:t xml:space="preserve">, the transparency rule has always required that broadband providers disclose information “sufficient to allow consumers to make informed choices,” which could include the information expressly required by the enhancements.  </w:t>
      </w:r>
      <w:r w:rsidR="000F22A8">
        <w:rPr>
          <w:i/>
          <w:sz w:val="20"/>
        </w:rPr>
        <w:t xml:space="preserve">See id. </w:t>
      </w:r>
      <w:r w:rsidR="000F22A8">
        <w:rPr>
          <w:sz w:val="20"/>
        </w:rPr>
        <w:t>at para. 182.</w:t>
      </w:r>
    </w:p>
  </w:footnote>
  <w:footnote w:id="5">
    <w:p w14:paraId="77419063" w14:textId="11E2F615" w:rsidR="00255FCF" w:rsidRPr="005E5158" w:rsidRDefault="00255FCF">
      <w:pPr>
        <w:pStyle w:val="FootnoteText"/>
        <w:rPr>
          <w:sz w:val="20"/>
        </w:rPr>
      </w:pPr>
      <w:r w:rsidRPr="00655C13">
        <w:rPr>
          <w:rStyle w:val="FootnoteReference"/>
          <w:sz w:val="20"/>
        </w:rPr>
        <w:footnoteRef/>
      </w:r>
      <w:r w:rsidRPr="00655C13">
        <w:rPr>
          <w:sz w:val="20"/>
        </w:rPr>
        <w:t xml:space="preserve"> </w:t>
      </w:r>
      <w:r w:rsidR="00CF09D4">
        <w:rPr>
          <w:i/>
          <w:sz w:val="20"/>
        </w:rPr>
        <w:t xml:space="preserve">2015 Open Internet Order </w:t>
      </w:r>
      <w:r w:rsidRPr="00655C13">
        <w:rPr>
          <w:sz w:val="20"/>
        </w:rPr>
        <w:t>at paras. 172-75 (emphasizing that all providers of broadband Internet access service, including small providers, remain subject to the transparency rule adopted in 2010).</w:t>
      </w:r>
      <w:r w:rsidR="00AB6C32">
        <w:rPr>
          <w:sz w:val="20"/>
        </w:rPr>
        <w:t xml:space="preserve">  </w:t>
      </w:r>
    </w:p>
  </w:footnote>
  <w:footnote w:id="6">
    <w:p w14:paraId="25C952C4" w14:textId="42592C3A" w:rsidR="00C035F4" w:rsidRPr="00C035F4" w:rsidRDefault="00C035F4">
      <w:pPr>
        <w:pStyle w:val="FootnoteText"/>
      </w:pPr>
      <w:r>
        <w:rPr>
          <w:rStyle w:val="FootnoteReference"/>
        </w:rPr>
        <w:footnoteRef/>
      </w:r>
      <w:r>
        <w:t xml:space="preserve"> </w:t>
      </w:r>
      <w:r w:rsidRPr="00820CA0">
        <w:rPr>
          <w:i/>
          <w:sz w:val="20"/>
        </w:rPr>
        <w:t>Id</w:t>
      </w:r>
      <w:r w:rsidRPr="00820CA0">
        <w:rPr>
          <w:sz w:val="20"/>
        </w:rPr>
        <w:t>. at para. 174.</w:t>
      </w:r>
    </w:p>
  </w:footnote>
  <w:footnote w:id="7">
    <w:p w14:paraId="294D15D6" w14:textId="269A7C9F" w:rsidR="00255FCF" w:rsidRPr="00655C13" w:rsidRDefault="00255FCF">
      <w:pPr>
        <w:pStyle w:val="FootnoteText"/>
        <w:rPr>
          <w:sz w:val="20"/>
        </w:rPr>
      </w:pPr>
      <w:r w:rsidRPr="00655C13">
        <w:rPr>
          <w:rStyle w:val="FootnoteReference"/>
          <w:sz w:val="20"/>
        </w:rPr>
        <w:footnoteRef/>
      </w:r>
      <w:r w:rsidRPr="00655C13">
        <w:rPr>
          <w:sz w:val="20"/>
        </w:rPr>
        <w:t xml:space="preserve"> </w:t>
      </w:r>
      <w:r w:rsidRPr="00655C13">
        <w:rPr>
          <w:i/>
          <w:sz w:val="20"/>
        </w:rPr>
        <w:t>Id.</w:t>
      </w:r>
      <w:r w:rsidRPr="00655C13">
        <w:rPr>
          <w:sz w:val="20"/>
        </w:rPr>
        <w:t xml:space="preserve"> </w:t>
      </w:r>
    </w:p>
  </w:footnote>
  <w:footnote w:id="8">
    <w:p w14:paraId="1856D633" w14:textId="6E8ED996" w:rsidR="00FA60E0" w:rsidRPr="006060AF" w:rsidRDefault="00FA60E0">
      <w:pPr>
        <w:pStyle w:val="FootnoteText"/>
      </w:pPr>
      <w:r>
        <w:rPr>
          <w:rStyle w:val="FootnoteReference"/>
        </w:rPr>
        <w:footnoteRef/>
      </w:r>
      <w:r>
        <w:t xml:space="preserve"> </w:t>
      </w:r>
      <w:r w:rsidR="00B60D07" w:rsidRPr="006E47FF">
        <w:rPr>
          <w:i/>
          <w:sz w:val="20"/>
        </w:rPr>
        <w:t>Id.</w:t>
      </w:r>
      <w:r w:rsidR="00B60D07" w:rsidRPr="006E47FF">
        <w:rPr>
          <w:sz w:val="20"/>
        </w:rPr>
        <w:t xml:space="preserve"> at para. 173.</w:t>
      </w:r>
    </w:p>
  </w:footnote>
  <w:footnote w:id="9">
    <w:p w14:paraId="7EE8781B" w14:textId="403A3460" w:rsidR="00B60D07" w:rsidRPr="006E47FF" w:rsidRDefault="00B60D07" w:rsidP="00B60D07">
      <w:pPr>
        <w:pStyle w:val="FootnoteText"/>
        <w:rPr>
          <w:sz w:val="20"/>
        </w:rPr>
      </w:pPr>
      <w:r w:rsidRPr="006E47FF">
        <w:rPr>
          <w:rStyle w:val="FootnoteReference"/>
          <w:sz w:val="20"/>
        </w:rPr>
        <w:footnoteRef/>
      </w:r>
      <w:r w:rsidRPr="006E47FF">
        <w:rPr>
          <w:sz w:val="20"/>
        </w:rPr>
        <w:t xml:space="preserve"> </w:t>
      </w:r>
      <w:r w:rsidRPr="006E47FF">
        <w:rPr>
          <w:i/>
          <w:sz w:val="20"/>
        </w:rPr>
        <w:t xml:space="preserve">See, e.g., </w:t>
      </w:r>
      <w:r w:rsidRPr="006E47FF">
        <w:rPr>
          <w:sz w:val="20"/>
        </w:rPr>
        <w:t>most recent Form 477 Instructions</w:t>
      </w:r>
      <w:r w:rsidR="006060AF">
        <w:rPr>
          <w:sz w:val="20"/>
        </w:rPr>
        <w:t>,</w:t>
      </w:r>
      <w:r w:rsidRPr="006E47FF">
        <w:rPr>
          <w:sz w:val="20"/>
        </w:rPr>
        <w:t xml:space="preserve"> </w:t>
      </w:r>
      <w:hyperlink r:id="rId1" w:history="1">
        <w:r w:rsidR="006060AF" w:rsidRPr="006060AF">
          <w:rPr>
            <w:rStyle w:val="Hyperlink"/>
            <w:sz w:val="20"/>
          </w:rPr>
          <w:t>https://transition.fcc.gov/form477/477inst.pdf</w:t>
        </w:r>
      </w:hyperlink>
      <w:r w:rsidR="006060AF">
        <w:rPr>
          <w:sz w:val="20"/>
        </w:rPr>
        <w:t>,</w:t>
      </w:r>
      <w:r w:rsidR="006060AF" w:rsidRPr="00A00783">
        <w:rPr>
          <w:sz w:val="20"/>
        </w:rPr>
        <w:t xml:space="preserve"> </w:t>
      </w:r>
      <w:r w:rsidRPr="006E47FF">
        <w:rPr>
          <w:sz w:val="20"/>
        </w:rPr>
        <w:t xml:space="preserve">at 4 (“FCC Form 477 collects information about broadband connections to end-user locations . . .”). </w:t>
      </w:r>
    </w:p>
  </w:footnote>
  <w:footnote w:id="10">
    <w:p w14:paraId="27FB1E11" w14:textId="6F331F2E" w:rsidR="00B60D07" w:rsidRDefault="00B60D07">
      <w:pPr>
        <w:pStyle w:val="FootnoteText"/>
      </w:pPr>
      <w:r>
        <w:rPr>
          <w:rStyle w:val="FootnoteReference"/>
        </w:rPr>
        <w:footnoteRef/>
      </w:r>
      <w:r>
        <w:t xml:space="preserve"> </w:t>
      </w:r>
      <w:r w:rsidRPr="00655C13">
        <w:rPr>
          <w:i/>
          <w:sz w:val="20"/>
        </w:rPr>
        <w:t>Rural Call Completion</w:t>
      </w:r>
      <w:r w:rsidRPr="00655C13">
        <w:rPr>
          <w:sz w:val="20"/>
        </w:rPr>
        <w:t>, WC Docket No. 13-39, Report and Order and Further Notice of Proposed Rulemaking, 28 FCC Rcd 16154</w:t>
      </w:r>
      <w:r>
        <w:rPr>
          <w:sz w:val="20"/>
        </w:rPr>
        <w:t>, 16168, para. 27</w:t>
      </w:r>
      <w:r w:rsidRPr="00655C13">
        <w:rPr>
          <w:sz w:val="20"/>
        </w:rPr>
        <w:t xml:space="preserve"> (2013).</w:t>
      </w:r>
    </w:p>
  </w:footnote>
  <w:footnote w:id="11">
    <w:p w14:paraId="0DD9F0A7" w14:textId="775C40B6" w:rsidR="0007609A" w:rsidRPr="00655C13" w:rsidRDefault="0007609A" w:rsidP="0007609A">
      <w:pPr>
        <w:pStyle w:val="FootnoteText"/>
        <w:rPr>
          <w:sz w:val="20"/>
        </w:rPr>
      </w:pPr>
      <w:r w:rsidRPr="00655C13">
        <w:rPr>
          <w:rStyle w:val="FootnoteReference"/>
          <w:sz w:val="20"/>
        </w:rPr>
        <w:footnoteRef/>
      </w:r>
      <w:r w:rsidRPr="00655C13">
        <w:rPr>
          <w:sz w:val="20"/>
        </w:rPr>
        <w:t xml:space="preserve"> </w:t>
      </w:r>
      <w:r w:rsidR="0087602F">
        <w:rPr>
          <w:i/>
          <w:sz w:val="20"/>
        </w:rPr>
        <w:t>2015 Open Internet Order</w:t>
      </w:r>
      <w:r w:rsidRPr="00655C13">
        <w:rPr>
          <w:sz w:val="20"/>
        </w:rPr>
        <w:t xml:space="preserve"> at para. 172.</w:t>
      </w:r>
    </w:p>
  </w:footnote>
  <w:footnote w:id="12">
    <w:p w14:paraId="7D95BC94" w14:textId="2AEBEB57" w:rsidR="00255FCF" w:rsidRPr="00655C13" w:rsidRDefault="00255FCF" w:rsidP="00A15858">
      <w:pPr>
        <w:pStyle w:val="FootnoteText"/>
        <w:rPr>
          <w:sz w:val="20"/>
        </w:rPr>
      </w:pPr>
      <w:r w:rsidRPr="00655C13">
        <w:rPr>
          <w:rStyle w:val="FootnoteReference"/>
          <w:sz w:val="20"/>
        </w:rPr>
        <w:footnoteRef/>
      </w:r>
      <w:r w:rsidRPr="00655C13">
        <w:rPr>
          <w:sz w:val="20"/>
        </w:rPr>
        <w:t xml:space="preserve"> </w:t>
      </w:r>
      <w:r>
        <w:rPr>
          <w:i/>
          <w:sz w:val="20"/>
        </w:rPr>
        <w:t>Id.</w:t>
      </w:r>
      <w:r w:rsidR="00C218DC">
        <w:rPr>
          <w:sz w:val="20"/>
        </w:rPr>
        <w:t xml:space="preserve"> </w:t>
      </w:r>
    </w:p>
  </w:footnote>
  <w:footnote w:id="13">
    <w:p w14:paraId="1A97F317" w14:textId="205C8226" w:rsidR="00B41D60" w:rsidRPr="00B41D60" w:rsidRDefault="00B41D60">
      <w:pPr>
        <w:pStyle w:val="FootnoteText"/>
      </w:pPr>
      <w:r>
        <w:rPr>
          <w:rStyle w:val="FootnoteReference"/>
        </w:rPr>
        <w:footnoteRef/>
      </w:r>
      <w:r>
        <w:t xml:space="preserve"> </w:t>
      </w:r>
      <w:r w:rsidRPr="00820CA0">
        <w:rPr>
          <w:i/>
          <w:sz w:val="20"/>
        </w:rPr>
        <w:t>Id.</w:t>
      </w:r>
      <w:r w:rsidRPr="00820CA0">
        <w:rPr>
          <w:sz w:val="20"/>
        </w:rPr>
        <w:t xml:space="preserve"> </w:t>
      </w:r>
    </w:p>
  </w:footnote>
  <w:footnote w:id="14">
    <w:p w14:paraId="74706AAE" w14:textId="77777777" w:rsidR="00255FCF" w:rsidRPr="00655C13" w:rsidRDefault="00255FCF" w:rsidP="00A15858">
      <w:pPr>
        <w:pStyle w:val="FootnoteText"/>
        <w:rPr>
          <w:i/>
          <w:sz w:val="20"/>
        </w:rPr>
      </w:pPr>
      <w:r w:rsidRPr="00655C13">
        <w:rPr>
          <w:rStyle w:val="FootnoteReference"/>
          <w:sz w:val="20"/>
        </w:rPr>
        <w:footnoteRef/>
      </w:r>
      <w:r w:rsidRPr="00655C13">
        <w:rPr>
          <w:sz w:val="20"/>
        </w:rPr>
        <w:t xml:space="preserve"> </w:t>
      </w:r>
      <w:r w:rsidRPr="00655C13">
        <w:rPr>
          <w:i/>
          <w:sz w:val="20"/>
        </w:rPr>
        <w:t>Id.</w:t>
      </w:r>
    </w:p>
  </w:footnote>
  <w:footnote w:id="15">
    <w:p w14:paraId="441EE6D8" w14:textId="0CEA9B7E" w:rsidR="00255FCF" w:rsidRPr="00655C13" w:rsidRDefault="00255FCF">
      <w:pPr>
        <w:pStyle w:val="FootnoteText"/>
        <w:rPr>
          <w:sz w:val="20"/>
        </w:rPr>
      </w:pPr>
      <w:r w:rsidRPr="00655C13">
        <w:rPr>
          <w:rStyle w:val="FootnoteReference"/>
          <w:sz w:val="20"/>
        </w:rPr>
        <w:footnoteRef/>
      </w:r>
      <w:r w:rsidRPr="00655C13">
        <w:rPr>
          <w:sz w:val="20"/>
        </w:rPr>
        <w:t xml:space="preserve"> </w:t>
      </w:r>
      <w:r w:rsidRPr="00655C13">
        <w:rPr>
          <w:i/>
          <w:sz w:val="20"/>
        </w:rPr>
        <w:t>Id</w:t>
      </w:r>
      <w:r w:rsidRPr="00655C13">
        <w:rPr>
          <w:sz w:val="20"/>
        </w:rPr>
        <w:t>. at para. 173</w:t>
      </w:r>
      <w:r w:rsidR="00B60D07">
        <w:rPr>
          <w:sz w:val="20"/>
        </w:rPr>
        <w:t>.</w:t>
      </w:r>
    </w:p>
  </w:footnote>
  <w:footnote w:id="16">
    <w:p w14:paraId="22373490" w14:textId="1F5BEA78" w:rsidR="00C8568D" w:rsidRPr="00820CA0" w:rsidRDefault="00C8568D">
      <w:pPr>
        <w:pStyle w:val="FootnoteText"/>
        <w:rPr>
          <w:i/>
        </w:rPr>
      </w:pPr>
      <w:r>
        <w:rPr>
          <w:rStyle w:val="FootnoteReference"/>
        </w:rPr>
        <w:footnoteRef/>
      </w:r>
      <w:r>
        <w:t xml:space="preserve"> </w:t>
      </w:r>
      <w:r w:rsidR="0087602F">
        <w:rPr>
          <w:i/>
          <w:sz w:val="20"/>
        </w:rPr>
        <w:t>Id.</w:t>
      </w:r>
      <w:r>
        <w:rPr>
          <w:i/>
          <w:sz w:val="20"/>
        </w:rPr>
        <w:t xml:space="preserve"> </w:t>
      </w:r>
      <w:r>
        <w:rPr>
          <w:sz w:val="20"/>
        </w:rPr>
        <w:t>at para. 173.</w:t>
      </w:r>
    </w:p>
  </w:footnote>
  <w:footnote w:id="17">
    <w:p w14:paraId="708ABDD7" w14:textId="243ED231" w:rsidR="00255FCF" w:rsidRPr="00655C13" w:rsidRDefault="00255FCF">
      <w:pPr>
        <w:pStyle w:val="FootnoteText"/>
        <w:rPr>
          <w:sz w:val="20"/>
        </w:rPr>
      </w:pPr>
      <w:r w:rsidRPr="00655C13">
        <w:rPr>
          <w:rStyle w:val="FootnoteReference"/>
          <w:sz w:val="20"/>
        </w:rPr>
        <w:footnoteRef/>
      </w:r>
      <w:r w:rsidRPr="00655C13">
        <w:rPr>
          <w:sz w:val="20"/>
        </w:rPr>
        <w:t xml:space="preserve"> </w:t>
      </w:r>
      <w:r w:rsidRPr="00655C13">
        <w:rPr>
          <w:i/>
          <w:sz w:val="20"/>
        </w:rPr>
        <w:t xml:space="preserve">See </w:t>
      </w:r>
      <w:r w:rsidR="0087602F">
        <w:rPr>
          <w:i/>
          <w:sz w:val="20"/>
        </w:rPr>
        <w:t>i</w:t>
      </w:r>
      <w:r w:rsidR="008813B1">
        <w:rPr>
          <w:i/>
          <w:sz w:val="20"/>
        </w:rPr>
        <w:t>d.</w:t>
      </w:r>
      <w:r w:rsidR="008813B1">
        <w:rPr>
          <w:sz w:val="20"/>
        </w:rPr>
        <w:t xml:space="preserve"> at</w:t>
      </w:r>
      <w:r w:rsidRPr="00655C13">
        <w:rPr>
          <w:sz w:val="20"/>
        </w:rPr>
        <w:t xml:space="preserve"> App. B – paras. 17-54.</w:t>
      </w:r>
    </w:p>
  </w:footnote>
  <w:footnote w:id="18">
    <w:p w14:paraId="5BFD6745" w14:textId="3A30707F" w:rsidR="00901492" w:rsidRPr="00903627" w:rsidRDefault="00901492">
      <w:pPr>
        <w:pStyle w:val="FootnoteText"/>
        <w:rPr>
          <w:sz w:val="20"/>
        </w:rPr>
      </w:pPr>
      <w:r w:rsidRPr="00903627">
        <w:rPr>
          <w:rStyle w:val="FootnoteReference"/>
          <w:sz w:val="20"/>
        </w:rPr>
        <w:footnoteRef/>
      </w:r>
      <w:r w:rsidRPr="00903627">
        <w:rPr>
          <w:sz w:val="20"/>
        </w:rPr>
        <w:t xml:space="preserve"> </w:t>
      </w:r>
      <w:r w:rsidRPr="00903627">
        <w:rPr>
          <w:i/>
          <w:sz w:val="20"/>
        </w:rPr>
        <w:t>Id.</w:t>
      </w:r>
      <w:r w:rsidRPr="00903627">
        <w:rPr>
          <w:sz w:val="20"/>
        </w:rPr>
        <w:t xml:space="preserve"> at App. B.</w:t>
      </w:r>
    </w:p>
  </w:footnote>
  <w:footnote w:id="19">
    <w:p w14:paraId="15483DC9" w14:textId="301A0CA2" w:rsidR="008813B1" w:rsidRPr="00903627" w:rsidRDefault="008813B1">
      <w:pPr>
        <w:pStyle w:val="FootnoteText"/>
        <w:rPr>
          <w:sz w:val="20"/>
        </w:rPr>
      </w:pPr>
      <w:r w:rsidRPr="00903627">
        <w:rPr>
          <w:rStyle w:val="FootnoteReference"/>
          <w:sz w:val="20"/>
        </w:rPr>
        <w:footnoteRef/>
      </w:r>
      <w:r w:rsidRPr="00903627">
        <w:rPr>
          <w:sz w:val="20"/>
        </w:rPr>
        <w:t xml:space="preserve"> </w:t>
      </w:r>
      <w:r w:rsidRPr="00903627">
        <w:rPr>
          <w:i/>
          <w:sz w:val="20"/>
        </w:rPr>
        <w:t>Id.</w:t>
      </w:r>
      <w:r w:rsidRPr="00903627">
        <w:rPr>
          <w:sz w:val="20"/>
        </w:rPr>
        <w:t xml:space="preserve"> at para. 578.</w:t>
      </w:r>
    </w:p>
  </w:footnote>
  <w:footnote w:id="20">
    <w:p w14:paraId="1C808EF8" w14:textId="77777777" w:rsidR="003A7621" w:rsidRPr="003A7621" w:rsidRDefault="003A7621" w:rsidP="003A7621">
      <w:pPr>
        <w:rPr>
          <w:sz w:val="20"/>
        </w:rPr>
      </w:pPr>
      <w:r w:rsidRPr="003A7621">
        <w:rPr>
          <w:rStyle w:val="FootnoteReference"/>
          <w:sz w:val="20"/>
        </w:rPr>
        <w:footnoteRef/>
      </w:r>
      <w:r w:rsidRPr="003A7621">
        <w:rPr>
          <w:sz w:val="20"/>
        </w:rPr>
        <w:t xml:space="preserve"> </w:t>
      </w:r>
      <w:r w:rsidRPr="003A7621">
        <w:rPr>
          <w:i/>
          <w:sz w:val="20"/>
        </w:rPr>
        <w:t>See also</w:t>
      </w:r>
      <w:r w:rsidRPr="003A7621">
        <w:rPr>
          <w:sz w:val="20"/>
        </w:rPr>
        <w:t xml:space="preserve"> 44 U.S.C. 3506(c)(4). </w:t>
      </w:r>
    </w:p>
    <w:p w14:paraId="76B15E6D" w14:textId="16480B91" w:rsidR="003A7621" w:rsidRDefault="003A7621">
      <w:pPr>
        <w:pStyle w:val="FootnoteText"/>
      </w:pPr>
    </w:p>
  </w:footnote>
  <w:footnote w:id="21">
    <w:p w14:paraId="15A1C4FD" w14:textId="77777777" w:rsidR="00255FCF" w:rsidRPr="00655C13" w:rsidRDefault="00255FCF" w:rsidP="001E68FC">
      <w:pPr>
        <w:pStyle w:val="FootnoteText"/>
        <w:rPr>
          <w:iCs/>
          <w:sz w:val="20"/>
        </w:rPr>
      </w:pPr>
      <w:r w:rsidRPr="00655C13">
        <w:rPr>
          <w:rStyle w:val="FootnoteReference"/>
          <w:sz w:val="20"/>
        </w:rPr>
        <w:footnoteRef/>
      </w:r>
      <w:r w:rsidRPr="00655C13">
        <w:rPr>
          <w:sz w:val="20"/>
        </w:rPr>
        <w:t xml:space="preserve"> 47 C.F.R. §§ 1.1200 </w:t>
      </w:r>
      <w:r w:rsidRPr="00655C13">
        <w:rPr>
          <w:i/>
          <w:iCs/>
          <w:sz w:val="20"/>
        </w:rPr>
        <w:t>et seq</w:t>
      </w:r>
      <w:r w:rsidRPr="00655C13">
        <w:rPr>
          <w:iCs/>
          <w:sz w:val="20"/>
        </w:rPr>
        <w:t>.</w:t>
      </w:r>
    </w:p>
    <w:p w14:paraId="7A0ED654" w14:textId="77777777" w:rsidR="00255FCF" w:rsidRPr="00655C13" w:rsidRDefault="00255FCF" w:rsidP="001E68FC">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F979D" w14:textId="77777777" w:rsidR="00590EF1" w:rsidRDefault="00590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6E1BD" w14:textId="77777777" w:rsidR="00590EF1" w:rsidRDefault="00590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8658" w14:textId="77777777" w:rsidR="00255FCF" w:rsidRPr="001E317B" w:rsidRDefault="00255FCF">
    <w:pPr>
      <w:pStyle w:val="Header"/>
      <w:tabs>
        <w:tab w:val="clear" w:pos="4320"/>
        <w:tab w:val="clear" w:pos="8640"/>
      </w:tabs>
      <w:spacing w:before="40"/>
      <w:ind w:firstLine="1080"/>
      <w:rPr>
        <w:b/>
        <w:kern w:val="28"/>
        <w:sz w:val="96"/>
      </w:rPr>
    </w:pPr>
    <w:r w:rsidRPr="001E317B">
      <w:rPr>
        <w:b/>
        <w:noProof/>
        <w:sz w:val="24"/>
      </w:rPr>
      <w:drawing>
        <wp:anchor distT="0" distB="0" distL="114300" distR="114300" simplePos="0" relativeHeight="251659264" behindDoc="0" locked="0" layoutInCell="0" allowOverlap="1" wp14:anchorId="0549B9C6" wp14:editId="7868826B">
          <wp:simplePos x="0" y="0"/>
          <wp:positionH relativeFrom="column">
            <wp:posOffset>30480</wp:posOffset>
          </wp:positionH>
          <wp:positionV relativeFrom="paragraph">
            <wp:posOffset>107950</wp:posOffset>
          </wp:positionV>
          <wp:extent cx="530225" cy="530225"/>
          <wp:effectExtent l="0" t="0" r="3175" b="3175"/>
          <wp:wrapTopAndBottom/>
          <wp:docPr id="4" name="Picture 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17B">
      <w:rPr>
        <w:b/>
        <w:noProof/>
        <w:sz w:val="24"/>
      </w:rPr>
      <mc:AlternateContent>
        <mc:Choice Requires="wps">
          <w:drawing>
            <wp:anchor distT="0" distB="0" distL="114300" distR="114300" simplePos="0" relativeHeight="251656192" behindDoc="0" locked="0" layoutInCell="0" allowOverlap="1" wp14:anchorId="5C604A7D" wp14:editId="751694EB">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15764" w14:textId="77777777" w:rsidR="00255FCF" w:rsidRDefault="00255FCF">
                          <w:pPr>
                            <w:rPr>
                              <w:rFonts w:ascii="Arial" w:hAnsi="Arial"/>
                              <w:b/>
                            </w:rPr>
                          </w:pPr>
                          <w:r>
                            <w:rPr>
                              <w:rFonts w:ascii="Arial" w:hAnsi="Arial"/>
                              <w:b/>
                            </w:rPr>
                            <w:t>Federal Communications Commission</w:t>
                          </w:r>
                        </w:p>
                        <w:p w14:paraId="5E5257EA" w14:textId="77777777" w:rsidR="00255FCF" w:rsidRDefault="00255FC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8039BE1" w14:textId="77777777" w:rsidR="00255FCF" w:rsidRDefault="00255FC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604A7D"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14:paraId="32115764" w14:textId="77777777" w:rsidR="00255FCF" w:rsidRDefault="00255FCF">
                    <w:pPr>
                      <w:rPr>
                        <w:rFonts w:ascii="Arial" w:hAnsi="Arial"/>
                        <w:b/>
                      </w:rPr>
                    </w:pPr>
                    <w:r>
                      <w:rPr>
                        <w:rFonts w:ascii="Arial" w:hAnsi="Arial"/>
                        <w:b/>
                      </w:rPr>
                      <w:t>Federal Communications Commission</w:t>
                    </w:r>
                  </w:p>
                  <w:p w14:paraId="5E5257EA" w14:textId="77777777" w:rsidR="00255FCF" w:rsidRDefault="00255FC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8039BE1" w14:textId="77777777" w:rsidR="00255FCF" w:rsidRDefault="00255FCF">
                    <w:pPr>
                      <w:rPr>
                        <w:rFonts w:ascii="Arial" w:hAnsi="Arial"/>
                        <w:sz w:val="24"/>
                      </w:rPr>
                    </w:pPr>
                    <w:r>
                      <w:rPr>
                        <w:rFonts w:ascii="Arial" w:hAnsi="Arial"/>
                        <w:b/>
                      </w:rPr>
                      <w:t>Washington, D.C. 20554</w:t>
                    </w:r>
                  </w:p>
                </w:txbxContent>
              </v:textbox>
            </v:shape>
          </w:pict>
        </mc:Fallback>
      </mc:AlternateContent>
    </w:r>
    <w:r w:rsidRPr="001E317B">
      <w:rPr>
        <w:b/>
        <w:kern w:val="28"/>
        <w:sz w:val="96"/>
      </w:rPr>
      <w:t>PUBLIC NOTICE</w:t>
    </w:r>
  </w:p>
  <w:p w14:paraId="35E2AEAB" w14:textId="77777777" w:rsidR="00255FCF" w:rsidRDefault="00255FC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E5BF0B5" wp14:editId="282E3AFA">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09D62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0995FF7" wp14:editId="670343B8">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E751D" w14:textId="77777777" w:rsidR="00255FCF" w:rsidRDefault="00255FCF">
                          <w:pPr>
                            <w:spacing w:before="40"/>
                            <w:jc w:val="right"/>
                            <w:rPr>
                              <w:rFonts w:ascii="Arial" w:hAnsi="Arial"/>
                              <w:b/>
                              <w:sz w:val="16"/>
                            </w:rPr>
                          </w:pPr>
                          <w:r>
                            <w:rPr>
                              <w:rFonts w:ascii="Arial" w:hAnsi="Arial"/>
                              <w:b/>
                              <w:sz w:val="16"/>
                            </w:rPr>
                            <w:t>News Media Information 202 / 418-0500</w:t>
                          </w:r>
                        </w:p>
                        <w:p w14:paraId="564F7C73" w14:textId="77777777" w:rsidR="00255FCF" w:rsidRDefault="00255FC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2663A58" w14:textId="77777777" w:rsidR="00255FCF" w:rsidRDefault="00255FCF">
                          <w:pPr>
                            <w:jc w:val="right"/>
                            <w:rPr>
                              <w:rFonts w:ascii="Arial" w:hAnsi="Arial"/>
                              <w:b/>
                              <w:sz w:val="16"/>
                            </w:rPr>
                          </w:pPr>
                          <w:r>
                            <w:rPr>
                              <w:rFonts w:ascii="Arial" w:hAnsi="Arial"/>
                              <w:b/>
                              <w:sz w:val="16"/>
                            </w:rPr>
                            <w:t>TTY: 1-888-835-5322</w:t>
                          </w:r>
                        </w:p>
                        <w:p w14:paraId="66D91164" w14:textId="77777777" w:rsidR="00255FCF" w:rsidRDefault="00255FC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995FF7"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14:paraId="092E751D" w14:textId="77777777" w:rsidR="00255FCF" w:rsidRDefault="00255FCF">
                    <w:pPr>
                      <w:spacing w:before="40"/>
                      <w:jc w:val="right"/>
                      <w:rPr>
                        <w:rFonts w:ascii="Arial" w:hAnsi="Arial"/>
                        <w:b/>
                        <w:sz w:val="16"/>
                      </w:rPr>
                    </w:pPr>
                    <w:r>
                      <w:rPr>
                        <w:rFonts w:ascii="Arial" w:hAnsi="Arial"/>
                        <w:b/>
                        <w:sz w:val="16"/>
                      </w:rPr>
                      <w:t>News Media Information 202 / 418-0500</w:t>
                    </w:r>
                  </w:p>
                  <w:p w14:paraId="564F7C73" w14:textId="77777777" w:rsidR="00255FCF" w:rsidRDefault="00255FC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2663A58" w14:textId="77777777" w:rsidR="00255FCF" w:rsidRDefault="00255FCF">
                    <w:pPr>
                      <w:jc w:val="right"/>
                      <w:rPr>
                        <w:rFonts w:ascii="Arial" w:hAnsi="Arial"/>
                        <w:b/>
                        <w:sz w:val="16"/>
                      </w:rPr>
                    </w:pPr>
                    <w:r>
                      <w:rPr>
                        <w:rFonts w:ascii="Arial" w:hAnsi="Arial"/>
                        <w:b/>
                        <w:sz w:val="16"/>
                      </w:rPr>
                      <w:t>TTY: 1-888-835-5322</w:t>
                    </w:r>
                  </w:p>
                  <w:p w14:paraId="66D91164" w14:textId="77777777" w:rsidR="00255FCF" w:rsidRDefault="00255FCF">
                    <w:pPr>
                      <w:jc w:val="right"/>
                    </w:pPr>
                  </w:p>
                </w:txbxContent>
              </v:textbox>
            </v:shape>
          </w:pict>
        </mc:Fallback>
      </mc:AlternateContent>
    </w:r>
  </w:p>
  <w:p w14:paraId="5453A1A6" w14:textId="77777777" w:rsidR="00255FCF" w:rsidRDefault="00255FC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6E85"/>
    <w:multiLevelType w:val="hybridMultilevel"/>
    <w:tmpl w:val="BC165230"/>
    <w:lvl w:ilvl="0" w:tplc="98DCC3C0">
      <w:start w:val="1"/>
      <w:numFmt w:val="bullet"/>
      <w:lvlText w:val=""/>
      <w:lvlJc w:val="left"/>
      <w:pPr>
        <w:tabs>
          <w:tab w:val="num" w:pos="360"/>
        </w:tabs>
        <w:ind w:left="36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7">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1F43FF5"/>
    <w:multiLevelType w:val="hybridMultilevel"/>
    <w:tmpl w:val="C18C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00D63"/>
    <w:rsid w:val="0001646B"/>
    <w:rsid w:val="0002492B"/>
    <w:rsid w:val="0002562F"/>
    <w:rsid w:val="00030150"/>
    <w:rsid w:val="000612AD"/>
    <w:rsid w:val="000678E7"/>
    <w:rsid w:val="00071E86"/>
    <w:rsid w:val="0007609A"/>
    <w:rsid w:val="0009564A"/>
    <w:rsid w:val="00096BA6"/>
    <w:rsid w:val="000A037D"/>
    <w:rsid w:val="000A6B51"/>
    <w:rsid w:val="000B000A"/>
    <w:rsid w:val="000B553F"/>
    <w:rsid w:val="000C0475"/>
    <w:rsid w:val="000C1109"/>
    <w:rsid w:val="000C2B80"/>
    <w:rsid w:val="000C41D3"/>
    <w:rsid w:val="000C4691"/>
    <w:rsid w:val="000C6C2A"/>
    <w:rsid w:val="000D11B7"/>
    <w:rsid w:val="000D1C50"/>
    <w:rsid w:val="000D50E6"/>
    <w:rsid w:val="000D6DC2"/>
    <w:rsid w:val="000F22A8"/>
    <w:rsid w:val="000F69DF"/>
    <w:rsid w:val="0010035E"/>
    <w:rsid w:val="001127AB"/>
    <w:rsid w:val="00113CC1"/>
    <w:rsid w:val="00113D6D"/>
    <w:rsid w:val="00124D5D"/>
    <w:rsid w:val="00126FC7"/>
    <w:rsid w:val="00127B2A"/>
    <w:rsid w:val="00130AF2"/>
    <w:rsid w:val="0014052B"/>
    <w:rsid w:val="00146E01"/>
    <w:rsid w:val="00147379"/>
    <w:rsid w:val="0015568D"/>
    <w:rsid w:val="00170DCF"/>
    <w:rsid w:val="001777EC"/>
    <w:rsid w:val="001919F2"/>
    <w:rsid w:val="001968F0"/>
    <w:rsid w:val="001A0556"/>
    <w:rsid w:val="001B21B4"/>
    <w:rsid w:val="001B4F07"/>
    <w:rsid w:val="001B6733"/>
    <w:rsid w:val="001D2450"/>
    <w:rsid w:val="001E317B"/>
    <w:rsid w:val="001E4090"/>
    <w:rsid w:val="001E68FC"/>
    <w:rsid w:val="002003A4"/>
    <w:rsid w:val="002048D4"/>
    <w:rsid w:val="002150B7"/>
    <w:rsid w:val="0022541B"/>
    <w:rsid w:val="00255FCF"/>
    <w:rsid w:val="00257984"/>
    <w:rsid w:val="002916F2"/>
    <w:rsid w:val="00292900"/>
    <w:rsid w:val="002A23B4"/>
    <w:rsid w:val="002A58ED"/>
    <w:rsid w:val="002A799B"/>
    <w:rsid w:val="002C2706"/>
    <w:rsid w:val="002C7AF9"/>
    <w:rsid w:val="002D5CE8"/>
    <w:rsid w:val="002D7F9F"/>
    <w:rsid w:val="002E3CD1"/>
    <w:rsid w:val="002E4455"/>
    <w:rsid w:val="002E4CF6"/>
    <w:rsid w:val="002E5938"/>
    <w:rsid w:val="003024F2"/>
    <w:rsid w:val="00305BA9"/>
    <w:rsid w:val="00313725"/>
    <w:rsid w:val="00316544"/>
    <w:rsid w:val="003212DF"/>
    <w:rsid w:val="00323BE2"/>
    <w:rsid w:val="00324830"/>
    <w:rsid w:val="00344649"/>
    <w:rsid w:val="00344B57"/>
    <w:rsid w:val="00355318"/>
    <w:rsid w:val="0036187D"/>
    <w:rsid w:val="00362249"/>
    <w:rsid w:val="003676CF"/>
    <w:rsid w:val="00370DD3"/>
    <w:rsid w:val="0037104A"/>
    <w:rsid w:val="003747C5"/>
    <w:rsid w:val="00386A31"/>
    <w:rsid w:val="003967FF"/>
    <w:rsid w:val="00396E93"/>
    <w:rsid w:val="00397329"/>
    <w:rsid w:val="003A05C1"/>
    <w:rsid w:val="003A4775"/>
    <w:rsid w:val="003A7621"/>
    <w:rsid w:val="003A7913"/>
    <w:rsid w:val="003C6359"/>
    <w:rsid w:val="003D49B7"/>
    <w:rsid w:val="003E0590"/>
    <w:rsid w:val="003E16B4"/>
    <w:rsid w:val="003E33B6"/>
    <w:rsid w:val="003F0FC7"/>
    <w:rsid w:val="003F1F2A"/>
    <w:rsid w:val="003F3F7F"/>
    <w:rsid w:val="003F485F"/>
    <w:rsid w:val="003F6283"/>
    <w:rsid w:val="00402B54"/>
    <w:rsid w:val="00404AC2"/>
    <w:rsid w:val="00405B7F"/>
    <w:rsid w:val="00412C1E"/>
    <w:rsid w:val="00416781"/>
    <w:rsid w:val="0042034C"/>
    <w:rsid w:val="00427DC4"/>
    <w:rsid w:val="00453BEF"/>
    <w:rsid w:val="00454485"/>
    <w:rsid w:val="0045473F"/>
    <w:rsid w:val="0046665B"/>
    <w:rsid w:val="0047489A"/>
    <w:rsid w:val="00486AB4"/>
    <w:rsid w:val="0048762F"/>
    <w:rsid w:val="00490546"/>
    <w:rsid w:val="004C7BB2"/>
    <w:rsid w:val="004D17AE"/>
    <w:rsid w:val="004E7FB5"/>
    <w:rsid w:val="004F4500"/>
    <w:rsid w:val="00510CF1"/>
    <w:rsid w:val="00516783"/>
    <w:rsid w:val="0052637A"/>
    <w:rsid w:val="00534948"/>
    <w:rsid w:val="005371C9"/>
    <w:rsid w:val="005545E5"/>
    <w:rsid w:val="005603B5"/>
    <w:rsid w:val="00574329"/>
    <w:rsid w:val="00574782"/>
    <w:rsid w:val="00590EF1"/>
    <w:rsid w:val="00597080"/>
    <w:rsid w:val="005A066E"/>
    <w:rsid w:val="005A50FF"/>
    <w:rsid w:val="005A64FD"/>
    <w:rsid w:val="005C2975"/>
    <w:rsid w:val="005D5554"/>
    <w:rsid w:val="005E5158"/>
    <w:rsid w:val="0060002D"/>
    <w:rsid w:val="00603053"/>
    <w:rsid w:val="006060AF"/>
    <w:rsid w:val="0061149A"/>
    <w:rsid w:val="00621993"/>
    <w:rsid w:val="00634383"/>
    <w:rsid w:val="00634CD2"/>
    <w:rsid w:val="006356C8"/>
    <w:rsid w:val="00635CA0"/>
    <w:rsid w:val="00635EB7"/>
    <w:rsid w:val="00655C13"/>
    <w:rsid w:val="00661A3A"/>
    <w:rsid w:val="00662464"/>
    <w:rsid w:val="006673EC"/>
    <w:rsid w:val="006677EF"/>
    <w:rsid w:val="006823CB"/>
    <w:rsid w:val="00686ACE"/>
    <w:rsid w:val="006878EA"/>
    <w:rsid w:val="00694482"/>
    <w:rsid w:val="00696527"/>
    <w:rsid w:val="006A13D3"/>
    <w:rsid w:val="006A39DF"/>
    <w:rsid w:val="006A3B96"/>
    <w:rsid w:val="006B1F3E"/>
    <w:rsid w:val="006D0730"/>
    <w:rsid w:val="006D65E7"/>
    <w:rsid w:val="006D7609"/>
    <w:rsid w:val="006E47FF"/>
    <w:rsid w:val="006F567C"/>
    <w:rsid w:val="007015E0"/>
    <w:rsid w:val="00706CE9"/>
    <w:rsid w:val="007102BF"/>
    <w:rsid w:val="00712EA8"/>
    <w:rsid w:val="00722423"/>
    <w:rsid w:val="007252B4"/>
    <w:rsid w:val="00726E31"/>
    <w:rsid w:val="0073065E"/>
    <w:rsid w:val="00732B25"/>
    <w:rsid w:val="00732D4B"/>
    <w:rsid w:val="00732DCB"/>
    <w:rsid w:val="0073524A"/>
    <w:rsid w:val="007364CD"/>
    <w:rsid w:val="00736654"/>
    <w:rsid w:val="00745AE7"/>
    <w:rsid w:val="007512B4"/>
    <w:rsid w:val="00752DFE"/>
    <w:rsid w:val="00757CB0"/>
    <w:rsid w:val="0076018C"/>
    <w:rsid w:val="007607E9"/>
    <w:rsid w:val="00767E79"/>
    <w:rsid w:val="00770A4C"/>
    <w:rsid w:val="00783A5B"/>
    <w:rsid w:val="00785E89"/>
    <w:rsid w:val="0079324D"/>
    <w:rsid w:val="007A01F2"/>
    <w:rsid w:val="007B539D"/>
    <w:rsid w:val="007B714A"/>
    <w:rsid w:val="007C2A2E"/>
    <w:rsid w:val="007C4136"/>
    <w:rsid w:val="007C584A"/>
    <w:rsid w:val="007C6287"/>
    <w:rsid w:val="007D7EF5"/>
    <w:rsid w:val="007E2F13"/>
    <w:rsid w:val="007E6789"/>
    <w:rsid w:val="007F6B74"/>
    <w:rsid w:val="008004B4"/>
    <w:rsid w:val="00801FF6"/>
    <w:rsid w:val="00803252"/>
    <w:rsid w:val="00806515"/>
    <w:rsid w:val="008069C5"/>
    <w:rsid w:val="008142F7"/>
    <w:rsid w:val="00816870"/>
    <w:rsid w:val="00820CA0"/>
    <w:rsid w:val="00832A22"/>
    <w:rsid w:val="0083504F"/>
    <w:rsid w:val="00837086"/>
    <w:rsid w:val="008516F0"/>
    <w:rsid w:val="0086125D"/>
    <w:rsid w:val="00861515"/>
    <w:rsid w:val="008664FF"/>
    <w:rsid w:val="008675B7"/>
    <w:rsid w:val="0087602F"/>
    <w:rsid w:val="00876F84"/>
    <w:rsid w:val="00877275"/>
    <w:rsid w:val="008813B1"/>
    <w:rsid w:val="00894CED"/>
    <w:rsid w:val="008A1C4C"/>
    <w:rsid w:val="008A3D58"/>
    <w:rsid w:val="008A6371"/>
    <w:rsid w:val="008B1B7E"/>
    <w:rsid w:val="008C0961"/>
    <w:rsid w:val="008D2EA2"/>
    <w:rsid w:val="008D3C08"/>
    <w:rsid w:val="008E2BE7"/>
    <w:rsid w:val="00900C77"/>
    <w:rsid w:val="00901492"/>
    <w:rsid w:val="00903627"/>
    <w:rsid w:val="0091608B"/>
    <w:rsid w:val="00920A4A"/>
    <w:rsid w:val="00923ECA"/>
    <w:rsid w:val="009250E9"/>
    <w:rsid w:val="009313FC"/>
    <w:rsid w:val="009514F9"/>
    <w:rsid w:val="009541CA"/>
    <w:rsid w:val="00957E98"/>
    <w:rsid w:val="009733B7"/>
    <w:rsid w:val="00976015"/>
    <w:rsid w:val="009809FA"/>
    <w:rsid w:val="009828F2"/>
    <w:rsid w:val="0098321C"/>
    <w:rsid w:val="0098635D"/>
    <w:rsid w:val="009950AB"/>
    <w:rsid w:val="00997FAC"/>
    <w:rsid w:val="009A12C1"/>
    <w:rsid w:val="009A7D1A"/>
    <w:rsid w:val="009B5FA9"/>
    <w:rsid w:val="009B6268"/>
    <w:rsid w:val="009C5DC2"/>
    <w:rsid w:val="009D0247"/>
    <w:rsid w:val="009D2644"/>
    <w:rsid w:val="009D46E5"/>
    <w:rsid w:val="009D4DD9"/>
    <w:rsid w:val="009E082C"/>
    <w:rsid w:val="009E0AD2"/>
    <w:rsid w:val="009E10CA"/>
    <w:rsid w:val="009F184B"/>
    <w:rsid w:val="009F2C76"/>
    <w:rsid w:val="009F50A1"/>
    <w:rsid w:val="00A03877"/>
    <w:rsid w:val="00A10E54"/>
    <w:rsid w:val="00A15226"/>
    <w:rsid w:val="00A15858"/>
    <w:rsid w:val="00A167A4"/>
    <w:rsid w:val="00A21224"/>
    <w:rsid w:val="00A23B89"/>
    <w:rsid w:val="00A2503C"/>
    <w:rsid w:val="00A27D3A"/>
    <w:rsid w:val="00A53E34"/>
    <w:rsid w:val="00A54D0D"/>
    <w:rsid w:val="00A57079"/>
    <w:rsid w:val="00A66417"/>
    <w:rsid w:val="00A66BA1"/>
    <w:rsid w:val="00A766DF"/>
    <w:rsid w:val="00A76D5D"/>
    <w:rsid w:val="00A77412"/>
    <w:rsid w:val="00A8436D"/>
    <w:rsid w:val="00A90C1C"/>
    <w:rsid w:val="00A969A6"/>
    <w:rsid w:val="00AA2085"/>
    <w:rsid w:val="00AB6C32"/>
    <w:rsid w:val="00AC0A1F"/>
    <w:rsid w:val="00AC1A23"/>
    <w:rsid w:val="00AC1A55"/>
    <w:rsid w:val="00AC382B"/>
    <w:rsid w:val="00AD561B"/>
    <w:rsid w:val="00AE0F84"/>
    <w:rsid w:val="00AE3546"/>
    <w:rsid w:val="00AE6525"/>
    <w:rsid w:val="00AE6B82"/>
    <w:rsid w:val="00AF5998"/>
    <w:rsid w:val="00B05C00"/>
    <w:rsid w:val="00B1228D"/>
    <w:rsid w:val="00B166C3"/>
    <w:rsid w:val="00B243E8"/>
    <w:rsid w:val="00B25A6F"/>
    <w:rsid w:val="00B261AB"/>
    <w:rsid w:val="00B26A17"/>
    <w:rsid w:val="00B31017"/>
    <w:rsid w:val="00B312B2"/>
    <w:rsid w:val="00B343DF"/>
    <w:rsid w:val="00B41279"/>
    <w:rsid w:val="00B41D60"/>
    <w:rsid w:val="00B45287"/>
    <w:rsid w:val="00B4731C"/>
    <w:rsid w:val="00B60D07"/>
    <w:rsid w:val="00B825BB"/>
    <w:rsid w:val="00B82C21"/>
    <w:rsid w:val="00B878D9"/>
    <w:rsid w:val="00B9534D"/>
    <w:rsid w:val="00BA7F68"/>
    <w:rsid w:val="00BB0019"/>
    <w:rsid w:val="00BB311C"/>
    <w:rsid w:val="00BB31D5"/>
    <w:rsid w:val="00BB6ABA"/>
    <w:rsid w:val="00BC1AE9"/>
    <w:rsid w:val="00BC46CF"/>
    <w:rsid w:val="00BC491A"/>
    <w:rsid w:val="00BC51CD"/>
    <w:rsid w:val="00BD02A7"/>
    <w:rsid w:val="00BD5082"/>
    <w:rsid w:val="00BD7B17"/>
    <w:rsid w:val="00BE07CF"/>
    <w:rsid w:val="00BE17FF"/>
    <w:rsid w:val="00BF5CE9"/>
    <w:rsid w:val="00C035F4"/>
    <w:rsid w:val="00C06CA3"/>
    <w:rsid w:val="00C218DC"/>
    <w:rsid w:val="00C22155"/>
    <w:rsid w:val="00C2369C"/>
    <w:rsid w:val="00C35F49"/>
    <w:rsid w:val="00C367A2"/>
    <w:rsid w:val="00C45D0F"/>
    <w:rsid w:val="00C672D6"/>
    <w:rsid w:val="00C67DFC"/>
    <w:rsid w:val="00C8568D"/>
    <w:rsid w:val="00C859AA"/>
    <w:rsid w:val="00C92C66"/>
    <w:rsid w:val="00C937A3"/>
    <w:rsid w:val="00C93A68"/>
    <w:rsid w:val="00C93D5F"/>
    <w:rsid w:val="00CB7FE7"/>
    <w:rsid w:val="00CC13CC"/>
    <w:rsid w:val="00CC25D9"/>
    <w:rsid w:val="00CC35EC"/>
    <w:rsid w:val="00CC4395"/>
    <w:rsid w:val="00CC5FD0"/>
    <w:rsid w:val="00CD29B5"/>
    <w:rsid w:val="00CD3C0F"/>
    <w:rsid w:val="00CD76A8"/>
    <w:rsid w:val="00CE4649"/>
    <w:rsid w:val="00CE4BB7"/>
    <w:rsid w:val="00CF09D4"/>
    <w:rsid w:val="00CF3D35"/>
    <w:rsid w:val="00CF6317"/>
    <w:rsid w:val="00CF79AD"/>
    <w:rsid w:val="00D0339E"/>
    <w:rsid w:val="00D04267"/>
    <w:rsid w:val="00D04F67"/>
    <w:rsid w:val="00D10C93"/>
    <w:rsid w:val="00D1484C"/>
    <w:rsid w:val="00D2164F"/>
    <w:rsid w:val="00D26D0A"/>
    <w:rsid w:val="00D33F24"/>
    <w:rsid w:val="00D474D2"/>
    <w:rsid w:val="00D53603"/>
    <w:rsid w:val="00D55A91"/>
    <w:rsid w:val="00D56506"/>
    <w:rsid w:val="00D57242"/>
    <w:rsid w:val="00D62969"/>
    <w:rsid w:val="00D631CF"/>
    <w:rsid w:val="00D6348F"/>
    <w:rsid w:val="00D93F55"/>
    <w:rsid w:val="00D949F3"/>
    <w:rsid w:val="00D97974"/>
    <w:rsid w:val="00DA3FCE"/>
    <w:rsid w:val="00DA7BFD"/>
    <w:rsid w:val="00DB28AF"/>
    <w:rsid w:val="00DB2D29"/>
    <w:rsid w:val="00DD44B0"/>
    <w:rsid w:val="00DE0C5E"/>
    <w:rsid w:val="00DF2C64"/>
    <w:rsid w:val="00E06002"/>
    <w:rsid w:val="00E0730A"/>
    <w:rsid w:val="00E177BB"/>
    <w:rsid w:val="00E3155D"/>
    <w:rsid w:val="00E347E1"/>
    <w:rsid w:val="00E34D55"/>
    <w:rsid w:val="00E41030"/>
    <w:rsid w:val="00E41CC7"/>
    <w:rsid w:val="00E42D1A"/>
    <w:rsid w:val="00E50909"/>
    <w:rsid w:val="00E50D47"/>
    <w:rsid w:val="00E51176"/>
    <w:rsid w:val="00E8781B"/>
    <w:rsid w:val="00E927CE"/>
    <w:rsid w:val="00E92B7B"/>
    <w:rsid w:val="00EB686B"/>
    <w:rsid w:val="00EB706B"/>
    <w:rsid w:val="00EC4E05"/>
    <w:rsid w:val="00ED3684"/>
    <w:rsid w:val="00ED7B1B"/>
    <w:rsid w:val="00EE07EE"/>
    <w:rsid w:val="00EF07AB"/>
    <w:rsid w:val="00EF45EA"/>
    <w:rsid w:val="00F015E1"/>
    <w:rsid w:val="00F05415"/>
    <w:rsid w:val="00F07FCA"/>
    <w:rsid w:val="00F23D8D"/>
    <w:rsid w:val="00F30293"/>
    <w:rsid w:val="00F30BC0"/>
    <w:rsid w:val="00F36981"/>
    <w:rsid w:val="00F41D5F"/>
    <w:rsid w:val="00F46528"/>
    <w:rsid w:val="00F50E6F"/>
    <w:rsid w:val="00F551BD"/>
    <w:rsid w:val="00F716C5"/>
    <w:rsid w:val="00F7186E"/>
    <w:rsid w:val="00F76B2A"/>
    <w:rsid w:val="00F81AAB"/>
    <w:rsid w:val="00F83E19"/>
    <w:rsid w:val="00FA38C5"/>
    <w:rsid w:val="00FA60E0"/>
    <w:rsid w:val="00FA6673"/>
    <w:rsid w:val="00FB465C"/>
    <w:rsid w:val="00FB5FDD"/>
    <w:rsid w:val="00FC02B3"/>
    <w:rsid w:val="00FC2E5F"/>
    <w:rsid w:val="00FC57D6"/>
    <w:rsid w:val="00FC5C66"/>
    <w:rsid w:val="00FC7110"/>
    <w:rsid w:val="00FD42D8"/>
    <w:rsid w:val="00FD4966"/>
    <w:rsid w:val="00FD776F"/>
    <w:rsid w:val="00FE37D9"/>
    <w:rsid w:val="00FF363A"/>
    <w:rsid w:val="00FF6FB5"/>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1CF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unhideWhenUsed/>
    <w:rsid w:val="00603053"/>
    <w:rPr>
      <w:sz w:val="20"/>
    </w:rPr>
  </w:style>
  <w:style w:type="character" w:customStyle="1" w:styleId="CommentTextChar">
    <w:name w:val="Comment Text Char"/>
    <w:basedOn w:val="DefaultParagraphFont"/>
    <w:link w:val="CommentText"/>
    <w:uiPriority w:val="99"/>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 w:type="paragraph" w:styleId="Revision">
    <w:name w:val="Revision"/>
    <w:hidden/>
    <w:uiPriority w:val="99"/>
    <w:semiHidden/>
    <w:rsid w:val="006A13D3"/>
    <w:rPr>
      <w:sz w:val="22"/>
    </w:rPr>
  </w:style>
  <w:style w:type="paragraph" w:styleId="ListParagraph">
    <w:name w:val="List Paragraph"/>
    <w:basedOn w:val="Normal"/>
    <w:uiPriority w:val="34"/>
    <w:qFormat/>
    <w:rsid w:val="00386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unhideWhenUsed/>
    <w:rsid w:val="00603053"/>
    <w:rPr>
      <w:sz w:val="20"/>
    </w:rPr>
  </w:style>
  <w:style w:type="character" w:customStyle="1" w:styleId="CommentTextChar">
    <w:name w:val="Comment Text Char"/>
    <w:basedOn w:val="DefaultParagraphFont"/>
    <w:link w:val="CommentText"/>
    <w:uiPriority w:val="99"/>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 w:type="paragraph" w:styleId="Revision">
    <w:name w:val="Revision"/>
    <w:hidden/>
    <w:uiPriority w:val="99"/>
    <w:semiHidden/>
    <w:rsid w:val="006A13D3"/>
    <w:rPr>
      <w:sz w:val="22"/>
    </w:rPr>
  </w:style>
  <w:style w:type="paragraph" w:styleId="ListParagraph">
    <w:name w:val="List Paragraph"/>
    <w:basedOn w:val="Normal"/>
    <w:uiPriority w:val="34"/>
    <w:qFormat/>
    <w:rsid w:val="00386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2926">
      <w:bodyDiv w:val="1"/>
      <w:marLeft w:val="0"/>
      <w:marRight w:val="0"/>
      <w:marTop w:val="0"/>
      <w:marBottom w:val="0"/>
      <w:divBdr>
        <w:top w:val="none" w:sz="0" w:space="0" w:color="auto"/>
        <w:left w:val="none" w:sz="0" w:space="0" w:color="auto"/>
        <w:bottom w:val="none" w:sz="0" w:space="0" w:color="auto"/>
        <w:right w:val="none" w:sz="0" w:space="0" w:color="auto"/>
      </w:divBdr>
    </w:div>
    <w:div w:id="9098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chard.Smith@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ransition.fcc.gov/form477/477ins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1723</Words>
  <Characters>9913</Characters>
  <Application>Microsoft Office Word</Application>
  <DocSecurity>0</DocSecurity>
  <Lines>160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11688</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2015-06-22T18:33:00Z</dcterms:created>
  <dcterms:modified xsi:type="dcterms:W3CDTF">2015-06-22T18:33:00Z</dcterms:modified>
  <cp:category> </cp:category>
  <cp:contentStatus> </cp:contentStatus>
</cp:coreProperties>
</file>