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A4D7" w14:textId="73B0D822" w:rsidR="00D47505" w:rsidRPr="0083462E" w:rsidRDefault="00F73298" w:rsidP="00BC53C5">
      <w:pPr>
        <w:spacing w:after="120"/>
        <w:jc w:val="right"/>
        <w:rPr>
          <w:b/>
          <w:szCs w:val="22"/>
        </w:rPr>
      </w:pPr>
      <w:bookmarkStart w:id="0" w:name="_GoBack"/>
      <w:bookmarkEnd w:id="0"/>
      <w:r w:rsidRPr="0083462E">
        <w:rPr>
          <w:b/>
          <w:szCs w:val="22"/>
        </w:rPr>
        <w:t>DA 15-</w:t>
      </w:r>
      <w:r w:rsidR="00331847">
        <w:rPr>
          <w:b/>
          <w:szCs w:val="22"/>
        </w:rPr>
        <w:t>736</w:t>
      </w:r>
    </w:p>
    <w:p w14:paraId="1E587FDD" w14:textId="2AA26B46" w:rsidR="00D47505" w:rsidRPr="000E4B97" w:rsidRDefault="00F73298" w:rsidP="00BC53C5">
      <w:pPr>
        <w:spacing w:after="120"/>
        <w:jc w:val="right"/>
        <w:rPr>
          <w:szCs w:val="22"/>
        </w:rPr>
      </w:pPr>
      <w:r w:rsidRPr="0083462E">
        <w:rPr>
          <w:b/>
          <w:szCs w:val="22"/>
        </w:rPr>
        <w:t>Released:</w:t>
      </w:r>
      <w:r w:rsidR="008C3EC5">
        <w:rPr>
          <w:b/>
          <w:szCs w:val="22"/>
        </w:rPr>
        <w:t xml:space="preserve"> </w:t>
      </w:r>
      <w:r w:rsidR="00DF5E27">
        <w:rPr>
          <w:b/>
          <w:szCs w:val="22"/>
        </w:rPr>
        <w:t>June 2</w:t>
      </w:r>
      <w:r w:rsidR="00331847">
        <w:rPr>
          <w:b/>
          <w:szCs w:val="22"/>
        </w:rPr>
        <w:t>4</w:t>
      </w:r>
      <w:r w:rsidR="00DF5E27">
        <w:rPr>
          <w:b/>
          <w:szCs w:val="22"/>
        </w:rPr>
        <w:t>, 2015</w:t>
      </w:r>
    </w:p>
    <w:p w14:paraId="442E0432" w14:textId="77777777" w:rsidR="00D47505" w:rsidRPr="000E4B97" w:rsidRDefault="00D47505" w:rsidP="00D47505">
      <w:pPr>
        <w:jc w:val="right"/>
        <w:rPr>
          <w:szCs w:val="22"/>
        </w:rPr>
      </w:pPr>
    </w:p>
    <w:p w14:paraId="3463D3DF" w14:textId="77777777" w:rsidR="00D47505" w:rsidRPr="000E4B97" w:rsidRDefault="000606CA" w:rsidP="000606CA">
      <w:pPr>
        <w:spacing w:after="240"/>
        <w:jc w:val="center"/>
        <w:rPr>
          <w:b/>
          <w:szCs w:val="22"/>
        </w:rPr>
      </w:pPr>
      <w:r w:rsidRPr="000E4B97">
        <w:rPr>
          <w:b/>
          <w:szCs w:val="22"/>
        </w:rPr>
        <w:t xml:space="preserve">WIRELINE COMPETITION BUREAU </w:t>
      </w:r>
      <w:r w:rsidR="00DF5E27">
        <w:rPr>
          <w:b/>
          <w:szCs w:val="22"/>
        </w:rPr>
        <w:t>NOW RECEI</w:t>
      </w:r>
      <w:r w:rsidR="00A71F9D">
        <w:rPr>
          <w:b/>
          <w:szCs w:val="22"/>
        </w:rPr>
        <w:t>V</w:t>
      </w:r>
      <w:r w:rsidR="00DF5E27">
        <w:rPr>
          <w:b/>
          <w:szCs w:val="22"/>
        </w:rPr>
        <w:t>ING</w:t>
      </w:r>
      <w:r w:rsidR="00DF5E27" w:rsidRPr="000E4B97">
        <w:rPr>
          <w:b/>
          <w:szCs w:val="22"/>
        </w:rPr>
        <w:t xml:space="preserve"> </w:t>
      </w:r>
      <w:r w:rsidRPr="000E4B97">
        <w:rPr>
          <w:b/>
          <w:szCs w:val="22"/>
        </w:rPr>
        <w:t>ACKNOWLEDGEMENTS OF CONFIDEN</w:t>
      </w:r>
      <w:r w:rsidR="00F21460" w:rsidRPr="000E4B97">
        <w:rPr>
          <w:b/>
          <w:szCs w:val="22"/>
        </w:rPr>
        <w:t xml:space="preserve">TIALITY PURSUANT TO </w:t>
      </w:r>
      <w:r w:rsidR="00DF5E27" w:rsidRPr="000E4B97">
        <w:rPr>
          <w:b/>
          <w:szCs w:val="22"/>
        </w:rPr>
        <w:t xml:space="preserve">SPECIAL ACCESS </w:t>
      </w:r>
      <w:r w:rsidR="00F21460" w:rsidRPr="000E4B97">
        <w:rPr>
          <w:b/>
          <w:szCs w:val="22"/>
        </w:rPr>
        <w:t>DATA COLLEC</w:t>
      </w:r>
      <w:r w:rsidRPr="000E4B97">
        <w:rPr>
          <w:b/>
          <w:szCs w:val="22"/>
        </w:rPr>
        <w:t>T</w:t>
      </w:r>
      <w:r w:rsidR="00F21460" w:rsidRPr="000E4B97">
        <w:rPr>
          <w:b/>
          <w:szCs w:val="22"/>
        </w:rPr>
        <w:t>I</w:t>
      </w:r>
      <w:r w:rsidRPr="000E4B97">
        <w:rPr>
          <w:b/>
          <w:szCs w:val="22"/>
        </w:rPr>
        <w:t>ON PROTECTIVE ORDER</w:t>
      </w:r>
      <w:r w:rsidR="00F21460" w:rsidRPr="000E4B97">
        <w:rPr>
          <w:b/>
          <w:szCs w:val="22"/>
        </w:rPr>
        <w:t xml:space="preserve"> </w:t>
      </w:r>
    </w:p>
    <w:p w14:paraId="74C3E674" w14:textId="77777777" w:rsidR="00D47505" w:rsidRPr="000E4B97" w:rsidRDefault="000606CA" w:rsidP="00D47505">
      <w:pPr>
        <w:jc w:val="center"/>
        <w:rPr>
          <w:b/>
          <w:szCs w:val="22"/>
        </w:rPr>
      </w:pPr>
      <w:r w:rsidRPr="000E4B97">
        <w:rPr>
          <w:b/>
          <w:szCs w:val="22"/>
        </w:rPr>
        <w:t>WC Docket No. 05-25; RM-10593</w:t>
      </w:r>
    </w:p>
    <w:p w14:paraId="1A6CE52E" w14:textId="77777777" w:rsidR="00D47505" w:rsidRPr="000E4B97" w:rsidRDefault="00D47505" w:rsidP="00D47505">
      <w:pPr>
        <w:jc w:val="center"/>
        <w:rPr>
          <w:szCs w:val="22"/>
        </w:rPr>
      </w:pPr>
    </w:p>
    <w:p w14:paraId="5EA0E50F" w14:textId="1CA2990C" w:rsidR="00D20A0B" w:rsidRPr="000E4B97" w:rsidRDefault="00DD2E29" w:rsidP="0083462E">
      <w:pPr>
        <w:spacing w:after="240"/>
        <w:ind w:firstLine="720"/>
        <w:rPr>
          <w:szCs w:val="22"/>
        </w:rPr>
      </w:pPr>
      <w:r>
        <w:rPr>
          <w:szCs w:val="22"/>
        </w:rPr>
        <w:t>T</w:t>
      </w:r>
      <w:r w:rsidR="00D20A0B" w:rsidRPr="000E4B97">
        <w:rPr>
          <w:szCs w:val="22"/>
        </w:rPr>
        <w:t xml:space="preserve">he Wireline Competition Bureau (Bureau) </w:t>
      </w:r>
      <w:r w:rsidR="00520CD3">
        <w:rPr>
          <w:szCs w:val="22"/>
        </w:rPr>
        <w:t>will</w:t>
      </w:r>
      <w:r w:rsidR="00D20A0B" w:rsidRPr="000E4B97">
        <w:rPr>
          <w:szCs w:val="22"/>
        </w:rPr>
        <w:t xml:space="preserve"> now receive executed Acknowledgements of Confidentiality (Acknowledgements) pursuant to the protective order </w:t>
      </w:r>
      <w:r w:rsidR="00A416C3" w:rsidRPr="000E4B97">
        <w:rPr>
          <w:szCs w:val="22"/>
        </w:rPr>
        <w:t>governing the data collection in the special access proceeding</w:t>
      </w:r>
      <w:r w:rsidR="00D20A0B" w:rsidRPr="000E4B97">
        <w:rPr>
          <w:szCs w:val="22"/>
        </w:rPr>
        <w:t>.</w:t>
      </w:r>
      <w:r w:rsidR="00415A33" w:rsidRPr="000E4B97">
        <w:rPr>
          <w:rStyle w:val="FootnoteReference"/>
          <w:sz w:val="22"/>
          <w:szCs w:val="22"/>
        </w:rPr>
        <w:footnoteReference w:id="2"/>
      </w:r>
      <w:r w:rsidR="00695A9B">
        <w:rPr>
          <w:szCs w:val="22"/>
        </w:rPr>
        <w:t xml:space="preserve">  We encourage parties to file their Acknowledgements by</w:t>
      </w:r>
      <w:r w:rsidR="00DF5E27">
        <w:rPr>
          <w:szCs w:val="22"/>
        </w:rPr>
        <w:t xml:space="preserve"> July </w:t>
      </w:r>
      <w:r w:rsidR="00331847">
        <w:rPr>
          <w:szCs w:val="22"/>
        </w:rPr>
        <w:t>2</w:t>
      </w:r>
      <w:r w:rsidR="00DF5E27">
        <w:rPr>
          <w:szCs w:val="22"/>
        </w:rPr>
        <w:t>, 2015</w:t>
      </w:r>
      <w:r w:rsidR="00522C33">
        <w:rPr>
          <w:szCs w:val="22"/>
        </w:rPr>
        <w:t>, to help ensure timely access to the data</w:t>
      </w:r>
      <w:r w:rsidR="00695A9B">
        <w:rPr>
          <w:szCs w:val="22"/>
        </w:rPr>
        <w:t>.</w:t>
      </w:r>
      <w:r w:rsidR="00A71F9D">
        <w:rPr>
          <w:szCs w:val="22"/>
        </w:rPr>
        <w:t xml:space="preserve"> </w:t>
      </w:r>
    </w:p>
    <w:p w14:paraId="5D805800" w14:textId="0518700D" w:rsidR="00D20A0B" w:rsidRPr="000E4B97" w:rsidRDefault="001F4D3C" w:rsidP="00D20A0B">
      <w:pPr>
        <w:spacing w:before="120" w:after="240"/>
        <w:ind w:firstLine="720"/>
        <w:rPr>
          <w:szCs w:val="22"/>
        </w:rPr>
      </w:pPr>
      <w:r>
        <w:t>The</w:t>
      </w:r>
      <w:r w:rsidRPr="00972562">
        <w:t xml:space="preserve"> Commission </w:t>
      </w:r>
      <w:r>
        <w:t xml:space="preserve">initiated a </w:t>
      </w:r>
      <w:r w:rsidRPr="00972562">
        <w:t>data collection for a comprehensive analysis of the special access market</w:t>
      </w:r>
      <w:r w:rsidR="003C0873">
        <w:t>,</w:t>
      </w:r>
      <w:r>
        <w:t xml:space="preserve"> and delegated authority to the Bureau to implement the collection</w:t>
      </w:r>
      <w:r w:rsidRPr="00972562">
        <w:t>.</w:t>
      </w:r>
      <w:r>
        <w:rPr>
          <w:rStyle w:val="FootnoteReference"/>
          <w:szCs w:val="22"/>
        </w:rPr>
        <w:footnoteReference w:id="3"/>
      </w:r>
      <w:r>
        <w:t xml:space="preserve">  </w:t>
      </w:r>
      <w:r>
        <w:rPr>
          <w:szCs w:val="22"/>
        </w:rPr>
        <w:t>T</w:t>
      </w:r>
      <w:r w:rsidR="00454072" w:rsidRPr="000E4B97">
        <w:rPr>
          <w:szCs w:val="22"/>
        </w:rPr>
        <w:t xml:space="preserve">he Bureau adopted </w:t>
      </w:r>
      <w:r w:rsidR="003C0873">
        <w:rPr>
          <w:szCs w:val="22"/>
        </w:rPr>
        <w:t>the</w:t>
      </w:r>
      <w:r>
        <w:rPr>
          <w:szCs w:val="22"/>
        </w:rPr>
        <w:t xml:space="preserve"> </w:t>
      </w:r>
      <w:r w:rsidR="009550BA" w:rsidRPr="00801F64">
        <w:rPr>
          <w:i/>
          <w:szCs w:val="22"/>
        </w:rPr>
        <w:t>P</w:t>
      </w:r>
      <w:r w:rsidR="00A416C3" w:rsidRPr="00801F64">
        <w:rPr>
          <w:i/>
          <w:szCs w:val="22"/>
        </w:rPr>
        <w:t xml:space="preserve">rotective </w:t>
      </w:r>
      <w:r w:rsidR="009550BA" w:rsidRPr="00801F64">
        <w:rPr>
          <w:i/>
          <w:szCs w:val="22"/>
        </w:rPr>
        <w:t>O</w:t>
      </w:r>
      <w:r w:rsidR="00A416C3" w:rsidRPr="00801F64">
        <w:rPr>
          <w:i/>
          <w:szCs w:val="22"/>
        </w:rPr>
        <w:t>rder</w:t>
      </w:r>
      <w:r w:rsidR="00454072" w:rsidRPr="000E4B97">
        <w:rPr>
          <w:szCs w:val="22"/>
        </w:rPr>
        <w:t xml:space="preserve"> </w:t>
      </w:r>
      <w:r>
        <w:rPr>
          <w:szCs w:val="22"/>
        </w:rPr>
        <w:t>on October 1, 2014</w:t>
      </w:r>
      <w:r w:rsidRPr="000E4B97">
        <w:rPr>
          <w:szCs w:val="22"/>
        </w:rPr>
        <w:t xml:space="preserve"> </w:t>
      </w:r>
      <w:r w:rsidR="00A416C3" w:rsidRPr="000E4B97">
        <w:rPr>
          <w:szCs w:val="22"/>
        </w:rPr>
        <w:t xml:space="preserve">governing the process for </w:t>
      </w:r>
      <w:r w:rsidR="009550BA" w:rsidRPr="000E4B97">
        <w:rPr>
          <w:szCs w:val="22"/>
        </w:rPr>
        <w:t xml:space="preserve">designating, submitting and </w:t>
      </w:r>
      <w:r w:rsidR="00A416C3" w:rsidRPr="000E4B97">
        <w:rPr>
          <w:szCs w:val="22"/>
        </w:rPr>
        <w:t xml:space="preserve">accessing </w:t>
      </w:r>
      <w:r w:rsidR="009550BA" w:rsidRPr="000E4B97">
        <w:rPr>
          <w:szCs w:val="22"/>
        </w:rPr>
        <w:t xml:space="preserve">highly sensitive information and data </w:t>
      </w:r>
      <w:r w:rsidR="00A416C3" w:rsidRPr="000E4B97">
        <w:rPr>
          <w:szCs w:val="22"/>
        </w:rPr>
        <w:t xml:space="preserve">submitted in response </w:t>
      </w:r>
      <w:r w:rsidR="009550BA" w:rsidRPr="000E4B97">
        <w:rPr>
          <w:szCs w:val="22"/>
        </w:rPr>
        <w:t xml:space="preserve">to </w:t>
      </w:r>
      <w:r w:rsidR="00A416C3" w:rsidRPr="000E4B97">
        <w:rPr>
          <w:szCs w:val="22"/>
        </w:rPr>
        <w:t>the collection</w:t>
      </w:r>
      <w:r w:rsidR="009550BA" w:rsidRPr="000E4B97">
        <w:rPr>
          <w:szCs w:val="22"/>
        </w:rPr>
        <w:t xml:space="preserve">.  </w:t>
      </w:r>
      <w:r w:rsidR="006B61B0">
        <w:t xml:space="preserve">The Bureau limited access to </w:t>
      </w:r>
      <w:r w:rsidR="0063788E">
        <w:t>c</w:t>
      </w:r>
      <w:r w:rsidR="006B61B0">
        <w:t xml:space="preserve">onfidential and </w:t>
      </w:r>
      <w:r w:rsidR="0063788E">
        <w:t>h</w:t>
      </w:r>
      <w:r w:rsidR="006B61B0">
        <w:t xml:space="preserve">ighly </w:t>
      </w:r>
      <w:r w:rsidR="0063788E">
        <w:t>c</w:t>
      </w:r>
      <w:r w:rsidR="006B61B0">
        <w:t xml:space="preserve">onfidential </w:t>
      </w:r>
      <w:r w:rsidR="0063788E">
        <w:t>i</w:t>
      </w:r>
      <w:r w:rsidR="006B61B0">
        <w:t xml:space="preserve">nformation to </w:t>
      </w:r>
      <w:r w:rsidR="0063788E">
        <w:t>o</w:t>
      </w:r>
      <w:r w:rsidR="006B61B0">
        <w:t>utside</w:t>
      </w:r>
      <w:r w:rsidR="0063788E">
        <w:t xml:space="preserve"> c</w:t>
      </w:r>
      <w:r w:rsidR="006B61B0">
        <w:t xml:space="preserve">ounsel and </w:t>
      </w:r>
      <w:r w:rsidR="0063788E">
        <w:t>c</w:t>
      </w:r>
      <w:r w:rsidR="006B61B0">
        <w:t>onsultants, and th</w:t>
      </w:r>
      <w:r w:rsidR="0063788E">
        <w:t>eir employees, not involved in competitive decision-m</w:t>
      </w:r>
      <w:r w:rsidR="006B61B0">
        <w:t>aking</w:t>
      </w:r>
      <w:r w:rsidR="0063788E">
        <w:t xml:space="preserve"> activities</w:t>
      </w:r>
      <w:r w:rsidR="006B61B0">
        <w:t>.</w:t>
      </w:r>
      <w:r w:rsidR="00543F74">
        <w:rPr>
          <w:rStyle w:val="FootnoteReference"/>
        </w:rPr>
        <w:footnoteReference w:id="4"/>
      </w:r>
      <w:r w:rsidR="006B61B0">
        <w:t xml:space="preserve">  </w:t>
      </w:r>
      <w:r w:rsidR="009550BA" w:rsidRPr="000E4B97">
        <w:rPr>
          <w:szCs w:val="22"/>
        </w:rPr>
        <w:t>The Bureau also</w:t>
      </w:r>
      <w:r w:rsidR="00454072" w:rsidRPr="000E4B97">
        <w:rPr>
          <w:szCs w:val="22"/>
        </w:rPr>
        <w:t xml:space="preserve"> established a Secure Data Enclave (SDE) for authorized parties to </w:t>
      </w:r>
      <w:r w:rsidR="00DE19D7" w:rsidRPr="000E4B97">
        <w:rPr>
          <w:szCs w:val="22"/>
        </w:rPr>
        <w:t>access</w:t>
      </w:r>
      <w:r w:rsidR="00454072" w:rsidRPr="000E4B97">
        <w:rPr>
          <w:szCs w:val="22"/>
        </w:rPr>
        <w:t xml:space="preserve"> and </w:t>
      </w:r>
      <w:r w:rsidR="00EB6C7D">
        <w:rPr>
          <w:szCs w:val="22"/>
        </w:rPr>
        <w:t>analyze</w:t>
      </w:r>
      <w:r w:rsidR="0063788E">
        <w:rPr>
          <w:szCs w:val="22"/>
        </w:rPr>
        <w:t xml:space="preserve"> sensitive</w:t>
      </w:r>
      <w:r w:rsidR="00DE19D7" w:rsidRPr="000E4B97">
        <w:rPr>
          <w:szCs w:val="22"/>
        </w:rPr>
        <w:t xml:space="preserve"> </w:t>
      </w:r>
      <w:r w:rsidR="0063788E">
        <w:rPr>
          <w:szCs w:val="22"/>
        </w:rPr>
        <w:t xml:space="preserve">information and data </w:t>
      </w:r>
      <w:r w:rsidR="00465D4E" w:rsidRPr="000E4B97">
        <w:rPr>
          <w:szCs w:val="22"/>
        </w:rPr>
        <w:t>submitted in response to the collection</w:t>
      </w:r>
      <w:r w:rsidR="00454072" w:rsidRPr="000E4B97">
        <w:rPr>
          <w:szCs w:val="22"/>
        </w:rPr>
        <w:t>.</w:t>
      </w:r>
      <w:r w:rsidR="00465D4E" w:rsidRPr="000E4B97">
        <w:rPr>
          <w:rStyle w:val="FootnoteReference"/>
          <w:sz w:val="22"/>
          <w:szCs w:val="22"/>
        </w:rPr>
        <w:footnoteReference w:id="5"/>
      </w:r>
      <w:r w:rsidR="00465D4E" w:rsidRPr="000E4B97">
        <w:rPr>
          <w:szCs w:val="22"/>
        </w:rPr>
        <w:t xml:space="preserve"> </w:t>
      </w:r>
      <w:r w:rsidR="00454072" w:rsidRPr="000E4B97">
        <w:rPr>
          <w:szCs w:val="22"/>
        </w:rPr>
        <w:t xml:space="preserve"> </w:t>
      </w:r>
      <w:r w:rsidR="00ED4227" w:rsidRPr="000E4B97">
        <w:rPr>
          <w:szCs w:val="22"/>
        </w:rPr>
        <w:t>The Commission c</w:t>
      </w:r>
      <w:r w:rsidR="002E2573" w:rsidRPr="000E4B97">
        <w:rPr>
          <w:szCs w:val="22"/>
        </w:rPr>
        <w:t xml:space="preserve">ontracted with </w:t>
      </w:r>
      <w:r w:rsidR="00277EE8">
        <w:rPr>
          <w:szCs w:val="22"/>
        </w:rPr>
        <w:t>NORC</w:t>
      </w:r>
      <w:r w:rsidR="00996EBD" w:rsidRPr="000E4B97">
        <w:rPr>
          <w:szCs w:val="22"/>
        </w:rPr>
        <w:t xml:space="preserve"> at the University of Chicago</w:t>
      </w:r>
      <w:r w:rsidR="002E2573" w:rsidRPr="000E4B97">
        <w:rPr>
          <w:szCs w:val="22"/>
        </w:rPr>
        <w:t xml:space="preserve"> to provide access to the SDE via </w:t>
      </w:r>
      <w:r w:rsidR="00996EBD" w:rsidRPr="000E4B97">
        <w:rPr>
          <w:szCs w:val="22"/>
        </w:rPr>
        <w:t xml:space="preserve">the </w:t>
      </w:r>
      <w:r w:rsidR="002E2573" w:rsidRPr="000E4B97">
        <w:rPr>
          <w:szCs w:val="22"/>
        </w:rPr>
        <w:t xml:space="preserve">NORC </w:t>
      </w:r>
      <w:r w:rsidR="00996EBD" w:rsidRPr="000E4B97">
        <w:rPr>
          <w:szCs w:val="22"/>
        </w:rPr>
        <w:t xml:space="preserve">Data Enclave® in a physical location in Bethesda, Maryland </w:t>
      </w:r>
      <w:r w:rsidR="00DE19D7" w:rsidRPr="000E4B97">
        <w:rPr>
          <w:szCs w:val="22"/>
        </w:rPr>
        <w:t>and</w:t>
      </w:r>
      <w:r w:rsidR="00996EBD" w:rsidRPr="000E4B97">
        <w:rPr>
          <w:szCs w:val="22"/>
        </w:rPr>
        <w:t xml:space="preserve"> </w:t>
      </w:r>
      <w:r w:rsidR="002E2573" w:rsidRPr="000E4B97">
        <w:rPr>
          <w:szCs w:val="22"/>
        </w:rPr>
        <w:t>remotely via thin client laptops</w:t>
      </w:r>
      <w:r w:rsidR="00996EBD" w:rsidRPr="000E4B97">
        <w:rPr>
          <w:szCs w:val="22"/>
        </w:rPr>
        <w:t>.</w:t>
      </w:r>
      <w:r w:rsidR="00996EBD" w:rsidRPr="000E4B97">
        <w:rPr>
          <w:rStyle w:val="FootnoteReference"/>
          <w:sz w:val="22"/>
          <w:szCs w:val="22"/>
        </w:rPr>
        <w:footnoteReference w:id="6"/>
      </w:r>
      <w:r w:rsidR="00996EBD" w:rsidRPr="000E4B97">
        <w:rPr>
          <w:szCs w:val="22"/>
        </w:rPr>
        <w:t xml:space="preserve">  </w:t>
      </w:r>
      <w:r w:rsidR="00D24C63">
        <w:t>The Bureau</w:t>
      </w:r>
      <w:r w:rsidR="00D24C63" w:rsidRPr="00996EBD">
        <w:t xml:space="preserve"> will outline th</w:t>
      </w:r>
      <w:r w:rsidR="00D24C63">
        <w:t>e</w:t>
      </w:r>
      <w:r w:rsidR="00D24C63" w:rsidRPr="00996EBD">
        <w:t xml:space="preserve"> process </w:t>
      </w:r>
      <w:r w:rsidR="00D24C63">
        <w:t xml:space="preserve">for authorized parties to gain </w:t>
      </w:r>
      <w:r w:rsidR="00D24C63">
        <w:lastRenderedPageBreak/>
        <w:t xml:space="preserve">access to the NORC Data Enclave®, including the physical location and thin client laptops, </w:t>
      </w:r>
      <w:r w:rsidR="00D24C63" w:rsidRPr="00996EBD">
        <w:t xml:space="preserve">in a </w:t>
      </w:r>
      <w:r w:rsidR="00D24C63">
        <w:t xml:space="preserve">forthcoming Public Notice.  </w:t>
      </w:r>
    </w:p>
    <w:p w14:paraId="1FBCD2E4" w14:textId="77777777" w:rsidR="00753070" w:rsidRDefault="006F6B48" w:rsidP="005051C0">
      <w:pPr>
        <w:widowControl/>
        <w:spacing w:before="120" w:after="240"/>
        <w:ind w:firstLine="720"/>
        <w:rPr>
          <w:szCs w:val="22"/>
        </w:rPr>
      </w:pPr>
      <w:r>
        <w:rPr>
          <w:szCs w:val="22"/>
        </w:rPr>
        <w:t xml:space="preserve">In order to gain access to </w:t>
      </w:r>
      <w:r w:rsidR="00B712DA">
        <w:t xml:space="preserve">confidential and highly confidential data and information </w:t>
      </w:r>
      <w:r w:rsidR="00715F28">
        <w:rPr>
          <w:szCs w:val="22"/>
        </w:rPr>
        <w:t>filed in response to the collection</w:t>
      </w:r>
      <w:r w:rsidR="00B712DA">
        <w:rPr>
          <w:szCs w:val="22"/>
        </w:rPr>
        <w:t xml:space="preserve"> as well as the </w:t>
      </w:r>
      <w:r w:rsidR="00B712DA" w:rsidRPr="000E4B97">
        <w:rPr>
          <w:szCs w:val="22"/>
        </w:rPr>
        <w:t>NORC Data Enclave®</w:t>
      </w:r>
      <w:r>
        <w:rPr>
          <w:szCs w:val="22"/>
        </w:rPr>
        <w:t xml:space="preserve">, parties must execute Acknowledgements certifying they are </w:t>
      </w:r>
      <w:r w:rsidR="00B712DA">
        <w:rPr>
          <w:szCs w:val="22"/>
        </w:rPr>
        <w:t>not involved in competitive decision-m</w:t>
      </w:r>
      <w:r w:rsidR="00715F28" w:rsidRPr="000E4B97">
        <w:rPr>
          <w:szCs w:val="22"/>
        </w:rPr>
        <w:t>aking</w:t>
      </w:r>
      <w:r w:rsidR="00895134">
        <w:rPr>
          <w:szCs w:val="22"/>
        </w:rPr>
        <w:t xml:space="preserve"> </w:t>
      </w:r>
      <w:r w:rsidR="00B712DA">
        <w:rPr>
          <w:szCs w:val="22"/>
        </w:rPr>
        <w:t xml:space="preserve">activities </w:t>
      </w:r>
      <w:r w:rsidR="00895134">
        <w:rPr>
          <w:szCs w:val="22"/>
        </w:rPr>
        <w:t xml:space="preserve">and agree to be bound by the terms and conditions of the </w:t>
      </w:r>
      <w:r w:rsidR="00895134" w:rsidRPr="007B1A87">
        <w:rPr>
          <w:i/>
          <w:szCs w:val="22"/>
        </w:rPr>
        <w:t>Protective Order</w:t>
      </w:r>
      <w:r w:rsidR="00715F28" w:rsidRPr="000E4B97">
        <w:rPr>
          <w:szCs w:val="22"/>
        </w:rPr>
        <w:t>.</w:t>
      </w:r>
      <w:r w:rsidR="00715F28" w:rsidRPr="000E4B97">
        <w:rPr>
          <w:rStyle w:val="FootnoteReference"/>
          <w:sz w:val="22"/>
          <w:szCs w:val="22"/>
        </w:rPr>
        <w:footnoteReference w:id="7"/>
      </w:r>
      <w:r w:rsidR="00715F28">
        <w:rPr>
          <w:szCs w:val="22"/>
        </w:rPr>
        <w:t xml:space="preserve">  </w:t>
      </w:r>
      <w:r w:rsidR="00090E4E">
        <w:rPr>
          <w:szCs w:val="22"/>
        </w:rPr>
        <w:t>S</w:t>
      </w:r>
      <w:r w:rsidR="00B712DA">
        <w:rPr>
          <w:szCs w:val="22"/>
        </w:rPr>
        <w:t>upport staff employed by outside c</w:t>
      </w:r>
      <w:r w:rsidR="004608AD" w:rsidRPr="00F559EA">
        <w:rPr>
          <w:szCs w:val="22"/>
        </w:rPr>
        <w:t xml:space="preserve">ounsel </w:t>
      </w:r>
      <w:r w:rsidR="00997839">
        <w:rPr>
          <w:szCs w:val="22"/>
        </w:rPr>
        <w:t>or</w:t>
      </w:r>
      <w:r w:rsidR="00B712DA">
        <w:rPr>
          <w:szCs w:val="22"/>
        </w:rPr>
        <w:t xml:space="preserve"> c</w:t>
      </w:r>
      <w:r w:rsidR="004608AD" w:rsidRPr="00F559EA">
        <w:rPr>
          <w:szCs w:val="22"/>
        </w:rPr>
        <w:t>onsultants</w:t>
      </w:r>
      <w:r w:rsidR="001B4828">
        <w:rPr>
          <w:szCs w:val="22"/>
        </w:rPr>
        <w:t>,</w:t>
      </w:r>
      <w:r w:rsidR="004608AD" w:rsidRPr="00F559EA">
        <w:rPr>
          <w:szCs w:val="22"/>
        </w:rPr>
        <w:t xml:space="preserve"> who do not substantively</w:t>
      </w:r>
      <w:r w:rsidR="00B712DA">
        <w:rPr>
          <w:szCs w:val="22"/>
        </w:rPr>
        <w:t xml:space="preserve"> examine c</w:t>
      </w:r>
      <w:r w:rsidR="004608AD">
        <w:rPr>
          <w:szCs w:val="22"/>
        </w:rPr>
        <w:t xml:space="preserve">onfidential or </w:t>
      </w:r>
      <w:r w:rsidR="00B712DA">
        <w:rPr>
          <w:szCs w:val="22"/>
        </w:rPr>
        <w:t>highly confidential i</w:t>
      </w:r>
      <w:r w:rsidR="004608AD" w:rsidRPr="00F559EA">
        <w:rPr>
          <w:szCs w:val="22"/>
        </w:rPr>
        <w:t>nformatio</w:t>
      </w:r>
      <w:r w:rsidR="004608AD">
        <w:rPr>
          <w:szCs w:val="22"/>
        </w:rPr>
        <w:t>n</w:t>
      </w:r>
      <w:r w:rsidR="001B4828">
        <w:rPr>
          <w:szCs w:val="22"/>
        </w:rPr>
        <w:t>,</w:t>
      </w:r>
      <w:r w:rsidR="004608AD">
        <w:rPr>
          <w:szCs w:val="22"/>
        </w:rPr>
        <w:t xml:space="preserve"> are not required to </w:t>
      </w:r>
      <w:r w:rsidR="004608AD" w:rsidRPr="00F559EA">
        <w:rPr>
          <w:szCs w:val="22"/>
        </w:rPr>
        <w:t>execute separate Acknowledgements</w:t>
      </w:r>
      <w:r w:rsidR="004608AD">
        <w:rPr>
          <w:szCs w:val="22"/>
        </w:rPr>
        <w:t>.</w:t>
      </w:r>
      <w:r w:rsidR="004608AD">
        <w:rPr>
          <w:rStyle w:val="FootnoteReference"/>
          <w:szCs w:val="22"/>
        </w:rPr>
        <w:footnoteReference w:id="8"/>
      </w:r>
      <w:r w:rsidR="004608AD">
        <w:rPr>
          <w:szCs w:val="22"/>
        </w:rPr>
        <w:t xml:space="preserve">  </w:t>
      </w:r>
      <w:r w:rsidR="005C4149" w:rsidRPr="000E4B97">
        <w:rPr>
          <w:szCs w:val="22"/>
        </w:rPr>
        <w:t>P</w:t>
      </w:r>
      <w:r w:rsidR="002E2573" w:rsidRPr="000E4B97">
        <w:rPr>
          <w:szCs w:val="22"/>
        </w:rPr>
        <w:t>arties</w:t>
      </w:r>
      <w:r w:rsidR="005C4149" w:rsidRPr="000E4B97">
        <w:rPr>
          <w:szCs w:val="22"/>
        </w:rPr>
        <w:t xml:space="preserve"> executing the Acknowledgement</w:t>
      </w:r>
      <w:r w:rsidR="002E2573" w:rsidRPr="000E4B97">
        <w:rPr>
          <w:szCs w:val="22"/>
        </w:rPr>
        <w:t xml:space="preserve"> may select </w:t>
      </w:r>
      <w:r w:rsidR="005C4149" w:rsidRPr="000E4B97">
        <w:rPr>
          <w:szCs w:val="22"/>
        </w:rPr>
        <w:t xml:space="preserve">either </w:t>
      </w:r>
      <w:r w:rsidR="002E2573" w:rsidRPr="000E4B97">
        <w:rPr>
          <w:szCs w:val="22"/>
        </w:rPr>
        <w:t xml:space="preserve">a </w:t>
      </w:r>
      <w:r w:rsidR="006C4813">
        <w:rPr>
          <w:szCs w:val="22"/>
        </w:rPr>
        <w:t>“</w:t>
      </w:r>
      <w:r w:rsidR="002E2573" w:rsidRPr="000E4B97">
        <w:rPr>
          <w:szCs w:val="22"/>
        </w:rPr>
        <w:t>Confidential and Highly Confidential</w:t>
      </w:r>
      <w:r w:rsidR="006C4813">
        <w:rPr>
          <w:szCs w:val="22"/>
        </w:rPr>
        <w:t>”</w:t>
      </w:r>
      <w:r w:rsidR="002E2573" w:rsidRPr="000E4B97">
        <w:rPr>
          <w:szCs w:val="22"/>
        </w:rPr>
        <w:t xml:space="preserve"> option, which requests access to the </w:t>
      </w:r>
      <w:r w:rsidR="00937338" w:rsidRPr="000E4B97">
        <w:rPr>
          <w:szCs w:val="22"/>
        </w:rPr>
        <w:t>NORC Data Enclave®</w:t>
      </w:r>
      <w:r w:rsidR="002E2573" w:rsidRPr="000E4B97">
        <w:rPr>
          <w:szCs w:val="22"/>
        </w:rPr>
        <w:t xml:space="preserve"> and information and data contained therein, </w:t>
      </w:r>
      <w:r w:rsidR="005C4149" w:rsidRPr="000E4B97">
        <w:rPr>
          <w:szCs w:val="22"/>
        </w:rPr>
        <w:t>or</w:t>
      </w:r>
      <w:r w:rsidR="002E2573" w:rsidRPr="000E4B97">
        <w:rPr>
          <w:szCs w:val="22"/>
        </w:rPr>
        <w:t xml:space="preserve"> a </w:t>
      </w:r>
      <w:r w:rsidR="006C4813">
        <w:rPr>
          <w:szCs w:val="22"/>
        </w:rPr>
        <w:t>“</w:t>
      </w:r>
      <w:r w:rsidR="002E2573" w:rsidRPr="000E4B97">
        <w:rPr>
          <w:szCs w:val="22"/>
        </w:rPr>
        <w:t>Confidential</w:t>
      </w:r>
      <w:r w:rsidR="006C4813">
        <w:rPr>
          <w:szCs w:val="22"/>
        </w:rPr>
        <w:t xml:space="preserve"> Information” option which limits access to confidential i</w:t>
      </w:r>
      <w:r w:rsidR="002E2573" w:rsidRPr="000E4B97">
        <w:rPr>
          <w:szCs w:val="22"/>
        </w:rPr>
        <w:t>nformation, proh</w:t>
      </w:r>
      <w:r w:rsidR="006C4813">
        <w:rPr>
          <w:szCs w:val="22"/>
        </w:rPr>
        <w:t>ibiting access to highly confidential data and i</w:t>
      </w:r>
      <w:r w:rsidR="002E2573" w:rsidRPr="000E4B97">
        <w:rPr>
          <w:szCs w:val="22"/>
        </w:rPr>
        <w:t xml:space="preserve">nformation as well as the </w:t>
      </w:r>
      <w:r w:rsidR="00937338" w:rsidRPr="000E4B97">
        <w:rPr>
          <w:szCs w:val="22"/>
        </w:rPr>
        <w:t>NORC Data Enclave®</w:t>
      </w:r>
      <w:r w:rsidR="002E2573" w:rsidRPr="000E4B97">
        <w:rPr>
          <w:szCs w:val="22"/>
        </w:rPr>
        <w:t>.</w:t>
      </w:r>
      <w:r w:rsidR="002E2573" w:rsidRPr="000E4B97">
        <w:rPr>
          <w:rStyle w:val="FootnoteReference"/>
          <w:sz w:val="22"/>
          <w:szCs w:val="22"/>
        </w:rPr>
        <w:footnoteReference w:id="9"/>
      </w:r>
      <w:r w:rsidR="002E2573" w:rsidRPr="000E4B97">
        <w:rPr>
          <w:szCs w:val="22"/>
        </w:rPr>
        <w:t xml:space="preserve"> </w:t>
      </w:r>
      <w:r w:rsidR="00A3351E">
        <w:rPr>
          <w:szCs w:val="22"/>
        </w:rPr>
        <w:t xml:space="preserve"> </w:t>
      </w:r>
      <w:r w:rsidR="005051C0">
        <w:rPr>
          <w:szCs w:val="22"/>
        </w:rPr>
        <w:t>A</w:t>
      </w:r>
      <w:r w:rsidR="005051C0" w:rsidRPr="005051C0">
        <w:rPr>
          <w:szCs w:val="22"/>
        </w:rPr>
        <w:t>uthorized parties that have</w:t>
      </w:r>
      <w:r w:rsidR="005051C0">
        <w:rPr>
          <w:szCs w:val="22"/>
        </w:rPr>
        <w:t xml:space="preserve"> </w:t>
      </w:r>
      <w:r w:rsidR="006C4813">
        <w:rPr>
          <w:szCs w:val="22"/>
        </w:rPr>
        <w:t>c</w:t>
      </w:r>
      <w:r w:rsidR="005051C0" w:rsidRPr="005051C0">
        <w:rPr>
          <w:szCs w:val="22"/>
        </w:rPr>
        <w:t xml:space="preserve">onfidential-only access may request from the Bureau electronic copies of documents containing </w:t>
      </w:r>
      <w:r w:rsidR="005051C0">
        <w:rPr>
          <w:szCs w:val="22"/>
        </w:rPr>
        <w:t>c</w:t>
      </w:r>
      <w:r w:rsidR="005051C0" w:rsidRPr="005051C0">
        <w:rPr>
          <w:szCs w:val="22"/>
        </w:rPr>
        <w:t>onfidential</w:t>
      </w:r>
      <w:r w:rsidR="005051C0">
        <w:rPr>
          <w:szCs w:val="22"/>
        </w:rPr>
        <w:t xml:space="preserve"> i</w:t>
      </w:r>
      <w:r w:rsidR="005051C0" w:rsidRPr="005051C0">
        <w:rPr>
          <w:szCs w:val="22"/>
        </w:rPr>
        <w:t>nformation</w:t>
      </w:r>
      <w:r w:rsidR="001B4828">
        <w:rPr>
          <w:szCs w:val="22"/>
        </w:rPr>
        <w:t>,</w:t>
      </w:r>
      <w:r w:rsidR="005051C0" w:rsidRPr="005051C0">
        <w:rPr>
          <w:szCs w:val="22"/>
        </w:rPr>
        <w:t xml:space="preserve"> as well as </w:t>
      </w:r>
      <w:r w:rsidR="005051C0">
        <w:rPr>
          <w:szCs w:val="22"/>
        </w:rPr>
        <w:t>documents where highly c</w:t>
      </w:r>
      <w:r w:rsidR="005051C0" w:rsidRPr="005051C0">
        <w:rPr>
          <w:szCs w:val="22"/>
        </w:rPr>
        <w:t>onfi</w:t>
      </w:r>
      <w:r w:rsidR="005051C0">
        <w:rPr>
          <w:szCs w:val="22"/>
        </w:rPr>
        <w:t>dential information</w:t>
      </w:r>
      <w:r w:rsidR="006C4813">
        <w:rPr>
          <w:szCs w:val="22"/>
        </w:rPr>
        <w:t xml:space="preserve"> and data</w:t>
      </w:r>
      <w:r w:rsidR="005051C0">
        <w:rPr>
          <w:szCs w:val="22"/>
        </w:rPr>
        <w:t xml:space="preserve"> is redacted</w:t>
      </w:r>
      <w:r w:rsidR="005051C0" w:rsidRPr="005051C0">
        <w:rPr>
          <w:szCs w:val="22"/>
        </w:rPr>
        <w:t>.</w:t>
      </w:r>
    </w:p>
    <w:p w14:paraId="29F334F8" w14:textId="23981D48" w:rsidR="00050DC4" w:rsidRDefault="002E3348" w:rsidP="00D04430">
      <w:pPr>
        <w:spacing w:before="120" w:after="240"/>
        <w:ind w:firstLine="720"/>
        <w:rPr>
          <w:szCs w:val="22"/>
        </w:rPr>
      </w:pPr>
      <w:r>
        <w:rPr>
          <w:szCs w:val="22"/>
        </w:rPr>
        <w:t>Requesting parties shall</w:t>
      </w:r>
      <w:r w:rsidR="009550BA" w:rsidRPr="000E4B97">
        <w:rPr>
          <w:szCs w:val="22"/>
        </w:rPr>
        <w:t xml:space="preserve"> file the</w:t>
      </w:r>
      <w:r>
        <w:rPr>
          <w:szCs w:val="22"/>
        </w:rPr>
        <w:t>ir</w:t>
      </w:r>
      <w:r w:rsidR="009550BA" w:rsidRPr="000E4B97">
        <w:rPr>
          <w:szCs w:val="22"/>
        </w:rPr>
        <w:t xml:space="preserve"> Acknowledgment</w:t>
      </w:r>
      <w:r w:rsidR="007B1A87">
        <w:rPr>
          <w:szCs w:val="22"/>
        </w:rPr>
        <w:t>s</w:t>
      </w:r>
      <w:r w:rsidR="009550BA" w:rsidRPr="000E4B97">
        <w:rPr>
          <w:szCs w:val="22"/>
        </w:rPr>
        <w:t xml:space="preserve"> electronically through the Commission’s Electronic Comment Filing System (ECFS)</w:t>
      </w:r>
      <w:r w:rsidR="001B4828">
        <w:rPr>
          <w:szCs w:val="22"/>
        </w:rPr>
        <w:t>,</w:t>
      </w:r>
      <w:r w:rsidR="009550BA" w:rsidRPr="000E4B97">
        <w:rPr>
          <w:szCs w:val="22"/>
        </w:rPr>
        <w:t xml:space="preserve"> or by hand delivery to the Commission</w:t>
      </w:r>
      <w:r w:rsidR="001B4828">
        <w:rPr>
          <w:szCs w:val="22"/>
        </w:rPr>
        <w:t>,</w:t>
      </w:r>
      <w:r w:rsidR="00050DC4" w:rsidRPr="00050DC4">
        <w:rPr>
          <w:szCs w:val="22"/>
        </w:rPr>
        <w:t xml:space="preserve"> </w:t>
      </w:r>
      <w:r w:rsidR="00050DC4">
        <w:rPr>
          <w:szCs w:val="22"/>
        </w:rPr>
        <w:t>in WC Docket No. 05-25</w:t>
      </w:r>
      <w:r w:rsidR="009550BA" w:rsidRPr="000E4B97">
        <w:rPr>
          <w:szCs w:val="22"/>
        </w:rPr>
        <w:t xml:space="preserve">, and send a copy to </w:t>
      </w:r>
      <w:hyperlink r:id="rId8" w:history="1">
        <w:r w:rsidR="009550BA" w:rsidRPr="00A3351E">
          <w:rPr>
            <w:rStyle w:val="Hyperlink"/>
            <w:color w:val="auto"/>
            <w:szCs w:val="22"/>
          </w:rPr>
          <w:t>SpecialAccess@fcc.gov</w:t>
        </w:r>
      </w:hyperlink>
      <w:r w:rsidR="009550BA" w:rsidRPr="00A3351E">
        <w:rPr>
          <w:szCs w:val="22"/>
        </w:rPr>
        <w:t xml:space="preserve">. </w:t>
      </w:r>
      <w:r w:rsidR="00753070">
        <w:rPr>
          <w:szCs w:val="22"/>
        </w:rPr>
        <w:t xml:space="preserve"> </w:t>
      </w:r>
      <w:r w:rsidR="001120A9" w:rsidRPr="001120A9">
        <w:rPr>
          <w:szCs w:val="22"/>
        </w:rPr>
        <w:t>The</w:t>
      </w:r>
      <w:r w:rsidR="001120A9">
        <w:rPr>
          <w:szCs w:val="22"/>
        </w:rPr>
        <w:t xml:space="preserve"> </w:t>
      </w:r>
      <w:r w:rsidR="001120A9" w:rsidRPr="001120A9">
        <w:rPr>
          <w:szCs w:val="22"/>
        </w:rPr>
        <w:t>Acknowledgment does not need to be served on the Submitting Parties.</w:t>
      </w:r>
      <w:r w:rsidR="001120A9">
        <w:rPr>
          <w:szCs w:val="22"/>
        </w:rPr>
        <w:t xml:space="preserve">  </w:t>
      </w:r>
      <w:r w:rsidR="00050DC4">
        <w:rPr>
          <w:szCs w:val="22"/>
        </w:rPr>
        <w:t>W</w:t>
      </w:r>
      <w:r w:rsidR="00050DC4" w:rsidRPr="00A3351E">
        <w:rPr>
          <w:szCs w:val="22"/>
        </w:rPr>
        <w:t>e will periodically release public notice</w:t>
      </w:r>
      <w:r w:rsidR="00F2073C">
        <w:rPr>
          <w:szCs w:val="22"/>
        </w:rPr>
        <w:t>s</w:t>
      </w:r>
      <w:r w:rsidR="00050DC4" w:rsidRPr="00A3351E">
        <w:rPr>
          <w:szCs w:val="22"/>
        </w:rPr>
        <w:t xml:space="preserve"> identifying</w:t>
      </w:r>
      <w:r w:rsidR="00050DC4">
        <w:rPr>
          <w:szCs w:val="22"/>
        </w:rPr>
        <w:t xml:space="preserve"> </w:t>
      </w:r>
      <w:r w:rsidR="00050DC4" w:rsidRPr="00A3351E">
        <w:rPr>
          <w:szCs w:val="22"/>
        </w:rPr>
        <w:t>those parties that have filed a signed Acknowledgement with the Commission</w:t>
      </w:r>
      <w:r w:rsidR="0009158C">
        <w:rPr>
          <w:szCs w:val="22"/>
        </w:rPr>
        <w:t>, and</w:t>
      </w:r>
      <w:r w:rsidR="00F2073C">
        <w:rPr>
          <w:szCs w:val="22"/>
        </w:rPr>
        <w:t xml:space="preserve"> </w:t>
      </w:r>
      <w:r w:rsidR="00050DC4">
        <w:rPr>
          <w:szCs w:val="22"/>
        </w:rPr>
        <w:t>post copies of all Acknowledgements filed on the following webpage:</w:t>
      </w:r>
      <w:r w:rsidR="00285383">
        <w:rPr>
          <w:szCs w:val="22"/>
        </w:rPr>
        <w:t xml:space="preserve"> </w:t>
      </w:r>
      <w:hyperlink r:id="rId9" w:history="1">
        <w:r w:rsidR="00050DC4" w:rsidRPr="00A3351E">
          <w:rPr>
            <w:rStyle w:val="Hyperlink"/>
            <w:color w:val="auto"/>
            <w:szCs w:val="22"/>
          </w:rPr>
          <w:t>http://www.fcc.gov/encyclopedia/acknowledgement-confidential-special-access-data-collection</w:t>
        </w:r>
      </w:hyperlink>
      <w:r w:rsidR="00050DC4">
        <w:rPr>
          <w:szCs w:val="22"/>
        </w:rPr>
        <w:t>.</w:t>
      </w:r>
    </w:p>
    <w:p w14:paraId="7243D426" w14:textId="1C12C197" w:rsidR="00CE67B6" w:rsidRDefault="00A63620" w:rsidP="009550BA">
      <w:pPr>
        <w:spacing w:before="120" w:after="240"/>
        <w:ind w:firstLine="720"/>
        <w:rPr>
          <w:szCs w:val="22"/>
        </w:rPr>
      </w:pPr>
      <w:r>
        <w:rPr>
          <w:szCs w:val="22"/>
        </w:rPr>
        <w:t xml:space="preserve">Parties </w:t>
      </w:r>
      <w:r w:rsidR="00937338">
        <w:rPr>
          <w:szCs w:val="22"/>
        </w:rPr>
        <w:t xml:space="preserve">that submitted confidential or highly confidential information in response to the collection </w:t>
      </w:r>
      <w:r w:rsidR="00DC242B">
        <w:rPr>
          <w:szCs w:val="22"/>
        </w:rPr>
        <w:t xml:space="preserve">will </w:t>
      </w:r>
      <w:r>
        <w:rPr>
          <w:szCs w:val="22"/>
        </w:rPr>
        <w:t xml:space="preserve">have an opportunity to object to disclosure of </w:t>
      </w:r>
      <w:r w:rsidR="00F2073C">
        <w:rPr>
          <w:szCs w:val="22"/>
        </w:rPr>
        <w:t>their</w:t>
      </w:r>
      <w:r>
        <w:rPr>
          <w:szCs w:val="22"/>
        </w:rPr>
        <w:t xml:space="preserve"> data and information</w:t>
      </w:r>
      <w:r w:rsidR="00DC242B">
        <w:rPr>
          <w:szCs w:val="22"/>
        </w:rPr>
        <w:t xml:space="preserve"> to any </w:t>
      </w:r>
      <w:r>
        <w:rPr>
          <w:szCs w:val="22"/>
        </w:rPr>
        <w:t>requesting party</w:t>
      </w:r>
      <w:r w:rsidR="00937338">
        <w:rPr>
          <w:szCs w:val="22"/>
        </w:rPr>
        <w:t xml:space="preserve"> filing an Acknowledgement.  A submitting p</w:t>
      </w:r>
      <w:r>
        <w:rPr>
          <w:szCs w:val="22"/>
        </w:rPr>
        <w:t xml:space="preserve">arty </w:t>
      </w:r>
      <w:r w:rsidR="00E33F03">
        <w:rPr>
          <w:szCs w:val="22"/>
        </w:rPr>
        <w:t xml:space="preserve">must file such objection </w:t>
      </w:r>
      <w:r w:rsidR="00E33F03" w:rsidRPr="000E4B97">
        <w:rPr>
          <w:szCs w:val="22"/>
        </w:rPr>
        <w:t>through ECFS or by hand delivery to the Commission</w:t>
      </w:r>
      <w:r w:rsidR="00050DC4">
        <w:rPr>
          <w:szCs w:val="22"/>
        </w:rPr>
        <w:t xml:space="preserve"> in WC Docket No. 05-25</w:t>
      </w:r>
      <w:r w:rsidR="001B4828">
        <w:rPr>
          <w:szCs w:val="22"/>
        </w:rPr>
        <w:t>,</w:t>
      </w:r>
      <w:r w:rsidR="00E33F03">
        <w:rPr>
          <w:szCs w:val="22"/>
        </w:rPr>
        <w:t xml:space="preserve"> and serve </w:t>
      </w:r>
      <w:r>
        <w:rPr>
          <w:szCs w:val="22"/>
        </w:rPr>
        <w:t xml:space="preserve">a copy </w:t>
      </w:r>
      <w:r w:rsidR="00520CD3">
        <w:rPr>
          <w:szCs w:val="22"/>
        </w:rPr>
        <w:t xml:space="preserve">on </w:t>
      </w:r>
      <w:r w:rsidR="00937338">
        <w:rPr>
          <w:szCs w:val="22"/>
        </w:rPr>
        <w:t>c</w:t>
      </w:r>
      <w:r w:rsidR="00520CD3">
        <w:rPr>
          <w:szCs w:val="22"/>
        </w:rPr>
        <w:t>ounsel representing, ret</w:t>
      </w:r>
      <w:r>
        <w:rPr>
          <w:szCs w:val="22"/>
        </w:rPr>
        <w:t>aining, or employing the requesting party</w:t>
      </w:r>
      <w:r w:rsidR="00520CD3">
        <w:rPr>
          <w:szCs w:val="22"/>
        </w:rPr>
        <w:t xml:space="preserve">, or on the </w:t>
      </w:r>
      <w:r>
        <w:rPr>
          <w:szCs w:val="22"/>
        </w:rPr>
        <w:t>requesting part</w:t>
      </w:r>
      <w:r w:rsidR="009413D0">
        <w:rPr>
          <w:szCs w:val="22"/>
        </w:rPr>
        <w:t>ies</w:t>
      </w:r>
      <w:r w:rsidR="00520CD3">
        <w:rPr>
          <w:szCs w:val="22"/>
        </w:rPr>
        <w:t xml:space="preserve"> themselves</w:t>
      </w:r>
      <w:r w:rsidR="00E33F03">
        <w:rPr>
          <w:szCs w:val="22"/>
        </w:rPr>
        <w:t xml:space="preserve"> within </w:t>
      </w:r>
      <w:r w:rsidR="00AA3E57">
        <w:rPr>
          <w:szCs w:val="22"/>
        </w:rPr>
        <w:t>five (5)</w:t>
      </w:r>
      <w:r w:rsidR="00E33F03">
        <w:rPr>
          <w:szCs w:val="22"/>
        </w:rPr>
        <w:t xml:space="preserve"> business days of </w:t>
      </w:r>
      <w:r w:rsidR="006F74F7">
        <w:rPr>
          <w:szCs w:val="22"/>
        </w:rPr>
        <w:t xml:space="preserve">release </w:t>
      </w:r>
      <w:r w:rsidR="00050DC4">
        <w:rPr>
          <w:szCs w:val="22"/>
        </w:rPr>
        <w:t xml:space="preserve">of the public notice identifying parties </w:t>
      </w:r>
      <w:r w:rsidR="00DF364C">
        <w:rPr>
          <w:szCs w:val="22"/>
        </w:rPr>
        <w:t>filing</w:t>
      </w:r>
      <w:r w:rsidR="00937338">
        <w:rPr>
          <w:szCs w:val="22"/>
        </w:rPr>
        <w:t xml:space="preserve"> </w:t>
      </w:r>
      <w:r w:rsidR="00DC242B">
        <w:rPr>
          <w:szCs w:val="22"/>
        </w:rPr>
        <w:t>Acknowledgements</w:t>
      </w:r>
      <w:r w:rsidR="00520CD3">
        <w:rPr>
          <w:szCs w:val="22"/>
        </w:rPr>
        <w:t xml:space="preserve">.  </w:t>
      </w:r>
      <w:r w:rsidR="005C4149" w:rsidRPr="000E4B97">
        <w:rPr>
          <w:szCs w:val="22"/>
        </w:rPr>
        <w:t>A</w:t>
      </w:r>
      <w:r w:rsidR="00A077A9" w:rsidRPr="000E4B97">
        <w:rPr>
          <w:szCs w:val="22"/>
        </w:rPr>
        <w:t xml:space="preserve">bsent the filing of an objection, the requesting party will have access to </w:t>
      </w:r>
      <w:r w:rsidR="00937338">
        <w:rPr>
          <w:szCs w:val="22"/>
        </w:rPr>
        <w:t>c</w:t>
      </w:r>
      <w:r w:rsidR="00A077A9" w:rsidRPr="000E4B97">
        <w:rPr>
          <w:szCs w:val="22"/>
        </w:rPr>
        <w:t xml:space="preserve">onfidential </w:t>
      </w:r>
      <w:r w:rsidR="00937338">
        <w:rPr>
          <w:szCs w:val="22"/>
        </w:rPr>
        <w:t>and h</w:t>
      </w:r>
      <w:r w:rsidR="00A077A9" w:rsidRPr="000E4B97">
        <w:rPr>
          <w:szCs w:val="22"/>
        </w:rPr>
        <w:t xml:space="preserve">ighly </w:t>
      </w:r>
      <w:r w:rsidR="00937338">
        <w:rPr>
          <w:szCs w:val="22"/>
        </w:rPr>
        <w:t>c</w:t>
      </w:r>
      <w:r w:rsidR="00A077A9" w:rsidRPr="000E4B97">
        <w:rPr>
          <w:szCs w:val="22"/>
        </w:rPr>
        <w:t xml:space="preserve">onfidential </w:t>
      </w:r>
      <w:r w:rsidR="00937338">
        <w:rPr>
          <w:szCs w:val="22"/>
        </w:rPr>
        <w:t>data and i</w:t>
      </w:r>
      <w:r w:rsidR="00A077A9" w:rsidRPr="000E4B97">
        <w:rPr>
          <w:szCs w:val="22"/>
        </w:rPr>
        <w:t>nformation</w:t>
      </w:r>
      <w:r w:rsidR="00DC242B">
        <w:rPr>
          <w:szCs w:val="22"/>
        </w:rPr>
        <w:t xml:space="preserve"> as well as the </w:t>
      </w:r>
      <w:r w:rsidR="00937338" w:rsidRPr="000E4B97">
        <w:rPr>
          <w:szCs w:val="22"/>
        </w:rPr>
        <w:t>NORC Data Enclave®</w:t>
      </w:r>
      <w:r w:rsidR="00DC242B">
        <w:rPr>
          <w:szCs w:val="22"/>
        </w:rPr>
        <w:t>, as appropriate and set</w:t>
      </w:r>
      <w:r w:rsidR="00A077A9" w:rsidRPr="000E4B97">
        <w:rPr>
          <w:szCs w:val="22"/>
        </w:rPr>
        <w:t xml:space="preserve"> forth in the </w:t>
      </w:r>
      <w:r w:rsidR="00A077A9" w:rsidRPr="007B1A87">
        <w:rPr>
          <w:i/>
          <w:szCs w:val="22"/>
        </w:rPr>
        <w:t>Protective Order</w:t>
      </w:r>
      <w:r w:rsidR="00A077A9" w:rsidRPr="000E4B97">
        <w:rPr>
          <w:szCs w:val="22"/>
        </w:rPr>
        <w:t>.</w:t>
      </w:r>
      <w:r w:rsidR="00A077A9" w:rsidRPr="000E4B97">
        <w:rPr>
          <w:rStyle w:val="FootnoteReference"/>
          <w:sz w:val="22"/>
          <w:szCs w:val="22"/>
        </w:rPr>
        <w:footnoteReference w:id="10"/>
      </w:r>
      <w:r w:rsidR="000C05C4">
        <w:rPr>
          <w:szCs w:val="22"/>
        </w:rPr>
        <w:t xml:space="preserve"> </w:t>
      </w:r>
    </w:p>
    <w:p w14:paraId="2F2EAFA4" w14:textId="485F5412" w:rsidR="00784A6B" w:rsidRDefault="00AA3E57" w:rsidP="00F2731D">
      <w:pPr>
        <w:widowControl/>
        <w:ind w:firstLine="720"/>
        <w:contextualSpacing/>
        <w:rPr>
          <w:rFonts w:eastAsia="Calibri"/>
          <w:snapToGrid/>
          <w:color w:val="000000" w:themeColor="text1"/>
          <w:kern w:val="0"/>
          <w:szCs w:val="22"/>
        </w:rPr>
      </w:pPr>
      <w:r>
        <w:rPr>
          <w:rFonts w:eastAsia="Calibri"/>
          <w:snapToGrid/>
          <w:color w:val="000000" w:themeColor="text1"/>
          <w:kern w:val="0"/>
          <w:szCs w:val="22"/>
        </w:rPr>
        <w:t>W</w:t>
      </w:r>
      <w:r w:rsidR="00784A6B">
        <w:rPr>
          <w:rFonts w:eastAsia="Calibri"/>
          <w:snapToGrid/>
          <w:color w:val="000000" w:themeColor="text1"/>
          <w:kern w:val="0"/>
          <w:szCs w:val="22"/>
        </w:rPr>
        <w:t>e encourage parties seeking access to confidential and highly confidential information</w:t>
      </w:r>
      <w:r w:rsidR="00DF364C">
        <w:rPr>
          <w:rFonts w:eastAsia="Calibri"/>
          <w:snapToGrid/>
          <w:color w:val="000000" w:themeColor="text1"/>
          <w:kern w:val="0"/>
          <w:szCs w:val="22"/>
        </w:rPr>
        <w:t xml:space="preserve"> submitted in response to the collection</w:t>
      </w:r>
      <w:r w:rsidR="00784A6B">
        <w:rPr>
          <w:rFonts w:eastAsia="Calibri"/>
          <w:snapToGrid/>
          <w:color w:val="000000" w:themeColor="text1"/>
          <w:kern w:val="0"/>
          <w:szCs w:val="22"/>
        </w:rPr>
        <w:t xml:space="preserve"> to file their Acknowledgements by </w:t>
      </w:r>
      <w:r w:rsidR="00DC33AB">
        <w:rPr>
          <w:rFonts w:eastAsia="Calibri"/>
          <w:snapToGrid/>
          <w:color w:val="000000" w:themeColor="text1"/>
          <w:kern w:val="0"/>
          <w:szCs w:val="22"/>
        </w:rPr>
        <w:t xml:space="preserve">July </w:t>
      </w:r>
      <w:r w:rsidR="00331847">
        <w:rPr>
          <w:rFonts w:eastAsia="Calibri"/>
          <w:snapToGrid/>
          <w:color w:val="000000" w:themeColor="text1"/>
          <w:kern w:val="0"/>
          <w:szCs w:val="22"/>
        </w:rPr>
        <w:t>2</w:t>
      </w:r>
      <w:r w:rsidR="00DC33AB">
        <w:rPr>
          <w:rFonts w:eastAsia="Calibri"/>
          <w:snapToGrid/>
          <w:color w:val="000000" w:themeColor="text1"/>
          <w:kern w:val="0"/>
          <w:szCs w:val="22"/>
        </w:rPr>
        <w:t>, 2015</w:t>
      </w:r>
      <w:r w:rsidR="001B4828">
        <w:rPr>
          <w:rFonts w:eastAsia="Calibri"/>
          <w:snapToGrid/>
          <w:color w:val="000000" w:themeColor="text1"/>
          <w:kern w:val="0"/>
          <w:szCs w:val="22"/>
        </w:rPr>
        <w:t>,</w:t>
      </w:r>
      <w:r w:rsidRPr="00AA3E57">
        <w:rPr>
          <w:rFonts w:eastAsia="Calibri"/>
          <w:snapToGrid/>
          <w:color w:val="000000" w:themeColor="text1"/>
          <w:kern w:val="0"/>
          <w:szCs w:val="22"/>
        </w:rPr>
        <w:t xml:space="preserve"> </w:t>
      </w:r>
      <w:r>
        <w:rPr>
          <w:rFonts w:eastAsia="Calibri"/>
          <w:snapToGrid/>
          <w:color w:val="000000" w:themeColor="text1"/>
          <w:kern w:val="0"/>
          <w:szCs w:val="22"/>
        </w:rPr>
        <w:t xml:space="preserve">in order to </w:t>
      </w:r>
      <w:r w:rsidR="001B4828">
        <w:rPr>
          <w:rFonts w:eastAsia="Calibri"/>
          <w:snapToGrid/>
          <w:color w:val="000000" w:themeColor="text1"/>
          <w:kern w:val="0"/>
          <w:szCs w:val="22"/>
        </w:rPr>
        <w:t xml:space="preserve">be in position to </w:t>
      </w:r>
      <w:r>
        <w:rPr>
          <w:rFonts w:eastAsia="Calibri"/>
          <w:snapToGrid/>
          <w:color w:val="000000" w:themeColor="text1"/>
          <w:kern w:val="0"/>
          <w:szCs w:val="22"/>
        </w:rPr>
        <w:t>analyze that information and comment in the special access proceeding in a timely manner.</w:t>
      </w:r>
      <w:r w:rsidR="002C6B4A">
        <w:rPr>
          <w:rStyle w:val="FootnoteReference"/>
          <w:rFonts w:eastAsia="Calibri"/>
          <w:snapToGrid/>
          <w:kern w:val="0"/>
          <w:szCs w:val="22"/>
        </w:rPr>
        <w:footnoteReference w:id="11"/>
      </w:r>
    </w:p>
    <w:p w14:paraId="2D14E78B" w14:textId="77777777" w:rsidR="00784A6B" w:rsidRDefault="00784A6B" w:rsidP="00F2731D">
      <w:pPr>
        <w:widowControl/>
        <w:ind w:firstLine="720"/>
        <w:contextualSpacing/>
        <w:rPr>
          <w:rFonts w:eastAsia="Calibri"/>
          <w:snapToGrid/>
          <w:color w:val="000000" w:themeColor="text1"/>
          <w:kern w:val="0"/>
          <w:szCs w:val="22"/>
        </w:rPr>
      </w:pPr>
    </w:p>
    <w:p w14:paraId="1603857B" w14:textId="061C2450" w:rsidR="00F2731D" w:rsidRPr="00F2731D" w:rsidRDefault="00F2731D" w:rsidP="00F2731D">
      <w:pPr>
        <w:widowControl/>
        <w:ind w:firstLine="720"/>
        <w:contextualSpacing/>
        <w:rPr>
          <w:rFonts w:eastAsia="Calibri"/>
          <w:snapToGrid/>
          <w:color w:val="000000" w:themeColor="text1"/>
          <w:kern w:val="0"/>
          <w:szCs w:val="22"/>
        </w:rPr>
      </w:pPr>
      <w:r w:rsidRPr="000E4B97">
        <w:rPr>
          <w:rFonts w:eastAsia="Calibri"/>
          <w:snapToGrid/>
          <w:color w:val="000000" w:themeColor="text1"/>
          <w:kern w:val="0"/>
          <w:szCs w:val="22"/>
        </w:rPr>
        <w:t>Acknowledgements and oppositions to Acknowledgements</w:t>
      </w:r>
      <w:r w:rsidRPr="00F2731D">
        <w:rPr>
          <w:rFonts w:eastAsia="Calibri"/>
          <w:snapToGrid/>
          <w:color w:val="000000" w:themeColor="text1"/>
          <w:kern w:val="0"/>
          <w:szCs w:val="22"/>
        </w:rPr>
        <w:t xml:space="preserve"> may be filed by paper copies or by using ECFS.  </w:t>
      </w:r>
      <w:r w:rsidRPr="00F2731D">
        <w:rPr>
          <w:rFonts w:eastAsia="Calibri"/>
          <w:i/>
          <w:snapToGrid/>
          <w:color w:val="000000" w:themeColor="text1"/>
          <w:kern w:val="0"/>
          <w:szCs w:val="22"/>
        </w:rPr>
        <w:t>See</w:t>
      </w:r>
      <w:r w:rsidRPr="00F2731D">
        <w:rPr>
          <w:rFonts w:eastAsia="Calibri"/>
          <w:snapToGrid/>
          <w:color w:val="000000" w:themeColor="text1"/>
          <w:kern w:val="0"/>
          <w:szCs w:val="22"/>
        </w:rPr>
        <w:t xml:space="preserve"> </w:t>
      </w:r>
      <w:r w:rsidRPr="00F2731D">
        <w:rPr>
          <w:rFonts w:eastAsia="Calibri"/>
          <w:i/>
          <w:snapToGrid/>
          <w:color w:val="000000" w:themeColor="text1"/>
          <w:kern w:val="0"/>
          <w:szCs w:val="22"/>
        </w:rPr>
        <w:t>Electronic Filing of Documents in Rulemaking Proceedings</w:t>
      </w:r>
      <w:r w:rsidRPr="00F2731D">
        <w:rPr>
          <w:rFonts w:eastAsia="Calibri"/>
          <w:snapToGrid/>
          <w:color w:val="000000" w:themeColor="text1"/>
          <w:kern w:val="0"/>
          <w:szCs w:val="22"/>
        </w:rPr>
        <w:t>, 63 FR 24121 (1998).</w:t>
      </w:r>
    </w:p>
    <w:p w14:paraId="20248C30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</w:p>
    <w:p w14:paraId="3522D25F" w14:textId="0DB47EFD" w:rsidR="00F2731D" w:rsidRPr="00F2731D" w:rsidRDefault="00F2731D" w:rsidP="00F2731D">
      <w:pPr>
        <w:widowControl/>
        <w:numPr>
          <w:ilvl w:val="0"/>
          <w:numId w:val="8"/>
        </w:numPr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lastRenderedPageBreak/>
        <w:t xml:space="preserve">Electronic Filers: Comments may be filed electronically using the Internet by accessing ECFS: </w:t>
      </w:r>
      <w:r w:rsidR="00F50615" w:rsidRPr="00BC53C5">
        <w:rPr>
          <w:szCs w:val="22"/>
          <w:u w:val="single"/>
        </w:rPr>
        <w:t>http://apps.fcc.gov/ecfs</w:t>
      </w:r>
      <w:r w:rsidRPr="00F2731D">
        <w:rPr>
          <w:rFonts w:eastAsia="Calibri"/>
          <w:snapToGrid/>
          <w:kern w:val="0"/>
          <w:szCs w:val="22"/>
        </w:rPr>
        <w:t>.</w:t>
      </w:r>
    </w:p>
    <w:p w14:paraId="13ED648D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</w:p>
    <w:p w14:paraId="15372721" w14:textId="03C65E72" w:rsidR="00F2731D" w:rsidRPr="00F2731D" w:rsidRDefault="00F2731D" w:rsidP="00F2731D">
      <w:pPr>
        <w:widowControl/>
        <w:numPr>
          <w:ilvl w:val="0"/>
          <w:numId w:val="8"/>
        </w:numPr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 xml:space="preserve">Paper Filers: Parties who choose to file by paper must file an original and one copy of each filing.  Because more than one docket </w:t>
      </w:r>
      <w:r w:rsidR="00C34EE6">
        <w:rPr>
          <w:rFonts w:eastAsia="Calibri"/>
          <w:snapToGrid/>
          <w:kern w:val="0"/>
          <w:szCs w:val="22"/>
        </w:rPr>
        <w:t xml:space="preserve">and rulemaking </w:t>
      </w:r>
      <w:r w:rsidRPr="00F2731D">
        <w:rPr>
          <w:rFonts w:eastAsia="Calibri"/>
          <w:snapToGrid/>
          <w:kern w:val="0"/>
          <w:szCs w:val="22"/>
        </w:rPr>
        <w:t xml:space="preserve">number appears in the caption of this proceeding, filers must submit two additional copies for </w:t>
      </w:r>
      <w:r w:rsidR="00C34EE6">
        <w:rPr>
          <w:rFonts w:eastAsia="Calibri"/>
          <w:snapToGrid/>
          <w:kern w:val="0"/>
          <w:szCs w:val="22"/>
        </w:rPr>
        <w:t>the</w:t>
      </w:r>
      <w:r w:rsidRPr="00F2731D">
        <w:rPr>
          <w:rFonts w:eastAsia="Calibri"/>
          <w:snapToGrid/>
          <w:kern w:val="0"/>
          <w:szCs w:val="22"/>
        </w:rPr>
        <w:t xml:space="preserve"> additional number.  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14:paraId="7FE4CF69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</w:p>
    <w:p w14:paraId="07F5F8B7" w14:textId="77777777" w:rsidR="00F2731D" w:rsidRPr="00F2731D" w:rsidRDefault="00F2731D" w:rsidP="00F2731D">
      <w:pPr>
        <w:widowControl/>
        <w:numPr>
          <w:ilvl w:val="0"/>
          <w:numId w:val="9"/>
        </w:numPr>
        <w:ind w:left="1080"/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 xml:space="preserve">All hand-delivered or messenger-delivered paper filings for the Commission’s Secretary must be delivered to FCC Headquarters at 445 12th Street, SW, Room TW-A325, Washington, DC 20554.  The filing hours are 8:00 a.m. to 7:00 p.m.  All hand deliveries must be held together with rubber bands or fasteners.  Any envelopes and boxes must be disposed of </w:t>
      </w:r>
      <w:r w:rsidRPr="00F2731D">
        <w:rPr>
          <w:rFonts w:eastAsia="Calibri"/>
          <w:snapToGrid/>
          <w:kern w:val="0"/>
          <w:szCs w:val="22"/>
          <w:u w:val="single"/>
        </w:rPr>
        <w:t>before</w:t>
      </w:r>
      <w:r w:rsidRPr="00F2731D">
        <w:rPr>
          <w:rFonts w:eastAsia="Calibri"/>
          <w:snapToGrid/>
          <w:kern w:val="0"/>
          <w:szCs w:val="22"/>
        </w:rPr>
        <w:t xml:space="preserve"> entering the building.</w:t>
      </w:r>
    </w:p>
    <w:p w14:paraId="02534AD8" w14:textId="77777777" w:rsidR="00F2731D" w:rsidRPr="00F2731D" w:rsidRDefault="00F2731D" w:rsidP="00F2731D">
      <w:pPr>
        <w:widowControl/>
        <w:ind w:left="1080"/>
        <w:contextualSpacing/>
        <w:rPr>
          <w:rFonts w:eastAsia="Calibri"/>
          <w:snapToGrid/>
          <w:kern w:val="0"/>
          <w:szCs w:val="22"/>
        </w:rPr>
      </w:pPr>
    </w:p>
    <w:p w14:paraId="506AE316" w14:textId="77777777" w:rsidR="00F2731D" w:rsidRPr="00F2731D" w:rsidRDefault="00F2731D" w:rsidP="00F2731D">
      <w:pPr>
        <w:widowControl/>
        <w:numPr>
          <w:ilvl w:val="0"/>
          <w:numId w:val="9"/>
        </w:numPr>
        <w:ind w:left="1080"/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>Commercial overnight mail (other than U.S. Postal Service Express Mail and Priority Mail) must be sent to 9300 East Hampton Drive, Capitol Heights, MD 20743.</w:t>
      </w:r>
    </w:p>
    <w:p w14:paraId="2F9699B0" w14:textId="77777777" w:rsidR="00F2731D" w:rsidRPr="00F2731D" w:rsidRDefault="00F2731D" w:rsidP="00F2731D">
      <w:pPr>
        <w:widowControl/>
        <w:ind w:left="1080"/>
        <w:contextualSpacing/>
        <w:rPr>
          <w:rFonts w:eastAsia="Calibri"/>
          <w:snapToGrid/>
          <w:kern w:val="0"/>
          <w:szCs w:val="22"/>
        </w:rPr>
      </w:pPr>
    </w:p>
    <w:p w14:paraId="3F92C57C" w14:textId="1A1A98E1" w:rsidR="00F2731D" w:rsidRPr="00F2731D" w:rsidRDefault="00F2731D" w:rsidP="00F2731D">
      <w:pPr>
        <w:widowControl/>
        <w:numPr>
          <w:ilvl w:val="0"/>
          <w:numId w:val="9"/>
        </w:numPr>
        <w:ind w:left="1080"/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>U.S. Postal Service first-class, Express, and Priority mail must be addressed to 445 12th Street, SW, Washington</w:t>
      </w:r>
      <w:r w:rsidR="00C34EE6">
        <w:rPr>
          <w:rFonts w:eastAsia="Calibri"/>
          <w:snapToGrid/>
          <w:kern w:val="0"/>
          <w:szCs w:val="22"/>
        </w:rPr>
        <w:t>,</w:t>
      </w:r>
      <w:r w:rsidRPr="00F2731D">
        <w:rPr>
          <w:rFonts w:eastAsia="Calibri"/>
          <w:snapToGrid/>
          <w:kern w:val="0"/>
          <w:szCs w:val="22"/>
        </w:rPr>
        <w:t xml:space="preserve"> DC 20554.</w:t>
      </w:r>
    </w:p>
    <w:p w14:paraId="7CAF09FF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</w:p>
    <w:p w14:paraId="621F87AD" w14:textId="77777777" w:rsidR="00F2731D" w:rsidRPr="00F2731D" w:rsidRDefault="00F2731D" w:rsidP="00F2731D">
      <w:pPr>
        <w:widowControl/>
        <w:ind w:firstLine="720"/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>People with Disabilities: To request materials in accessible formats for people with disabilities</w:t>
      </w:r>
    </w:p>
    <w:p w14:paraId="6EA4E46B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 xml:space="preserve">(Braille, large print, electronic files, audio format), send an e-mail to </w:t>
      </w:r>
      <w:r w:rsidRPr="00F2731D">
        <w:rPr>
          <w:rFonts w:eastAsia="Calibri"/>
          <w:snapToGrid/>
          <w:kern w:val="0"/>
          <w:szCs w:val="22"/>
          <w:u w:val="single"/>
        </w:rPr>
        <w:t xml:space="preserve">fcc504@fcc.gov </w:t>
      </w:r>
      <w:r w:rsidRPr="00F2731D">
        <w:rPr>
          <w:rFonts w:eastAsia="Calibri"/>
          <w:snapToGrid/>
          <w:kern w:val="0"/>
          <w:szCs w:val="22"/>
        </w:rPr>
        <w:t>or call the Consumer &amp; Governmental Affairs Bureau at (202) 418-0530 (voice) or (202) 418-0432 (tty).</w:t>
      </w:r>
    </w:p>
    <w:p w14:paraId="46DBBE47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</w:p>
    <w:p w14:paraId="771F88B9" w14:textId="6C21F7F4" w:rsidR="00F2731D" w:rsidRPr="00F2731D" w:rsidRDefault="00F2731D" w:rsidP="00F2731D">
      <w:pPr>
        <w:widowControl/>
        <w:ind w:firstLine="720"/>
        <w:contextualSpacing/>
        <w:rPr>
          <w:rFonts w:eastAsia="Calibri"/>
          <w:snapToGrid/>
          <w:kern w:val="0"/>
          <w:szCs w:val="22"/>
        </w:rPr>
      </w:pPr>
      <w:r w:rsidRPr="00F2731D">
        <w:rPr>
          <w:rFonts w:eastAsia="Calibri"/>
          <w:snapToGrid/>
          <w:kern w:val="0"/>
          <w:szCs w:val="22"/>
        </w:rPr>
        <w:t xml:space="preserve">For further information, please contact </w:t>
      </w:r>
      <w:r w:rsidRPr="000E4B97">
        <w:rPr>
          <w:rFonts w:eastAsia="Calibri"/>
          <w:snapToGrid/>
          <w:kern w:val="0"/>
          <w:szCs w:val="22"/>
        </w:rPr>
        <w:t>Christopher S. Koves</w:t>
      </w:r>
      <w:r w:rsidRPr="00F2731D">
        <w:rPr>
          <w:rFonts w:eastAsia="Calibri"/>
          <w:snapToGrid/>
          <w:kern w:val="0"/>
          <w:szCs w:val="22"/>
        </w:rPr>
        <w:t xml:space="preserve">, Pricing Policy Division, Wireline Competition Bureau, at (202) </w:t>
      </w:r>
      <w:r w:rsidR="007B1A87">
        <w:rPr>
          <w:rFonts w:eastAsia="Calibri"/>
          <w:snapToGrid/>
          <w:kern w:val="0"/>
          <w:szCs w:val="22"/>
        </w:rPr>
        <w:t>418-</w:t>
      </w:r>
      <w:r w:rsidR="009413D0">
        <w:rPr>
          <w:rFonts w:eastAsia="Calibri"/>
          <w:snapToGrid/>
          <w:kern w:val="0"/>
          <w:szCs w:val="22"/>
        </w:rPr>
        <w:t xml:space="preserve">8209 </w:t>
      </w:r>
      <w:r w:rsidR="007B1A87">
        <w:rPr>
          <w:rFonts w:eastAsia="Calibri"/>
          <w:snapToGrid/>
          <w:kern w:val="0"/>
          <w:szCs w:val="22"/>
        </w:rPr>
        <w:t>or via e</w:t>
      </w:r>
      <w:r w:rsidRPr="00F2731D">
        <w:rPr>
          <w:rFonts w:eastAsia="Calibri"/>
          <w:snapToGrid/>
          <w:kern w:val="0"/>
          <w:szCs w:val="22"/>
        </w:rPr>
        <w:t xml:space="preserve">mail at </w:t>
      </w:r>
      <w:r w:rsidRPr="000E4B97">
        <w:rPr>
          <w:rFonts w:eastAsia="Calibri"/>
          <w:snapToGrid/>
          <w:kern w:val="0"/>
          <w:szCs w:val="22"/>
        </w:rPr>
        <w:t>Christopher.Koves</w:t>
      </w:r>
      <w:r w:rsidRPr="00F2731D">
        <w:rPr>
          <w:rFonts w:eastAsia="Calibri"/>
          <w:snapToGrid/>
          <w:kern w:val="0"/>
          <w:szCs w:val="22"/>
        </w:rPr>
        <w:t>@fcc.gov.</w:t>
      </w:r>
    </w:p>
    <w:p w14:paraId="0FCD26BC" w14:textId="77777777" w:rsidR="00F2731D" w:rsidRPr="00F2731D" w:rsidRDefault="00F2731D" w:rsidP="00F2731D">
      <w:pPr>
        <w:widowControl/>
        <w:contextualSpacing/>
        <w:rPr>
          <w:rFonts w:eastAsia="Calibri"/>
          <w:snapToGrid/>
          <w:kern w:val="0"/>
          <w:szCs w:val="22"/>
        </w:rPr>
      </w:pPr>
    </w:p>
    <w:p w14:paraId="4C53A1C9" w14:textId="77777777" w:rsidR="00F2731D" w:rsidRPr="00F2731D" w:rsidRDefault="00F2731D" w:rsidP="00F2731D">
      <w:pPr>
        <w:widowControl/>
        <w:contextualSpacing/>
        <w:jc w:val="center"/>
        <w:rPr>
          <w:b/>
          <w:snapToGrid/>
          <w:kern w:val="0"/>
          <w:szCs w:val="22"/>
        </w:rPr>
      </w:pPr>
      <w:r w:rsidRPr="00F2731D">
        <w:rPr>
          <w:rFonts w:eastAsia="Calibri"/>
          <w:b/>
          <w:snapToGrid/>
          <w:kern w:val="0"/>
          <w:szCs w:val="22"/>
        </w:rPr>
        <w:t>- FCC -</w:t>
      </w:r>
    </w:p>
    <w:p w14:paraId="3F726B4B" w14:textId="77777777" w:rsidR="00451241" w:rsidRPr="000E4B97" w:rsidRDefault="00451241" w:rsidP="00D47505">
      <w:pPr>
        <w:spacing w:before="120" w:after="240"/>
        <w:rPr>
          <w:szCs w:val="22"/>
        </w:rPr>
      </w:pPr>
    </w:p>
    <w:p w14:paraId="238AFCD5" w14:textId="77777777" w:rsidR="006A1F49" w:rsidRPr="000E4B97" w:rsidRDefault="006A1F49" w:rsidP="00D47505">
      <w:pPr>
        <w:spacing w:before="120" w:after="240"/>
        <w:rPr>
          <w:szCs w:val="22"/>
        </w:rPr>
      </w:pPr>
    </w:p>
    <w:p w14:paraId="26123007" w14:textId="77777777" w:rsidR="006A1F49" w:rsidRPr="000E4B97" w:rsidRDefault="006A1F49" w:rsidP="00D47505">
      <w:pPr>
        <w:spacing w:before="120" w:after="240"/>
        <w:rPr>
          <w:szCs w:val="22"/>
        </w:rPr>
      </w:pPr>
    </w:p>
    <w:sectPr w:rsidR="006A1F49" w:rsidRPr="000E4B97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BC4C2" w14:textId="77777777" w:rsidR="00E61397" w:rsidRDefault="00E61397">
      <w:pPr>
        <w:spacing w:line="20" w:lineRule="exact"/>
      </w:pPr>
    </w:p>
  </w:endnote>
  <w:endnote w:type="continuationSeparator" w:id="0">
    <w:p w14:paraId="09AE0A3D" w14:textId="77777777" w:rsidR="00E61397" w:rsidRDefault="00E61397">
      <w:r>
        <w:t xml:space="preserve"> </w:t>
      </w:r>
    </w:p>
  </w:endnote>
  <w:endnote w:type="continuationNotice" w:id="1">
    <w:p w14:paraId="3CD27637" w14:textId="77777777" w:rsidR="00E61397" w:rsidRDefault="00E613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5022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EF40D48" w14:textId="77777777" w:rsidR="00D25FB5" w:rsidRDefault="00D25FB5">
    <w:pPr>
      <w:pStyle w:val="Footer"/>
    </w:pPr>
  </w:p>
  <w:p w14:paraId="63AE5055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8EC91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56B0B">
      <w:rPr>
        <w:noProof/>
      </w:rPr>
      <w:t>2</w:t>
    </w:r>
    <w:r>
      <w:fldChar w:fldCharType="end"/>
    </w:r>
  </w:p>
  <w:p w14:paraId="6E085250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D795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AC569" w14:textId="77777777" w:rsidR="00E61397" w:rsidRDefault="00E61397">
      <w:r>
        <w:separator/>
      </w:r>
    </w:p>
  </w:footnote>
  <w:footnote w:type="continuationSeparator" w:id="0">
    <w:p w14:paraId="2D9D9607" w14:textId="77777777" w:rsidR="00E61397" w:rsidRDefault="00E6139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11F2D335" w14:textId="6E3242D9" w:rsidR="00E61397" w:rsidRDefault="00E61397" w:rsidP="00C721AC">
      <w:pPr>
        <w:jc w:val="right"/>
        <w:rPr>
          <w:sz w:val="20"/>
        </w:rPr>
      </w:pPr>
      <w:r>
        <w:rPr>
          <w:sz w:val="20"/>
        </w:rPr>
        <w:t>(continued…)</w:t>
      </w:r>
    </w:p>
  </w:footnote>
  <w:footnote w:id="2">
    <w:p w14:paraId="15D99765" w14:textId="77777777" w:rsidR="00415A33" w:rsidRDefault="00415A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2DC7" w:rsidRPr="00FF437B">
        <w:rPr>
          <w:i/>
        </w:rPr>
        <w:t>See Special Access for Price Cap Local Exchange Carriers; AT&amp;T Corporation Petition for Rulemaking to Reform Regulation of Incumbent Local Exchange Carrier Rates for Interstate Special Access Services</w:t>
      </w:r>
      <w:r w:rsidR="00D02DC7">
        <w:t xml:space="preserve">, WC Docket No. 05- 25, RM-10593, </w:t>
      </w:r>
      <w:r w:rsidR="003C0873">
        <w:t xml:space="preserve">Order and </w:t>
      </w:r>
      <w:r w:rsidR="00D02DC7">
        <w:t>Data Collection Protective Order, 29 FCC Rcd 11657, 11665, para. 23 (Wireline Comp. Bur. 2014)</w:t>
      </w:r>
      <w:r w:rsidR="0007407F">
        <w:t xml:space="preserve"> (</w:t>
      </w:r>
      <w:r w:rsidR="0007407F" w:rsidRPr="00700F8B">
        <w:rPr>
          <w:i/>
        </w:rPr>
        <w:t>Protective Order</w:t>
      </w:r>
      <w:r w:rsidR="0007407F">
        <w:t>)</w:t>
      </w:r>
      <w:r w:rsidR="00D02DC7">
        <w:t>.</w:t>
      </w:r>
    </w:p>
  </w:footnote>
  <w:footnote w:id="3">
    <w:p w14:paraId="5791BA75" w14:textId="77777777" w:rsidR="001F4D3C" w:rsidRDefault="001F4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437B">
        <w:rPr>
          <w:i/>
        </w:rPr>
        <w:t>See Special Access for Price Cap Local Exchange Carriers; AT&amp;T Corporation Petition for Rulemaking to Reform Regulation of Incumbent Local Exchange Carrier Rates for Interstate Special Access Services</w:t>
      </w:r>
      <w:r>
        <w:t>, WC Docket No. 05- 25, RM-10593, Order and Further Notice of Proposed Rulemaking, 27 FCC Rcd 16318</w:t>
      </w:r>
      <w:r w:rsidR="0009477C">
        <w:t xml:space="preserve">, </w:t>
      </w:r>
      <w:r w:rsidR="003250BE">
        <w:t>16340</w:t>
      </w:r>
      <w:r w:rsidR="0009477C">
        <w:t>, para. 52</w:t>
      </w:r>
      <w:r>
        <w:t xml:space="preserve"> (2012); Report and Order, 28 FCC Rcd 13189 (Wireline Comp. Bur. 2013); Order on Reconsideration, 29 FCC Rcd 10899 (Wireline Comp. Bur. 2014); Order, 29 FCC Rcd 14346 (Wireline Comp. Bur. 2014)</w:t>
      </w:r>
      <w:r w:rsidR="002A1B19">
        <w:t>.</w:t>
      </w:r>
    </w:p>
  </w:footnote>
  <w:footnote w:id="4">
    <w:p w14:paraId="1735B115" w14:textId="14BF9521" w:rsidR="00543F74" w:rsidRDefault="00543F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0873" w:rsidRPr="00700F8B">
        <w:rPr>
          <w:i/>
        </w:rPr>
        <w:t xml:space="preserve">Protective </w:t>
      </w:r>
      <w:r w:rsidR="003C0873" w:rsidRPr="003C0873">
        <w:rPr>
          <w:i/>
        </w:rPr>
        <w:t>Order</w:t>
      </w:r>
      <w:r w:rsidR="003C0873">
        <w:t>, 29 FCC Rcd</w:t>
      </w:r>
      <w:r>
        <w:t xml:space="preserve"> at </w:t>
      </w:r>
      <w:r w:rsidR="003C0873">
        <w:t xml:space="preserve">11657, para. 1, </w:t>
      </w:r>
      <w:r>
        <w:t>11670-71, Appx. A.</w:t>
      </w:r>
      <w:r w:rsidR="0063788E">
        <w:t xml:space="preserve">  </w:t>
      </w:r>
      <w:r w:rsidR="002D0243">
        <w:t xml:space="preserve">The </w:t>
      </w:r>
      <w:r w:rsidR="002D0243" w:rsidRPr="0083462E">
        <w:rPr>
          <w:i/>
        </w:rPr>
        <w:t>Protective Order</w:t>
      </w:r>
      <w:r w:rsidR="002D0243">
        <w:t xml:space="preserve"> provides a process for p</w:t>
      </w:r>
      <w:r w:rsidR="002D0243" w:rsidRPr="002D0243">
        <w:t>arties that submitted confidential or highly confidential</w:t>
      </w:r>
      <w:r w:rsidR="009A514E">
        <w:t xml:space="preserve"> data and</w:t>
      </w:r>
      <w:r w:rsidR="002D0243" w:rsidRPr="002D0243">
        <w:t xml:space="preserve"> information in response to the collection </w:t>
      </w:r>
      <w:r w:rsidR="002D0243">
        <w:t xml:space="preserve">to </w:t>
      </w:r>
      <w:r w:rsidR="002D0243" w:rsidRPr="002D0243">
        <w:t xml:space="preserve">object to disclosure of </w:t>
      </w:r>
      <w:r w:rsidR="009A514E">
        <w:t>this information</w:t>
      </w:r>
      <w:r w:rsidR="002D0243" w:rsidRPr="002D0243">
        <w:t xml:space="preserve"> to any requesting</w:t>
      </w:r>
      <w:r w:rsidR="002D0243">
        <w:t xml:space="preserve"> party</w:t>
      </w:r>
      <w:r w:rsidR="002D0243" w:rsidRPr="002D0243">
        <w:t>.</w:t>
      </w:r>
      <w:r w:rsidR="002D0243">
        <w:t xml:space="preserve">  </w:t>
      </w:r>
      <w:r w:rsidR="009A514E">
        <w:rPr>
          <w:i/>
        </w:rPr>
        <w:t>See i</w:t>
      </w:r>
      <w:r w:rsidR="002D0243" w:rsidRPr="00793BD5">
        <w:rPr>
          <w:i/>
        </w:rPr>
        <w:t>d</w:t>
      </w:r>
      <w:r w:rsidR="002D0243">
        <w:t>. at 11665, para. 23</w:t>
      </w:r>
      <w:r w:rsidR="003C0873">
        <w:t>,</w:t>
      </w:r>
      <w:r w:rsidR="002D0243">
        <w:t xml:space="preserve"> 11673, Appx. A</w:t>
      </w:r>
      <w:r w:rsidR="003C0873">
        <w:t xml:space="preserve"> at para. 5, </w:t>
      </w:r>
      <w:r w:rsidR="002D0243">
        <w:t xml:space="preserve">11680, Appx. C.  </w:t>
      </w:r>
    </w:p>
  </w:footnote>
  <w:footnote w:id="5">
    <w:p w14:paraId="01D72296" w14:textId="77777777" w:rsidR="00465D4E" w:rsidRDefault="00465D4E">
      <w:pPr>
        <w:pStyle w:val="FootnoteText"/>
      </w:pPr>
      <w:r>
        <w:rPr>
          <w:rStyle w:val="FootnoteReference"/>
        </w:rPr>
        <w:footnoteRef/>
      </w:r>
      <w:r w:rsidR="00F63E07">
        <w:t xml:space="preserve"> </w:t>
      </w:r>
      <w:r>
        <w:t xml:space="preserve"> </w:t>
      </w:r>
      <w:r w:rsidR="008B0E74" w:rsidRPr="008B0E74">
        <w:rPr>
          <w:i/>
        </w:rPr>
        <w:t>Id</w:t>
      </w:r>
      <w:r w:rsidR="008B0E74">
        <w:t>. at 11657, para. 1.</w:t>
      </w:r>
      <w:r w:rsidR="0063788E">
        <w:t xml:space="preserve"> </w:t>
      </w:r>
    </w:p>
  </w:footnote>
  <w:footnote w:id="6">
    <w:p w14:paraId="3556918F" w14:textId="51882580" w:rsidR="00996EBD" w:rsidRDefault="00996EBD" w:rsidP="008B0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3C9A">
        <w:t>A thin client is a desktop or laptop computer, without a hard drive, which accesses applications and data remotely from a central server where all data processing and file storage are performed</w:t>
      </w:r>
      <w:r w:rsidR="00034003">
        <w:t xml:space="preserve">.  </w:t>
      </w:r>
      <w:r w:rsidR="00034003" w:rsidRPr="0077123A">
        <w:rPr>
          <w:i/>
        </w:rPr>
        <w:t>See id</w:t>
      </w:r>
      <w:r w:rsidR="00034003">
        <w:t>. at 11661-62, para. 12 n.34</w:t>
      </w:r>
      <w:r w:rsidR="003C0873">
        <w:t>;</w:t>
      </w:r>
      <w:r w:rsidR="00034003">
        <w:t xml:space="preserve"> </w:t>
      </w:r>
      <w:r w:rsidR="001B4828">
        <w:rPr>
          <w:i/>
        </w:rPr>
        <w:t>s</w:t>
      </w:r>
      <w:r w:rsidR="008B0E74" w:rsidRPr="008B0E74">
        <w:rPr>
          <w:i/>
        </w:rPr>
        <w:t>ee</w:t>
      </w:r>
      <w:r w:rsidR="008B0E74">
        <w:t xml:space="preserve"> </w:t>
      </w:r>
      <w:r w:rsidR="00FD3C9A" w:rsidRPr="0077123A">
        <w:rPr>
          <w:i/>
        </w:rPr>
        <w:t>also</w:t>
      </w:r>
      <w:r w:rsidR="00FD3C9A">
        <w:t xml:space="preserve"> </w:t>
      </w:r>
      <w:r w:rsidR="008B0E74">
        <w:t xml:space="preserve">NORC at the University of Chicago, </w:t>
      </w:r>
      <w:hyperlink r:id="rId1" w:history="1">
        <w:r w:rsidR="008B0E74" w:rsidRPr="008B0E74">
          <w:rPr>
            <w:rStyle w:val="Hyperlink"/>
            <w:color w:val="auto"/>
            <w:u w:val="none"/>
          </w:rPr>
          <w:t>http://www.norc.org/Research/Capabilities/Pages/data-enclave.aspx</w:t>
        </w:r>
      </w:hyperlink>
      <w:r w:rsidR="008B0E74">
        <w:t xml:space="preserve"> (last visited </w:t>
      </w:r>
      <w:r w:rsidR="005D55C0">
        <w:t>June 23,</w:t>
      </w:r>
      <w:r w:rsidR="008B0E74">
        <w:t xml:space="preserve"> 2015).</w:t>
      </w:r>
      <w:r w:rsidRPr="00996EBD">
        <w:t xml:space="preserve">  </w:t>
      </w:r>
    </w:p>
  </w:footnote>
  <w:footnote w:id="7">
    <w:p w14:paraId="551AF637" w14:textId="39450D80" w:rsidR="00715F28" w:rsidRDefault="00715F28" w:rsidP="00715F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1B19">
        <w:rPr>
          <w:i/>
        </w:rPr>
        <w:t>Protective Order</w:t>
      </w:r>
      <w:r w:rsidR="002A1B19" w:rsidRPr="0083462E">
        <w:t>,</w:t>
      </w:r>
      <w:r w:rsidR="002A1B19">
        <w:t xml:space="preserve"> 29 FCC Rcd</w:t>
      </w:r>
      <w:r w:rsidR="001A3847">
        <w:t xml:space="preserve"> </w:t>
      </w:r>
      <w:r>
        <w:t>at 11657, para. 1</w:t>
      </w:r>
      <w:r w:rsidR="001A3847">
        <w:t>,</w:t>
      </w:r>
      <w:r>
        <w:t xml:space="preserve"> 11670-71, Appx. A </w:t>
      </w:r>
      <w:r w:rsidR="001A3847">
        <w:t>at para. 1</w:t>
      </w:r>
      <w:r>
        <w:t xml:space="preserve">. </w:t>
      </w:r>
    </w:p>
  </w:footnote>
  <w:footnote w:id="8">
    <w:p w14:paraId="06646F9B" w14:textId="77777777" w:rsidR="004608AD" w:rsidRDefault="00460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08AD">
        <w:rPr>
          <w:i/>
        </w:rPr>
        <w:t>Id</w:t>
      </w:r>
      <w:r>
        <w:t>. at 11666, para. 24.</w:t>
      </w:r>
    </w:p>
  </w:footnote>
  <w:footnote w:id="9">
    <w:p w14:paraId="561A35B2" w14:textId="77777777" w:rsidR="002E2573" w:rsidRDefault="002E25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3C97" w:rsidRPr="00713C97">
        <w:rPr>
          <w:i/>
        </w:rPr>
        <w:t>Id</w:t>
      </w:r>
      <w:r w:rsidR="00713C97">
        <w:t>. at 11662, p</w:t>
      </w:r>
      <w:r>
        <w:t xml:space="preserve">ara. 13. </w:t>
      </w:r>
    </w:p>
  </w:footnote>
  <w:footnote w:id="10">
    <w:p w14:paraId="468AC3D5" w14:textId="766BBC75" w:rsidR="00A077A9" w:rsidRDefault="00A07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3BD5" w:rsidRPr="00793BD5">
        <w:rPr>
          <w:i/>
        </w:rPr>
        <w:t>Id</w:t>
      </w:r>
      <w:r w:rsidR="00793BD5">
        <w:t>. at 11665, para. 23</w:t>
      </w:r>
      <w:r w:rsidR="001A3847">
        <w:t>,</w:t>
      </w:r>
      <w:r w:rsidR="00793BD5">
        <w:t xml:space="preserve"> 11673, Appx. A</w:t>
      </w:r>
      <w:r w:rsidR="001A3847">
        <w:t xml:space="preserve"> at para. 5,</w:t>
      </w:r>
      <w:r w:rsidR="00793BD5">
        <w:t xml:space="preserve"> 11680, Appx. C.  </w:t>
      </w:r>
    </w:p>
  </w:footnote>
  <w:footnote w:id="11">
    <w:p w14:paraId="548797DF" w14:textId="205D3448" w:rsidR="002C6B4A" w:rsidRDefault="002C6B4A">
      <w:pPr>
        <w:pStyle w:val="FootnoteText"/>
      </w:pPr>
      <w:r>
        <w:rPr>
          <w:rStyle w:val="FootnoteReference"/>
        </w:rPr>
        <w:footnoteRef/>
      </w:r>
      <w:r>
        <w:t xml:space="preserve"> Parties may, of course, continue to file Acknowledgements with the Commission after </w:t>
      </w:r>
      <w:r w:rsidR="00DC33AB">
        <w:t>July 1,</w:t>
      </w:r>
      <w:r>
        <w:t xml:space="preserve"> 2015.  For </w:t>
      </w:r>
      <w:r w:rsidR="00DC33AB">
        <w:t>Acknowledgements filed after July</w:t>
      </w:r>
      <w:r>
        <w:t xml:space="preserve"> </w:t>
      </w:r>
      <w:r w:rsidR="00331847">
        <w:t>2</w:t>
      </w:r>
      <w:r>
        <w:t>, 2015, the Bureau</w:t>
      </w:r>
      <w:r w:rsidRPr="002C6B4A">
        <w:t xml:space="preserve"> will </w:t>
      </w:r>
      <w:r>
        <w:t xml:space="preserve">continue to </w:t>
      </w:r>
      <w:r w:rsidRPr="002C6B4A">
        <w:t xml:space="preserve">periodically release </w:t>
      </w:r>
      <w:r>
        <w:t xml:space="preserve">the </w:t>
      </w:r>
      <w:r w:rsidRPr="002C6B4A">
        <w:t xml:space="preserve">public notices identifying those parties that have </w:t>
      </w:r>
      <w:r>
        <w:t>filed a</w:t>
      </w:r>
      <w:r w:rsidRPr="002C6B4A">
        <w:t xml:space="preserve"> signed Acknowledgement with the Commission</w:t>
      </w:r>
      <w:r w:rsidR="001A3847">
        <w:t>,</w:t>
      </w:r>
      <w:r w:rsidRPr="002C6B4A">
        <w:t xml:space="preserve"> </w:t>
      </w:r>
      <w:r>
        <w:t>consistent with the procedures outlined above</w:t>
      </w:r>
      <w:r w:rsidRPr="002C6B4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A09E" w14:textId="77777777" w:rsidR="00475252" w:rsidRDefault="00475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E220" w14:textId="77777777" w:rsidR="00475252" w:rsidRDefault="00475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260A" w14:textId="77777777" w:rsidR="00D47505" w:rsidRPr="00D47505" w:rsidRDefault="003C0873" w:rsidP="003C0873">
    <w:pPr>
      <w:pStyle w:val="Header"/>
      <w:ind w:firstLine="0"/>
    </w:pPr>
    <w:r>
      <w:rPr>
        <w:noProof/>
      </w:rPr>
      <w:drawing>
        <wp:inline distT="0" distB="0" distL="0" distR="0" wp14:anchorId="07628A77" wp14:editId="6A66A097">
          <wp:extent cx="530225" cy="5302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D47505" w:rsidRPr="00D47505">
      <w:t>PUBLIC NOTICE</w:t>
    </w:r>
  </w:p>
  <w:p w14:paraId="573732C9" w14:textId="77777777" w:rsidR="00D47505" w:rsidRDefault="008108FD" w:rsidP="00D47505">
    <w:pPr>
      <w:pStyle w:val="Header"/>
      <w:rPr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2BA4E2" wp14:editId="6B615EBF">
              <wp:simplePos x="0" y="0"/>
              <wp:positionH relativeFrom="column">
                <wp:posOffset>3343275</wp:posOffset>
              </wp:positionH>
              <wp:positionV relativeFrom="paragraph">
                <wp:posOffset>22225</wp:posOffset>
              </wp:positionV>
              <wp:extent cx="2640965" cy="548640"/>
              <wp:effectExtent l="0" t="317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78F2E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11BCDD03" w14:textId="77777777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57774F7" w14:textId="77777777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2CED60A" w14:textId="77777777" w:rsidR="00D47505" w:rsidRDefault="00D47505" w:rsidP="00D4750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2BA4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3.25pt;margin-top:1.7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RIfgIAAAc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" o:allowincell="f" stroked="f">
              <v:textbox inset=",0,,0">
                <w:txbxContent>
                  <w:p w14:paraId="7C778F2E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11BCDD03" w14:textId="77777777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157774F7" w14:textId="77777777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2CED60A" w14:textId="77777777" w:rsidR="00D47505" w:rsidRDefault="00D47505" w:rsidP="00D4750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7CADEA" wp14:editId="7728AC77">
              <wp:simplePos x="0" y="0"/>
              <wp:positionH relativeFrom="column">
                <wp:posOffset>24765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4008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4964DA4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52D8B81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7CADEA" id="Text Box 3" o:spid="_x0000_s1027" type="#_x0000_t202" style="position:absolute;left:0;text-align:left;margin-left:1.9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x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" o:allowincell="f" stroked="f">
              <v:textbox>
                <w:txbxContent>
                  <w:p w14:paraId="3EA54008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4964DA4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752D8B81" w14:textId="77777777"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</w:p>
  <w:p w14:paraId="7BA42B19" w14:textId="77777777" w:rsidR="00D47505" w:rsidRDefault="008108FD" w:rsidP="00D47505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6D55DA" wp14:editId="73837983">
              <wp:simplePos x="0" y="0"/>
              <wp:positionH relativeFrom="column">
                <wp:posOffset>78105</wp:posOffset>
              </wp:positionH>
              <wp:positionV relativeFrom="paragraph">
                <wp:posOffset>467995</wp:posOffset>
              </wp:positionV>
              <wp:extent cx="5886450" cy="2540"/>
              <wp:effectExtent l="11430" t="10795" r="7620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0E12D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6.85pt" to="469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x/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04E3A28"/>
    <w:multiLevelType w:val="hybridMultilevel"/>
    <w:tmpl w:val="89249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CCE5AC5"/>
    <w:multiLevelType w:val="hybridMultilevel"/>
    <w:tmpl w:val="E9CA8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D"/>
    <w:rsid w:val="00034003"/>
    <w:rsid w:val="00036039"/>
    <w:rsid w:val="0003654A"/>
    <w:rsid w:val="00037F90"/>
    <w:rsid w:val="00050DC4"/>
    <w:rsid w:val="000606CA"/>
    <w:rsid w:val="0007407F"/>
    <w:rsid w:val="0008746A"/>
    <w:rsid w:val="000875BF"/>
    <w:rsid w:val="00090CC0"/>
    <w:rsid w:val="00090E4E"/>
    <w:rsid w:val="0009158C"/>
    <w:rsid w:val="0009477C"/>
    <w:rsid w:val="00096D8C"/>
    <w:rsid w:val="000C05C4"/>
    <w:rsid w:val="000C0B65"/>
    <w:rsid w:val="000E05FE"/>
    <w:rsid w:val="000E3D42"/>
    <w:rsid w:val="000E4B97"/>
    <w:rsid w:val="00110B84"/>
    <w:rsid w:val="001120A9"/>
    <w:rsid w:val="00122BD5"/>
    <w:rsid w:val="00133F79"/>
    <w:rsid w:val="00141C45"/>
    <w:rsid w:val="00144D16"/>
    <w:rsid w:val="00175002"/>
    <w:rsid w:val="00184180"/>
    <w:rsid w:val="00194A66"/>
    <w:rsid w:val="001A3847"/>
    <w:rsid w:val="001A4AA1"/>
    <w:rsid w:val="001B4828"/>
    <w:rsid w:val="001B5308"/>
    <w:rsid w:val="001B624D"/>
    <w:rsid w:val="001B7C66"/>
    <w:rsid w:val="001C1836"/>
    <w:rsid w:val="001D6BCF"/>
    <w:rsid w:val="001E01CA"/>
    <w:rsid w:val="001F2071"/>
    <w:rsid w:val="001F4D3C"/>
    <w:rsid w:val="00241CD3"/>
    <w:rsid w:val="002540BB"/>
    <w:rsid w:val="0026120C"/>
    <w:rsid w:val="00275CF5"/>
    <w:rsid w:val="00277970"/>
    <w:rsid w:val="00277EE8"/>
    <w:rsid w:val="0028301F"/>
    <w:rsid w:val="00285017"/>
    <w:rsid w:val="00285383"/>
    <w:rsid w:val="00291093"/>
    <w:rsid w:val="002A1B19"/>
    <w:rsid w:val="002A2D2E"/>
    <w:rsid w:val="002C00E8"/>
    <w:rsid w:val="002C6B4A"/>
    <w:rsid w:val="002D0243"/>
    <w:rsid w:val="002D2568"/>
    <w:rsid w:val="002E2573"/>
    <w:rsid w:val="002E3348"/>
    <w:rsid w:val="002F1E5B"/>
    <w:rsid w:val="002F46D2"/>
    <w:rsid w:val="003008D2"/>
    <w:rsid w:val="00315C89"/>
    <w:rsid w:val="003250BE"/>
    <w:rsid w:val="00331847"/>
    <w:rsid w:val="00343749"/>
    <w:rsid w:val="003660ED"/>
    <w:rsid w:val="003B0550"/>
    <w:rsid w:val="003B694F"/>
    <w:rsid w:val="003C0873"/>
    <w:rsid w:val="003C125C"/>
    <w:rsid w:val="003C6C94"/>
    <w:rsid w:val="003F171C"/>
    <w:rsid w:val="00412FC5"/>
    <w:rsid w:val="00415A33"/>
    <w:rsid w:val="00422276"/>
    <w:rsid w:val="004242F1"/>
    <w:rsid w:val="00445A00"/>
    <w:rsid w:val="00451241"/>
    <w:rsid w:val="00451B0F"/>
    <w:rsid w:val="00454072"/>
    <w:rsid w:val="004608AD"/>
    <w:rsid w:val="00465D4E"/>
    <w:rsid w:val="00475252"/>
    <w:rsid w:val="00476E97"/>
    <w:rsid w:val="004C2EE3"/>
    <w:rsid w:val="004E4A22"/>
    <w:rsid w:val="005051C0"/>
    <w:rsid w:val="00511968"/>
    <w:rsid w:val="005177C5"/>
    <w:rsid w:val="0052021E"/>
    <w:rsid w:val="00520CD3"/>
    <w:rsid w:val="00522C33"/>
    <w:rsid w:val="00543F74"/>
    <w:rsid w:val="00544FEC"/>
    <w:rsid w:val="0055614C"/>
    <w:rsid w:val="005963B0"/>
    <w:rsid w:val="005C4149"/>
    <w:rsid w:val="005C4783"/>
    <w:rsid w:val="005D32A6"/>
    <w:rsid w:val="005D4C20"/>
    <w:rsid w:val="005D55C0"/>
    <w:rsid w:val="005E14C2"/>
    <w:rsid w:val="005E6B46"/>
    <w:rsid w:val="00607BA5"/>
    <w:rsid w:val="0061180A"/>
    <w:rsid w:val="006261BE"/>
    <w:rsid w:val="00626EB6"/>
    <w:rsid w:val="00631188"/>
    <w:rsid w:val="0063788E"/>
    <w:rsid w:val="00646028"/>
    <w:rsid w:val="00646941"/>
    <w:rsid w:val="00655D03"/>
    <w:rsid w:val="00670123"/>
    <w:rsid w:val="00683388"/>
    <w:rsid w:val="00683F84"/>
    <w:rsid w:val="00695A9B"/>
    <w:rsid w:val="006A1F49"/>
    <w:rsid w:val="006A4EBF"/>
    <w:rsid w:val="006A6A81"/>
    <w:rsid w:val="006B03F5"/>
    <w:rsid w:val="006B61B0"/>
    <w:rsid w:val="006C4813"/>
    <w:rsid w:val="006C67BD"/>
    <w:rsid w:val="006E146C"/>
    <w:rsid w:val="006E3B00"/>
    <w:rsid w:val="006F0E77"/>
    <w:rsid w:val="006F6B48"/>
    <w:rsid w:val="006F7393"/>
    <w:rsid w:val="006F74F7"/>
    <w:rsid w:val="00700F8B"/>
    <w:rsid w:val="0070133F"/>
    <w:rsid w:val="0070224F"/>
    <w:rsid w:val="007115D8"/>
    <w:rsid w:val="007115F7"/>
    <w:rsid w:val="00713C97"/>
    <w:rsid w:val="00715F28"/>
    <w:rsid w:val="00753070"/>
    <w:rsid w:val="0077123A"/>
    <w:rsid w:val="00783216"/>
    <w:rsid w:val="00784A6B"/>
    <w:rsid w:val="00785689"/>
    <w:rsid w:val="00793BD5"/>
    <w:rsid w:val="0079754B"/>
    <w:rsid w:val="007A1E6D"/>
    <w:rsid w:val="007B0EB2"/>
    <w:rsid w:val="007B1A87"/>
    <w:rsid w:val="007C2010"/>
    <w:rsid w:val="007E2C7A"/>
    <w:rsid w:val="007E6373"/>
    <w:rsid w:val="007F1BB9"/>
    <w:rsid w:val="00801F64"/>
    <w:rsid w:val="008108FD"/>
    <w:rsid w:val="00810B6F"/>
    <w:rsid w:val="00811FAA"/>
    <w:rsid w:val="00822CE0"/>
    <w:rsid w:val="0083462E"/>
    <w:rsid w:val="0083617B"/>
    <w:rsid w:val="00840AC4"/>
    <w:rsid w:val="00841AB1"/>
    <w:rsid w:val="00867246"/>
    <w:rsid w:val="00895134"/>
    <w:rsid w:val="008A31E6"/>
    <w:rsid w:val="008B0E74"/>
    <w:rsid w:val="008B31A6"/>
    <w:rsid w:val="008C3EC5"/>
    <w:rsid w:val="008C68F1"/>
    <w:rsid w:val="00921803"/>
    <w:rsid w:val="00926503"/>
    <w:rsid w:val="00937338"/>
    <w:rsid w:val="009413D0"/>
    <w:rsid w:val="00947EC7"/>
    <w:rsid w:val="009550BA"/>
    <w:rsid w:val="00957027"/>
    <w:rsid w:val="009726D8"/>
    <w:rsid w:val="00996EBD"/>
    <w:rsid w:val="00997839"/>
    <w:rsid w:val="009A514E"/>
    <w:rsid w:val="009B5275"/>
    <w:rsid w:val="009B5E80"/>
    <w:rsid w:val="009F76DB"/>
    <w:rsid w:val="00A077A9"/>
    <w:rsid w:val="00A32C3B"/>
    <w:rsid w:val="00A3351E"/>
    <w:rsid w:val="00A34B29"/>
    <w:rsid w:val="00A416C3"/>
    <w:rsid w:val="00A4450D"/>
    <w:rsid w:val="00A45F4F"/>
    <w:rsid w:val="00A515F9"/>
    <w:rsid w:val="00A57381"/>
    <w:rsid w:val="00A600A9"/>
    <w:rsid w:val="00A63620"/>
    <w:rsid w:val="00A6428E"/>
    <w:rsid w:val="00A71F9D"/>
    <w:rsid w:val="00A87788"/>
    <w:rsid w:val="00A97D83"/>
    <w:rsid w:val="00AA3E57"/>
    <w:rsid w:val="00AA55B7"/>
    <w:rsid w:val="00AA5B9E"/>
    <w:rsid w:val="00AB033E"/>
    <w:rsid w:val="00AB2407"/>
    <w:rsid w:val="00AB2CD3"/>
    <w:rsid w:val="00AB53DF"/>
    <w:rsid w:val="00AD404A"/>
    <w:rsid w:val="00B07E5C"/>
    <w:rsid w:val="00B47F08"/>
    <w:rsid w:val="00B5294C"/>
    <w:rsid w:val="00B535F4"/>
    <w:rsid w:val="00B56B0B"/>
    <w:rsid w:val="00B64BA9"/>
    <w:rsid w:val="00B679AB"/>
    <w:rsid w:val="00B67AD4"/>
    <w:rsid w:val="00B712DA"/>
    <w:rsid w:val="00B76DB8"/>
    <w:rsid w:val="00B811F7"/>
    <w:rsid w:val="00B8356F"/>
    <w:rsid w:val="00BA2E04"/>
    <w:rsid w:val="00BA5DC6"/>
    <w:rsid w:val="00BA6196"/>
    <w:rsid w:val="00BC3EEB"/>
    <w:rsid w:val="00BC53C5"/>
    <w:rsid w:val="00BC6D8C"/>
    <w:rsid w:val="00BC737F"/>
    <w:rsid w:val="00BF6EB7"/>
    <w:rsid w:val="00C34006"/>
    <w:rsid w:val="00C34EE6"/>
    <w:rsid w:val="00C426B1"/>
    <w:rsid w:val="00C66160"/>
    <w:rsid w:val="00C721AC"/>
    <w:rsid w:val="00C90D6A"/>
    <w:rsid w:val="00CA247E"/>
    <w:rsid w:val="00CC72B6"/>
    <w:rsid w:val="00CE39B2"/>
    <w:rsid w:val="00CE6681"/>
    <w:rsid w:val="00CE67B6"/>
    <w:rsid w:val="00D00C98"/>
    <w:rsid w:val="00D00FF2"/>
    <w:rsid w:val="00D0218D"/>
    <w:rsid w:val="00D02DC7"/>
    <w:rsid w:val="00D04430"/>
    <w:rsid w:val="00D20A0B"/>
    <w:rsid w:val="00D24C63"/>
    <w:rsid w:val="00D25FB5"/>
    <w:rsid w:val="00D44223"/>
    <w:rsid w:val="00D47505"/>
    <w:rsid w:val="00D76E31"/>
    <w:rsid w:val="00D77EE2"/>
    <w:rsid w:val="00DA2529"/>
    <w:rsid w:val="00DB130A"/>
    <w:rsid w:val="00DB2EBB"/>
    <w:rsid w:val="00DB5B85"/>
    <w:rsid w:val="00DC10A1"/>
    <w:rsid w:val="00DC242B"/>
    <w:rsid w:val="00DC33AB"/>
    <w:rsid w:val="00DC655F"/>
    <w:rsid w:val="00DD0B59"/>
    <w:rsid w:val="00DD2E29"/>
    <w:rsid w:val="00DD7EBD"/>
    <w:rsid w:val="00DE19D7"/>
    <w:rsid w:val="00DE35C7"/>
    <w:rsid w:val="00DE4C8D"/>
    <w:rsid w:val="00DF0810"/>
    <w:rsid w:val="00DF364C"/>
    <w:rsid w:val="00DF5E27"/>
    <w:rsid w:val="00DF62B6"/>
    <w:rsid w:val="00E07225"/>
    <w:rsid w:val="00E33F03"/>
    <w:rsid w:val="00E5409F"/>
    <w:rsid w:val="00E61397"/>
    <w:rsid w:val="00E61D20"/>
    <w:rsid w:val="00E7245B"/>
    <w:rsid w:val="00E74904"/>
    <w:rsid w:val="00EB4ACC"/>
    <w:rsid w:val="00EB6C7D"/>
    <w:rsid w:val="00ED2437"/>
    <w:rsid w:val="00ED4227"/>
    <w:rsid w:val="00EE6488"/>
    <w:rsid w:val="00F021FA"/>
    <w:rsid w:val="00F2073C"/>
    <w:rsid w:val="00F21460"/>
    <w:rsid w:val="00F2731D"/>
    <w:rsid w:val="00F475B5"/>
    <w:rsid w:val="00F50615"/>
    <w:rsid w:val="00F55511"/>
    <w:rsid w:val="00F559EA"/>
    <w:rsid w:val="00F56324"/>
    <w:rsid w:val="00F62E97"/>
    <w:rsid w:val="00F63E07"/>
    <w:rsid w:val="00F64209"/>
    <w:rsid w:val="00F73298"/>
    <w:rsid w:val="00F8591E"/>
    <w:rsid w:val="00F93BF5"/>
    <w:rsid w:val="00F95F8A"/>
    <w:rsid w:val="00FA7C6B"/>
    <w:rsid w:val="00FD3C9A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EFB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D47505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430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522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C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2C3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2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C33"/>
    <w:rPr>
      <w:b/>
      <w:bCs/>
      <w:snapToGrid w:val="0"/>
      <w:kern w:val="28"/>
    </w:rPr>
  </w:style>
  <w:style w:type="character" w:styleId="FollowedHyperlink">
    <w:name w:val="FollowedHyperlink"/>
    <w:basedOn w:val="DefaultParagraphFont"/>
    <w:rsid w:val="00CE66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D47505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430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522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C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2C3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2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C33"/>
    <w:rPr>
      <w:b/>
      <w:bCs/>
      <w:snapToGrid w:val="0"/>
      <w:kern w:val="28"/>
    </w:rPr>
  </w:style>
  <w:style w:type="character" w:styleId="FollowedHyperlink">
    <w:name w:val="FollowedHyperlink"/>
    <w:basedOn w:val="DefaultParagraphFont"/>
    <w:rsid w:val="00CE6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Access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acknowledgement-confidential-special-access-data-collection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c.org/Research/Capabilities/Pages/data-enclave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3</Pages>
  <Words>944</Words>
  <Characters>5562</Characters>
  <Application>Microsoft Office Word</Application>
  <DocSecurity>0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6511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2015-03-04T21:29:00Z</cp:lastPrinted>
  <dcterms:created xsi:type="dcterms:W3CDTF">2015-06-24T20:21:00Z</dcterms:created>
  <dcterms:modified xsi:type="dcterms:W3CDTF">2015-06-24T20:21:00Z</dcterms:modified>
  <cp:category> </cp:category>
  <cp:contentStatus> </cp:contentStatus>
</cp:coreProperties>
</file>