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2015E" w14:textId="77777777" w:rsidR="00571B10" w:rsidRPr="00ED5746" w:rsidRDefault="00571B10" w:rsidP="00571B10">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389B4F29" w14:textId="77777777" w:rsidR="00571B10" w:rsidRPr="00ED5746" w:rsidRDefault="00571B10" w:rsidP="00571B10">
      <w:pPr>
        <w:pStyle w:val="StyleBoldCentered"/>
      </w:pPr>
      <w:r w:rsidRPr="00ED5746">
        <w:t>F</w:t>
      </w:r>
      <w:r w:rsidRPr="00ED5746">
        <w:rPr>
          <w:caps w:val="0"/>
        </w:rPr>
        <w:t>ederal Communications Commission</w:t>
      </w:r>
    </w:p>
    <w:p w14:paraId="3938B3D5" w14:textId="77777777" w:rsidR="00571B10" w:rsidRPr="00ED5746" w:rsidRDefault="00571B10" w:rsidP="00571B10">
      <w:pPr>
        <w:pStyle w:val="StyleBoldCentered"/>
      </w:pPr>
      <w:r w:rsidRPr="00ED5746">
        <w:rPr>
          <w:caps w:val="0"/>
        </w:rPr>
        <w:t>Washington, DC 20554</w:t>
      </w:r>
    </w:p>
    <w:p w14:paraId="4F57C759" w14:textId="77777777" w:rsidR="00571B10" w:rsidRPr="00ED5746" w:rsidRDefault="00571B10" w:rsidP="00571B10"/>
    <w:tbl>
      <w:tblPr>
        <w:tblW w:w="0" w:type="auto"/>
        <w:tblLayout w:type="fixed"/>
        <w:tblLook w:val="0000" w:firstRow="0" w:lastRow="0" w:firstColumn="0" w:lastColumn="0" w:noHBand="0" w:noVBand="0"/>
      </w:tblPr>
      <w:tblGrid>
        <w:gridCol w:w="4698"/>
        <w:gridCol w:w="630"/>
        <w:gridCol w:w="4248"/>
      </w:tblGrid>
      <w:tr w:rsidR="00571B10" w:rsidRPr="00D84548" w14:paraId="489B0991" w14:textId="77777777" w:rsidTr="005C1102">
        <w:tc>
          <w:tcPr>
            <w:tcW w:w="4698" w:type="dxa"/>
          </w:tcPr>
          <w:p w14:paraId="75877A6B" w14:textId="77777777" w:rsidR="00571B10" w:rsidRPr="00FB0D07" w:rsidRDefault="00571B10" w:rsidP="005C1102">
            <w:pPr>
              <w:rPr>
                <w:szCs w:val="22"/>
              </w:rPr>
            </w:pPr>
            <w:r w:rsidRPr="00FB0D07">
              <w:rPr>
                <w:spacing w:val="-2"/>
                <w:szCs w:val="22"/>
              </w:rPr>
              <w:t>In the Matter of</w:t>
            </w:r>
            <w:r w:rsidRPr="00FB0D07">
              <w:rPr>
                <w:szCs w:val="22"/>
              </w:rPr>
              <w:t xml:space="preserve"> </w:t>
            </w:r>
          </w:p>
          <w:p w14:paraId="697059F3" w14:textId="77777777" w:rsidR="00571B10" w:rsidRPr="00FB0D07" w:rsidRDefault="00571B10" w:rsidP="005C1102">
            <w:pPr>
              <w:rPr>
                <w:szCs w:val="22"/>
              </w:rPr>
            </w:pPr>
          </w:p>
          <w:p w14:paraId="16379B84" w14:textId="77777777" w:rsidR="00571B10" w:rsidRPr="00937484" w:rsidRDefault="00571B10" w:rsidP="005C1102">
            <w:pPr>
              <w:rPr>
                <w:szCs w:val="22"/>
              </w:rPr>
            </w:pPr>
            <w:r w:rsidRPr="00937484">
              <w:rPr>
                <w:spacing w:val="-2"/>
                <w:szCs w:val="22"/>
              </w:rPr>
              <w:t>Johnson Towers Corporation</w:t>
            </w:r>
          </w:p>
          <w:p w14:paraId="6E55E16E" w14:textId="77777777" w:rsidR="00571B10" w:rsidRPr="00937484" w:rsidRDefault="00571B10" w:rsidP="005C1102">
            <w:pPr>
              <w:rPr>
                <w:szCs w:val="22"/>
              </w:rPr>
            </w:pPr>
          </w:p>
          <w:p w14:paraId="6FB627ED" w14:textId="77777777" w:rsidR="00571B10" w:rsidRPr="00937484" w:rsidRDefault="00571B10" w:rsidP="005C1102">
            <w:pPr>
              <w:rPr>
                <w:szCs w:val="22"/>
              </w:rPr>
            </w:pPr>
            <w:r>
              <w:rPr>
                <w:szCs w:val="22"/>
              </w:rPr>
              <w:t xml:space="preserve">Owner </w:t>
            </w:r>
            <w:r w:rsidRPr="00937484">
              <w:rPr>
                <w:szCs w:val="22"/>
              </w:rPr>
              <w:t>of Antenna Structure</w:t>
            </w:r>
            <w:r>
              <w:rPr>
                <w:szCs w:val="22"/>
              </w:rPr>
              <w:t xml:space="preserve"> No</w:t>
            </w:r>
            <w:r w:rsidRPr="00937484">
              <w:rPr>
                <w:szCs w:val="22"/>
              </w:rPr>
              <w:t>s</w:t>
            </w:r>
            <w:r>
              <w:rPr>
                <w:szCs w:val="22"/>
              </w:rPr>
              <w:t>.</w:t>
            </w:r>
          </w:p>
          <w:p w14:paraId="3A26AFC0" w14:textId="77777777" w:rsidR="00571B10" w:rsidRDefault="00571B10" w:rsidP="005C1102">
            <w:pPr>
              <w:rPr>
                <w:szCs w:val="22"/>
              </w:rPr>
            </w:pPr>
            <w:r>
              <w:rPr>
                <w:szCs w:val="22"/>
              </w:rPr>
              <w:t xml:space="preserve">1060088 and </w:t>
            </w:r>
            <w:r w:rsidRPr="00937484">
              <w:rPr>
                <w:szCs w:val="22"/>
              </w:rPr>
              <w:t>1060089</w:t>
            </w:r>
          </w:p>
          <w:p w14:paraId="79312DF1" w14:textId="77777777" w:rsidR="00571B10" w:rsidRPr="00937484" w:rsidRDefault="00571B10" w:rsidP="005C1102">
            <w:pPr>
              <w:rPr>
                <w:szCs w:val="22"/>
              </w:rPr>
            </w:pPr>
            <w:r>
              <w:rPr>
                <w:szCs w:val="22"/>
              </w:rPr>
              <w:t xml:space="preserve">Former Owner of Antenna Structure </w:t>
            </w:r>
            <w:r w:rsidRPr="00937484">
              <w:rPr>
                <w:szCs w:val="22"/>
              </w:rPr>
              <w:t>1060090</w:t>
            </w:r>
          </w:p>
          <w:p w14:paraId="6EBC648B" w14:textId="77777777" w:rsidR="00571B10" w:rsidRPr="00937484" w:rsidRDefault="00571B10" w:rsidP="005C1102">
            <w:pPr>
              <w:rPr>
                <w:szCs w:val="22"/>
              </w:rPr>
            </w:pPr>
            <w:r w:rsidRPr="00937484">
              <w:rPr>
                <w:szCs w:val="22"/>
              </w:rPr>
              <w:t>Pinellas Park, Florida</w:t>
            </w:r>
          </w:p>
          <w:p w14:paraId="4C6A1B36" w14:textId="77777777" w:rsidR="00571B10" w:rsidRPr="00D84548" w:rsidRDefault="00571B10" w:rsidP="005C1102">
            <w:pPr>
              <w:autoSpaceDE w:val="0"/>
              <w:autoSpaceDN w:val="0"/>
              <w:adjustRightInd w:val="0"/>
            </w:pPr>
          </w:p>
        </w:tc>
        <w:tc>
          <w:tcPr>
            <w:tcW w:w="630" w:type="dxa"/>
          </w:tcPr>
          <w:p w14:paraId="1DA2C40E" w14:textId="77777777" w:rsidR="00571B10" w:rsidRPr="00937484" w:rsidRDefault="00571B10" w:rsidP="005C1102">
            <w:pPr>
              <w:tabs>
                <w:tab w:val="center" w:pos="4680"/>
              </w:tabs>
              <w:suppressAutoHyphens/>
              <w:spacing w:line="240" w:lineRule="atLeast"/>
              <w:jc w:val="both"/>
              <w:outlineLvl w:val="0"/>
              <w:rPr>
                <w:szCs w:val="22"/>
              </w:rPr>
            </w:pPr>
            <w:r w:rsidRPr="00937484">
              <w:rPr>
                <w:szCs w:val="22"/>
              </w:rPr>
              <w:t>)</w:t>
            </w:r>
          </w:p>
          <w:p w14:paraId="084813F9" w14:textId="77777777" w:rsidR="00571B10" w:rsidRPr="00937484" w:rsidRDefault="00571B10" w:rsidP="005C1102">
            <w:pPr>
              <w:tabs>
                <w:tab w:val="center" w:pos="4680"/>
              </w:tabs>
              <w:suppressAutoHyphens/>
              <w:spacing w:line="240" w:lineRule="atLeast"/>
              <w:jc w:val="both"/>
              <w:outlineLvl w:val="0"/>
              <w:rPr>
                <w:szCs w:val="22"/>
              </w:rPr>
            </w:pPr>
            <w:r w:rsidRPr="00937484">
              <w:rPr>
                <w:szCs w:val="22"/>
              </w:rPr>
              <w:t>)</w:t>
            </w:r>
          </w:p>
          <w:p w14:paraId="5032E47D" w14:textId="77777777" w:rsidR="00571B10" w:rsidRPr="00937484" w:rsidRDefault="00571B10" w:rsidP="005C1102">
            <w:pPr>
              <w:tabs>
                <w:tab w:val="center" w:pos="4680"/>
              </w:tabs>
              <w:suppressAutoHyphens/>
              <w:spacing w:line="240" w:lineRule="atLeast"/>
              <w:jc w:val="both"/>
              <w:outlineLvl w:val="0"/>
              <w:rPr>
                <w:szCs w:val="22"/>
              </w:rPr>
            </w:pPr>
            <w:r w:rsidRPr="00937484">
              <w:rPr>
                <w:szCs w:val="22"/>
              </w:rPr>
              <w:t>)</w:t>
            </w:r>
          </w:p>
          <w:p w14:paraId="4B746F9E" w14:textId="77777777" w:rsidR="00571B10" w:rsidRPr="00937484" w:rsidRDefault="00571B10" w:rsidP="005C1102">
            <w:pPr>
              <w:tabs>
                <w:tab w:val="center" w:pos="4680"/>
              </w:tabs>
              <w:suppressAutoHyphens/>
              <w:spacing w:line="240" w:lineRule="atLeast"/>
              <w:jc w:val="both"/>
              <w:outlineLvl w:val="0"/>
              <w:rPr>
                <w:szCs w:val="22"/>
              </w:rPr>
            </w:pPr>
            <w:r w:rsidRPr="00937484">
              <w:rPr>
                <w:szCs w:val="22"/>
              </w:rPr>
              <w:t>)</w:t>
            </w:r>
          </w:p>
          <w:p w14:paraId="4CEAE2EE" w14:textId="77777777" w:rsidR="00571B10" w:rsidRPr="00937484" w:rsidRDefault="00571B10" w:rsidP="005C1102">
            <w:pPr>
              <w:tabs>
                <w:tab w:val="center" w:pos="4680"/>
              </w:tabs>
              <w:suppressAutoHyphens/>
              <w:spacing w:line="240" w:lineRule="atLeast"/>
              <w:jc w:val="both"/>
              <w:outlineLvl w:val="0"/>
              <w:rPr>
                <w:szCs w:val="22"/>
              </w:rPr>
            </w:pPr>
            <w:r w:rsidRPr="00937484">
              <w:rPr>
                <w:szCs w:val="22"/>
              </w:rPr>
              <w:t>)</w:t>
            </w:r>
          </w:p>
          <w:p w14:paraId="6A1098D4" w14:textId="77777777" w:rsidR="00571B10" w:rsidRPr="00937484" w:rsidRDefault="00571B10" w:rsidP="005C1102">
            <w:pPr>
              <w:tabs>
                <w:tab w:val="center" w:pos="4680"/>
              </w:tabs>
              <w:suppressAutoHyphens/>
              <w:spacing w:line="240" w:lineRule="atLeast"/>
              <w:jc w:val="both"/>
              <w:outlineLvl w:val="0"/>
              <w:rPr>
                <w:szCs w:val="22"/>
              </w:rPr>
            </w:pPr>
            <w:r w:rsidRPr="00937484">
              <w:rPr>
                <w:szCs w:val="22"/>
              </w:rPr>
              <w:t>)</w:t>
            </w:r>
          </w:p>
          <w:p w14:paraId="19C3EB17" w14:textId="77777777" w:rsidR="00571B10" w:rsidRDefault="00571B10" w:rsidP="005C1102">
            <w:pPr>
              <w:tabs>
                <w:tab w:val="center" w:pos="4680"/>
              </w:tabs>
              <w:suppressAutoHyphens/>
              <w:spacing w:line="240" w:lineRule="atLeast"/>
              <w:jc w:val="both"/>
              <w:outlineLvl w:val="0"/>
              <w:rPr>
                <w:szCs w:val="22"/>
              </w:rPr>
            </w:pPr>
            <w:r w:rsidRPr="00937484">
              <w:rPr>
                <w:szCs w:val="22"/>
              </w:rPr>
              <w:t>)</w:t>
            </w:r>
          </w:p>
          <w:p w14:paraId="0C1E7E51" w14:textId="77777777" w:rsidR="00571B10" w:rsidRPr="00D23E19" w:rsidRDefault="00571B10" w:rsidP="005C1102">
            <w:pPr>
              <w:tabs>
                <w:tab w:val="center" w:pos="4680"/>
              </w:tabs>
              <w:suppressAutoHyphens/>
              <w:rPr>
                <w:b/>
                <w:spacing w:val="-2"/>
              </w:rPr>
            </w:pPr>
            <w:r>
              <w:rPr>
                <w:szCs w:val="22"/>
              </w:rPr>
              <w:t>)</w:t>
            </w:r>
          </w:p>
        </w:tc>
        <w:tc>
          <w:tcPr>
            <w:tcW w:w="4248" w:type="dxa"/>
          </w:tcPr>
          <w:p w14:paraId="08E09C4E" w14:textId="77777777" w:rsidR="00571B10" w:rsidRPr="00937484" w:rsidRDefault="00571B10" w:rsidP="005C1102">
            <w:pPr>
              <w:rPr>
                <w:spacing w:val="-2"/>
                <w:szCs w:val="22"/>
              </w:rPr>
            </w:pPr>
          </w:p>
          <w:p w14:paraId="2BD91CA0" w14:textId="77777777" w:rsidR="00571B10" w:rsidRPr="00937484" w:rsidRDefault="00571B10" w:rsidP="005C1102">
            <w:pPr>
              <w:ind w:left="702"/>
              <w:rPr>
                <w:spacing w:val="-2"/>
                <w:szCs w:val="22"/>
              </w:rPr>
            </w:pPr>
          </w:p>
          <w:p w14:paraId="432BFA1F" w14:textId="77777777" w:rsidR="00571B10" w:rsidRPr="00937484" w:rsidRDefault="00571B10" w:rsidP="005C1102">
            <w:pPr>
              <w:ind w:left="414"/>
              <w:rPr>
                <w:szCs w:val="22"/>
              </w:rPr>
            </w:pPr>
            <w:r w:rsidRPr="00937484">
              <w:rPr>
                <w:szCs w:val="22"/>
              </w:rPr>
              <w:t>File No.:  EB-11-TP-0038</w:t>
            </w:r>
          </w:p>
          <w:p w14:paraId="0927427E" w14:textId="77777777" w:rsidR="00571B10" w:rsidRPr="00937484" w:rsidRDefault="00571B10" w:rsidP="005C1102">
            <w:pPr>
              <w:ind w:left="414"/>
              <w:rPr>
                <w:b/>
                <w:szCs w:val="22"/>
              </w:rPr>
            </w:pPr>
            <w:r w:rsidRPr="00B34188">
              <w:rPr>
                <w:szCs w:val="22"/>
              </w:rPr>
              <w:t>NAL/</w:t>
            </w:r>
            <w:r w:rsidRPr="00B02B1C">
              <w:rPr>
                <w:szCs w:val="22"/>
              </w:rPr>
              <w:t xml:space="preserve">Acct. No.:  </w:t>
            </w:r>
            <w:r>
              <w:rPr>
                <w:szCs w:val="22"/>
              </w:rPr>
              <w:t>201432700002</w:t>
            </w:r>
          </w:p>
          <w:p w14:paraId="422E9D56" w14:textId="77777777" w:rsidR="00571B10" w:rsidRPr="00937484" w:rsidRDefault="00571B10" w:rsidP="005C1102">
            <w:pPr>
              <w:ind w:left="414"/>
              <w:rPr>
                <w:szCs w:val="22"/>
              </w:rPr>
            </w:pPr>
            <w:r w:rsidRPr="00937484">
              <w:rPr>
                <w:szCs w:val="22"/>
              </w:rPr>
              <w:t>FRN</w:t>
            </w:r>
            <w:r w:rsidRPr="006F126E">
              <w:rPr>
                <w:color w:val="000000" w:themeColor="text1"/>
                <w:szCs w:val="22"/>
              </w:rPr>
              <w:t>:  0007783525</w:t>
            </w:r>
          </w:p>
          <w:p w14:paraId="1156C39D" w14:textId="77777777" w:rsidR="00571B10" w:rsidRPr="00D84548" w:rsidRDefault="00571B10" w:rsidP="005C1102">
            <w:pPr>
              <w:tabs>
                <w:tab w:val="center" w:pos="4680"/>
              </w:tabs>
              <w:suppressAutoHyphens/>
              <w:ind w:left="432"/>
              <w:rPr>
                <w:snapToGrid/>
                <w:spacing w:val="-2"/>
              </w:rPr>
            </w:pPr>
            <w:r w:rsidRPr="00937484">
              <w:rPr>
                <w:szCs w:val="22"/>
              </w:rPr>
              <w:t xml:space="preserve">    </w:t>
            </w:r>
          </w:p>
        </w:tc>
      </w:tr>
    </w:tbl>
    <w:p w14:paraId="7ECAEDF7" w14:textId="77777777" w:rsidR="00571B10" w:rsidRPr="00D84548" w:rsidRDefault="00571B10" w:rsidP="00571B10">
      <w:pPr>
        <w:jc w:val="center"/>
        <w:outlineLvl w:val="0"/>
        <w:rPr>
          <w:b/>
          <w:szCs w:val="22"/>
        </w:rPr>
      </w:pPr>
      <w:r w:rsidRPr="00D84548">
        <w:rPr>
          <w:b/>
          <w:szCs w:val="22"/>
        </w:rPr>
        <w:t>ORDER</w:t>
      </w:r>
    </w:p>
    <w:p w14:paraId="4A182B52" w14:textId="77777777" w:rsidR="00571B10" w:rsidRPr="00D84548" w:rsidRDefault="00571B10" w:rsidP="00571B10">
      <w:pPr>
        <w:tabs>
          <w:tab w:val="left" w:pos="-720"/>
        </w:tabs>
        <w:suppressAutoHyphens/>
        <w:spacing w:line="227" w:lineRule="auto"/>
        <w:rPr>
          <w:spacing w:val="-2"/>
        </w:rPr>
      </w:pPr>
    </w:p>
    <w:p w14:paraId="1C42B5BE" w14:textId="77777777" w:rsidR="00571B10" w:rsidRPr="00D84548" w:rsidRDefault="00571B10" w:rsidP="00571B10">
      <w:pPr>
        <w:tabs>
          <w:tab w:val="left" w:pos="720"/>
          <w:tab w:val="right" w:pos="9360"/>
        </w:tabs>
        <w:suppressAutoHyphens/>
        <w:spacing w:line="227" w:lineRule="auto"/>
        <w:rPr>
          <w:spacing w:val="-2"/>
        </w:rPr>
      </w:pPr>
      <w:r w:rsidRPr="00D84548">
        <w:rPr>
          <w:b/>
          <w:spacing w:val="-2"/>
        </w:rPr>
        <w:t xml:space="preserve">Adopted:  </w:t>
      </w:r>
      <w:r>
        <w:rPr>
          <w:b/>
          <w:spacing w:val="-2"/>
        </w:rPr>
        <w:t>November 2, 2015</w:t>
      </w:r>
      <w:r w:rsidRPr="00D84548">
        <w:rPr>
          <w:b/>
          <w:spacing w:val="-2"/>
        </w:rPr>
        <w:tab/>
        <w:t xml:space="preserve">Released:  </w:t>
      </w:r>
      <w:r>
        <w:rPr>
          <w:b/>
          <w:spacing w:val="-2"/>
        </w:rPr>
        <w:t>November 3, 2015</w:t>
      </w:r>
    </w:p>
    <w:p w14:paraId="46430267" w14:textId="77777777" w:rsidR="00571B10" w:rsidRPr="00D84548" w:rsidRDefault="00571B10" w:rsidP="00571B10"/>
    <w:p w14:paraId="13C01518" w14:textId="77777777" w:rsidR="00571B10" w:rsidRPr="00D84548" w:rsidRDefault="00571B10" w:rsidP="00571B10">
      <w:pPr>
        <w:rPr>
          <w:spacing w:val="-2"/>
        </w:rPr>
      </w:pPr>
      <w:r w:rsidRPr="00D84548">
        <w:rPr>
          <w:spacing w:val="-2"/>
          <w:szCs w:val="22"/>
        </w:rPr>
        <w:t>By the Chief, Enforcement Bureau:</w:t>
      </w:r>
    </w:p>
    <w:p w14:paraId="4AF5EDDE" w14:textId="77777777" w:rsidR="00571B10" w:rsidRPr="00D84548" w:rsidRDefault="00571B10" w:rsidP="00571B10"/>
    <w:p w14:paraId="57B347AC" w14:textId="77777777" w:rsidR="00571B10" w:rsidRPr="00193438" w:rsidRDefault="00571B10" w:rsidP="00571B10">
      <w:pPr>
        <w:pStyle w:val="ParaNum"/>
        <w:numPr>
          <w:ilvl w:val="0"/>
          <w:numId w:val="35"/>
        </w:numPr>
        <w:tabs>
          <w:tab w:val="clear" w:pos="1080"/>
        </w:tabs>
        <w:rPr>
          <w:color w:val="000000"/>
          <w:szCs w:val="22"/>
        </w:rPr>
      </w:pPr>
      <w:r w:rsidRPr="00D84548">
        <w:rPr>
          <w:szCs w:val="22"/>
        </w:rPr>
        <w:t xml:space="preserve">The Enforcement Bureau (Bureau) of the Federal Communications Commission has entered into a Consent Decree to resolve its investigation into whether </w:t>
      </w:r>
      <w:r>
        <w:rPr>
          <w:szCs w:val="22"/>
        </w:rPr>
        <w:t xml:space="preserve">Johnson Towers Corporation </w:t>
      </w:r>
      <w:r w:rsidRPr="00D84548">
        <w:rPr>
          <w:szCs w:val="22"/>
        </w:rPr>
        <w:t>(</w:t>
      </w:r>
      <w:r>
        <w:rPr>
          <w:szCs w:val="22"/>
        </w:rPr>
        <w:t>JTC</w:t>
      </w:r>
      <w:r w:rsidRPr="00D84548">
        <w:rPr>
          <w:szCs w:val="22"/>
        </w:rPr>
        <w:t>)</w:t>
      </w:r>
      <w:r>
        <w:rPr>
          <w:szCs w:val="22"/>
        </w:rPr>
        <w:t xml:space="preserve"> failed to install lights on two antenna structures and update registration information with the Commission to reflect the dismantlement of a third antenna structure.</w:t>
      </w:r>
      <w:r w:rsidRPr="00D84548">
        <w:rPr>
          <w:szCs w:val="22"/>
        </w:rPr>
        <w:t xml:space="preserve"> </w:t>
      </w:r>
      <w:r>
        <w:rPr>
          <w:szCs w:val="22"/>
        </w:rPr>
        <w:t xml:space="preserve"> </w:t>
      </w:r>
      <w:r w:rsidRPr="009216B9">
        <w:t>The Commission’s antenna structure painting, lighting</w:t>
      </w:r>
      <w:r>
        <w:t>,</w:t>
      </w:r>
      <w:r w:rsidRPr="009216B9">
        <w:t xml:space="preserve"> and registration require</w:t>
      </w:r>
      <w:r>
        <w:t>ments operate in concert with Federal Aviation Administration (FAA)</w:t>
      </w:r>
      <w:r w:rsidRPr="009216B9">
        <w:t xml:space="preserve"> regulations to ensure that antenna structures do not present hazards to air navigation</w:t>
      </w:r>
      <w:r>
        <w:t xml:space="preserve">.  Critically, </w:t>
      </w:r>
      <w:r>
        <w:rPr>
          <w:color w:val="000000"/>
          <w:szCs w:val="22"/>
        </w:rPr>
        <w:t>c</w:t>
      </w:r>
      <w:r w:rsidRPr="00574F64">
        <w:rPr>
          <w:spacing w:val="-2"/>
        </w:rPr>
        <w:t>onformance with the lighting requirements imposed by the Commission and the FAA ensures that antenna structures do not pose a public safety risk to passing aircraft</w:t>
      </w:r>
      <w:r>
        <w:rPr>
          <w:spacing w:val="-2"/>
        </w:rPr>
        <w:t xml:space="preserve">.  </w:t>
      </w:r>
      <w:r w:rsidRPr="00574F64">
        <w:rPr>
          <w:szCs w:val="22"/>
        </w:rPr>
        <w:t xml:space="preserve">To settle this matter, JTC admits that it violated the antenna structure rules, will implement a compliance plan, and will pay $3,000 </w:t>
      </w:r>
      <w:r>
        <w:rPr>
          <w:szCs w:val="22"/>
        </w:rPr>
        <w:t xml:space="preserve">in </w:t>
      </w:r>
      <w:r w:rsidRPr="00574F64">
        <w:rPr>
          <w:szCs w:val="22"/>
        </w:rPr>
        <w:t>civil penalt</w:t>
      </w:r>
      <w:r>
        <w:rPr>
          <w:szCs w:val="22"/>
        </w:rPr>
        <w:t>ies</w:t>
      </w:r>
      <w:r w:rsidRPr="00574F64">
        <w:rPr>
          <w:szCs w:val="22"/>
        </w:rPr>
        <w:t>.</w:t>
      </w:r>
      <w:r>
        <w:rPr>
          <w:szCs w:val="22"/>
        </w:rPr>
        <w:t xml:space="preserve">  However, JTC will pay an additional $231,000 civil penalty if the Commission finds that it failed to comply with the antenna structure rules during the next three years or misled the Commission regarding its current financial status.</w:t>
      </w:r>
      <w:r w:rsidRPr="00574F64">
        <w:rPr>
          <w:szCs w:val="22"/>
        </w:rPr>
        <w:t xml:space="preserve"> </w:t>
      </w:r>
    </w:p>
    <w:p w14:paraId="13D16C27" w14:textId="77777777" w:rsidR="00571B10" w:rsidRPr="00D84548" w:rsidRDefault="00571B10" w:rsidP="00571B10">
      <w:pPr>
        <w:pStyle w:val="ParaNum"/>
        <w:numPr>
          <w:ilvl w:val="0"/>
          <w:numId w:val="35"/>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 the Consent Decree and resolving the Notice of Apparent Liability for Forfeiture</w:t>
      </w:r>
      <w:r>
        <w:rPr>
          <w:szCs w:val="22"/>
        </w:rPr>
        <w:t xml:space="preserve"> (NAL)</w:t>
      </w:r>
      <w:r>
        <w:rPr>
          <w:rStyle w:val="FootnoteReference"/>
          <w:szCs w:val="22"/>
        </w:rPr>
        <w:footnoteReference w:id="2"/>
      </w:r>
      <w:r w:rsidRPr="00D84548">
        <w:rPr>
          <w:szCs w:val="22"/>
        </w:rPr>
        <w:t xml:space="preserve"> </w:t>
      </w:r>
      <w:r>
        <w:rPr>
          <w:szCs w:val="22"/>
        </w:rPr>
        <w:t>against JTC regarding its</w:t>
      </w:r>
      <w:r w:rsidRPr="00D84548">
        <w:rPr>
          <w:szCs w:val="22"/>
        </w:rPr>
        <w:t xml:space="preserve"> compliance with </w:t>
      </w:r>
      <w:r>
        <w:rPr>
          <w:szCs w:val="22"/>
        </w:rPr>
        <w:t xml:space="preserve">its antenna structure lighting and registration obligations under </w:t>
      </w:r>
      <w:r>
        <w:t>Section 303(q) of the Communications Act of 1934, as amended (Act), and Sections 17.21(a), 17.23, and 17.57 of the Commission’s rules (Rules)</w:t>
      </w:r>
      <w:r w:rsidRPr="00D84548">
        <w:rPr>
          <w:szCs w:val="22"/>
        </w:rPr>
        <w:t>.</w:t>
      </w:r>
      <w:r>
        <w:rPr>
          <w:rStyle w:val="FootnoteReference"/>
          <w:szCs w:val="22"/>
        </w:rPr>
        <w:footnoteReference w:id="3"/>
      </w:r>
    </w:p>
    <w:p w14:paraId="642EBF66" w14:textId="77777777" w:rsidR="00571B10" w:rsidRPr="00A00C7A" w:rsidRDefault="00571B10" w:rsidP="00571B10">
      <w:pPr>
        <w:pStyle w:val="ParaNum"/>
        <w:numPr>
          <w:ilvl w:val="0"/>
          <w:numId w:val="35"/>
        </w:numPr>
        <w:tabs>
          <w:tab w:val="clear" w:pos="1080"/>
          <w:tab w:val="left" w:pos="1440"/>
        </w:tabs>
        <w:rPr>
          <w:szCs w:val="22"/>
        </w:rPr>
      </w:pPr>
      <w:r w:rsidRPr="00D84548">
        <w:rPr>
          <w:szCs w:val="22"/>
        </w:rPr>
        <w:t xml:space="preserve">In the absence of material new evidence relating to this matter, we conclude that our investigation raises no substantial or material questions of fact as to whether </w:t>
      </w:r>
      <w:r>
        <w:rPr>
          <w:szCs w:val="22"/>
        </w:rPr>
        <w:t>JTC</w:t>
      </w:r>
      <w:r w:rsidRPr="00D84548">
        <w:rPr>
          <w:szCs w:val="22"/>
        </w:rPr>
        <w:t xml:space="preserve"> possesses the basic qualifications, including those related to character, to hold or obtain any Commission license or authorization.</w:t>
      </w:r>
    </w:p>
    <w:p w14:paraId="7071A4D6" w14:textId="77777777" w:rsidR="00571B10" w:rsidRPr="00D84548" w:rsidRDefault="00571B10" w:rsidP="00571B10">
      <w:pPr>
        <w:pStyle w:val="ParaNum"/>
        <w:numPr>
          <w:ilvl w:val="0"/>
          <w:numId w:val="35"/>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that, pursuant to Section</w:t>
      </w:r>
      <w:r>
        <w:rPr>
          <w:szCs w:val="22"/>
        </w:rPr>
        <w:t>s</w:t>
      </w:r>
      <w:r w:rsidRPr="00D84548">
        <w:rPr>
          <w:szCs w:val="22"/>
        </w:rPr>
        <w:t xml:space="preserve"> 4(i), and 503(b) of the Act</w:t>
      </w:r>
      <w:r w:rsidRPr="00D84548">
        <w:rPr>
          <w:rStyle w:val="FootnoteReference"/>
          <w:szCs w:val="22"/>
        </w:rPr>
        <w:footnoteReference w:id="4"/>
      </w:r>
      <w:r w:rsidRPr="00D84548">
        <w:rPr>
          <w:szCs w:val="22"/>
        </w:rPr>
        <w:t xml:space="preserve"> and the authority delegated by Sections 0.111 and 0.311 of the Rules,</w:t>
      </w:r>
      <w:r w:rsidRPr="00D84548">
        <w:rPr>
          <w:rStyle w:val="FootnoteReference"/>
          <w:szCs w:val="22"/>
        </w:rPr>
        <w:footnoteReference w:id="5"/>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14:paraId="52CD9E73" w14:textId="77777777" w:rsidR="00571B10" w:rsidRPr="00D84548" w:rsidRDefault="00571B10" w:rsidP="00571B10">
      <w:pPr>
        <w:pStyle w:val="ParaNum"/>
        <w:widowControl/>
        <w:numPr>
          <w:ilvl w:val="0"/>
          <w:numId w:val="35"/>
        </w:numPr>
        <w:tabs>
          <w:tab w:val="clear" w:pos="1080"/>
          <w:tab w:val="left" w:pos="1440"/>
        </w:tabs>
        <w:rPr>
          <w:b/>
        </w:rPr>
      </w:pPr>
      <w:r w:rsidRPr="00D84548">
        <w:rPr>
          <w:b/>
        </w:rPr>
        <w:lastRenderedPageBreak/>
        <w:t>IT IS FURTHER ORDERED</w:t>
      </w:r>
      <w:r w:rsidRPr="00D84548">
        <w:t xml:space="preserve"> that the above-captioned matter </w:t>
      </w:r>
      <w:r w:rsidRPr="00D84548">
        <w:rPr>
          <w:b/>
        </w:rPr>
        <w:t xml:space="preserve">IS TERMINATED </w:t>
      </w:r>
      <w:r w:rsidRPr="00D84548">
        <w:t xml:space="preserve">and the NAL </w:t>
      </w:r>
      <w:r w:rsidRPr="00D84548">
        <w:rPr>
          <w:b/>
        </w:rPr>
        <w:t>IS CANCELED</w:t>
      </w:r>
      <w:r w:rsidRPr="00D84548">
        <w:t>.</w:t>
      </w:r>
    </w:p>
    <w:p w14:paraId="35449398" w14:textId="77777777" w:rsidR="00571B10" w:rsidRPr="00D84548" w:rsidRDefault="00571B10" w:rsidP="00571B10">
      <w:pPr>
        <w:pStyle w:val="ParaNum"/>
        <w:numPr>
          <w:ilvl w:val="0"/>
          <w:numId w:val="35"/>
        </w:numPr>
        <w:tabs>
          <w:tab w:val="clear" w:pos="1080"/>
          <w:tab w:val="left" w:pos="1440"/>
        </w:tabs>
        <w:rPr>
          <w:szCs w:val="22"/>
        </w:rPr>
      </w:pPr>
      <w:r w:rsidRPr="00D84548">
        <w:rPr>
          <w:b/>
        </w:rPr>
        <w:t>IT IS FURTHER ORDERED</w:t>
      </w:r>
      <w:r w:rsidRPr="00D84548">
        <w:t xml:space="preserve"> that a copy of this Order and Consent Decree </w:t>
      </w:r>
      <w:r w:rsidRPr="00981F23">
        <w:rPr>
          <w:color w:val="000000" w:themeColor="text1"/>
          <w:szCs w:val="22"/>
        </w:rPr>
        <w:t xml:space="preserve">shall be sent by first class mail and certified mail, return receipt requested, to </w:t>
      </w:r>
      <w:r>
        <w:rPr>
          <w:color w:val="000000" w:themeColor="text1"/>
          <w:szCs w:val="22"/>
        </w:rPr>
        <w:t xml:space="preserve">Johnson Towers Corporation at </w:t>
      </w:r>
      <w:r>
        <w:t>9661 82nd</w:t>
      </w:r>
      <w:r w:rsidRPr="005D110D">
        <w:t xml:space="preserve"> Avenue North, Seminole, FL 33777-2736</w:t>
      </w:r>
      <w:r w:rsidRPr="00981F23">
        <w:rPr>
          <w:color w:val="000000" w:themeColor="text1"/>
          <w:szCs w:val="22"/>
        </w:rPr>
        <w:t>.</w:t>
      </w:r>
    </w:p>
    <w:p w14:paraId="22DF04B0" w14:textId="77777777" w:rsidR="00571B10" w:rsidRDefault="00571B10" w:rsidP="00571B10">
      <w:pPr>
        <w:pStyle w:val="ParaNum"/>
        <w:numPr>
          <w:ilvl w:val="0"/>
          <w:numId w:val="0"/>
        </w:numPr>
        <w:tabs>
          <w:tab w:val="left" w:pos="1440"/>
        </w:tabs>
        <w:spacing w:after="240"/>
        <w:ind w:left="720"/>
        <w:rPr>
          <w:b/>
        </w:rPr>
      </w:pPr>
    </w:p>
    <w:p w14:paraId="60C39EF0" w14:textId="77777777" w:rsidR="00571B10" w:rsidRPr="00EF505E" w:rsidRDefault="00571B10" w:rsidP="00571B10">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4BB55692" w14:textId="77777777" w:rsidR="00571B10" w:rsidRPr="00EF505E" w:rsidRDefault="00571B10" w:rsidP="00571B10">
      <w:pPr>
        <w:rPr>
          <w:szCs w:val="22"/>
          <w:lang w:val="fr-FR"/>
        </w:rPr>
      </w:pPr>
    </w:p>
    <w:p w14:paraId="06C702C6" w14:textId="77777777" w:rsidR="00571B10" w:rsidRPr="00EF505E" w:rsidRDefault="00571B10" w:rsidP="00571B10">
      <w:pPr>
        <w:rPr>
          <w:szCs w:val="22"/>
          <w:lang w:val="fr-FR"/>
        </w:rPr>
      </w:pPr>
    </w:p>
    <w:p w14:paraId="1BC21057" w14:textId="77777777" w:rsidR="00571B10" w:rsidRPr="00EF505E" w:rsidRDefault="00571B10" w:rsidP="00571B10">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7EF9AC19" w14:textId="77777777" w:rsidR="00571B10" w:rsidRPr="00EF505E" w:rsidRDefault="00571B10" w:rsidP="00571B10">
      <w:pPr>
        <w:outlineLvl w:val="0"/>
        <w:rPr>
          <w:szCs w:val="22"/>
          <w:lang w:val="fr-FR"/>
        </w:rPr>
      </w:pPr>
    </w:p>
    <w:p w14:paraId="4B4C3AC2" w14:textId="77777777" w:rsidR="00571B10" w:rsidRDefault="00571B10" w:rsidP="00571B10">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 xml:space="preserve">Travis LeBlanc </w:t>
      </w:r>
    </w:p>
    <w:p w14:paraId="46771219" w14:textId="77777777" w:rsidR="00571B10" w:rsidRDefault="00571B10" w:rsidP="00571B10">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14:paraId="60FE18F4" w14:textId="77777777" w:rsidR="00571B10" w:rsidRDefault="00571B10" w:rsidP="00571B10">
      <w:pPr>
        <w:ind w:left="2880" w:firstLine="720"/>
        <w:outlineLvl w:val="0"/>
        <w:rPr>
          <w:szCs w:val="22"/>
        </w:rPr>
      </w:pPr>
      <w:r>
        <w:rPr>
          <w:szCs w:val="22"/>
        </w:rPr>
        <w:t>Enforcement Bureau</w:t>
      </w:r>
    </w:p>
    <w:p w14:paraId="0F103A9C" w14:textId="77777777" w:rsidR="00571B10" w:rsidRPr="008C4282" w:rsidRDefault="00571B10" w:rsidP="00571B10">
      <w:pPr>
        <w:rPr>
          <w:szCs w:val="22"/>
        </w:rPr>
      </w:pPr>
    </w:p>
    <w:p w14:paraId="02001AB7" w14:textId="54A14006" w:rsidR="00571B10" w:rsidRDefault="00571B10" w:rsidP="00571B10">
      <w:pPr>
        <w:jc w:val="center"/>
        <w:rPr>
          <w:rFonts w:ascii="Times New Roman Bold" w:hAnsi="Times New Roman Bold"/>
          <w:b/>
          <w:kern w:val="0"/>
          <w:szCs w:val="22"/>
        </w:rPr>
        <w:sectPr w:rsidR="00571B10" w:rsidSect="0030283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14:paraId="63E8EA6A" w14:textId="7300D534" w:rsidR="005B4F0E" w:rsidRPr="00843A5F" w:rsidRDefault="005B4F0E" w:rsidP="005B4F0E">
      <w:pPr>
        <w:jc w:val="center"/>
        <w:rPr>
          <w:b/>
        </w:rPr>
      </w:pPr>
      <w:r w:rsidRPr="00843A5F">
        <w:rPr>
          <w:rFonts w:ascii="Times New Roman Bold" w:hAnsi="Times New Roman Bold"/>
          <w:b/>
          <w:kern w:val="0"/>
          <w:szCs w:val="22"/>
        </w:rPr>
        <w:lastRenderedPageBreak/>
        <w:t>Before</w:t>
      </w:r>
      <w:r w:rsidRPr="00843A5F">
        <w:rPr>
          <w:b/>
        </w:rPr>
        <w:t xml:space="preserve"> the</w:t>
      </w:r>
    </w:p>
    <w:p w14:paraId="63E8EA6B" w14:textId="77777777" w:rsidR="005B4F0E" w:rsidRPr="00843A5F" w:rsidRDefault="005B4F0E" w:rsidP="005B4F0E">
      <w:pPr>
        <w:pStyle w:val="StyleBoldCentered"/>
      </w:pPr>
      <w:r w:rsidRPr="00843A5F">
        <w:t>F</w:t>
      </w:r>
      <w:r w:rsidRPr="00843A5F">
        <w:rPr>
          <w:caps w:val="0"/>
        </w:rPr>
        <w:t>ederal Communications Commission</w:t>
      </w:r>
    </w:p>
    <w:p w14:paraId="63E8EA6C" w14:textId="77777777" w:rsidR="005B4F0E" w:rsidRPr="00843A5F" w:rsidRDefault="005B4F0E" w:rsidP="005B4F0E">
      <w:pPr>
        <w:pStyle w:val="StyleBoldCentered"/>
      </w:pPr>
      <w:r w:rsidRPr="00843A5F">
        <w:rPr>
          <w:caps w:val="0"/>
        </w:rPr>
        <w:t>Washington, DC 20554</w:t>
      </w:r>
    </w:p>
    <w:p w14:paraId="63E8EA6D" w14:textId="77777777" w:rsidR="005B4F0E" w:rsidRPr="00843A5F" w:rsidRDefault="005B4F0E" w:rsidP="005B4F0E"/>
    <w:tbl>
      <w:tblPr>
        <w:tblW w:w="9522" w:type="dxa"/>
        <w:tblInd w:w="108" w:type="dxa"/>
        <w:tblLayout w:type="fixed"/>
        <w:tblLook w:val="0000" w:firstRow="0" w:lastRow="0" w:firstColumn="0" w:lastColumn="0" w:noHBand="0" w:noVBand="0"/>
      </w:tblPr>
      <w:tblGrid>
        <w:gridCol w:w="4572"/>
        <w:gridCol w:w="270"/>
        <w:gridCol w:w="4680"/>
      </w:tblGrid>
      <w:tr w:rsidR="000E5A94" w:rsidRPr="00937484" w14:paraId="63E8EA85" w14:textId="77777777" w:rsidTr="006F0B58">
        <w:tc>
          <w:tcPr>
            <w:tcW w:w="4572" w:type="dxa"/>
          </w:tcPr>
          <w:p w14:paraId="63E8EA6E" w14:textId="77777777" w:rsidR="000E5A94" w:rsidRPr="00FB0D07" w:rsidRDefault="000E5A94" w:rsidP="003C654D">
            <w:pPr>
              <w:rPr>
                <w:szCs w:val="22"/>
              </w:rPr>
            </w:pPr>
            <w:r w:rsidRPr="00FB0D07">
              <w:rPr>
                <w:spacing w:val="-2"/>
                <w:szCs w:val="22"/>
              </w:rPr>
              <w:t>In the Matter of</w:t>
            </w:r>
            <w:r w:rsidRPr="00FB0D07">
              <w:rPr>
                <w:szCs w:val="22"/>
              </w:rPr>
              <w:t xml:space="preserve"> </w:t>
            </w:r>
          </w:p>
          <w:p w14:paraId="63E8EA6F" w14:textId="77777777" w:rsidR="000E5A94" w:rsidRPr="00FB0D07" w:rsidRDefault="000E5A94" w:rsidP="003C654D">
            <w:pPr>
              <w:rPr>
                <w:szCs w:val="22"/>
              </w:rPr>
            </w:pPr>
          </w:p>
          <w:p w14:paraId="63E8EA70" w14:textId="77777777" w:rsidR="000E5A94" w:rsidRPr="00937484" w:rsidRDefault="000E5A94" w:rsidP="003C654D">
            <w:pPr>
              <w:rPr>
                <w:szCs w:val="22"/>
              </w:rPr>
            </w:pPr>
            <w:r w:rsidRPr="00937484">
              <w:rPr>
                <w:spacing w:val="-2"/>
                <w:szCs w:val="22"/>
              </w:rPr>
              <w:t>Johnson Towers Corporation</w:t>
            </w:r>
          </w:p>
          <w:p w14:paraId="63E8EA71" w14:textId="77777777" w:rsidR="000E5A94" w:rsidRPr="00937484" w:rsidRDefault="000E5A94" w:rsidP="003C654D">
            <w:pPr>
              <w:rPr>
                <w:szCs w:val="22"/>
              </w:rPr>
            </w:pPr>
          </w:p>
          <w:p w14:paraId="63E8EA72" w14:textId="77777777" w:rsidR="000E5A94" w:rsidRPr="00937484" w:rsidRDefault="000E5A94" w:rsidP="003C654D">
            <w:pPr>
              <w:rPr>
                <w:szCs w:val="22"/>
              </w:rPr>
            </w:pPr>
            <w:r>
              <w:rPr>
                <w:szCs w:val="22"/>
              </w:rPr>
              <w:t xml:space="preserve">Owner </w:t>
            </w:r>
            <w:r w:rsidRPr="00937484">
              <w:rPr>
                <w:szCs w:val="22"/>
              </w:rPr>
              <w:t>of Antenna Structure</w:t>
            </w:r>
            <w:r>
              <w:rPr>
                <w:szCs w:val="22"/>
              </w:rPr>
              <w:t xml:space="preserve"> No</w:t>
            </w:r>
            <w:r w:rsidRPr="00937484">
              <w:rPr>
                <w:szCs w:val="22"/>
              </w:rPr>
              <w:t>s</w:t>
            </w:r>
            <w:r w:rsidR="00BA1172">
              <w:rPr>
                <w:szCs w:val="22"/>
              </w:rPr>
              <w:t>.</w:t>
            </w:r>
          </w:p>
          <w:p w14:paraId="63E8EA73" w14:textId="77777777" w:rsidR="00BA1172" w:rsidRDefault="00BA1172" w:rsidP="003C654D">
            <w:pPr>
              <w:rPr>
                <w:szCs w:val="22"/>
              </w:rPr>
            </w:pPr>
            <w:r>
              <w:rPr>
                <w:szCs w:val="22"/>
              </w:rPr>
              <w:t xml:space="preserve">1060088 and </w:t>
            </w:r>
            <w:r w:rsidR="000E5A94" w:rsidRPr="00937484">
              <w:rPr>
                <w:szCs w:val="22"/>
              </w:rPr>
              <w:t>1060089</w:t>
            </w:r>
          </w:p>
          <w:p w14:paraId="63E8EA74" w14:textId="77777777" w:rsidR="000E5A94" w:rsidRPr="00937484" w:rsidRDefault="00BA1172" w:rsidP="003C654D">
            <w:pPr>
              <w:rPr>
                <w:szCs w:val="22"/>
              </w:rPr>
            </w:pPr>
            <w:r>
              <w:rPr>
                <w:szCs w:val="22"/>
              </w:rPr>
              <w:t>Former Owner of Antenna Structure</w:t>
            </w:r>
            <w:r w:rsidR="0069076A">
              <w:rPr>
                <w:szCs w:val="22"/>
              </w:rPr>
              <w:t xml:space="preserve"> </w:t>
            </w:r>
            <w:r w:rsidR="000E5A94" w:rsidRPr="00937484">
              <w:rPr>
                <w:szCs w:val="22"/>
              </w:rPr>
              <w:t>1060090</w:t>
            </w:r>
          </w:p>
          <w:p w14:paraId="63E8EA75" w14:textId="77777777" w:rsidR="000E5A94" w:rsidRPr="00937484" w:rsidRDefault="000E5A94" w:rsidP="003C654D">
            <w:pPr>
              <w:rPr>
                <w:szCs w:val="22"/>
              </w:rPr>
            </w:pPr>
            <w:r w:rsidRPr="00937484">
              <w:rPr>
                <w:szCs w:val="22"/>
              </w:rPr>
              <w:t>Pinellas Park, Florida</w:t>
            </w:r>
          </w:p>
          <w:p w14:paraId="63E8EA76" w14:textId="77777777" w:rsidR="000E5A94" w:rsidRPr="00937484" w:rsidRDefault="000E5A94" w:rsidP="003C654D">
            <w:pPr>
              <w:rPr>
                <w:spacing w:val="-2"/>
                <w:szCs w:val="22"/>
              </w:rPr>
            </w:pPr>
          </w:p>
        </w:tc>
        <w:tc>
          <w:tcPr>
            <w:tcW w:w="270" w:type="dxa"/>
          </w:tcPr>
          <w:p w14:paraId="63E8EA77" w14:textId="77777777" w:rsidR="000E5A94" w:rsidRPr="00937484" w:rsidRDefault="000E5A94" w:rsidP="003C654D">
            <w:pPr>
              <w:tabs>
                <w:tab w:val="center" w:pos="4680"/>
              </w:tabs>
              <w:suppressAutoHyphens/>
              <w:spacing w:line="240" w:lineRule="atLeast"/>
              <w:jc w:val="both"/>
              <w:outlineLvl w:val="0"/>
              <w:rPr>
                <w:szCs w:val="22"/>
              </w:rPr>
            </w:pPr>
            <w:r w:rsidRPr="00937484">
              <w:rPr>
                <w:szCs w:val="22"/>
              </w:rPr>
              <w:t>)</w:t>
            </w:r>
          </w:p>
          <w:p w14:paraId="63E8EA78" w14:textId="77777777" w:rsidR="000E5A94" w:rsidRPr="00937484" w:rsidRDefault="000E5A94" w:rsidP="003C654D">
            <w:pPr>
              <w:tabs>
                <w:tab w:val="center" w:pos="4680"/>
              </w:tabs>
              <w:suppressAutoHyphens/>
              <w:spacing w:line="240" w:lineRule="atLeast"/>
              <w:jc w:val="both"/>
              <w:outlineLvl w:val="0"/>
              <w:rPr>
                <w:szCs w:val="22"/>
              </w:rPr>
            </w:pPr>
            <w:r w:rsidRPr="00937484">
              <w:rPr>
                <w:szCs w:val="22"/>
              </w:rPr>
              <w:t>)</w:t>
            </w:r>
          </w:p>
          <w:p w14:paraId="63E8EA79" w14:textId="77777777" w:rsidR="000E5A94" w:rsidRPr="00937484" w:rsidRDefault="000E5A94" w:rsidP="003C654D">
            <w:pPr>
              <w:tabs>
                <w:tab w:val="center" w:pos="4680"/>
              </w:tabs>
              <w:suppressAutoHyphens/>
              <w:spacing w:line="240" w:lineRule="atLeast"/>
              <w:jc w:val="both"/>
              <w:outlineLvl w:val="0"/>
              <w:rPr>
                <w:szCs w:val="22"/>
              </w:rPr>
            </w:pPr>
            <w:r w:rsidRPr="00937484">
              <w:rPr>
                <w:szCs w:val="22"/>
              </w:rPr>
              <w:t>)</w:t>
            </w:r>
          </w:p>
          <w:p w14:paraId="63E8EA7A" w14:textId="77777777" w:rsidR="000E5A94" w:rsidRPr="00937484" w:rsidRDefault="000E5A94" w:rsidP="003C654D">
            <w:pPr>
              <w:tabs>
                <w:tab w:val="center" w:pos="4680"/>
              </w:tabs>
              <w:suppressAutoHyphens/>
              <w:spacing w:line="240" w:lineRule="atLeast"/>
              <w:jc w:val="both"/>
              <w:outlineLvl w:val="0"/>
              <w:rPr>
                <w:szCs w:val="22"/>
              </w:rPr>
            </w:pPr>
            <w:r w:rsidRPr="00937484">
              <w:rPr>
                <w:szCs w:val="22"/>
              </w:rPr>
              <w:t>)</w:t>
            </w:r>
          </w:p>
          <w:p w14:paraId="63E8EA7B" w14:textId="77777777" w:rsidR="000E5A94" w:rsidRPr="00937484" w:rsidRDefault="000E5A94" w:rsidP="003C654D">
            <w:pPr>
              <w:tabs>
                <w:tab w:val="center" w:pos="4680"/>
              </w:tabs>
              <w:suppressAutoHyphens/>
              <w:spacing w:line="240" w:lineRule="atLeast"/>
              <w:jc w:val="both"/>
              <w:outlineLvl w:val="0"/>
              <w:rPr>
                <w:szCs w:val="22"/>
              </w:rPr>
            </w:pPr>
            <w:r w:rsidRPr="00937484">
              <w:rPr>
                <w:szCs w:val="22"/>
              </w:rPr>
              <w:t>)</w:t>
            </w:r>
          </w:p>
          <w:p w14:paraId="63E8EA7C" w14:textId="77777777" w:rsidR="000E5A94" w:rsidRPr="00937484" w:rsidRDefault="000E5A94" w:rsidP="003C654D">
            <w:pPr>
              <w:tabs>
                <w:tab w:val="center" w:pos="4680"/>
              </w:tabs>
              <w:suppressAutoHyphens/>
              <w:spacing w:line="240" w:lineRule="atLeast"/>
              <w:jc w:val="both"/>
              <w:outlineLvl w:val="0"/>
              <w:rPr>
                <w:szCs w:val="22"/>
              </w:rPr>
            </w:pPr>
            <w:r w:rsidRPr="00937484">
              <w:rPr>
                <w:szCs w:val="22"/>
              </w:rPr>
              <w:t>)</w:t>
            </w:r>
          </w:p>
          <w:p w14:paraId="63E8EA7D" w14:textId="77777777" w:rsidR="000E5A94" w:rsidRDefault="000E5A94" w:rsidP="003C654D">
            <w:pPr>
              <w:tabs>
                <w:tab w:val="center" w:pos="4680"/>
              </w:tabs>
              <w:suppressAutoHyphens/>
              <w:spacing w:line="240" w:lineRule="atLeast"/>
              <w:jc w:val="both"/>
              <w:outlineLvl w:val="0"/>
              <w:rPr>
                <w:szCs w:val="22"/>
              </w:rPr>
            </w:pPr>
            <w:r w:rsidRPr="00937484">
              <w:rPr>
                <w:szCs w:val="22"/>
              </w:rPr>
              <w:t>)</w:t>
            </w:r>
          </w:p>
          <w:p w14:paraId="63E8EA7E" w14:textId="77777777" w:rsidR="00BA1172" w:rsidRPr="00937484" w:rsidRDefault="00BA1172" w:rsidP="003C654D">
            <w:pPr>
              <w:tabs>
                <w:tab w:val="center" w:pos="4680"/>
              </w:tabs>
              <w:suppressAutoHyphens/>
              <w:spacing w:line="240" w:lineRule="atLeast"/>
              <w:jc w:val="both"/>
              <w:outlineLvl w:val="0"/>
              <w:rPr>
                <w:szCs w:val="22"/>
              </w:rPr>
            </w:pPr>
            <w:r>
              <w:rPr>
                <w:szCs w:val="22"/>
              </w:rPr>
              <w:t>)</w:t>
            </w:r>
          </w:p>
        </w:tc>
        <w:tc>
          <w:tcPr>
            <w:tcW w:w="4680" w:type="dxa"/>
          </w:tcPr>
          <w:p w14:paraId="63E8EA7F" w14:textId="77777777" w:rsidR="000E5A94" w:rsidRPr="00937484" w:rsidRDefault="000E5A94" w:rsidP="003C654D">
            <w:pPr>
              <w:rPr>
                <w:spacing w:val="-2"/>
                <w:szCs w:val="22"/>
              </w:rPr>
            </w:pPr>
          </w:p>
          <w:p w14:paraId="63E8EA80" w14:textId="77777777" w:rsidR="000E5A94" w:rsidRPr="00937484" w:rsidRDefault="000E5A94" w:rsidP="003C654D">
            <w:pPr>
              <w:ind w:left="702"/>
              <w:rPr>
                <w:spacing w:val="-2"/>
                <w:szCs w:val="22"/>
              </w:rPr>
            </w:pPr>
          </w:p>
          <w:p w14:paraId="63E8EA81" w14:textId="77777777" w:rsidR="000E5A94" w:rsidRPr="00937484" w:rsidRDefault="000E5A94" w:rsidP="003C654D">
            <w:pPr>
              <w:ind w:left="702"/>
              <w:rPr>
                <w:szCs w:val="22"/>
              </w:rPr>
            </w:pPr>
            <w:r w:rsidRPr="00937484">
              <w:rPr>
                <w:szCs w:val="22"/>
              </w:rPr>
              <w:t>File No.:  EB-11-TP-0038</w:t>
            </w:r>
          </w:p>
          <w:p w14:paraId="63E8EA82" w14:textId="77777777" w:rsidR="000E5A94" w:rsidRPr="00937484" w:rsidRDefault="000E5A94" w:rsidP="003C654D">
            <w:pPr>
              <w:rPr>
                <w:b/>
                <w:szCs w:val="22"/>
              </w:rPr>
            </w:pPr>
            <w:r>
              <w:rPr>
                <w:szCs w:val="22"/>
              </w:rPr>
              <w:t xml:space="preserve">             </w:t>
            </w:r>
            <w:r w:rsidRPr="00B34188">
              <w:rPr>
                <w:szCs w:val="22"/>
              </w:rPr>
              <w:t>NAL/</w:t>
            </w:r>
            <w:r w:rsidRPr="00B02B1C">
              <w:rPr>
                <w:szCs w:val="22"/>
              </w:rPr>
              <w:t xml:space="preserve">Acct. No.:  </w:t>
            </w:r>
            <w:r>
              <w:rPr>
                <w:szCs w:val="22"/>
              </w:rPr>
              <w:t>201432700002</w:t>
            </w:r>
          </w:p>
          <w:p w14:paraId="63E8EA83" w14:textId="77777777" w:rsidR="000E5A94" w:rsidRPr="00937484" w:rsidRDefault="000E5A94" w:rsidP="003C654D">
            <w:pPr>
              <w:ind w:left="702"/>
              <w:rPr>
                <w:szCs w:val="22"/>
              </w:rPr>
            </w:pPr>
            <w:r w:rsidRPr="00937484">
              <w:rPr>
                <w:szCs w:val="22"/>
              </w:rPr>
              <w:t>FRN</w:t>
            </w:r>
            <w:r w:rsidRPr="006F126E">
              <w:rPr>
                <w:color w:val="000000" w:themeColor="text1"/>
                <w:szCs w:val="22"/>
              </w:rPr>
              <w:t>:  0007783525</w:t>
            </w:r>
          </w:p>
          <w:p w14:paraId="63E8EA84" w14:textId="77777777" w:rsidR="000E5A94" w:rsidRPr="00937484" w:rsidRDefault="000E5A94" w:rsidP="003C654D">
            <w:pPr>
              <w:rPr>
                <w:szCs w:val="22"/>
              </w:rPr>
            </w:pPr>
            <w:r w:rsidRPr="00937484">
              <w:rPr>
                <w:szCs w:val="22"/>
              </w:rPr>
              <w:t xml:space="preserve">    </w:t>
            </w:r>
          </w:p>
        </w:tc>
      </w:tr>
    </w:tbl>
    <w:p w14:paraId="63E8EA86" w14:textId="77777777" w:rsidR="00064ADC" w:rsidRPr="007C0B39" w:rsidRDefault="000E5A94" w:rsidP="00FD0F9C">
      <w:pPr>
        <w:pStyle w:val="StyleBoldCentered"/>
      </w:pPr>
      <w:r>
        <w:t>C</w:t>
      </w:r>
      <w:r w:rsidR="00BD08D2" w:rsidRPr="007C0B39">
        <w:t>ONSENT DECREE</w:t>
      </w:r>
    </w:p>
    <w:p w14:paraId="63E8EA87" w14:textId="77777777" w:rsidR="00064ADC" w:rsidRPr="007C0B39" w:rsidRDefault="00064ADC" w:rsidP="00064ADC">
      <w:pPr>
        <w:pStyle w:val="StyleBoldCentered"/>
      </w:pPr>
    </w:p>
    <w:p w14:paraId="63E8EA88" w14:textId="77777777" w:rsidR="00E02214" w:rsidRPr="007C0B39" w:rsidRDefault="00BD08D2" w:rsidP="00ED419F">
      <w:pPr>
        <w:pStyle w:val="ParaNum"/>
      </w:pPr>
      <w:r w:rsidRPr="007C0B39">
        <w:t>The Enforcement Bureau of the Federal Communications Commission and</w:t>
      </w:r>
      <w:r w:rsidR="00302835" w:rsidRPr="007C0B39">
        <w:t xml:space="preserve"> </w:t>
      </w:r>
      <w:r w:rsidR="000E5A94">
        <w:t>Johnson Towers Corporation (JTC),</w:t>
      </w:r>
      <w:r w:rsidRPr="007C0B39">
        <w:t xml:space="preserve"> by their authorized representatives, hereby enter into this Consent Decree for the purpose of terminating the </w:t>
      </w:r>
      <w:r w:rsidR="00FD0F9C" w:rsidRPr="007C0B39">
        <w:t xml:space="preserve">Enforcement </w:t>
      </w:r>
      <w:r w:rsidR="00B709FD" w:rsidRPr="007C0B39">
        <w:t xml:space="preserve">Bureau’s </w:t>
      </w:r>
      <w:r w:rsidR="00D65117" w:rsidRPr="007C0B39">
        <w:t>investigation into</w:t>
      </w:r>
      <w:r w:rsidRPr="007C0B39">
        <w:t xml:space="preserve"> </w:t>
      </w:r>
      <w:r w:rsidR="00073450" w:rsidRPr="007C0B39">
        <w:t>whether</w:t>
      </w:r>
      <w:r w:rsidR="00EF5FE2" w:rsidRPr="007C0B39">
        <w:t xml:space="preserve"> </w:t>
      </w:r>
      <w:r w:rsidR="000E5A94">
        <w:t>JTC</w:t>
      </w:r>
      <w:r w:rsidRPr="007C0B39">
        <w:t xml:space="preserve"> </w:t>
      </w:r>
      <w:r w:rsidR="00073450" w:rsidRPr="007C0B39">
        <w:t>violated</w:t>
      </w:r>
      <w:r w:rsidR="00EF5FE2" w:rsidRPr="007C0B39">
        <w:t xml:space="preserve"> </w:t>
      </w:r>
      <w:r w:rsidR="000E5A94">
        <w:t>303(q) of the Communicatio</w:t>
      </w:r>
      <w:r w:rsidR="00D257FC">
        <w:t>ns Act of 1934, as amended</w:t>
      </w:r>
      <w:r w:rsidR="000E5A94">
        <w:t>, and Sections 17.21(a), 17.23, and 17.57 of the Commission’s rules</w:t>
      </w:r>
      <w:r w:rsidR="00D257FC">
        <w:rPr>
          <w:szCs w:val="22"/>
        </w:rPr>
        <w:t xml:space="preserve"> by failing to install lights on two an</w:t>
      </w:r>
      <w:r w:rsidR="00925078">
        <w:rPr>
          <w:szCs w:val="22"/>
        </w:rPr>
        <w:t xml:space="preserve">tenna structures and </w:t>
      </w:r>
      <w:r w:rsidR="00D257FC">
        <w:rPr>
          <w:szCs w:val="22"/>
        </w:rPr>
        <w:t>update registration information with the Commission to reflect the dismantlement of a third antenna structure</w:t>
      </w:r>
      <w:r w:rsidRPr="007C0B39">
        <w:t>.</w:t>
      </w:r>
    </w:p>
    <w:p w14:paraId="63E8EA89" w14:textId="77777777" w:rsidR="00BD08D2" w:rsidRPr="007C0B39" w:rsidRDefault="00BD08D2" w:rsidP="00E02214">
      <w:pPr>
        <w:pStyle w:val="Heading1"/>
      </w:pPr>
      <w:r w:rsidRPr="007C0B39">
        <w:t>DEFINITIONS</w:t>
      </w:r>
    </w:p>
    <w:p w14:paraId="63E8EA8A" w14:textId="77777777" w:rsidR="00BD08D2" w:rsidRPr="007C0B39" w:rsidRDefault="00BD08D2" w:rsidP="00ED419F">
      <w:pPr>
        <w:pStyle w:val="ParaNum"/>
      </w:pPr>
      <w:r w:rsidRPr="007C0B39">
        <w:t>For the purposes of this Consent Decree, the following definitions shall apply:</w:t>
      </w:r>
    </w:p>
    <w:p w14:paraId="63E8EA8B" w14:textId="77777777" w:rsidR="00BD08D2" w:rsidRPr="007C0B39" w:rsidRDefault="00BD08D2" w:rsidP="00EF1B1B">
      <w:pPr>
        <w:numPr>
          <w:ilvl w:val="0"/>
          <w:numId w:val="5"/>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sidR="00610208">
        <w:rPr>
          <w:szCs w:val="22"/>
        </w:rPr>
        <w:t>.</w:t>
      </w:r>
      <w:r w:rsidR="00843A5F">
        <w:rPr>
          <w:rStyle w:val="FootnoteReference"/>
          <w:szCs w:val="22"/>
        </w:rPr>
        <w:footnoteReference w:id="6"/>
      </w:r>
    </w:p>
    <w:p w14:paraId="63E8EA8C" w14:textId="77777777" w:rsidR="00BD08D2" w:rsidRDefault="00BD08D2" w:rsidP="00EF1B1B">
      <w:pPr>
        <w:numPr>
          <w:ilvl w:val="0"/>
          <w:numId w:val="5"/>
        </w:numPr>
        <w:tabs>
          <w:tab w:val="clear" w:pos="1224"/>
        </w:tabs>
        <w:spacing w:after="120"/>
        <w:ind w:left="1890"/>
        <w:rPr>
          <w:szCs w:val="22"/>
        </w:rPr>
      </w:pPr>
      <w:r w:rsidRPr="007C0B39">
        <w:rPr>
          <w:szCs w:val="22"/>
        </w:rPr>
        <w:t>“</w:t>
      </w:r>
      <w:r w:rsidRPr="007C0B39">
        <w:t>Adopting</w:t>
      </w:r>
      <w:r w:rsidR="00246786" w:rsidRPr="007C0B39">
        <w:rPr>
          <w:szCs w:val="22"/>
        </w:rPr>
        <w:t xml:space="preserve"> Order” means an o</w:t>
      </w:r>
      <w:r w:rsidRPr="007C0B39">
        <w:rPr>
          <w:szCs w:val="22"/>
        </w:rPr>
        <w:t>rder of the Bureau adopting the terms of this Consent Decree without change, addition, deletion, or modification.</w:t>
      </w:r>
    </w:p>
    <w:p w14:paraId="63E8EA8D" w14:textId="77777777" w:rsidR="00D257FC" w:rsidRPr="00D257FC" w:rsidRDefault="00D257FC" w:rsidP="00D257FC">
      <w:pPr>
        <w:numPr>
          <w:ilvl w:val="0"/>
          <w:numId w:val="5"/>
        </w:numPr>
        <w:tabs>
          <w:tab w:val="clear" w:pos="1224"/>
        </w:tabs>
        <w:spacing w:after="120"/>
        <w:ind w:left="1890"/>
        <w:rPr>
          <w:szCs w:val="22"/>
        </w:rPr>
      </w:pPr>
      <w:r w:rsidRPr="007C0B39">
        <w:rPr>
          <w:szCs w:val="22"/>
        </w:rPr>
        <w:t>“</w:t>
      </w:r>
      <w:r>
        <w:rPr>
          <w:szCs w:val="22"/>
        </w:rPr>
        <w:t>Antenna Structure</w:t>
      </w:r>
      <w:r w:rsidRPr="007C0B39">
        <w:rPr>
          <w:szCs w:val="22"/>
        </w:rPr>
        <w:t xml:space="preserve"> Rules” means </w:t>
      </w:r>
      <w:r>
        <w:rPr>
          <w:szCs w:val="22"/>
        </w:rPr>
        <w:t xml:space="preserve">Section 303(q) of the Act; Sections </w:t>
      </w:r>
      <w:r>
        <w:t>17.21(a), 17.23, and 17.57</w:t>
      </w:r>
      <w:r>
        <w:rPr>
          <w:szCs w:val="22"/>
        </w:rPr>
        <w:t xml:space="preserve"> of the Rules;</w:t>
      </w:r>
      <w:r w:rsidRPr="007C0B39">
        <w:rPr>
          <w:szCs w:val="22"/>
        </w:rPr>
        <w:t xml:space="preserve"> and other provisions of the Act, the Rules, and Commission orders related to</w:t>
      </w:r>
      <w:r>
        <w:rPr>
          <w:szCs w:val="22"/>
        </w:rPr>
        <w:t xml:space="preserve"> the </w:t>
      </w:r>
      <w:r w:rsidR="006F0B58">
        <w:rPr>
          <w:szCs w:val="22"/>
        </w:rPr>
        <w:t>lighting and registration</w:t>
      </w:r>
      <w:r>
        <w:rPr>
          <w:szCs w:val="22"/>
        </w:rPr>
        <w:t xml:space="preserve"> of antenna structures.</w:t>
      </w:r>
      <w:r w:rsidR="006F0B58">
        <w:rPr>
          <w:rStyle w:val="FootnoteReference"/>
          <w:szCs w:val="22"/>
        </w:rPr>
        <w:footnoteReference w:id="7"/>
      </w:r>
    </w:p>
    <w:p w14:paraId="63E8EA8E" w14:textId="77777777"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14:paraId="63E8EA8F" w14:textId="77777777"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14:paraId="63E8EA90" w14:textId="77777777"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w:t>
      </w:r>
      <w:r w:rsidR="00302835" w:rsidRPr="007C0B39">
        <w:rPr>
          <w:szCs w:val="22"/>
        </w:rPr>
        <w:t xml:space="preserve">s of the Commission to which </w:t>
      </w:r>
      <w:r w:rsidR="000E5A94">
        <w:rPr>
          <w:szCs w:val="22"/>
        </w:rPr>
        <w:t>JTC</w:t>
      </w:r>
      <w:r w:rsidRPr="007C0B39">
        <w:rPr>
          <w:szCs w:val="22"/>
        </w:rPr>
        <w:t xml:space="preserve"> is subject by vi</w:t>
      </w:r>
      <w:r w:rsidR="00246786" w:rsidRPr="007C0B39">
        <w:rPr>
          <w:szCs w:val="22"/>
        </w:rPr>
        <w:t>rtue of its business activities</w:t>
      </w:r>
      <w:r w:rsidR="008155A1" w:rsidRPr="007C0B39">
        <w:rPr>
          <w:szCs w:val="22"/>
        </w:rPr>
        <w:t xml:space="preserve">, including but not limited to the </w:t>
      </w:r>
      <w:r w:rsidR="000E5A94">
        <w:rPr>
          <w:szCs w:val="22"/>
        </w:rPr>
        <w:t>Antenna Structure</w:t>
      </w:r>
      <w:r w:rsidR="008155A1" w:rsidRPr="007C0B39">
        <w:rPr>
          <w:szCs w:val="22"/>
        </w:rPr>
        <w:t xml:space="preserve"> Rules</w:t>
      </w:r>
      <w:r w:rsidRPr="007C0B39">
        <w:rPr>
          <w:szCs w:val="22"/>
        </w:rPr>
        <w:t>.</w:t>
      </w:r>
    </w:p>
    <w:p w14:paraId="63E8EA91" w14:textId="77777777"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Compliance</w:t>
      </w:r>
      <w:r w:rsidRPr="007C0B39">
        <w:rPr>
          <w:szCs w:val="22"/>
        </w:rPr>
        <w:t xml:space="preserve"> Plan” means the compliance obligations</w:t>
      </w:r>
      <w:r w:rsidR="008155A1" w:rsidRPr="007C0B39">
        <w:rPr>
          <w:szCs w:val="22"/>
        </w:rPr>
        <w:t xml:space="preserve">, </w:t>
      </w:r>
      <w:r w:rsidRPr="007C0B39">
        <w:rPr>
          <w:szCs w:val="22"/>
        </w:rPr>
        <w:t>program</w:t>
      </w:r>
      <w:r w:rsidR="008155A1" w:rsidRPr="007C0B39">
        <w:rPr>
          <w:szCs w:val="22"/>
        </w:rPr>
        <w:t>, and procedures</w:t>
      </w:r>
      <w:r w:rsidR="00BC7821" w:rsidRPr="007C0B39">
        <w:rPr>
          <w:szCs w:val="22"/>
        </w:rPr>
        <w:t xml:space="preserve"> d</w:t>
      </w:r>
      <w:r w:rsidRPr="007C0B39">
        <w:rPr>
          <w:szCs w:val="22"/>
        </w:rPr>
        <w:t>escribed in this Consent Decree at paragraph</w:t>
      </w:r>
      <w:r w:rsidR="00FB39CB" w:rsidRPr="007C0B39">
        <w:rPr>
          <w:szCs w:val="22"/>
        </w:rPr>
        <w:t xml:space="preserve"> </w:t>
      </w:r>
      <w:r w:rsidR="001C1ADE">
        <w:rPr>
          <w:szCs w:val="22"/>
        </w:rPr>
        <w:t>11</w:t>
      </w:r>
      <w:r w:rsidRPr="007C0B39">
        <w:rPr>
          <w:szCs w:val="22"/>
        </w:rPr>
        <w:t>.</w:t>
      </w:r>
    </w:p>
    <w:p w14:paraId="63E8EA92" w14:textId="28887286" w:rsidR="00BD08D2" w:rsidRDefault="0061277D" w:rsidP="00EF1B1B">
      <w:pPr>
        <w:numPr>
          <w:ilvl w:val="0"/>
          <w:numId w:val="5"/>
        </w:numPr>
        <w:tabs>
          <w:tab w:val="clear" w:pos="1224"/>
        </w:tabs>
        <w:spacing w:after="120"/>
        <w:ind w:left="1890"/>
        <w:rPr>
          <w:szCs w:val="22"/>
        </w:rPr>
      </w:pPr>
      <w:r w:rsidRPr="007C0B39" w:rsidDel="0061277D">
        <w:rPr>
          <w:szCs w:val="22"/>
        </w:rPr>
        <w:t xml:space="preserve"> </w:t>
      </w:r>
      <w:r w:rsidR="00BD08D2" w:rsidRPr="007C0B39">
        <w:rPr>
          <w:szCs w:val="22"/>
        </w:rPr>
        <w:t>“</w:t>
      </w:r>
      <w:r w:rsidR="00BD08D2" w:rsidRPr="007C0B39">
        <w:t>Effective</w:t>
      </w:r>
      <w:r w:rsidR="00CE68FE" w:rsidRPr="007C0B39">
        <w:rPr>
          <w:szCs w:val="22"/>
        </w:rPr>
        <w:t xml:space="preserve"> Date” means the date by</w:t>
      </w:r>
      <w:r w:rsidR="00C04651" w:rsidRPr="007C0B39">
        <w:rPr>
          <w:szCs w:val="22"/>
        </w:rPr>
        <w:t xml:space="preserve"> which </w:t>
      </w:r>
      <w:r w:rsidR="00CE68FE" w:rsidRPr="007C0B39">
        <w:rPr>
          <w:szCs w:val="22"/>
        </w:rPr>
        <w:t xml:space="preserve">both </w:t>
      </w:r>
      <w:r w:rsidR="00C04651" w:rsidRPr="007C0B39">
        <w:rPr>
          <w:szCs w:val="22"/>
        </w:rPr>
        <w:t xml:space="preserve">the Bureau </w:t>
      </w:r>
      <w:r w:rsidR="000E5A94">
        <w:rPr>
          <w:szCs w:val="22"/>
        </w:rPr>
        <w:t>and JTC</w:t>
      </w:r>
      <w:r w:rsidR="00CE68FE" w:rsidRPr="007C0B39">
        <w:rPr>
          <w:szCs w:val="22"/>
        </w:rPr>
        <w:t xml:space="preserve"> have signed the Consent Decree</w:t>
      </w:r>
      <w:r w:rsidR="00C04651" w:rsidRPr="007C0B39">
        <w:rPr>
          <w:szCs w:val="22"/>
        </w:rPr>
        <w:t>.</w:t>
      </w:r>
    </w:p>
    <w:p w14:paraId="63E8EA93" w14:textId="77777777" w:rsidR="00DC7048" w:rsidRPr="007C0B39" w:rsidRDefault="00DC7048" w:rsidP="00EF1B1B">
      <w:pPr>
        <w:numPr>
          <w:ilvl w:val="0"/>
          <w:numId w:val="5"/>
        </w:numPr>
        <w:tabs>
          <w:tab w:val="clear" w:pos="1224"/>
        </w:tabs>
        <w:spacing w:after="120"/>
        <w:ind w:left="1890"/>
        <w:rPr>
          <w:szCs w:val="22"/>
        </w:rPr>
      </w:pPr>
      <w:r>
        <w:rPr>
          <w:szCs w:val="22"/>
        </w:rPr>
        <w:t>“FAA” means the Federal Aviation Administration.</w:t>
      </w:r>
    </w:p>
    <w:p w14:paraId="7A611A5C" w14:textId="77777777" w:rsidR="00022B24" w:rsidRDefault="00BD08D2" w:rsidP="00022B24">
      <w:pPr>
        <w:numPr>
          <w:ilvl w:val="0"/>
          <w:numId w:val="5"/>
        </w:numPr>
        <w:tabs>
          <w:tab w:val="clear" w:pos="1224"/>
        </w:tabs>
        <w:ind w:left="1886"/>
        <w:rPr>
          <w:szCs w:val="22"/>
        </w:rPr>
      </w:pPr>
      <w:r w:rsidRPr="007C0B39">
        <w:rPr>
          <w:szCs w:val="22"/>
        </w:rPr>
        <w:t>“</w:t>
      </w:r>
      <w:r w:rsidRPr="007C0B39">
        <w:t>Investigation</w:t>
      </w:r>
      <w:r w:rsidRPr="007C0B39">
        <w:rPr>
          <w:szCs w:val="22"/>
        </w:rPr>
        <w:t>” m</w:t>
      </w:r>
      <w:r w:rsidR="00073450" w:rsidRPr="007C0B39">
        <w:rPr>
          <w:szCs w:val="22"/>
        </w:rPr>
        <w:t>eans the investigation commenced</w:t>
      </w:r>
      <w:r w:rsidRPr="007C0B39">
        <w:rPr>
          <w:szCs w:val="22"/>
        </w:rPr>
        <w:t xml:space="preserve"> by the Bureau in </w:t>
      </w:r>
      <w:r w:rsidR="000E5A94">
        <w:rPr>
          <w:szCs w:val="22"/>
        </w:rPr>
        <w:t>File No. EB-11-TP-0038</w:t>
      </w:r>
      <w:r w:rsidR="000E5A94" w:rsidRPr="002755D1">
        <w:rPr>
          <w:szCs w:val="22"/>
        </w:rPr>
        <w:t xml:space="preserve"> </w:t>
      </w:r>
      <w:r w:rsidRPr="007C0B39">
        <w:rPr>
          <w:szCs w:val="22"/>
        </w:rPr>
        <w:t xml:space="preserve">regarding </w:t>
      </w:r>
      <w:r w:rsidR="00073450" w:rsidRPr="007C0B39">
        <w:rPr>
          <w:szCs w:val="22"/>
        </w:rPr>
        <w:t xml:space="preserve">whether </w:t>
      </w:r>
      <w:r w:rsidR="000E5A94">
        <w:rPr>
          <w:szCs w:val="22"/>
        </w:rPr>
        <w:t>JTC</w:t>
      </w:r>
      <w:r w:rsidR="00CF1B2D" w:rsidRPr="007C0B39">
        <w:rPr>
          <w:szCs w:val="22"/>
        </w:rPr>
        <w:t xml:space="preserve"> </w:t>
      </w:r>
      <w:r w:rsidR="00073450" w:rsidRPr="007C0B39">
        <w:rPr>
          <w:szCs w:val="22"/>
        </w:rPr>
        <w:t xml:space="preserve">violated </w:t>
      </w:r>
      <w:r w:rsidRPr="007C0B39">
        <w:rPr>
          <w:szCs w:val="22"/>
        </w:rPr>
        <w:t xml:space="preserve">the </w:t>
      </w:r>
      <w:r w:rsidR="000E5A94">
        <w:rPr>
          <w:szCs w:val="22"/>
        </w:rPr>
        <w:t>Antenna Structure</w:t>
      </w:r>
      <w:r w:rsidR="00AD6D76" w:rsidRPr="007C0B39">
        <w:rPr>
          <w:szCs w:val="22"/>
        </w:rPr>
        <w:t xml:space="preserve"> Rules</w:t>
      </w:r>
      <w:r w:rsidR="00E17CC3">
        <w:rPr>
          <w:szCs w:val="22"/>
        </w:rPr>
        <w:t>, which</w:t>
      </w:r>
      <w:r w:rsidR="00E17CC3" w:rsidRPr="004F2215">
        <w:rPr>
          <w:szCs w:val="22"/>
        </w:rPr>
        <w:t xml:space="preserve"> </w:t>
      </w:r>
    </w:p>
    <w:p w14:paraId="63E8EA94" w14:textId="7A3D3002" w:rsidR="006C761E" w:rsidRDefault="00E17CC3" w:rsidP="00A23E32">
      <w:pPr>
        <w:spacing w:after="120"/>
        <w:ind w:left="1886"/>
        <w:rPr>
          <w:szCs w:val="22"/>
        </w:rPr>
      </w:pPr>
      <w:r w:rsidRPr="004F2215">
        <w:rPr>
          <w:szCs w:val="22"/>
        </w:rPr>
        <w:t>culminated in the issuance of the NAL</w:t>
      </w:r>
      <w:r w:rsidR="00BD08D2" w:rsidRPr="004F2215">
        <w:rPr>
          <w:szCs w:val="22"/>
        </w:rPr>
        <w:t>.</w:t>
      </w:r>
    </w:p>
    <w:p w14:paraId="63E8EA95" w14:textId="73979BF0" w:rsidR="0069076A" w:rsidRPr="0069076A" w:rsidRDefault="0069076A" w:rsidP="0069076A">
      <w:pPr>
        <w:numPr>
          <w:ilvl w:val="0"/>
          <w:numId w:val="5"/>
        </w:numPr>
        <w:tabs>
          <w:tab w:val="clear" w:pos="1224"/>
        </w:tabs>
        <w:spacing w:after="120"/>
        <w:ind w:left="1890"/>
        <w:rPr>
          <w:szCs w:val="22"/>
        </w:rPr>
      </w:pPr>
      <w:r>
        <w:rPr>
          <w:szCs w:val="22"/>
        </w:rPr>
        <w:t>“JTC</w:t>
      </w:r>
      <w:r w:rsidRPr="007C0B39">
        <w:rPr>
          <w:szCs w:val="22"/>
        </w:rPr>
        <w:t xml:space="preserve">” means </w:t>
      </w:r>
      <w:r>
        <w:rPr>
          <w:szCs w:val="22"/>
        </w:rPr>
        <w:t>Johnson Towers Corporation</w:t>
      </w:r>
      <w:r w:rsidRPr="007C0B39">
        <w:rPr>
          <w:szCs w:val="22"/>
        </w:rPr>
        <w:t xml:space="preserve"> and its affiliates, subsidiaries,</w:t>
      </w:r>
      <w:r w:rsidR="006D44F8">
        <w:rPr>
          <w:szCs w:val="22"/>
        </w:rPr>
        <w:t xml:space="preserve"> and</w:t>
      </w:r>
      <w:r w:rsidRPr="007C0B39">
        <w:rPr>
          <w:szCs w:val="22"/>
        </w:rPr>
        <w:t xml:space="preserve"> predecessors-in-interest.</w:t>
      </w:r>
    </w:p>
    <w:p w14:paraId="63E8EA96" w14:textId="77777777" w:rsidR="006C761E" w:rsidRPr="006C761E" w:rsidRDefault="006C761E" w:rsidP="006C761E">
      <w:pPr>
        <w:numPr>
          <w:ilvl w:val="0"/>
          <w:numId w:val="5"/>
        </w:numPr>
        <w:tabs>
          <w:tab w:val="clear" w:pos="1224"/>
        </w:tabs>
        <w:spacing w:after="120"/>
        <w:ind w:left="1890"/>
        <w:rPr>
          <w:szCs w:val="22"/>
        </w:rPr>
      </w:pPr>
      <w:r w:rsidRPr="006C761E">
        <w:rPr>
          <w:szCs w:val="22"/>
        </w:rPr>
        <w:t xml:space="preserve">“NAL” means the Notice of Apparent Liability for Forfeiture </w:t>
      </w:r>
      <w:r w:rsidR="00E17CC3">
        <w:rPr>
          <w:szCs w:val="22"/>
        </w:rPr>
        <w:t xml:space="preserve">and Order </w:t>
      </w:r>
      <w:r w:rsidRPr="006C761E">
        <w:rPr>
          <w:szCs w:val="22"/>
        </w:rPr>
        <w:t xml:space="preserve">issued </w:t>
      </w:r>
      <w:r>
        <w:rPr>
          <w:szCs w:val="22"/>
        </w:rPr>
        <w:t>to JTC</w:t>
      </w:r>
      <w:r w:rsidRPr="006C761E">
        <w:rPr>
          <w:szCs w:val="22"/>
        </w:rPr>
        <w:t xml:space="preserve"> on </w:t>
      </w:r>
      <w:r>
        <w:rPr>
          <w:szCs w:val="22"/>
        </w:rPr>
        <w:t>November 1, 2013</w:t>
      </w:r>
      <w:r w:rsidRPr="006C761E">
        <w:rPr>
          <w:szCs w:val="22"/>
        </w:rPr>
        <w:t xml:space="preserve"> proposing a</w:t>
      </w:r>
      <w:r>
        <w:rPr>
          <w:szCs w:val="22"/>
        </w:rPr>
        <w:t xml:space="preserve"> $234,000</w:t>
      </w:r>
      <w:r w:rsidRPr="006C761E">
        <w:rPr>
          <w:szCs w:val="22"/>
        </w:rPr>
        <w:t xml:space="preserve"> forfeiture for apparent violations of the </w:t>
      </w:r>
      <w:r>
        <w:rPr>
          <w:szCs w:val="22"/>
        </w:rPr>
        <w:t>Antenna Structure</w:t>
      </w:r>
      <w:r w:rsidRPr="006C761E">
        <w:rPr>
          <w:szCs w:val="22"/>
        </w:rPr>
        <w:t xml:space="preserve"> Rules.</w:t>
      </w:r>
      <w:r w:rsidR="00E17CC3">
        <w:rPr>
          <w:rStyle w:val="FootnoteReference"/>
          <w:szCs w:val="22"/>
        </w:rPr>
        <w:footnoteReference w:id="8"/>
      </w:r>
    </w:p>
    <w:p w14:paraId="63E8EA97" w14:textId="77777777"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Parties</w:t>
      </w:r>
      <w:r w:rsidRPr="007C0B39">
        <w:rPr>
          <w:szCs w:val="22"/>
        </w:rPr>
        <w:t>” mean</w:t>
      </w:r>
      <w:r w:rsidR="003010FA" w:rsidRPr="007C0B39">
        <w:rPr>
          <w:szCs w:val="22"/>
        </w:rPr>
        <w:t>s</w:t>
      </w:r>
      <w:r w:rsidRPr="007C0B39">
        <w:rPr>
          <w:szCs w:val="22"/>
        </w:rPr>
        <w:t xml:space="preserve"> </w:t>
      </w:r>
      <w:r w:rsidR="000E5A94">
        <w:rPr>
          <w:szCs w:val="22"/>
        </w:rPr>
        <w:t>JTC</w:t>
      </w:r>
      <w:r w:rsidR="00AD6D76" w:rsidRPr="007C0B39">
        <w:rPr>
          <w:szCs w:val="22"/>
        </w:rPr>
        <w:t xml:space="preserve"> </w:t>
      </w:r>
      <w:r w:rsidRPr="007C0B39">
        <w:rPr>
          <w:szCs w:val="22"/>
        </w:rPr>
        <w:t>and the Bureau, each of which is a “Party.”</w:t>
      </w:r>
    </w:p>
    <w:p w14:paraId="63E8EA98" w14:textId="77777777"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w:t>
      </w:r>
      <w:r w:rsidR="003010FA" w:rsidRPr="007C0B39">
        <w:t>s</w:t>
      </w:r>
      <w:r w:rsidRPr="007C0B39">
        <w:rPr>
          <w:szCs w:val="22"/>
        </w:rPr>
        <w:t xml:space="preserve"> the Commission’s regulations found in Title 47 of the Code of Federal Regulations.</w:t>
      </w:r>
    </w:p>
    <w:p w14:paraId="63E8EA99" w14:textId="77777777" w:rsidR="00E02214" w:rsidRPr="007C0B39" w:rsidRDefault="00E02214" w:rsidP="00E24E9F">
      <w:pPr>
        <w:pStyle w:val="Heading1"/>
        <w:rPr>
          <w:szCs w:val="22"/>
        </w:rPr>
      </w:pPr>
      <w:r w:rsidRPr="007C0B39">
        <w:t>BACKGROUND</w:t>
      </w:r>
    </w:p>
    <w:p w14:paraId="63E8EA9A" w14:textId="77777777" w:rsidR="00040BB5" w:rsidRPr="007C0B39" w:rsidRDefault="006C761E" w:rsidP="00ED419F">
      <w:pPr>
        <w:pStyle w:val="ParaNum"/>
      </w:pPr>
      <w:r w:rsidRPr="009216B9">
        <w:t>The Commission’s antenna structure painting, lighting</w:t>
      </w:r>
      <w:r>
        <w:t>,</w:t>
      </w:r>
      <w:r w:rsidRPr="009216B9">
        <w:t xml:space="preserve"> and registration require</w:t>
      </w:r>
      <w:r>
        <w:t>ments operate in concert with FAA</w:t>
      </w:r>
      <w:r w:rsidRPr="009216B9">
        <w:t xml:space="preserve"> regulations to ensure that antenna structures do not present hazards to air navigation.</w:t>
      </w:r>
      <w:r>
        <w:rPr>
          <w:rStyle w:val="FootnoteReference"/>
          <w:szCs w:val="22"/>
        </w:rPr>
        <w:footnoteReference w:id="9"/>
      </w:r>
      <w:r>
        <w:t xml:space="preserve">  </w:t>
      </w:r>
      <w:r w:rsidRPr="00FB5D2C">
        <w:rPr>
          <w:spacing w:val="-3"/>
        </w:rPr>
        <w:t>Section</w:t>
      </w:r>
      <w:r w:rsidRPr="00FB5D2C">
        <w:t xml:space="preserve"> 303(q) of the Act states that antenna structure owners shall maintain the painting and lighting of antenna structures as prescribed by the Commission.</w:t>
      </w:r>
      <w:r w:rsidRPr="00D45176">
        <w:rPr>
          <w:rStyle w:val="FootnoteReference"/>
          <w:szCs w:val="22"/>
        </w:rPr>
        <w:footnoteReference w:id="10"/>
      </w:r>
      <w:r w:rsidRPr="00FB5D2C">
        <w:t xml:space="preserve">  </w:t>
      </w:r>
      <w:r w:rsidRPr="00FB5D2C">
        <w:rPr>
          <w:spacing w:val="-2"/>
        </w:rPr>
        <w:t xml:space="preserve">Section 17.21(a) of the Rules </w:t>
      </w:r>
      <w:r w:rsidR="00E17CC3">
        <w:rPr>
          <w:spacing w:val="-2"/>
        </w:rPr>
        <w:t xml:space="preserve">requires antenna structures to be lighted when they exceed 60.96 meters in height </w:t>
      </w:r>
      <w:r w:rsidRPr="00FB5D2C">
        <w:rPr>
          <w:spacing w:val="-2"/>
        </w:rPr>
        <w:t xml:space="preserve">above the </w:t>
      </w:r>
      <w:r w:rsidR="00E17CC3">
        <w:rPr>
          <w:spacing w:val="-2"/>
        </w:rPr>
        <w:t xml:space="preserve">ground or </w:t>
      </w:r>
      <w:r w:rsidRPr="00FB5D2C">
        <w:rPr>
          <w:spacing w:val="-2"/>
        </w:rPr>
        <w:t>require special aeronautical study.</w:t>
      </w:r>
      <w:r w:rsidRPr="00BE0B4D">
        <w:rPr>
          <w:rStyle w:val="FootnoteReference"/>
          <w:spacing w:val="-2"/>
          <w:szCs w:val="22"/>
        </w:rPr>
        <w:footnoteReference w:id="11"/>
      </w:r>
      <w:r>
        <w:rPr>
          <w:spacing w:val="-2"/>
        </w:rPr>
        <w:t xml:space="preserve">  Section 17.23 of the Rules states that an antenna structure</w:t>
      </w:r>
      <w:r w:rsidR="00E17CC3">
        <w:rPr>
          <w:spacing w:val="-2"/>
        </w:rPr>
        <w:t>’s lighting must conform to the FAA’s recommendations</w:t>
      </w:r>
      <w:r>
        <w:rPr>
          <w:spacing w:val="-2"/>
        </w:rPr>
        <w:t xml:space="preserve"> s</w:t>
      </w:r>
      <w:r w:rsidR="00E17CC3">
        <w:rPr>
          <w:spacing w:val="-2"/>
        </w:rPr>
        <w:t xml:space="preserve">et forth on its “no hazard” </w:t>
      </w:r>
      <w:r>
        <w:rPr>
          <w:spacing w:val="-2"/>
        </w:rPr>
        <w:t xml:space="preserve">determination </w:t>
      </w:r>
      <w:r w:rsidR="00E17CC3">
        <w:rPr>
          <w:spacing w:val="-2"/>
        </w:rPr>
        <w:t>for the antenna structure</w:t>
      </w:r>
      <w:r>
        <w:rPr>
          <w:spacing w:val="-2"/>
        </w:rPr>
        <w:t>.</w:t>
      </w:r>
      <w:r>
        <w:rPr>
          <w:rStyle w:val="FootnoteReference"/>
          <w:spacing w:val="-2"/>
          <w:szCs w:val="22"/>
        </w:rPr>
        <w:footnoteReference w:id="12"/>
      </w:r>
      <w:r>
        <w:rPr>
          <w:spacing w:val="-2"/>
        </w:rPr>
        <w:t xml:space="preserve">  </w:t>
      </w:r>
      <w:r w:rsidR="007E04E4">
        <w:rPr>
          <w:spacing w:val="-2"/>
        </w:rPr>
        <w:t>Conformance with the lighting requirements imposed by the Commission and the FAA ensures that antenna structures do not pose a public safety risk to passing aircraft.</w:t>
      </w:r>
      <w:r w:rsidR="007E04E4">
        <w:rPr>
          <w:rStyle w:val="FootnoteReference"/>
          <w:spacing w:val="-2"/>
        </w:rPr>
        <w:footnoteReference w:id="13"/>
      </w:r>
      <w:r w:rsidR="007E04E4">
        <w:rPr>
          <w:spacing w:val="-2"/>
        </w:rPr>
        <w:t xml:space="preserve">  In addition, </w:t>
      </w:r>
      <w:r>
        <w:t xml:space="preserve">Section </w:t>
      </w:r>
      <w:r w:rsidRPr="003506D8">
        <w:t>17.5</w:t>
      </w:r>
      <w:r w:rsidR="00E17CC3">
        <w:t xml:space="preserve">7 of the Rules states that the owner of a registered </w:t>
      </w:r>
      <w:r w:rsidRPr="003506D8">
        <w:t xml:space="preserve">antenna structure must notify the Commission within 24 hours of </w:t>
      </w:r>
      <w:r w:rsidR="00E17CC3">
        <w:t>dismantling the a</w:t>
      </w:r>
      <w:r w:rsidR="00925078">
        <w:t>ntenna structure</w:t>
      </w:r>
      <w:r w:rsidR="007E04E4">
        <w:t>.</w:t>
      </w:r>
      <w:r w:rsidRPr="003506D8">
        <w:rPr>
          <w:rStyle w:val="FootnoteReference"/>
          <w:szCs w:val="22"/>
        </w:rPr>
        <w:footnoteReference w:id="14"/>
      </w:r>
      <w:r w:rsidR="007E04E4">
        <w:t xml:space="preserve">  Accuracy of information in the Commission’s antenna structure database is critical because the database is used by the Commission agents to ensure compliance with the Commission’s antenna structure rules and the FAA’s painting and lighting requirements.</w:t>
      </w:r>
      <w:r w:rsidR="007E04E4">
        <w:rPr>
          <w:rStyle w:val="FootnoteReference"/>
        </w:rPr>
        <w:footnoteReference w:id="15"/>
      </w:r>
      <w:r w:rsidR="007E04E4">
        <w:t xml:space="preserve"> </w:t>
      </w:r>
    </w:p>
    <w:p w14:paraId="63E8EA9B" w14:textId="12969AD6" w:rsidR="007B0D37" w:rsidRPr="007C0B39" w:rsidRDefault="0061277D" w:rsidP="001C1ADE">
      <w:pPr>
        <w:pStyle w:val="ParaNum"/>
      </w:pPr>
      <w:r>
        <w:t>JTC</w:t>
      </w:r>
      <w:r w:rsidR="002A609E">
        <w:t xml:space="preserve"> is an owner-operated company with no employees.  </w:t>
      </w:r>
      <w:r w:rsidR="007E04E4">
        <w:t xml:space="preserve">JTC owned antenna structure numbers 1060088, 1060089, and 1060090 in Pinellas Park, Florida.  </w:t>
      </w:r>
      <w:r w:rsidR="007E04E4" w:rsidRPr="007E04E4">
        <w:rPr>
          <w:spacing w:val="-2"/>
        </w:rPr>
        <w:t xml:space="preserve">On November 1, 2013, </w:t>
      </w:r>
      <w:r w:rsidR="00A168BC" w:rsidRPr="007E04E4">
        <w:rPr>
          <w:spacing w:val="-2"/>
        </w:rPr>
        <w:t xml:space="preserve">the Commission issued the NAL </w:t>
      </w:r>
      <w:r w:rsidR="00A168BC">
        <w:rPr>
          <w:spacing w:val="-2"/>
        </w:rPr>
        <w:t xml:space="preserve">proposing a $234,000 penalty </w:t>
      </w:r>
      <w:r w:rsidR="00A168BC" w:rsidRPr="007E04E4">
        <w:rPr>
          <w:spacing w:val="-2"/>
        </w:rPr>
        <w:t>against JTC for apparent</w:t>
      </w:r>
      <w:r w:rsidR="00A168BC">
        <w:rPr>
          <w:spacing w:val="-2"/>
        </w:rPr>
        <w:t>ly failing to light antenna structures 1060088 and 1060090 as required and notify the Commission of the dismantlement of antenna structure 1060089.</w:t>
      </w:r>
      <w:r w:rsidR="00A168BC">
        <w:rPr>
          <w:rStyle w:val="FootnoteReference"/>
          <w:spacing w:val="-2"/>
        </w:rPr>
        <w:footnoteReference w:id="16"/>
      </w:r>
      <w:r w:rsidR="00A168BC">
        <w:rPr>
          <w:spacing w:val="-2"/>
        </w:rPr>
        <w:t xml:space="preserve"> </w:t>
      </w:r>
      <w:r w:rsidR="007E04E4" w:rsidRPr="007E04E4">
        <w:rPr>
          <w:spacing w:val="-2"/>
        </w:rPr>
        <w:t xml:space="preserve"> </w:t>
      </w:r>
      <w:r w:rsidR="00EF4A86">
        <w:t xml:space="preserve">In response to the NAL, JTC </w:t>
      </w:r>
      <w:r w:rsidR="00E86022">
        <w:t xml:space="preserve">asserted that insufficient finances </w:t>
      </w:r>
      <w:r w:rsidR="00E96AD2">
        <w:t xml:space="preserve">and lawsuits </w:t>
      </w:r>
      <w:r w:rsidR="00E86022">
        <w:t>hindered its ability to install lighting systems on antenna structure</w:t>
      </w:r>
      <w:r w:rsidR="00A168BC">
        <w:t xml:space="preserve">s </w:t>
      </w:r>
      <w:r w:rsidR="00E86022" w:rsidRPr="00872BBE">
        <w:t>1060088 and 1060090</w:t>
      </w:r>
      <w:r w:rsidR="00C77CE9">
        <w:t>, acknowledged that it did not notify the Commission about the dismantlement of antenna structure 1060089,</w:t>
      </w:r>
      <w:r w:rsidR="00A168BC">
        <w:t xml:space="preserve"> and </w:t>
      </w:r>
      <w:r w:rsidR="00C77CE9">
        <w:t xml:space="preserve">stated </w:t>
      </w:r>
      <w:r w:rsidR="00E86022">
        <w:t>it would come into compliance</w:t>
      </w:r>
      <w:r w:rsidR="00A168BC">
        <w:t xml:space="preserve"> as quickly as possible.</w:t>
      </w:r>
      <w:r w:rsidR="00C77CE9">
        <w:rPr>
          <w:rStyle w:val="FootnoteReference"/>
        </w:rPr>
        <w:footnoteReference w:id="17"/>
      </w:r>
      <w:r w:rsidR="00A168BC">
        <w:t xml:space="preserve">  </w:t>
      </w:r>
      <w:r w:rsidR="00B554C0">
        <w:t>JTC</w:t>
      </w:r>
      <w:r w:rsidR="001C1ADE">
        <w:t xml:space="preserve"> submitted a dismantlement notification for antenna structure 1060089 in November 2013.</w:t>
      </w:r>
      <w:r w:rsidR="003E177F">
        <w:t xml:space="preserve">  </w:t>
      </w:r>
      <w:r w:rsidR="001C1ADE">
        <w:t xml:space="preserve">JTC </w:t>
      </w:r>
      <w:r w:rsidR="00B554C0">
        <w:t xml:space="preserve">installed </w:t>
      </w:r>
      <w:r w:rsidR="00D26D0E">
        <w:t xml:space="preserve">a </w:t>
      </w:r>
      <w:r w:rsidR="00B554C0">
        <w:t>lighting sys</w:t>
      </w:r>
      <w:r w:rsidR="00C77CE9">
        <w:t xml:space="preserve">tem on antenna structure 1060088 in January 2014 and </w:t>
      </w:r>
      <w:r w:rsidR="00D26D0E">
        <w:t>reduced the hei</w:t>
      </w:r>
      <w:r w:rsidR="00C77CE9">
        <w:t xml:space="preserve">ght of antenna structure </w:t>
      </w:r>
      <w:r w:rsidR="00925078">
        <w:t>1060</w:t>
      </w:r>
      <w:r w:rsidR="00143CF7">
        <w:t>0</w:t>
      </w:r>
      <w:r w:rsidR="00925078">
        <w:t>90 so that it no longer required lighting</w:t>
      </w:r>
      <w:r w:rsidR="00D26D0E">
        <w:t>.</w:t>
      </w:r>
      <w:r w:rsidR="003E177F">
        <w:rPr>
          <w:rStyle w:val="FootnoteReference"/>
        </w:rPr>
        <w:footnoteReference w:id="18"/>
      </w:r>
      <w:r w:rsidR="003E177F">
        <w:t xml:space="preserve"> </w:t>
      </w:r>
      <w:r w:rsidR="00B554C0">
        <w:t xml:space="preserve">   </w:t>
      </w:r>
      <w:r w:rsidR="00E86022">
        <w:t xml:space="preserve"> </w:t>
      </w:r>
    </w:p>
    <w:p w14:paraId="63E8EA9C" w14:textId="77777777" w:rsidR="00E02214" w:rsidRPr="007C0B39" w:rsidRDefault="00E02214" w:rsidP="001B74D4">
      <w:pPr>
        <w:pStyle w:val="Heading1"/>
      </w:pPr>
      <w:bookmarkStart w:id="1" w:name="FN[FN18]"/>
      <w:bookmarkEnd w:id="1"/>
      <w:r w:rsidRPr="007C0B39">
        <w:t>TERMS OF AGREEMENT</w:t>
      </w:r>
    </w:p>
    <w:p w14:paraId="63E8EA9D" w14:textId="77777777" w:rsidR="00E02214" w:rsidRPr="007C0B39" w:rsidRDefault="00E02214" w:rsidP="00ED419F">
      <w:pPr>
        <w:pStyle w:val="ParaNum"/>
        <w:rPr>
          <w:szCs w:val="22"/>
        </w:rPr>
      </w:pPr>
      <w:r w:rsidRPr="007C0B39">
        <w:rPr>
          <w:b/>
          <w:szCs w:val="22"/>
          <w:u w:val="single"/>
        </w:rPr>
        <w:t>Adopting Order</w:t>
      </w:r>
      <w:r w:rsidR="00CE68FE" w:rsidRPr="007C0B39">
        <w:rPr>
          <w:szCs w:val="22"/>
        </w:rPr>
        <w:t>.  The provisions of this Consent Decree shall be incorporated by the Bureau in an Adopting Order</w:t>
      </w:r>
      <w:r w:rsidRPr="007C0B39">
        <w:rPr>
          <w:szCs w:val="22"/>
        </w:rPr>
        <w:t>.</w:t>
      </w:r>
    </w:p>
    <w:p w14:paraId="63E8EA9E" w14:textId="77777777" w:rsidR="00E02214" w:rsidRPr="007C0B39" w:rsidRDefault="00E02214" w:rsidP="00ED419F">
      <w:pPr>
        <w:pStyle w:val="ParaNum"/>
        <w:rPr>
          <w:szCs w:val="22"/>
        </w:rPr>
      </w:pPr>
      <w:r w:rsidRPr="007C0B39">
        <w:rPr>
          <w:b/>
          <w:szCs w:val="22"/>
          <w:u w:val="single"/>
        </w:rPr>
        <w:t>Jurisdiction</w:t>
      </w:r>
      <w:r w:rsidR="00E86022">
        <w:rPr>
          <w:szCs w:val="22"/>
        </w:rPr>
        <w:t xml:space="preserve">. </w:t>
      </w:r>
      <w:r w:rsidR="00925078">
        <w:rPr>
          <w:szCs w:val="22"/>
        </w:rPr>
        <w:t xml:space="preserve"> </w:t>
      </w:r>
      <w:r w:rsidR="00E86022">
        <w:rPr>
          <w:szCs w:val="22"/>
        </w:rPr>
        <w:t>JTC</w:t>
      </w:r>
      <w:r w:rsidR="00EF30D3" w:rsidRPr="007C0B39">
        <w:rPr>
          <w:szCs w:val="22"/>
        </w:rPr>
        <w:t xml:space="preserve"> </w:t>
      </w:r>
      <w:r w:rsidRPr="007C0B39">
        <w:rPr>
          <w:szCs w:val="22"/>
        </w:rPr>
        <w:t>agrees that the Bureau has jurisdiction over it and the matters contained in this Con</w:t>
      </w:r>
      <w:r w:rsidR="00073450" w:rsidRPr="007C0B39">
        <w:rPr>
          <w:szCs w:val="22"/>
        </w:rPr>
        <w:t xml:space="preserve">sent Decree and </w:t>
      </w:r>
      <w:r w:rsidRPr="007C0B39">
        <w:rPr>
          <w:szCs w:val="22"/>
        </w:rPr>
        <w:t xml:space="preserve">has the </w:t>
      </w:r>
      <w:r w:rsidRPr="00ED419F">
        <w:t>authority</w:t>
      </w:r>
      <w:r w:rsidRPr="007C0B39">
        <w:rPr>
          <w:szCs w:val="22"/>
        </w:rPr>
        <w:t xml:space="preserve"> to enter into and adopt this Consent Decree.</w:t>
      </w:r>
    </w:p>
    <w:p w14:paraId="63E8EA9F" w14:textId="77777777" w:rsidR="0013249B" w:rsidRPr="007C0B39" w:rsidRDefault="00E02214" w:rsidP="00ED419F">
      <w:pPr>
        <w:pStyle w:val="ParaNum"/>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w:t>
      </w:r>
      <w:r w:rsidR="00CE68FE" w:rsidRPr="007C0B39">
        <w:rPr>
          <w:szCs w:val="22"/>
        </w:rPr>
        <w:t xml:space="preserve">Parties agree that </w:t>
      </w:r>
      <w:r w:rsidRPr="007C0B39">
        <w:rPr>
          <w:szCs w:val="22"/>
        </w:rPr>
        <w:t xml:space="preserve">this Consent Decree shall have the same force and effect as any other order of the Commission.  </w:t>
      </w:r>
    </w:p>
    <w:p w14:paraId="63E8EAA0" w14:textId="77777777" w:rsidR="00E86022" w:rsidRDefault="00E02214" w:rsidP="00E86022">
      <w:pPr>
        <w:pStyle w:val="ParaNum"/>
        <w:rPr>
          <w:szCs w:val="22"/>
        </w:rPr>
      </w:pPr>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  In consideration for </w:t>
      </w:r>
      <w:r w:rsidR="007A541A" w:rsidRPr="007C0B39">
        <w:rPr>
          <w:szCs w:val="22"/>
        </w:rPr>
        <w:t xml:space="preserve">the </w:t>
      </w:r>
      <w:r w:rsidRPr="007C0B39">
        <w:rPr>
          <w:szCs w:val="22"/>
        </w:rPr>
        <w:t xml:space="preserve">termination of the Investigation, </w:t>
      </w:r>
      <w:r w:rsidR="00E86022">
        <w:rPr>
          <w:szCs w:val="22"/>
        </w:rPr>
        <w:t xml:space="preserve">JTC </w:t>
      </w:r>
      <w:r w:rsidR="006A0CCD" w:rsidRPr="007C0B39">
        <w:rPr>
          <w:szCs w:val="22"/>
        </w:rPr>
        <w:t>a</w:t>
      </w:r>
      <w:r w:rsidRPr="007C0B39">
        <w:rPr>
          <w:szCs w:val="22"/>
        </w:rPr>
        <w:t xml:space="preserve">grees to the terms, conditions, and procedures contained herein. </w:t>
      </w:r>
      <w:r w:rsidR="00073450" w:rsidRPr="007C0B39">
        <w:rPr>
          <w:szCs w:val="22"/>
        </w:rPr>
        <w:t xml:space="preserve"> The Bureau further agrees that,</w:t>
      </w:r>
      <w:r w:rsidRPr="007C0B39">
        <w:rPr>
          <w:szCs w:val="22"/>
        </w:rPr>
        <w:t xml:space="preserve"> in the absence of n</w:t>
      </w:r>
      <w:r w:rsidR="00076C13" w:rsidRPr="007C0B39">
        <w:rPr>
          <w:szCs w:val="22"/>
        </w:rPr>
        <w:t>ew material evidence, it</w:t>
      </w:r>
      <w:r w:rsidRPr="007C0B39">
        <w:rPr>
          <w:szCs w:val="22"/>
        </w:rPr>
        <w:t xml:space="preserve"> will not</w:t>
      </w:r>
      <w:r w:rsidR="00683B2D" w:rsidRPr="007C0B39">
        <w:rPr>
          <w:szCs w:val="22"/>
        </w:rPr>
        <w:t xml:space="preserve"> use the facts developed in the</w:t>
      </w:r>
      <w:r w:rsidRPr="007C0B39">
        <w:rPr>
          <w:szCs w:val="22"/>
        </w:rPr>
        <w:t xml:space="preserve"> Investigation through the Effective Date, or the existence of this Consent Decree, to institute, on its own motion, any new proceeding, formal or informal, or take any action on its own motion against </w:t>
      </w:r>
      <w:r w:rsidR="00E86022">
        <w:rPr>
          <w:szCs w:val="22"/>
        </w:rPr>
        <w:t>JTC</w:t>
      </w:r>
      <w:r w:rsidR="00076C13" w:rsidRPr="007C0B39">
        <w:rPr>
          <w:szCs w:val="22"/>
        </w:rPr>
        <w:t xml:space="preserve"> </w:t>
      </w:r>
      <w:r w:rsidRPr="007C0B39">
        <w:rPr>
          <w:szCs w:val="22"/>
        </w:rPr>
        <w:t>concerning the matters that were the subject of the Investigation.</w:t>
      </w:r>
    </w:p>
    <w:p w14:paraId="63E8EAA1" w14:textId="77777777" w:rsidR="00E86022" w:rsidRPr="00E86022" w:rsidRDefault="00F16CFE" w:rsidP="00E86022">
      <w:pPr>
        <w:pStyle w:val="ParaNum"/>
        <w:rPr>
          <w:szCs w:val="22"/>
        </w:rPr>
      </w:pPr>
      <w:r w:rsidRPr="00E86022">
        <w:rPr>
          <w:b/>
          <w:u w:val="single"/>
        </w:rPr>
        <w:t>Admission of Liability</w:t>
      </w:r>
      <w:r w:rsidRPr="00E86022">
        <w:t xml:space="preserve">.  </w:t>
      </w:r>
      <w:r w:rsidR="00E86022" w:rsidRPr="00E86022">
        <w:t>JTC</w:t>
      </w:r>
      <w:r w:rsidRPr="00E86022">
        <w:t xml:space="preserve"> admits for the purpose of this Consent Decree and for Commission civil</w:t>
      </w:r>
      <w:r w:rsidRPr="007C0B39">
        <w:t xml:space="preserve"> enforcement purposes, and in express reliance on the provisions of paragraph </w:t>
      </w:r>
      <w:r w:rsidR="001C1ADE">
        <w:t>8</w:t>
      </w:r>
      <w:r w:rsidRPr="007C0B39">
        <w:t xml:space="preserve"> herein,</w:t>
      </w:r>
      <w:r w:rsidR="00E86022" w:rsidRPr="00E86022">
        <w:rPr>
          <w:szCs w:val="22"/>
        </w:rPr>
        <w:t xml:space="preserve"> </w:t>
      </w:r>
      <w:r w:rsidRPr="00E86022">
        <w:rPr>
          <w:szCs w:val="22"/>
        </w:rPr>
        <w:t xml:space="preserve">that its actions </w:t>
      </w:r>
      <w:r w:rsidR="00E86022" w:rsidRPr="00E86022">
        <w:rPr>
          <w:szCs w:val="22"/>
        </w:rPr>
        <w:t>referenced in paragraph 4</w:t>
      </w:r>
      <w:r w:rsidR="001C1ADE">
        <w:rPr>
          <w:szCs w:val="22"/>
        </w:rPr>
        <w:t xml:space="preserve"> herein and the NAL violated the </w:t>
      </w:r>
      <w:r w:rsidR="00E86022" w:rsidRPr="00E86022">
        <w:rPr>
          <w:szCs w:val="22"/>
        </w:rPr>
        <w:t>Antenna Structure Rules.</w:t>
      </w:r>
    </w:p>
    <w:p w14:paraId="63E8EAA2" w14:textId="77777777" w:rsidR="00E02214" w:rsidRPr="007C0B39" w:rsidRDefault="00E02214" w:rsidP="00ED419F">
      <w:pPr>
        <w:pStyle w:val="ParaNum"/>
        <w:rPr>
          <w:szCs w:val="22"/>
        </w:rPr>
      </w:pPr>
      <w:bookmarkStart w:id="2" w:name="_Ref379202869"/>
      <w:r w:rsidRPr="007C0B39">
        <w:rPr>
          <w:b/>
          <w:szCs w:val="22"/>
          <w:u w:val="single"/>
        </w:rPr>
        <w:t>Compliance Officer</w:t>
      </w:r>
      <w:r w:rsidRPr="007C0B39">
        <w:rPr>
          <w:szCs w:val="22"/>
        </w:rPr>
        <w:t xml:space="preserve">.  Within thirty (30) </w:t>
      </w:r>
      <w:r w:rsidRPr="007C0B39">
        <w:t>calendar</w:t>
      </w:r>
      <w:r w:rsidRPr="007C0B39">
        <w:rPr>
          <w:szCs w:val="22"/>
        </w:rPr>
        <w:t xml:space="preserve"> days after the Effective Date, </w:t>
      </w:r>
      <w:r w:rsidR="00E86022">
        <w:rPr>
          <w:szCs w:val="22"/>
        </w:rPr>
        <w:t>JTC</w:t>
      </w:r>
      <w:r w:rsidR="00EF30D3" w:rsidRPr="007C0B39">
        <w:rPr>
          <w:szCs w:val="22"/>
        </w:rPr>
        <w:t xml:space="preserve"> </w:t>
      </w:r>
      <w:r w:rsidRPr="007C0B39">
        <w:rPr>
          <w:szCs w:val="22"/>
        </w:rPr>
        <w:t xml:space="preserve">shall designate </w:t>
      </w:r>
      <w:r w:rsidR="00145974">
        <w:rPr>
          <w:szCs w:val="22"/>
        </w:rPr>
        <w:t xml:space="preserve">its owner/president </w:t>
      </w:r>
      <w:r w:rsidRPr="007C0B39">
        <w:rPr>
          <w:szCs w:val="22"/>
        </w:rPr>
        <w:t xml:space="preserve">to serve as a Compliance Officer and to discharge the duties set forth below.  The Compliance Officer shall be responsible for developing, implementing, and administering the Compliance Plan and ensuring that </w:t>
      </w:r>
      <w:r w:rsidR="00E86022">
        <w:rPr>
          <w:szCs w:val="22"/>
        </w:rPr>
        <w:t>JTC</w:t>
      </w:r>
      <w:r w:rsidR="00302C38" w:rsidRPr="007C0B39">
        <w:t xml:space="preserve"> </w:t>
      </w:r>
      <w:r w:rsidRPr="007C0B39">
        <w:rPr>
          <w:szCs w:val="22"/>
        </w:rPr>
        <w:t>complies with the terms and conditions of the Compliance Plan and this Consent Decree.</w:t>
      </w:r>
      <w:r w:rsidR="00B0044E" w:rsidRPr="007C0B39">
        <w:rPr>
          <w:szCs w:val="22"/>
        </w:rPr>
        <w:t xml:space="preserve"> </w:t>
      </w:r>
      <w:r w:rsidRPr="007C0B39">
        <w:rPr>
          <w:szCs w:val="22"/>
        </w:rPr>
        <w:t xml:space="preserve"> In </w:t>
      </w:r>
      <w:r w:rsidRPr="00ED419F">
        <w:t>addition</w:t>
      </w:r>
      <w:r w:rsidRPr="007C0B39">
        <w:rPr>
          <w:szCs w:val="22"/>
        </w:rPr>
        <w:t xml:space="preserve"> to the general knowledge of the Communications Laws necessary to discharge his</w:t>
      </w:r>
      <w:r w:rsidR="00B0044E" w:rsidRPr="007C0B39">
        <w:rPr>
          <w:szCs w:val="22"/>
        </w:rPr>
        <w:t xml:space="preserve"> </w:t>
      </w:r>
      <w:r w:rsidRPr="007C0B39">
        <w:rPr>
          <w:szCs w:val="22"/>
        </w:rPr>
        <w:t>duties under this Consent Decree, the Compliance Officer shall have specifi</w:t>
      </w:r>
      <w:r w:rsidR="00302C38" w:rsidRPr="007C0B39">
        <w:rPr>
          <w:szCs w:val="22"/>
        </w:rPr>
        <w:t xml:space="preserve">c knowledge of the </w:t>
      </w:r>
      <w:r w:rsidR="00E86022">
        <w:rPr>
          <w:szCs w:val="22"/>
        </w:rPr>
        <w:t>Antenna Structure</w:t>
      </w:r>
      <w:r w:rsidRPr="007C0B39">
        <w:rPr>
          <w:szCs w:val="22"/>
        </w:rPr>
        <w:t xml:space="preserve"> Rules prior to assuming his duties.</w:t>
      </w:r>
      <w:bookmarkEnd w:id="2"/>
    </w:p>
    <w:p w14:paraId="63E8EAA3" w14:textId="77777777" w:rsidR="0055035F" w:rsidRPr="007C0B39" w:rsidRDefault="00E02214" w:rsidP="008E0FBE">
      <w:pPr>
        <w:pStyle w:val="ParaNum"/>
      </w:pPr>
      <w:bookmarkStart w:id="3" w:name="_Ref357521857"/>
      <w:r w:rsidRPr="007C0B39">
        <w:rPr>
          <w:b/>
          <w:szCs w:val="22"/>
          <w:u w:val="single"/>
        </w:rPr>
        <w:t>Compliance Plan</w:t>
      </w:r>
      <w:r w:rsidRPr="007C0B39">
        <w:rPr>
          <w:szCs w:val="22"/>
        </w:rPr>
        <w:t xml:space="preserve">.  For purposes of settling the matters set forth herein, </w:t>
      </w:r>
      <w:r w:rsidR="00E86022">
        <w:t>JTC</w:t>
      </w:r>
      <w:r w:rsidR="00EA12C6" w:rsidRPr="007C0B39">
        <w:rPr>
          <w:szCs w:val="22"/>
        </w:rPr>
        <w:t xml:space="preserve"> </w:t>
      </w:r>
      <w:r w:rsidRPr="007C0B39">
        <w:rPr>
          <w:szCs w:val="22"/>
        </w:rPr>
        <w:t>agrees that it shall, within sixty (60) calendar days after the Effective Date, develop and implement a Compliance Plan designed to ensure future compliance with the Communications Laws</w:t>
      </w:r>
      <w:r w:rsidR="006D44F8">
        <w:rPr>
          <w:szCs w:val="22"/>
        </w:rPr>
        <w:t>, including the Antenna Structure Rules,</w:t>
      </w:r>
      <w:r w:rsidRPr="007C0B39">
        <w:rPr>
          <w:szCs w:val="22"/>
        </w:rPr>
        <w:t xml:space="preserve"> and with the terms and conditions of this Consent Decree.  </w:t>
      </w:r>
      <w:bookmarkEnd w:id="3"/>
    </w:p>
    <w:p w14:paraId="63E8EAA4" w14:textId="77777777" w:rsidR="00E02214" w:rsidRPr="007C0B39" w:rsidRDefault="00E02214" w:rsidP="001B74D4">
      <w:pPr>
        <w:pStyle w:val="ParaNum"/>
      </w:pPr>
      <w:bookmarkStart w:id="4" w:name="_Ref321323028"/>
      <w:r w:rsidRPr="007C0B39">
        <w:rPr>
          <w:b/>
          <w:u w:val="single"/>
        </w:rPr>
        <w:t>Reporting Noncompliance</w:t>
      </w:r>
      <w:r w:rsidRPr="007C0B39">
        <w:t xml:space="preserve">.  </w:t>
      </w:r>
      <w:r w:rsidR="00B554C0">
        <w:t>JTC</w:t>
      </w:r>
      <w:r w:rsidR="00EA12C6" w:rsidRPr="007C0B39">
        <w:t xml:space="preserve"> </w:t>
      </w:r>
      <w:r w:rsidRPr="007C0B39">
        <w:t>shall re</w:t>
      </w:r>
      <w:r w:rsidR="00C74119">
        <w:t>port any noncompliance with the</w:t>
      </w:r>
      <w:r w:rsidR="00B554C0">
        <w:t xml:space="preserve"> Antenna Structure</w:t>
      </w:r>
      <w:r w:rsidRPr="007C0B39">
        <w:t xml:space="preserve"> Rules and with the terms and conditions of this Consent Decree within fifteen (15) calendar days after discovery of such noncompliance.  Such reports shall include a detailed explanation of</w:t>
      </w:r>
      <w:r w:rsidR="008A7975" w:rsidRPr="007C0B39">
        <w:t>:</w:t>
      </w:r>
      <w:r w:rsidRPr="007C0B39">
        <w:t xml:space="preserve"> </w:t>
      </w:r>
      <w:r w:rsidR="008A7975" w:rsidRPr="007C0B39">
        <w:t xml:space="preserve"> </w:t>
      </w:r>
      <w:r w:rsidRPr="007C0B39">
        <w:t xml:space="preserve">(i) each instance of noncompliance; (ii) the steps that </w:t>
      </w:r>
      <w:r w:rsidR="00B554C0">
        <w:t>JTC</w:t>
      </w:r>
      <w:r w:rsidR="003533DC" w:rsidRPr="007C0B39">
        <w:t xml:space="preserve"> </w:t>
      </w:r>
      <w:r w:rsidRPr="007C0B39">
        <w:t>has taken or will take to remedy such noncompliance; (iii) the schedule on which such remedial actions will be</w:t>
      </w:r>
      <w:r w:rsidR="008C474B">
        <w:t xml:space="preserve"> taken; and (iv) the steps that</w:t>
      </w:r>
      <w:r w:rsidR="00EA12C6" w:rsidRPr="007C0B39">
        <w:t xml:space="preserve"> </w:t>
      </w:r>
      <w:r w:rsidR="00B554C0">
        <w:t>JTC</w:t>
      </w:r>
      <w:r w:rsidR="00EA12C6" w:rsidRPr="007C0B39">
        <w:t xml:space="preserve"> </w:t>
      </w:r>
      <w:r w:rsidRPr="007C0B39">
        <w:t>has taken or will take to prevent the recurrence of any such noncompliance.  All reports of noncompliance shall be submitted to</w:t>
      </w:r>
      <w:r w:rsidR="00BE103C" w:rsidRPr="007C0B39">
        <w:t xml:space="preserve"> </w:t>
      </w:r>
      <w:r w:rsidR="008C474B">
        <w:t>Federal Communications Commission, Enforcement Bureau, South Central Region</w:t>
      </w:r>
      <w:r w:rsidRPr="007C0B39">
        <w:t>,</w:t>
      </w:r>
      <w:r w:rsidR="008C474B">
        <w:t xml:space="preserve"> Tampa Office, 4010 W Boy Scout Blvd., Suite 425, Tampa, FL 33607,</w:t>
      </w:r>
      <w:r w:rsidRPr="007C0B39">
        <w:t xml:space="preserve"> with a copy submitted electronically to </w:t>
      </w:r>
      <w:r w:rsidR="006B14DD">
        <w:t>SCR-Response@fcc.gov</w:t>
      </w:r>
      <w:r w:rsidRPr="007C0B39">
        <w:t>.</w:t>
      </w:r>
      <w:bookmarkEnd w:id="4"/>
    </w:p>
    <w:p w14:paraId="63E8EAA5" w14:textId="77777777" w:rsidR="00E02214" w:rsidRPr="007C0B39" w:rsidRDefault="00E02214" w:rsidP="001B74D4">
      <w:pPr>
        <w:pStyle w:val="ParaNum"/>
        <w:rPr>
          <w:caps/>
        </w:rPr>
      </w:pPr>
      <w:bookmarkStart w:id="5" w:name="_Ref379202892"/>
      <w:r w:rsidRPr="007C0B39">
        <w:rPr>
          <w:b/>
          <w:u w:val="single"/>
        </w:rPr>
        <w:t>Compliance Reports</w:t>
      </w:r>
      <w:r w:rsidR="006B14DD">
        <w:t>.  JTC</w:t>
      </w:r>
      <w:r w:rsidR="003533DC" w:rsidRPr="007C0B39">
        <w:t xml:space="preserve"> </w:t>
      </w:r>
      <w:r w:rsidRPr="007C0B39">
        <w:t xml:space="preserve">shall file </w:t>
      </w:r>
      <w:r w:rsidR="00014484" w:rsidRPr="007C0B39">
        <w:t>c</w:t>
      </w:r>
      <w:r w:rsidRPr="007C0B39">
        <w:t xml:space="preserve">ompliance </w:t>
      </w:r>
      <w:r w:rsidR="00014484" w:rsidRPr="007C0B39">
        <w:t>r</w:t>
      </w:r>
      <w:r w:rsidRPr="007C0B39">
        <w:t>eports with the Commission ninety (90) calendar days after the Effective Date, twelve (12) months after the Effective Date, twenty-four (24) months after the Effective Date, and thirty-six (36) months after the Effective Date.</w:t>
      </w:r>
      <w:bookmarkEnd w:id="5"/>
      <w:r w:rsidR="003533DC" w:rsidRPr="007C0B39">
        <w:t xml:space="preserve"> </w:t>
      </w:r>
    </w:p>
    <w:p w14:paraId="63E8EAA6" w14:textId="77777777" w:rsidR="00E02214" w:rsidRPr="007C0B39" w:rsidRDefault="00E02214" w:rsidP="00F60217">
      <w:pPr>
        <w:widowControl/>
        <w:numPr>
          <w:ilvl w:val="0"/>
          <w:numId w:val="7"/>
        </w:numPr>
        <w:tabs>
          <w:tab w:val="clear" w:pos="1782"/>
        </w:tabs>
        <w:spacing w:after="120"/>
        <w:ind w:left="1886"/>
        <w:rPr>
          <w:szCs w:val="22"/>
        </w:rPr>
      </w:pPr>
      <w:r w:rsidRPr="007C0B39">
        <w:rPr>
          <w:szCs w:val="22"/>
        </w:rPr>
        <w:t xml:space="preserve">Each Compliance Report shall include a detailed description of </w:t>
      </w:r>
      <w:r w:rsidR="006B14DD">
        <w:rPr>
          <w:szCs w:val="22"/>
        </w:rPr>
        <w:t>JTC</w:t>
      </w:r>
      <w:r w:rsidR="00EA12C6" w:rsidRPr="007C0B39">
        <w:rPr>
          <w:szCs w:val="22"/>
        </w:rPr>
        <w:t>’</w:t>
      </w:r>
      <w:r w:rsidRPr="007C0B39">
        <w:rPr>
          <w:szCs w:val="22"/>
        </w:rPr>
        <w:t xml:space="preserve">s efforts during the relevant period to comply with the terms and conditions of this Consent Decree and the </w:t>
      </w:r>
      <w:r w:rsidR="006B14DD">
        <w:rPr>
          <w:szCs w:val="22"/>
        </w:rPr>
        <w:t>Antenna Structure</w:t>
      </w:r>
      <w:r w:rsidRPr="007C0B39">
        <w:rPr>
          <w:szCs w:val="22"/>
        </w:rPr>
        <w:t xml:space="preserve"> Rules.  In addition, each Compliance Report shall include a certification by the Compliance Officer, as an agent of and on behalf of </w:t>
      </w:r>
      <w:r w:rsidR="006B14DD">
        <w:t>JTC</w:t>
      </w:r>
      <w:r w:rsidRPr="007C0B39">
        <w:rPr>
          <w:szCs w:val="22"/>
        </w:rPr>
        <w:t xml:space="preserve">, stating that the Compliance Officer has personal knowledge that </w:t>
      </w:r>
      <w:r w:rsidR="006B14DD">
        <w:rPr>
          <w:szCs w:val="22"/>
        </w:rPr>
        <w:t>JTC</w:t>
      </w:r>
      <w:r w:rsidR="003533DC" w:rsidRPr="007C0B39">
        <w:t>:</w:t>
      </w:r>
      <w:r w:rsidR="00EA12C6" w:rsidRPr="007C0B39">
        <w:rPr>
          <w:szCs w:val="22"/>
        </w:rPr>
        <w:t xml:space="preserve"> </w:t>
      </w:r>
      <w:r w:rsidR="003533DC" w:rsidRPr="007C0B39">
        <w:rPr>
          <w:szCs w:val="22"/>
        </w:rPr>
        <w:t xml:space="preserve"> </w:t>
      </w:r>
      <w:r w:rsidRPr="007C0B39">
        <w:rPr>
          <w:szCs w:val="22"/>
        </w:rPr>
        <w:t xml:space="preserve">(i) has established and implemented the Compliance Plan; </w:t>
      </w:r>
      <w:r w:rsidR="00503FA9">
        <w:rPr>
          <w:szCs w:val="22"/>
        </w:rPr>
        <w:t xml:space="preserve">and </w:t>
      </w:r>
      <w:r w:rsidRPr="007C0B39">
        <w:rPr>
          <w:szCs w:val="22"/>
        </w:rPr>
        <w:t xml:space="preserve">(ii) is not aware of any instances of noncompliance with the terms and conditions of this Consent Decree, including the reporting obligations set forth in paragraph </w:t>
      </w:r>
      <w:r w:rsidR="008C474B">
        <w:rPr>
          <w:szCs w:val="22"/>
        </w:rPr>
        <w:t>12</w:t>
      </w:r>
      <w:r w:rsidRPr="007C0B39">
        <w:rPr>
          <w:b/>
          <w:szCs w:val="22"/>
        </w:rPr>
        <w:t xml:space="preserve"> </w:t>
      </w:r>
      <w:r w:rsidRPr="007C0B39">
        <w:rPr>
          <w:szCs w:val="22"/>
        </w:rPr>
        <w:t>of this Consent Decree.</w:t>
      </w:r>
    </w:p>
    <w:p w14:paraId="63E8EAA7" w14:textId="77777777" w:rsidR="00E02214" w:rsidRPr="007C0B39" w:rsidRDefault="00E02214" w:rsidP="00F60217">
      <w:pPr>
        <w:widowControl/>
        <w:numPr>
          <w:ilvl w:val="0"/>
          <w:numId w:val="7"/>
        </w:numPr>
        <w:tabs>
          <w:tab w:val="clear" w:pos="1782"/>
        </w:tabs>
        <w:spacing w:after="120"/>
        <w:ind w:left="1886"/>
        <w:rPr>
          <w:szCs w:val="22"/>
        </w:rPr>
      </w:pPr>
      <w:r w:rsidRPr="007C0B39">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7C0B39">
        <w:rPr>
          <w:rStyle w:val="FootnoteReference"/>
          <w:szCs w:val="22"/>
        </w:rPr>
        <w:footnoteReference w:id="19"/>
      </w:r>
    </w:p>
    <w:p w14:paraId="63E8EAA8" w14:textId="77777777" w:rsidR="00E02214" w:rsidRPr="007C0B39" w:rsidRDefault="00E02214" w:rsidP="00F60217">
      <w:pPr>
        <w:widowControl/>
        <w:numPr>
          <w:ilvl w:val="0"/>
          <w:numId w:val="7"/>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rsidR="006B14DD">
        <w:t>JTC</w:t>
      </w:r>
      <w:r w:rsidRPr="007C0B39">
        <w:rPr>
          <w:szCs w:val="22"/>
        </w:rPr>
        <w:t>, shall provide the Commission with a detailed explanation of the reason(s) why and describe fully</w:t>
      </w:r>
      <w:r w:rsidR="003533DC" w:rsidRPr="007C0B39">
        <w:rPr>
          <w:szCs w:val="22"/>
        </w:rPr>
        <w:t>:</w:t>
      </w:r>
      <w:r w:rsidRPr="007C0B39">
        <w:rPr>
          <w:szCs w:val="22"/>
        </w:rPr>
        <w:t xml:space="preserve"> </w:t>
      </w:r>
      <w:r w:rsidR="003533DC" w:rsidRPr="007C0B39">
        <w:rPr>
          <w:szCs w:val="22"/>
        </w:rPr>
        <w:t xml:space="preserve"> </w:t>
      </w:r>
      <w:r w:rsidRPr="007C0B39">
        <w:rPr>
          <w:szCs w:val="22"/>
        </w:rPr>
        <w:t xml:space="preserve">(i) each instance of noncompliance; (ii) the steps that </w:t>
      </w:r>
      <w:r w:rsidR="006B14DD">
        <w:t>JTC</w:t>
      </w:r>
      <w:r w:rsidRPr="007C0B39">
        <w:rPr>
          <w:szCs w:val="22"/>
        </w:rPr>
        <w:t xml:space="preserve"> has taken or will take to remedy such noncompliance, including the schedule on which proposed remedial actions will be </w:t>
      </w:r>
      <w:r w:rsidR="006B14DD">
        <w:rPr>
          <w:szCs w:val="22"/>
        </w:rPr>
        <w:t>taken; and (iii) the steps that JTC</w:t>
      </w:r>
      <w:r w:rsidRPr="007C0B39">
        <w:rPr>
          <w:szCs w:val="22"/>
        </w:rPr>
        <w:t xml:space="preserve"> has taken or will take to prevent the recurrence of any such noncompliance, including the schedule on which such preventive action will be taken.</w:t>
      </w:r>
    </w:p>
    <w:p w14:paraId="63E8EAA9" w14:textId="77777777" w:rsidR="003533DC" w:rsidRPr="007C0B39" w:rsidRDefault="00E02214" w:rsidP="003533DC">
      <w:pPr>
        <w:widowControl/>
        <w:numPr>
          <w:ilvl w:val="0"/>
          <w:numId w:val="7"/>
        </w:numPr>
        <w:tabs>
          <w:tab w:val="clear" w:pos="1782"/>
        </w:tabs>
        <w:spacing w:after="120"/>
        <w:ind w:left="1886" w:hanging="450"/>
        <w:rPr>
          <w:szCs w:val="22"/>
        </w:rPr>
      </w:pPr>
      <w:r w:rsidRPr="007C0B39">
        <w:rPr>
          <w:szCs w:val="22"/>
        </w:rPr>
        <w:t xml:space="preserve">All Compliance Reports shall be </w:t>
      </w:r>
      <w:r w:rsidR="008C474B" w:rsidRPr="007C0B39">
        <w:t xml:space="preserve">submitted to </w:t>
      </w:r>
      <w:r w:rsidR="008C474B">
        <w:t>Federal Communications Commission, Enforcement Bureau, South Central Region</w:t>
      </w:r>
      <w:r w:rsidR="008C474B" w:rsidRPr="007C0B39">
        <w:t>,</w:t>
      </w:r>
      <w:r w:rsidR="008C474B">
        <w:t xml:space="preserve"> Tampa Office, 4010 W Boy Scout Blvd., Suite 425, Tampa, FL 33607</w:t>
      </w:r>
      <w:r w:rsidR="003533DC" w:rsidRPr="007C0B39">
        <w:t xml:space="preserve">, with a copy submitted electronically to </w:t>
      </w:r>
      <w:r w:rsidR="006B14DD">
        <w:t>SCR-Response@fcc.gov</w:t>
      </w:r>
      <w:r w:rsidRPr="007C0B39">
        <w:rPr>
          <w:szCs w:val="22"/>
        </w:rPr>
        <w:t>.</w:t>
      </w:r>
    </w:p>
    <w:p w14:paraId="63E8EAAA" w14:textId="77777777" w:rsidR="00B14DF6" w:rsidRDefault="00E02214" w:rsidP="00B14DF6">
      <w:pPr>
        <w:pStyle w:val="ParaNum"/>
      </w:pPr>
      <w:r w:rsidRPr="006B14DD">
        <w:rPr>
          <w:b/>
          <w:szCs w:val="22"/>
          <w:u w:val="single"/>
        </w:rPr>
        <w:t>Termination Date</w:t>
      </w:r>
      <w:r w:rsidRPr="006B14DD">
        <w:rPr>
          <w:szCs w:val="22"/>
        </w:rPr>
        <w:t xml:space="preserve">. </w:t>
      </w:r>
      <w:r w:rsidRPr="006B14DD">
        <w:rPr>
          <w:b/>
          <w:szCs w:val="22"/>
        </w:rPr>
        <w:t xml:space="preserve"> </w:t>
      </w:r>
      <w:r w:rsidRPr="006B14DD">
        <w:rPr>
          <w:szCs w:val="22"/>
        </w:rPr>
        <w:t xml:space="preserve">Unless stated otherwise, the </w:t>
      </w:r>
      <w:r w:rsidR="00C3652C" w:rsidRPr="007C0B39">
        <w:t>requirement</w:t>
      </w:r>
      <w:r w:rsidRPr="007C0B39">
        <w:t>s</w:t>
      </w:r>
      <w:r w:rsidRPr="006B14DD">
        <w:rPr>
          <w:szCs w:val="22"/>
        </w:rPr>
        <w:t xml:space="preserve"> set forth in paragraphs </w:t>
      </w:r>
      <w:r w:rsidR="008C474B">
        <w:rPr>
          <w:szCs w:val="22"/>
        </w:rPr>
        <w:t>10</w:t>
      </w:r>
      <w:r w:rsidRPr="006B14DD">
        <w:rPr>
          <w:szCs w:val="22"/>
        </w:rPr>
        <w:t xml:space="preserve"> through </w:t>
      </w:r>
      <w:r w:rsidR="008C474B">
        <w:rPr>
          <w:szCs w:val="22"/>
        </w:rPr>
        <w:t>13</w:t>
      </w:r>
      <w:r w:rsidRPr="006B14DD">
        <w:rPr>
          <w:szCs w:val="22"/>
        </w:rPr>
        <w:t xml:space="preserve"> of this Consent Decree shall expire thirty-six (36) months after the Effective Date.</w:t>
      </w:r>
      <w:r w:rsidR="0070112A" w:rsidRPr="006B14DD">
        <w:rPr>
          <w:szCs w:val="22"/>
        </w:rPr>
        <w:t xml:space="preserve">  </w:t>
      </w:r>
      <w:bookmarkStart w:id="6" w:name="_Ref357521957"/>
    </w:p>
    <w:p w14:paraId="63E8EAAB" w14:textId="54DDF0E7" w:rsidR="00E02214" w:rsidRPr="007C0B39" w:rsidRDefault="003C4A20" w:rsidP="00294E09">
      <w:pPr>
        <w:pStyle w:val="ParaNum"/>
      </w:pPr>
      <w:r w:rsidRPr="00B14DF6">
        <w:rPr>
          <w:b/>
          <w:u w:val="single"/>
        </w:rPr>
        <w:t xml:space="preserve">Civil </w:t>
      </w:r>
      <w:r w:rsidR="006C3459" w:rsidRPr="00B14DF6">
        <w:rPr>
          <w:b/>
          <w:u w:val="single"/>
        </w:rPr>
        <w:t>Penalt</w:t>
      </w:r>
      <w:r w:rsidR="008B628C" w:rsidRPr="00B14DF6">
        <w:rPr>
          <w:b/>
          <w:u w:val="single"/>
        </w:rPr>
        <w:t>y</w:t>
      </w:r>
      <w:r w:rsidR="00E02214" w:rsidRPr="007C0B39">
        <w:t xml:space="preserve">.  </w:t>
      </w:r>
      <w:r w:rsidR="00637785" w:rsidRPr="00D528BF">
        <w:t xml:space="preserve">In light of JTC’s demonstrated financial hardship and subject to the provisions of paragraph 16 below, </w:t>
      </w:r>
      <w:r w:rsidR="00B14DF6" w:rsidRPr="00D528BF">
        <w:t>JTC</w:t>
      </w:r>
      <w:r w:rsidRPr="00D528BF">
        <w:t xml:space="preserve"> </w:t>
      </w:r>
      <w:r w:rsidR="00637785" w:rsidRPr="00D528BF">
        <w:t>will</w:t>
      </w:r>
      <w:r w:rsidR="00A11A13" w:rsidRPr="00D528BF">
        <w:t xml:space="preserve"> </w:t>
      </w:r>
      <w:r w:rsidR="00276A71" w:rsidRPr="00D528BF">
        <w:t xml:space="preserve">pay </w:t>
      </w:r>
      <w:r w:rsidR="00503FA9">
        <w:t>a c</w:t>
      </w:r>
      <w:r w:rsidR="00276A71" w:rsidRPr="00D528BF">
        <w:t>ivil penalt</w:t>
      </w:r>
      <w:r w:rsidR="00503FA9">
        <w:t>y</w:t>
      </w:r>
      <w:r w:rsidR="00220A10" w:rsidRPr="00D528BF">
        <w:t xml:space="preserve"> </w:t>
      </w:r>
      <w:r w:rsidR="00E02214" w:rsidRPr="00D528BF">
        <w:t xml:space="preserve">to the United States Treasury in the amount of </w:t>
      </w:r>
      <w:r w:rsidR="00B612FF">
        <w:t>three</w:t>
      </w:r>
      <w:r w:rsidR="00637785" w:rsidRPr="00D528BF">
        <w:t xml:space="preserve"> thousand dollars ($</w:t>
      </w:r>
      <w:r w:rsidR="00B612FF">
        <w:t>3,000</w:t>
      </w:r>
      <w:r w:rsidR="00637785" w:rsidRPr="00D528BF">
        <w:t>)</w:t>
      </w:r>
      <w:r w:rsidR="00E03CB2">
        <w:t xml:space="preserve"> (Civil Penalt</w:t>
      </w:r>
      <w:r w:rsidR="00503FA9">
        <w:t>y</w:t>
      </w:r>
      <w:r w:rsidR="00E03CB2">
        <w:t>)</w:t>
      </w:r>
      <w:r w:rsidR="00503FA9">
        <w:t xml:space="preserve">.  Such payment shall be </w:t>
      </w:r>
      <w:r w:rsidR="00E03CB2">
        <w:t>made in three (3) installments (each, an Installment Payment).  The first Installment Payment in the amount of one thousand dollars ($1,000) is due</w:t>
      </w:r>
      <w:r w:rsidR="00637785" w:rsidRPr="00D528BF">
        <w:t xml:space="preserve"> within thirty (30) calendar </w:t>
      </w:r>
      <w:r w:rsidR="001C2885">
        <w:t>days of the Effective Date</w:t>
      </w:r>
      <w:r w:rsidR="00E03CB2">
        <w:t xml:space="preserve">.  Thereafter, Installment Payments in the amount of one thousand dollars ($1,000) are due and payable monthly on the 15th of the month starting </w:t>
      </w:r>
      <w:r w:rsidR="009665D7">
        <w:t>December</w:t>
      </w:r>
      <w:r w:rsidR="00E03CB2">
        <w:t xml:space="preserve"> 15, 2015 with the final Installment Payment on </w:t>
      </w:r>
      <w:r w:rsidR="009665D7">
        <w:t>January 15, 2016</w:t>
      </w:r>
      <w:r w:rsidR="00E03CB2">
        <w:t>.</w:t>
      </w:r>
      <w:r w:rsidR="00A11A13" w:rsidRPr="00D528BF">
        <w:t xml:space="preserve">  </w:t>
      </w:r>
      <w:r w:rsidR="005D5EBB" w:rsidRPr="00D528BF">
        <w:t>JTC acknowledges and agrees that upon execut</w:t>
      </w:r>
      <w:r w:rsidR="00637785" w:rsidRPr="00D528BF">
        <w:t xml:space="preserve">ion of this Consent Decree, </w:t>
      </w:r>
      <w:r w:rsidR="005D5EBB" w:rsidRPr="00D528BF">
        <w:t>the Civil Penalt</w:t>
      </w:r>
      <w:r w:rsidR="00503FA9">
        <w:t>y</w:t>
      </w:r>
      <w:r w:rsidR="00E03CB2">
        <w:t xml:space="preserve"> and each Installment Payment</w:t>
      </w:r>
      <w:r w:rsidR="005D5EBB" w:rsidRPr="00D528BF">
        <w:t xml:space="preserve"> shall become a “Claim” or “Debt” as defined in </w:t>
      </w:r>
      <w:r w:rsidR="007C514D" w:rsidRPr="00D528BF">
        <w:t xml:space="preserve">Section </w:t>
      </w:r>
      <w:r w:rsidR="005D5EBB" w:rsidRPr="00D528BF">
        <w:t>3701(b)(1)</w:t>
      </w:r>
      <w:r w:rsidR="007C514D" w:rsidRPr="00D528BF">
        <w:t xml:space="preserve"> of the Debt Collection Improvement Act of 1996 (DCIA)</w:t>
      </w:r>
      <w:r w:rsidR="005D5EBB" w:rsidRPr="00D528BF">
        <w:t>.</w:t>
      </w:r>
      <w:r w:rsidR="005D5EBB" w:rsidRPr="00D528BF">
        <w:rPr>
          <w:rStyle w:val="FootnoteReference"/>
        </w:rPr>
        <w:footnoteReference w:id="20"/>
      </w:r>
      <w:r w:rsidR="005D5EBB" w:rsidRPr="00D528BF">
        <w:t xml:space="preserve">  </w:t>
      </w:r>
      <w:r w:rsidR="00637785" w:rsidRPr="00D528BF">
        <w:t>JTC further agrees that, u</w:t>
      </w:r>
      <w:r w:rsidR="005D5EBB" w:rsidRPr="00D528BF">
        <w:t>pon an Event of Default (as described below in paragraph 16),</w:t>
      </w:r>
      <w:r w:rsidR="00294E09" w:rsidRPr="00D528BF">
        <w:t xml:space="preserve"> it will pay a further civil penalty to the United States Treasury in the amount of two hundred thirty </w:t>
      </w:r>
      <w:r w:rsidR="00B612FF">
        <w:t>one</w:t>
      </w:r>
      <w:r w:rsidR="00294E09" w:rsidRPr="00D528BF">
        <w:t xml:space="preserve"> thousand dollars ($23</w:t>
      </w:r>
      <w:r w:rsidR="00B612FF">
        <w:t>1,000</w:t>
      </w:r>
      <w:r w:rsidR="00294E09" w:rsidRPr="00D528BF">
        <w:t>)</w:t>
      </w:r>
      <w:r w:rsidR="001C2885">
        <w:t xml:space="preserve"> (</w:t>
      </w:r>
      <w:r w:rsidR="00D528BF">
        <w:t>Additional</w:t>
      </w:r>
      <w:r w:rsidR="00D528BF" w:rsidRPr="00D528BF">
        <w:t xml:space="preserve"> </w:t>
      </w:r>
      <w:r w:rsidR="00294E09" w:rsidRPr="00D528BF">
        <w:t xml:space="preserve">Civil Penalty).  JTC acknowledges and agrees that upon an Event of Default, the </w:t>
      </w:r>
      <w:r w:rsidR="002A7B7F">
        <w:t>Addi</w:t>
      </w:r>
      <w:r w:rsidR="00722BB4">
        <w:t>t</w:t>
      </w:r>
      <w:r w:rsidR="002A7B7F">
        <w:t>ional</w:t>
      </w:r>
      <w:r w:rsidR="002A7B7F" w:rsidRPr="00D528BF">
        <w:t xml:space="preserve"> </w:t>
      </w:r>
      <w:r w:rsidR="00294E09" w:rsidRPr="00D528BF">
        <w:t>Civil Penalty shall</w:t>
      </w:r>
      <w:r w:rsidR="002A7B7F">
        <w:t xml:space="preserve"> also</w:t>
      </w:r>
      <w:r w:rsidR="00294E09" w:rsidRPr="00D528BF">
        <w:t xml:space="preserve"> become a “Claim” or “Debt” as defined in Section 3701(b)(1) of the DCIA,</w:t>
      </w:r>
      <w:r w:rsidR="00294E09" w:rsidRPr="00D528BF">
        <w:rPr>
          <w:rStyle w:val="FootnoteReference"/>
        </w:rPr>
        <w:footnoteReference w:id="21"/>
      </w:r>
      <w:r w:rsidR="00294E09" w:rsidRPr="00D528BF">
        <w:t xml:space="preserve"> and </w:t>
      </w:r>
      <w:r w:rsidR="005D5EBB" w:rsidRPr="00D528BF">
        <w:t xml:space="preserve">all procedures for collection of </w:t>
      </w:r>
      <w:r w:rsidR="00F23894">
        <w:t xml:space="preserve"> </w:t>
      </w:r>
      <w:r w:rsidR="005D5EBB" w:rsidRPr="00D528BF">
        <w:t xml:space="preserve">the </w:t>
      </w:r>
      <w:r w:rsidR="002A7B7F">
        <w:t>Additional</w:t>
      </w:r>
      <w:r w:rsidR="002A7B7F" w:rsidRPr="00D528BF">
        <w:t xml:space="preserve"> </w:t>
      </w:r>
      <w:r w:rsidR="005D5EBB" w:rsidRPr="00D528BF">
        <w:t>Civil Penalty may, at the Commission’s discretion, be initiated</w:t>
      </w:r>
      <w:r w:rsidR="00145974">
        <w:t xml:space="preserve"> against JTC</w:t>
      </w:r>
      <w:r w:rsidR="00503FA9">
        <w:t xml:space="preserve"> or its transferees</w:t>
      </w:r>
      <w:r w:rsidR="005D5EBB" w:rsidRPr="00D528BF">
        <w:t>.</w:t>
      </w:r>
      <w:r w:rsidR="005D5EBB">
        <w:t xml:space="preserve">  </w:t>
      </w:r>
      <w:r w:rsidR="00D26D0E">
        <w:t>JTC</w:t>
      </w:r>
      <w:r w:rsidR="00806024" w:rsidRPr="00294E09">
        <w:rPr>
          <w:szCs w:val="22"/>
        </w:rPr>
        <w:t xml:space="preserve"> </w:t>
      </w:r>
      <w:r w:rsidR="00503FA9">
        <w:rPr>
          <w:szCs w:val="22"/>
        </w:rPr>
        <w:t xml:space="preserve">or its transferees </w:t>
      </w:r>
      <w:r w:rsidR="00E02214" w:rsidRPr="007C0B39">
        <w:t xml:space="preserve">shall send electronic notification of payment to </w:t>
      </w:r>
      <w:r w:rsidR="00D26D0E">
        <w:t>SCR-Response@fcc.gov</w:t>
      </w:r>
      <w:r w:rsidR="003533DC" w:rsidRPr="007C0B39">
        <w:t xml:space="preserve"> </w:t>
      </w:r>
      <w:r w:rsidR="00880D15">
        <w:t xml:space="preserve">on the date </w:t>
      </w:r>
      <w:r w:rsidR="006C3459" w:rsidRPr="007C0B39">
        <w:t xml:space="preserve">payment </w:t>
      </w:r>
      <w:r w:rsidR="00806024" w:rsidRPr="007C0B39">
        <w:t>is made</w:t>
      </w:r>
      <w:r w:rsidR="00302AC4" w:rsidRPr="007C0B39">
        <w:t>.</w:t>
      </w:r>
      <w:bookmarkEnd w:id="6"/>
      <w:r w:rsidR="003533DC" w:rsidRPr="007C0B39">
        <w:t xml:space="preserve">  </w:t>
      </w:r>
      <w:r w:rsidR="00806024" w:rsidRPr="00294E09">
        <w:rPr>
          <w:szCs w:val="22"/>
        </w:rPr>
        <w:t xml:space="preserve">The </w:t>
      </w:r>
      <w:r w:rsidR="00562DFF" w:rsidRPr="007C0B39">
        <w:t xml:space="preserve">payment </w:t>
      </w:r>
      <w:r w:rsidR="00E02214" w:rsidRPr="00294E09">
        <w:rPr>
          <w:szCs w:val="22"/>
        </w:rPr>
        <w:t xml:space="preserve">must be made by check or similar instrument, wire transfer, or credit card, and must include the </w:t>
      </w:r>
      <w:r w:rsidR="00D26D0E" w:rsidRPr="00294E09">
        <w:rPr>
          <w:szCs w:val="22"/>
        </w:rPr>
        <w:t>NAL</w:t>
      </w:r>
      <w:r w:rsidR="005D5EBB" w:rsidRPr="00294E09">
        <w:rPr>
          <w:szCs w:val="22"/>
        </w:rPr>
        <w:t>/</w:t>
      </w:r>
      <w:r w:rsidR="008A2AD9" w:rsidRPr="00294E09">
        <w:rPr>
          <w:szCs w:val="22"/>
        </w:rPr>
        <w:t xml:space="preserve">Account Number </w:t>
      </w:r>
      <w:r w:rsidR="003533DC" w:rsidRPr="00294E09">
        <w:rPr>
          <w:szCs w:val="22"/>
        </w:rPr>
        <w:t xml:space="preserve">and FRN referenced </w:t>
      </w:r>
      <w:r w:rsidR="00E02214" w:rsidRPr="00294E09">
        <w:rPr>
          <w:szCs w:val="22"/>
        </w:rPr>
        <w:t>above</w:t>
      </w:r>
      <w:r w:rsidR="005D5EBB" w:rsidRPr="008B082A">
        <w:t>.</w:t>
      </w:r>
      <w:r w:rsidR="00E02214" w:rsidRPr="00294E09">
        <w:rPr>
          <w:szCs w:val="22"/>
        </w:rPr>
        <w:t xml:space="preserve"> </w:t>
      </w:r>
      <w:r w:rsidR="003533DC" w:rsidRPr="00294E09">
        <w:rPr>
          <w:szCs w:val="22"/>
        </w:rPr>
        <w:t xml:space="preserve"> </w:t>
      </w:r>
      <w:r w:rsidR="00E02214" w:rsidRPr="00294E09">
        <w:rPr>
          <w:szCs w:val="22"/>
        </w:rPr>
        <w:t>Regardless of the form of payment, a completed FCC Form 159 (Remittance Advice) must be submitted.</w:t>
      </w:r>
      <w:r w:rsidR="00E02214" w:rsidRPr="007C0B39">
        <w:rPr>
          <w:rStyle w:val="FootnoteReference"/>
          <w:szCs w:val="22"/>
        </w:rPr>
        <w:footnoteReference w:id="22"/>
      </w:r>
      <w:r w:rsidR="00E02214" w:rsidRPr="00294E09">
        <w:rPr>
          <w:szCs w:val="22"/>
        </w:rPr>
        <w:t xml:space="preserve">  When completing the FCC Form 159, enter the </w:t>
      </w:r>
      <w:r w:rsidR="00B07974" w:rsidRPr="00294E09">
        <w:rPr>
          <w:szCs w:val="22"/>
        </w:rPr>
        <w:t>NAL</w:t>
      </w:r>
      <w:r w:rsidR="005D5EBB" w:rsidRPr="00294E09">
        <w:rPr>
          <w:szCs w:val="22"/>
        </w:rPr>
        <w:t>/</w:t>
      </w:r>
      <w:r w:rsidR="00E02214" w:rsidRPr="00294E09">
        <w:rPr>
          <w:szCs w:val="22"/>
        </w:rPr>
        <w:t xml:space="preserve">Account Number in block number 23A (call sign/other ID) and enter the letters “FORF” in block number 24A (payment type code).  Below are additional instructions </w:t>
      </w:r>
      <w:r w:rsidR="0004267E" w:rsidRPr="00294E09">
        <w:rPr>
          <w:szCs w:val="22"/>
        </w:rPr>
        <w:t>that should be followed based on the form of payment selected</w:t>
      </w:r>
      <w:r w:rsidR="00E02214" w:rsidRPr="00294E09">
        <w:rPr>
          <w:szCs w:val="22"/>
        </w:rPr>
        <w:t>:</w:t>
      </w:r>
    </w:p>
    <w:p w14:paraId="63E8EAAC" w14:textId="77777777" w:rsidR="00E02214" w:rsidRPr="007C0B39" w:rsidRDefault="00E02214" w:rsidP="008B082A">
      <w:pPr>
        <w:pStyle w:val="ParaNum"/>
        <w:widowControl/>
        <w:numPr>
          <w:ilvl w:val="0"/>
          <w:numId w:val="9"/>
        </w:numPr>
        <w:rPr>
          <w:rFonts w:eastAsia="MS Mincho"/>
          <w:szCs w:val="22"/>
        </w:rPr>
      </w:pPr>
      <w:r w:rsidRPr="007C0B39">
        <w:rPr>
          <w:rFonts w:eastAsia="MS Mincho"/>
          <w:szCs w:val="22"/>
        </w:rPr>
        <w:t xml:space="preserve">Payment by check or money order must be made payable to the order of the Federal Communications Commission.  Such payments (along with the completed Form 159) must be mailed to Federal Communications </w:t>
      </w:r>
      <w:r w:rsidR="001278CC" w:rsidRPr="007C0B39">
        <w:rPr>
          <w:rFonts w:eastAsia="MS Mincho"/>
          <w:szCs w:val="22"/>
        </w:rPr>
        <w:t>Commission, P.O. Box 979088, St.</w:t>
      </w:r>
      <w:r w:rsidRPr="007C0B39">
        <w:rPr>
          <w:rFonts w:eastAsia="MS Mincho"/>
          <w:szCs w:val="22"/>
        </w:rPr>
        <w:t> Louis, MO 63197-9000, or sent via overnight mail 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14:paraId="63E8EAAD" w14:textId="77777777" w:rsidR="00E02214" w:rsidRPr="007C0B39" w:rsidRDefault="00E02214" w:rsidP="002B1765">
      <w:pPr>
        <w:pStyle w:val="ParaNum"/>
        <w:numPr>
          <w:ilvl w:val="0"/>
          <w:numId w:val="9"/>
        </w:numPr>
        <w:rPr>
          <w:rFonts w:eastAsia="MS Mincho"/>
          <w:szCs w:val="22"/>
        </w:rPr>
      </w:pPr>
      <w:r w:rsidRPr="007C0B39">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63E8EAAE" w14:textId="77777777" w:rsidR="00E02214" w:rsidRPr="007C0B39" w:rsidRDefault="00E02214" w:rsidP="002B1765">
      <w:pPr>
        <w:pStyle w:val="ParaNum"/>
        <w:widowControl/>
        <w:numPr>
          <w:ilvl w:val="0"/>
          <w:numId w:val="9"/>
        </w:numPr>
        <w:rPr>
          <w:rFonts w:eastAsia="MS Mincho"/>
          <w:szCs w:val="22"/>
        </w:rPr>
      </w:pPr>
      <w:r w:rsidRPr="007C0B39">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63E8EAAF" w14:textId="77777777" w:rsidR="00D26D0E" w:rsidRDefault="00E02214" w:rsidP="00D26D0E">
      <w:pPr>
        <w:spacing w:after="120"/>
        <w:rPr>
          <w:rFonts w:eastAsia="MS Mincho"/>
        </w:rPr>
      </w:pPr>
      <w:r w:rsidRPr="007C0B39">
        <w:rPr>
          <w:rFonts w:eastAsia="MS Mincho"/>
        </w:rPr>
        <w:t>Questions regarding payment procedure</w:t>
      </w:r>
      <w:r w:rsidR="001278CC" w:rsidRPr="007C0B39">
        <w:rPr>
          <w:rFonts w:eastAsia="MS Mincho"/>
        </w:rPr>
        <w:t>s</w:t>
      </w:r>
      <w:r w:rsidRPr="007C0B39">
        <w:rPr>
          <w:rFonts w:eastAsia="MS Mincho"/>
        </w:rPr>
        <w:t xml:space="preserve"> should be addressed to the Financial Operations Group Help Desk by phone, 1-877-480-3201, or by e-mail, </w:t>
      </w:r>
      <w:r w:rsidR="00D26D0E" w:rsidRPr="005D5EBB">
        <w:rPr>
          <w:rFonts w:eastAsia="MS Mincho"/>
        </w:rPr>
        <w:t>ARINQUIRIES@fcc.gov</w:t>
      </w:r>
      <w:r w:rsidRPr="007C0B39">
        <w:rPr>
          <w:rFonts w:eastAsia="MS Mincho"/>
        </w:rPr>
        <w:t>.</w:t>
      </w:r>
    </w:p>
    <w:p w14:paraId="63E8EAB0" w14:textId="77777777" w:rsidR="00286347" w:rsidRPr="00D528BF" w:rsidRDefault="00F8748A">
      <w:pPr>
        <w:pStyle w:val="ParaNum"/>
      </w:pPr>
      <w:r w:rsidRPr="00D55502">
        <w:rPr>
          <w:b/>
          <w:u w:val="single"/>
        </w:rPr>
        <w:t>Event of Default</w:t>
      </w:r>
      <w:r w:rsidRPr="00D55502">
        <w:rPr>
          <w:i/>
        </w:rPr>
        <w:t>.</w:t>
      </w:r>
      <w:r w:rsidR="005D5EBB" w:rsidRPr="008B082A">
        <w:t xml:space="preserve">  </w:t>
      </w:r>
      <w:r w:rsidR="00D26D0E" w:rsidRPr="00D528BF">
        <w:t xml:space="preserve">JTC agrees that an Event of Default shall occur upon (1) </w:t>
      </w:r>
      <w:r w:rsidR="002A7B7F">
        <w:t>the failure to pay the Civil Penalt</w:t>
      </w:r>
      <w:r w:rsidR="00E03CB2">
        <w:t>ies</w:t>
      </w:r>
      <w:r w:rsidR="002A7B7F">
        <w:t xml:space="preserve"> </w:t>
      </w:r>
      <w:r w:rsidR="00E03CB2">
        <w:t xml:space="preserve">or </w:t>
      </w:r>
      <w:r w:rsidR="001911C8">
        <w:t xml:space="preserve">any </w:t>
      </w:r>
      <w:r w:rsidR="00E03CB2">
        <w:t xml:space="preserve">Installment Payments </w:t>
      </w:r>
      <w:r w:rsidR="002A7B7F">
        <w:t>to the U.S. Treasury on or before the da</w:t>
      </w:r>
      <w:r w:rsidR="00E03CB2">
        <w:t>tes</w:t>
      </w:r>
      <w:r w:rsidR="002A7B7F">
        <w:t xml:space="preserve"> specified in Paragraph 15; (2) </w:t>
      </w:r>
      <w:r w:rsidR="00D26D0E" w:rsidRPr="00D528BF">
        <w:t xml:space="preserve">the release of an order </w:t>
      </w:r>
      <w:r w:rsidR="00DF4574" w:rsidRPr="00D528BF">
        <w:t xml:space="preserve">within three years of the Effective Date </w:t>
      </w:r>
      <w:r w:rsidR="005D5EBB" w:rsidRPr="00D528BF">
        <w:t>by the Commission</w:t>
      </w:r>
      <w:r w:rsidR="00D26D0E" w:rsidRPr="00D528BF">
        <w:t xml:space="preserve">, such as a </w:t>
      </w:r>
      <w:r w:rsidR="005D5EBB" w:rsidRPr="00D528BF">
        <w:t>Notice of Ap</w:t>
      </w:r>
      <w:r w:rsidR="00294E09" w:rsidRPr="00D528BF">
        <w:t>parent Liability for Forfeiture</w:t>
      </w:r>
      <w:r w:rsidR="005D5EBB" w:rsidRPr="00D528BF">
        <w:t xml:space="preserve"> </w:t>
      </w:r>
      <w:r w:rsidR="002A7B7F">
        <w:t xml:space="preserve">that is uncontested </w:t>
      </w:r>
      <w:r w:rsidR="005D5EBB" w:rsidRPr="00D528BF">
        <w:t xml:space="preserve">or </w:t>
      </w:r>
      <w:r w:rsidR="002A7B7F">
        <w:t xml:space="preserve">a </w:t>
      </w:r>
      <w:r w:rsidR="005D5EBB" w:rsidRPr="00D528BF">
        <w:t>Forfeiture Order,</w:t>
      </w:r>
      <w:r w:rsidR="00294E09" w:rsidRPr="00D528BF">
        <w:t xml:space="preserve"> </w:t>
      </w:r>
      <w:r w:rsidR="00D26D0E" w:rsidRPr="00D528BF">
        <w:t>finding that JTC or any other entity owned, operated, or controlled</w:t>
      </w:r>
      <w:r w:rsidR="007C514D" w:rsidRPr="00D528BF">
        <w:t xml:space="preserve"> </w:t>
      </w:r>
      <w:r w:rsidR="002A7B7F">
        <w:t>by</w:t>
      </w:r>
      <w:r w:rsidR="00D55502">
        <w:t>,</w:t>
      </w:r>
      <w:r w:rsidR="002A7B7F">
        <w:t xml:space="preserve"> or under common control with </w:t>
      </w:r>
      <w:r w:rsidR="007C514D" w:rsidRPr="00D528BF">
        <w:t xml:space="preserve"> JTC violated the </w:t>
      </w:r>
      <w:r w:rsidR="00DF4574" w:rsidRPr="00D528BF">
        <w:t>Antenna Structure Rules; or (</w:t>
      </w:r>
      <w:r w:rsidR="002A7B7F">
        <w:t>3</w:t>
      </w:r>
      <w:r w:rsidR="00D26D0E" w:rsidRPr="00D528BF">
        <w:t>) the release of an order by the Commission finding that JTC materially misstated its financial condition in the documents it produced to support its claim of inabil</w:t>
      </w:r>
      <w:r w:rsidR="00C754D2" w:rsidRPr="00D528BF">
        <w:t>ity to pay</w:t>
      </w:r>
      <w:r w:rsidR="00D26D0E" w:rsidRPr="00D528BF">
        <w:t xml:space="preserve">.  </w:t>
      </w:r>
      <w:r w:rsidR="007C514D" w:rsidRPr="00D528BF">
        <w:t>Upon an Event of Default</w:t>
      </w:r>
      <w:r w:rsidR="003A2B14" w:rsidRPr="00D528BF">
        <w:t xml:space="preserve">, all procedures for collection permitted by the </w:t>
      </w:r>
      <w:r w:rsidR="007C514D" w:rsidRPr="00D528BF">
        <w:t>DCIA</w:t>
      </w:r>
      <w:r w:rsidR="003A2B14" w:rsidRPr="00D528BF">
        <w:t xml:space="preserve"> and other provisions of law</w:t>
      </w:r>
      <w:r w:rsidR="003A2B14" w:rsidRPr="00D528BF">
        <w:rPr>
          <w:rStyle w:val="FootnoteReference"/>
        </w:rPr>
        <w:footnoteReference w:id="23"/>
      </w:r>
      <w:r w:rsidR="003A2B14" w:rsidRPr="00D528BF">
        <w:t xml:space="preserve"> may, at the Commission’s discretion, be initiated and th</w:t>
      </w:r>
      <w:r w:rsidR="00294E09" w:rsidRPr="00D528BF">
        <w:t xml:space="preserve">e following </w:t>
      </w:r>
      <w:r w:rsidR="003A2B14" w:rsidRPr="00D528BF">
        <w:t xml:space="preserve">shall become immediately due and payable, without notice, presentment, demand, protest, or notice of protest of any kind, all of which are waived by JTC: </w:t>
      </w:r>
      <w:r w:rsidR="00655733" w:rsidRPr="00D528BF">
        <w:t xml:space="preserve"> </w:t>
      </w:r>
      <w:r w:rsidR="003A2B14" w:rsidRPr="00D528BF">
        <w:t>(</w:t>
      </w:r>
      <w:r w:rsidR="001C2885">
        <w:t>A</w:t>
      </w:r>
      <w:r w:rsidR="003A2B14" w:rsidRPr="00D528BF">
        <w:t xml:space="preserve">) </w:t>
      </w:r>
      <w:r w:rsidR="002A7B7F">
        <w:t>in the case of an Event of Default referred to in (1) above</w:t>
      </w:r>
      <w:r w:rsidR="001C2885">
        <w:t>, (a</w:t>
      </w:r>
      <w:r w:rsidR="00D55502">
        <w:t xml:space="preserve">) </w:t>
      </w:r>
      <w:r w:rsidR="00E03CB2">
        <w:t>any unpaid</w:t>
      </w:r>
      <w:r w:rsidR="003A2B14" w:rsidRPr="00D528BF">
        <w:t xml:space="preserve"> </w:t>
      </w:r>
      <w:r w:rsidR="00294E09" w:rsidRPr="00D528BF">
        <w:t>Civil Penalt</w:t>
      </w:r>
      <w:r w:rsidR="00E03CB2">
        <w:t>ies or Installment Payments</w:t>
      </w:r>
      <w:r w:rsidR="00294E09" w:rsidRPr="00D528BF">
        <w:t xml:space="preserve"> </w:t>
      </w:r>
      <w:r w:rsidR="008B36CB" w:rsidRPr="00D528BF">
        <w:t xml:space="preserve">referenced in </w:t>
      </w:r>
      <w:r w:rsidR="00D55502">
        <w:t>P</w:t>
      </w:r>
      <w:r w:rsidR="003A2B14" w:rsidRPr="00D528BF">
        <w:t>aragraph 1</w:t>
      </w:r>
      <w:r w:rsidR="007C514D" w:rsidRPr="00D528BF">
        <w:t>5</w:t>
      </w:r>
      <w:r w:rsidR="003A2B14" w:rsidRPr="00D528BF">
        <w:t>, which shall accrue interest at a rate of the U.S. Prime Rate in effect on the date of the Event of Default plus 4.75 percent per annum from the date of the Event of Def</w:t>
      </w:r>
      <w:r w:rsidR="007C514D" w:rsidRPr="00D528BF">
        <w:t xml:space="preserve">ault until payment in full; </w:t>
      </w:r>
      <w:r w:rsidR="001C2885">
        <w:t>(b</w:t>
      </w:r>
      <w:r w:rsidR="00D55502">
        <w:t xml:space="preserve">) </w:t>
      </w:r>
      <w:r w:rsidR="00D55502" w:rsidRPr="00D528BF">
        <w:t>any penalties permitted and/or required by the law, including but not lim</w:t>
      </w:r>
      <w:r w:rsidR="001C2885">
        <w:t>ited to 31 U.S.C. § 3717; and (c</w:t>
      </w:r>
      <w:r w:rsidR="00D55502" w:rsidRPr="00D528BF">
        <w:t xml:space="preserve">) any administrative charge(s), including the costs of collection, </w:t>
      </w:r>
      <w:r w:rsidR="00D55502">
        <w:t>li</w:t>
      </w:r>
      <w:r w:rsidR="001C2885">
        <w:t xml:space="preserve">tigation, and attorneys’ fees; </w:t>
      </w:r>
      <w:r w:rsidR="00D55502">
        <w:t xml:space="preserve">(B) in the case of an Event of Default referred to in </w:t>
      </w:r>
      <w:r w:rsidR="003A2B14" w:rsidRPr="00D528BF">
        <w:t>(2)</w:t>
      </w:r>
      <w:r w:rsidR="00D55502">
        <w:t xml:space="preserve"> </w:t>
      </w:r>
      <w:r w:rsidR="00C2508B">
        <w:t>or</w:t>
      </w:r>
      <w:r w:rsidR="00D55502">
        <w:t xml:space="preserve"> (3) above, (a) the Additional Civil Penalty </w:t>
      </w:r>
      <w:r w:rsidR="00D55502" w:rsidRPr="00D528BF">
        <w:t xml:space="preserve">referenced in </w:t>
      </w:r>
      <w:r w:rsidR="00D55502">
        <w:t>P</w:t>
      </w:r>
      <w:r w:rsidR="00D55502" w:rsidRPr="00D528BF">
        <w:t xml:space="preserve">aragraph 15, </w:t>
      </w:r>
      <w:r w:rsidR="0025156B">
        <w:t xml:space="preserve">which </w:t>
      </w:r>
      <w:r w:rsidR="00D55502" w:rsidRPr="00D528BF">
        <w:t>shall accrue interest at a rate of the U.S. Prime Rate in effect on the date of the Event of Default plus 4.75 percent per annum from the date of the Event of Default until payment in full;</w:t>
      </w:r>
      <w:r w:rsidR="00D55502">
        <w:t xml:space="preserve"> (b) </w:t>
      </w:r>
      <w:r w:rsidR="003A2B14" w:rsidRPr="00D528BF">
        <w:t>any penalties permitted and/or required by the law, including but not limited to 31 U.S.C. § 3717; and (</w:t>
      </w:r>
      <w:r w:rsidR="00D55502">
        <w:t>c</w:t>
      </w:r>
      <w:r w:rsidR="003A2B14" w:rsidRPr="00D528BF">
        <w:t>) any administrative charge(s), including the costs of collection, litigation, and attorneys’ fees.</w:t>
      </w:r>
      <w:r w:rsidR="003A2B14" w:rsidRPr="00D55502">
        <w:rPr>
          <w:i/>
          <w:szCs w:val="22"/>
        </w:rPr>
        <w:t xml:space="preserve"> </w:t>
      </w:r>
    </w:p>
    <w:p w14:paraId="63E8EAB1" w14:textId="77777777" w:rsidR="00E02214" w:rsidRPr="007C0B39" w:rsidRDefault="00E02214" w:rsidP="001B74D4">
      <w:pPr>
        <w:pStyle w:val="ParaNum"/>
      </w:pPr>
      <w:r w:rsidRPr="007C0B39">
        <w:rPr>
          <w:b/>
          <w:u w:val="single"/>
        </w:rPr>
        <w:t>Waivers</w:t>
      </w:r>
      <w:r w:rsidRPr="007C0B39">
        <w:t xml:space="preserve">.  </w:t>
      </w:r>
      <w:r w:rsidR="00CE68FE" w:rsidRPr="007C0B39">
        <w:t xml:space="preserve">As of the Effective Date, </w:t>
      </w:r>
      <w:r w:rsidR="003A2B14">
        <w:t>JTC</w:t>
      </w:r>
      <w:r w:rsidRPr="007C0B39">
        <w:t xml:space="preserve"> waives any and all rights it may have to seek administrative or judicial reconsideration, review, appeal or stay, or to otherwise challenge or contest the validity of this Consent Decree and the Adoptin</w:t>
      </w:r>
      <w:r w:rsidR="00CE68FE" w:rsidRPr="007C0B39">
        <w:t>g Order</w:t>
      </w:r>
      <w:r w:rsidRPr="007C0B39">
        <w:t xml:space="preserve">.  </w:t>
      </w:r>
      <w:r w:rsidR="003A2B14">
        <w:t>JTC</w:t>
      </w:r>
      <w:r w:rsidR="00F26C20" w:rsidRPr="007C0B39">
        <w:t xml:space="preserve"> </w:t>
      </w:r>
      <w:r w:rsidRPr="007C0B39">
        <w:t xml:space="preserve">shall retain the right to challenge Commission interpretation of the Consent Decree or any terms contained herein.  If either Party (or the United States on behalf of the Commission) brings a judicial action to enforce the terms of the </w:t>
      </w:r>
      <w:r w:rsidR="00CE68FE" w:rsidRPr="007C0B39">
        <w:t xml:space="preserve">Consent Decree or </w:t>
      </w:r>
      <w:r w:rsidR="00582BA0" w:rsidRPr="007C0B39">
        <w:t xml:space="preserve">the </w:t>
      </w:r>
      <w:r w:rsidRPr="007C0B39">
        <w:t>Adopting Order, neither</w:t>
      </w:r>
      <w:r w:rsidR="003A2B14">
        <w:t xml:space="preserve"> JTC</w:t>
      </w:r>
      <w:r w:rsidR="00E03587" w:rsidRPr="007C0B39">
        <w:t xml:space="preserve"> </w:t>
      </w:r>
      <w:r w:rsidRPr="007C0B39">
        <w:t xml:space="preserve">nor the Commission shall contest the validity of the Consent Decree or the Adopting Order, and </w:t>
      </w:r>
      <w:r w:rsidR="003A2B14">
        <w:t>JTC</w:t>
      </w:r>
      <w:r w:rsidR="00E03587" w:rsidRPr="007C0B39">
        <w:t xml:space="preserve"> </w:t>
      </w:r>
      <w:r w:rsidRPr="007C0B39">
        <w:t xml:space="preserve">shall waive any statutory right to a trial </w:t>
      </w:r>
      <w:r w:rsidRPr="007C0B39">
        <w:rPr>
          <w:i/>
        </w:rPr>
        <w:t>de novo</w:t>
      </w:r>
      <w:r w:rsidRPr="007C0B39">
        <w:t xml:space="preserve">.  </w:t>
      </w:r>
      <w:r w:rsidR="003A2B14">
        <w:t>JTC</w:t>
      </w:r>
      <w:r w:rsidR="00E03587" w:rsidRPr="007C0B39">
        <w:t xml:space="preserve"> </w:t>
      </w:r>
      <w:r w:rsidRPr="007C0B39">
        <w:t>hereby agrees to waive any claims it may otherwise have under the Equal Access to Justice Act</w:t>
      </w:r>
      <w:r w:rsidRPr="007C0B39">
        <w:rPr>
          <w:rStyle w:val="FootnoteReference"/>
          <w:szCs w:val="22"/>
        </w:rPr>
        <w:footnoteReference w:id="24"/>
      </w:r>
      <w:r w:rsidRPr="007C0B39">
        <w:t xml:space="preserve"> relating to the matters addressed in this Consent Decree.</w:t>
      </w:r>
    </w:p>
    <w:p w14:paraId="63E8EAB2" w14:textId="77777777" w:rsidR="003F5CF7" w:rsidRPr="007C0B39" w:rsidRDefault="003F5CF7" w:rsidP="008B082A">
      <w:pPr>
        <w:pStyle w:val="ParaNum"/>
        <w:widowControl/>
        <w:rPr>
          <w:szCs w:val="22"/>
        </w:rPr>
      </w:pPr>
      <w:r w:rsidRPr="007C0B39">
        <w:rPr>
          <w:b/>
          <w:szCs w:val="22"/>
          <w:u w:val="single"/>
        </w:rPr>
        <w:t>Severability</w:t>
      </w:r>
      <w:r w:rsidRPr="007C0B39">
        <w:rPr>
          <w:szCs w:val="22"/>
        </w:rPr>
        <w:t>.  The Parties agree that if any of the provisio</w:t>
      </w:r>
      <w:r w:rsidR="00E3009C" w:rsidRPr="007C0B39">
        <w:rPr>
          <w:szCs w:val="22"/>
        </w:rPr>
        <w:t xml:space="preserve">ns of the </w:t>
      </w:r>
      <w:r w:rsidRPr="007C0B39">
        <w:rPr>
          <w:szCs w:val="22"/>
        </w:rPr>
        <w:t xml:space="preserve">Consent Decree shall be </w:t>
      </w:r>
      <w:r w:rsidR="00926FC4" w:rsidRPr="007C0B39">
        <w:rPr>
          <w:szCs w:val="22"/>
        </w:rPr>
        <w:t xml:space="preserve">held </w:t>
      </w:r>
      <w:r w:rsidRPr="007C0B39">
        <w:rPr>
          <w:szCs w:val="22"/>
        </w:rPr>
        <w:t>unenforceable</w:t>
      </w:r>
      <w:r w:rsidR="00926FC4" w:rsidRPr="007C0B39">
        <w:rPr>
          <w:szCs w:val="22"/>
        </w:rPr>
        <w:t xml:space="preserve"> by any court of competent jurisdiction</w:t>
      </w:r>
      <w:r w:rsidRPr="007C0B39">
        <w:rPr>
          <w:szCs w:val="22"/>
        </w:rPr>
        <w:t>, such unenforceability shall not render unenforceab</w:t>
      </w:r>
      <w:r w:rsidR="00E3009C" w:rsidRPr="007C0B39">
        <w:rPr>
          <w:szCs w:val="22"/>
        </w:rPr>
        <w:t xml:space="preserve">le the entire </w:t>
      </w:r>
      <w:r w:rsidRPr="007C0B39">
        <w:rPr>
          <w:szCs w:val="22"/>
        </w:rPr>
        <w:t>Consent Decree, but rath</w:t>
      </w:r>
      <w:r w:rsidR="00E3009C" w:rsidRPr="007C0B39">
        <w:rPr>
          <w:szCs w:val="22"/>
        </w:rPr>
        <w:t xml:space="preserve">er the entire </w:t>
      </w:r>
      <w:r w:rsidRPr="007C0B39">
        <w:rPr>
          <w:szCs w:val="22"/>
        </w:rPr>
        <w:t>Consent Decree shall be construed as if not containing the particular unenforceable provision or provisions, and the rights and obligations of the Parties shall be construed and enforced accordingly.</w:t>
      </w:r>
    </w:p>
    <w:p w14:paraId="63E8EAB3" w14:textId="77777777" w:rsidR="00E02214" w:rsidRPr="007C0B39" w:rsidRDefault="00E02214" w:rsidP="001B74D4">
      <w:pPr>
        <w:pStyle w:val="ParaNum"/>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14:paraId="63E8EAB4" w14:textId="77777777" w:rsidR="00E02214" w:rsidRPr="007C0B39" w:rsidRDefault="00E02214" w:rsidP="001B74D4">
      <w:pPr>
        <w:pStyle w:val="ParaNum"/>
      </w:pPr>
      <w:r w:rsidRPr="007C0B39">
        <w:rPr>
          <w:b/>
          <w:u w:val="single"/>
        </w:rPr>
        <w:t>Subsequent Rule or Order</w:t>
      </w:r>
      <w:r w:rsidRPr="007C0B39">
        <w:t>.  The Parties agree that if any provision of the Consent Decree</w:t>
      </w:r>
      <w:r w:rsidR="00F26C20" w:rsidRPr="007C0B39">
        <w:t xml:space="preserve"> conflicts with any subsequent Rule or O</w:t>
      </w:r>
      <w:r w:rsidRPr="007C0B39">
        <w:t>rder adopted by the Commission (e</w:t>
      </w:r>
      <w:r w:rsidR="00F26C20" w:rsidRPr="007C0B39">
        <w:t>xcept an O</w:t>
      </w:r>
      <w:r w:rsidRPr="007C0B39">
        <w:t xml:space="preserve">rder specifically intended to revise the terms of this Consent Decree to which </w:t>
      </w:r>
      <w:r w:rsidR="003A2B14">
        <w:rPr>
          <w:szCs w:val="22"/>
        </w:rPr>
        <w:t>JTC</w:t>
      </w:r>
      <w:r w:rsidR="00E03587" w:rsidRPr="007C0B39">
        <w:rPr>
          <w:szCs w:val="22"/>
        </w:rPr>
        <w:t xml:space="preserve"> </w:t>
      </w:r>
      <w:r w:rsidRPr="007C0B39">
        <w:t xml:space="preserve">does not expressly consent) that provision will be superseded by such </w:t>
      </w:r>
      <w:r w:rsidR="00F26C20" w:rsidRPr="007C0B39">
        <w:t>R</w:t>
      </w:r>
      <w:r w:rsidR="0096758E" w:rsidRPr="007C0B39">
        <w:t xml:space="preserve">ule or </w:t>
      </w:r>
      <w:r w:rsidR="00F26C20" w:rsidRPr="007C0B39">
        <w:t>O</w:t>
      </w:r>
      <w:r w:rsidRPr="007C0B39">
        <w:t>rder.</w:t>
      </w:r>
    </w:p>
    <w:p w14:paraId="63E8EAB5" w14:textId="19DA399C" w:rsidR="00E02214" w:rsidRPr="007C0B39" w:rsidRDefault="00E02214" w:rsidP="001B74D4">
      <w:pPr>
        <w:pStyle w:val="ParaNum"/>
      </w:pPr>
      <w:r w:rsidRPr="007C0B39">
        <w:rPr>
          <w:b/>
          <w:u w:val="single"/>
        </w:rPr>
        <w:t>Successors and Assigns</w:t>
      </w:r>
      <w:r w:rsidRPr="007C0B39">
        <w:t xml:space="preserve">.  </w:t>
      </w:r>
      <w:r w:rsidR="00D10735">
        <w:t xml:space="preserve">Unless stated otherwise, </w:t>
      </w:r>
      <w:r w:rsidR="003A2B14">
        <w:t>JTC</w:t>
      </w:r>
      <w:r w:rsidR="00E03587" w:rsidRPr="007C0B39">
        <w:rPr>
          <w:szCs w:val="22"/>
        </w:rPr>
        <w:t xml:space="preserve"> </w:t>
      </w:r>
      <w:r w:rsidRPr="007C0B39">
        <w:t>agrees that the provisions of this Consent Decree shall be binding on its successors, assigns, and transferees</w:t>
      </w:r>
      <w:r w:rsidR="00B56312">
        <w:t xml:space="preserve"> in which Dan L. Johnson has an ownership interest, holds any official title, or has any employment or contractual relationship for the provision of services</w:t>
      </w:r>
      <w:r w:rsidRPr="007C0B39">
        <w:t>.</w:t>
      </w:r>
    </w:p>
    <w:p w14:paraId="63E8EAB6" w14:textId="77777777" w:rsidR="00E02214" w:rsidRPr="007C0B39" w:rsidRDefault="00E02214" w:rsidP="001B74D4">
      <w:pPr>
        <w:pStyle w:val="ParaNum"/>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Investigation.  </w:t>
      </w:r>
      <w:r w:rsidR="004620CB" w:rsidRPr="0004267E">
        <w:rPr>
          <w:szCs w:val="22"/>
        </w:rPr>
        <w:t> </w:t>
      </w:r>
    </w:p>
    <w:p w14:paraId="63E8EAB7" w14:textId="77777777" w:rsidR="00E02214" w:rsidRPr="007C0B39" w:rsidRDefault="00E02214" w:rsidP="002755D1">
      <w:pPr>
        <w:pStyle w:val="ParaNum"/>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14:paraId="63E8EAB8" w14:textId="77777777" w:rsidR="00E02214" w:rsidRPr="007C0B39" w:rsidRDefault="00E02214" w:rsidP="008A2AD9">
      <w:pPr>
        <w:pStyle w:val="ParaNum"/>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14:paraId="63E8EAB9" w14:textId="77777777" w:rsidR="00D3534B" w:rsidRPr="0002047A" w:rsidRDefault="00E02214" w:rsidP="004C13B8">
      <w:pPr>
        <w:pStyle w:val="ParaNum"/>
        <w:widowControl/>
        <w:rPr>
          <w:b/>
          <w:u w:val="single"/>
        </w:rPr>
      </w:pPr>
      <w:r w:rsidRPr="00143CF7">
        <w:rPr>
          <w:b/>
          <w:szCs w:val="22"/>
          <w:u w:val="single"/>
        </w:rPr>
        <w:t>Authorized Representative</w:t>
      </w:r>
      <w:r w:rsidRPr="00143CF7">
        <w:rPr>
          <w:szCs w:val="22"/>
        </w:rPr>
        <w:t xml:space="preserve">. </w:t>
      </w:r>
      <w:r w:rsidR="00B73A30" w:rsidRPr="00143CF7">
        <w:rPr>
          <w:szCs w:val="22"/>
        </w:rPr>
        <w:t xml:space="preserve"> </w:t>
      </w:r>
      <w:r w:rsidR="005D5341" w:rsidRPr="00143CF7">
        <w:rPr>
          <w:szCs w:val="22"/>
        </w:rPr>
        <w:t xml:space="preserve">Each Party </w:t>
      </w:r>
      <w:r w:rsidR="005D5341" w:rsidRPr="007C0B39">
        <w:t>represents</w:t>
      </w:r>
      <w:r w:rsidR="005D5341" w:rsidRPr="00143CF7">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r w:rsidR="00143CF7" w:rsidRPr="00143CF7">
        <w:rPr>
          <w:szCs w:val="22"/>
        </w:rPr>
        <w:t xml:space="preserve"> </w:t>
      </w:r>
    </w:p>
    <w:p w14:paraId="7EB21ADA" w14:textId="77777777" w:rsidR="0002047A" w:rsidRDefault="0002047A" w:rsidP="0002047A">
      <w:pPr>
        <w:pStyle w:val="ParaNum"/>
        <w:widowControl/>
        <w:numPr>
          <w:ilvl w:val="0"/>
          <w:numId w:val="0"/>
        </w:numPr>
        <w:ind w:firstLine="720"/>
        <w:rPr>
          <w:b/>
          <w:u w:val="single"/>
        </w:rPr>
      </w:pPr>
    </w:p>
    <w:p w14:paraId="11BD263E" w14:textId="77777777" w:rsidR="0002047A" w:rsidRDefault="0002047A" w:rsidP="0002047A">
      <w:pPr>
        <w:pStyle w:val="ParaNum"/>
        <w:widowControl/>
        <w:numPr>
          <w:ilvl w:val="0"/>
          <w:numId w:val="0"/>
        </w:numPr>
        <w:ind w:firstLine="720"/>
        <w:rPr>
          <w:b/>
          <w:u w:val="single"/>
        </w:rPr>
      </w:pPr>
    </w:p>
    <w:p w14:paraId="2070D48B" w14:textId="77777777" w:rsidR="0002047A" w:rsidRDefault="0002047A" w:rsidP="0002047A">
      <w:pPr>
        <w:pStyle w:val="ParaNum"/>
        <w:widowControl/>
        <w:numPr>
          <w:ilvl w:val="0"/>
          <w:numId w:val="0"/>
        </w:numPr>
        <w:ind w:firstLine="720"/>
        <w:rPr>
          <w:b/>
          <w:u w:val="single"/>
        </w:rPr>
      </w:pPr>
    </w:p>
    <w:p w14:paraId="23969EEE" w14:textId="77777777" w:rsidR="0002047A" w:rsidRDefault="0002047A" w:rsidP="0002047A">
      <w:pPr>
        <w:pStyle w:val="ParaNum"/>
        <w:widowControl/>
        <w:numPr>
          <w:ilvl w:val="0"/>
          <w:numId w:val="0"/>
        </w:numPr>
        <w:ind w:firstLine="720"/>
        <w:rPr>
          <w:b/>
          <w:u w:val="single"/>
        </w:rPr>
      </w:pPr>
    </w:p>
    <w:p w14:paraId="645BE068" w14:textId="77777777" w:rsidR="0002047A" w:rsidRDefault="0002047A" w:rsidP="0002047A">
      <w:pPr>
        <w:pStyle w:val="ParaNum"/>
        <w:widowControl/>
        <w:numPr>
          <w:ilvl w:val="0"/>
          <w:numId w:val="0"/>
        </w:numPr>
        <w:ind w:firstLine="720"/>
        <w:rPr>
          <w:b/>
          <w:u w:val="single"/>
        </w:rPr>
      </w:pPr>
    </w:p>
    <w:p w14:paraId="33BCEEB7" w14:textId="77777777" w:rsidR="0002047A" w:rsidRDefault="0002047A" w:rsidP="0002047A">
      <w:pPr>
        <w:pStyle w:val="ParaNum"/>
        <w:widowControl/>
        <w:numPr>
          <w:ilvl w:val="0"/>
          <w:numId w:val="0"/>
        </w:numPr>
        <w:ind w:firstLine="720"/>
        <w:rPr>
          <w:b/>
          <w:u w:val="single"/>
        </w:rPr>
      </w:pPr>
    </w:p>
    <w:p w14:paraId="721EC2C3" w14:textId="77777777" w:rsidR="0002047A" w:rsidRDefault="0002047A" w:rsidP="0002047A">
      <w:pPr>
        <w:pStyle w:val="ParaNum"/>
        <w:widowControl/>
        <w:numPr>
          <w:ilvl w:val="0"/>
          <w:numId w:val="0"/>
        </w:numPr>
        <w:ind w:firstLine="720"/>
        <w:rPr>
          <w:b/>
          <w:u w:val="single"/>
        </w:rPr>
      </w:pPr>
    </w:p>
    <w:p w14:paraId="47D485DB" w14:textId="77777777" w:rsidR="0002047A" w:rsidRDefault="0002047A" w:rsidP="0002047A">
      <w:pPr>
        <w:pStyle w:val="ParaNum"/>
        <w:widowControl/>
        <w:numPr>
          <w:ilvl w:val="0"/>
          <w:numId w:val="0"/>
        </w:numPr>
        <w:ind w:firstLine="720"/>
        <w:rPr>
          <w:b/>
          <w:u w:val="single"/>
        </w:rPr>
      </w:pPr>
    </w:p>
    <w:p w14:paraId="3F1FEAA4" w14:textId="77777777" w:rsidR="0002047A" w:rsidRDefault="0002047A" w:rsidP="0002047A">
      <w:pPr>
        <w:pStyle w:val="ParaNum"/>
        <w:widowControl/>
        <w:numPr>
          <w:ilvl w:val="0"/>
          <w:numId w:val="0"/>
        </w:numPr>
        <w:ind w:firstLine="720"/>
        <w:rPr>
          <w:b/>
          <w:u w:val="single"/>
        </w:rPr>
      </w:pPr>
    </w:p>
    <w:p w14:paraId="46796560" w14:textId="77777777" w:rsidR="0002047A" w:rsidRPr="002F4E1E" w:rsidRDefault="0002047A" w:rsidP="0002047A">
      <w:pPr>
        <w:pStyle w:val="ParaNum"/>
        <w:widowControl/>
        <w:numPr>
          <w:ilvl w:val="0"/>
          <w:numId w:val="0"/>
        </w:numPr>
        <w:ind w:firstLine="720"/>
        <w:rPr>
          <w:b/>
          <w:u w:val="single"/>
        </w:rPr>
      </w:pPr>
    </w:p>
    <w:p w14:paraId="6C556D28" w14:textId="77777777" w:rsidR="00DA7DE7" w:rsidRPr="00DA7DE7" w:rsidRDefault="00DA7DE7" w:rsidP="00DA7DE7">
      <w:pPr>
        <w:pStyle w:val="ParaNum"/>
        <w:numPr>
          <w:ilvl w:val="0"/>
          <w:numId w:val="0"/>
        </w:numPr>
        <w:ind w:left="720"/>
        <w:rPr>
          <w:szCs w:val="22"/>
        </w:rPr>
      </w:pPr>
    </w:p>
    <w:p w14:paraId="63E8EABA" w14:textId="77777777" w:rsidR="00E02214" w:rsidRDefault="00E02214" w:rsidP="001B74D4">
      <w:pPr>
        <w:pStyle w:val="ParaNum"/>
        <w:rPr>
          <w:szCs w:val="22"/>
        </w:rPr>
      </w:pPr>
      <w:r w:rsidRPr="007C0B39">
        <w:rPr>
          <w:b/>
          <w:u w:val="single"/>
        </w:rPr>
        <w:t>Counterparts</w:t>
      </w:r>
      <w:r w:rsidRPr="007C0B39">
        <w:rPr>
          <w:szCs w:val="22"/>
        </w:rPr>
        <w:t xml:space="preserve">.  </w:t>
      </w:r>
      <w:r w:rsidR="00BB440F" w:rsidRPr="007C0B39">
        <w:rPr>
          <w:szCs w:val="22"/>
        </w:rPr>
        <w:t xml:space="preserve">This Consent Decree may be </w:t>
      </w:r>
      <w:r w:rsidR="00BB440F" w:rsidRPr="007C0B39">
        <w:t>signed</w:t>
      </w:r>
      <w:r w:rsidR="00BB440F" w:rsidRPr="007C0B39">
        <w:rPr>
          <w:szCs w:val="22"/>
        </w:rPr>
        <w:t xml:space="preserve"> in counterpart (including </w:t>
      </w:r>
      <w:r w:rsidR="008A2AD9" w:rsidRPr="007C0B39">
        <w:rPr>
          <w:szCs w:val="22"/>
        </w:rPr>
        <w:t xml:space="preserve">electronically or </w:t>
      </w:r>
      <w:r w:rsidR="00BB440F" w:rsidRPr="007C0B39">
        <w:rPr>
          <w:szCs w:val="22"/>
        </w:rPr>
        <w:t>by facsimile).  Each counterpart, when executed and delivered, shall be an original, and all of the counterparts together shall constitute one and the same fully executed instrument.</w:t>
      </w:r>
    </w:p>
    <w:p w14:paraId="63E8EABB" w14:textId="77777777" w:rsidR="00143CF7" w:rsidRPr="007C0B39" w:rsidRDefault="00143CF7" w:rsidP="002F4E1E">
      <w:pPr>
        <w:pStyle w:val="ParaNum"/>
        <w:numPr>
          <w:ilvl w:val="0"/>
          <w:numId w:val="0"/>
        </w:numPr>
        <w:ind w:left="720"/>
        <w:rPr>
          <w:szCs w:val="22"/>
        </w:rPr>
      </w:pPr>
    </w:p>
    <w:p w14:paraId="63E8EABC" w14:textId="77777777" w:rsidR="00E24E9F" w:rsidRPr="007C0B39" w:rsidRDefault="00E24E9F" w:rsidP="009A17A5">
      <w:pPr>
        <w:keepNext/>
        <w:keepLines/>
      </w:pPr>
    </w:p>
    <w:p w14:paraId="63E8EABD" w14:textId="77777777" w:rsidR="00E24E9F" w:rsidRPr="007C0B39" w:rsidRDefault="00E24E9F" w:rsidP="009A17A5">
      <w:pPr>
        <w:keepNext/>
        <w:keepLines/>
      </w:pPr>
    </w:p>
    <w:p w14:paraId="63E8EABE" w14:textId="77777777" w:rsidR="00E24E9F" w:rsidRPr="007C0B39" w:rsidRDefault="00E24E9F" w:rsidP="009A17A5">
      <w:pPr>
        <w:keepNext/>
        <w:keepLines/>
      </w:pPr>
      <w:r w:rsidRPr="007C0B39">
        <w:t>________________________________</w:t>
      </w:r>
    </w:p>
    <w:p w14:paraId="63E8EABF" w14:textId="77777777" w:rsidR="007C514D" w:rsidRDefault="007C514D" w:rsidP="007C514D">
      <w:pPr>
        <w:outlineLvl w:val="0"/>
        <w:rPr>
          <w:szCs w:val="22"/>
          <w:lang w:val="fr-FR"/>
        </w:rPr>
      </w:pPr>
      <w:r>
        <w:rPr>
          <w:szCs w:val="22"/>
          <w:lang w:val="fr-FR"/>
        </w:rPr>
        <w:t>Travis LeBlanc</w:t>
      </w:r>
    </w:p>
    <w:p w14:paraId="63E8EAC0" w14:textId="77777777" w:rsidR="007C514D" w:rsidRDefault="007C514D" w:rsidP="007C514D">
      <w:pPr>
        <w:outlineLvl w:val="0"/>
        <w:rPr>
          <w:szCs w:val="22"/>
        </w:rPr>
      </w:pPr>
      <w:r w:rsidRPr="00A15CBD">
        <w:rPr>
          <w:szCs w:val="22"/>
        </w:rPr>
        <w:t>C</w:t>
      </w:r>
      <w:r>
        <w:rPr>
          <w:szCs w:val="22"/>
        </w:rPr>
        <w:t>hief</w:t>
      </w:r>
    </w:p>
    <w:p w14:paraId="63E8EAC1" w14:textId="77777777" w:rsidR="007C514D" w:rsidRDefault="007C514D" w:rsidP="008B082A">
      <w:pPr>
        <w:outlineLvl w:val="0"/>
        <w:rPr>
          <w:szCs w:val="22"/>
        </w:rPr>
      </w:pPr>
      <w:r>
        <w:rPr>
          <w:szCs w:val="22"/>
        </w:rPr>
        <w:t>Enforcement Bureau</w:t>
      </w:r>
    </w:p>
    <w:p w14:paraId="63E8EAC2" w14:textId="77777777" w:rsidR="00E24E9F" w:rsidRPr="007C0B39" w:rsidRDefault="00E24E9F" w:rsidP="009A17A5">
      <w:pPr>
        <w:keepNext/>
        <w:keepLines/>
      </w:pPr>
    </w:p>
    <w:p w14:paraId="63E8EAC3" w14:textId="77777777" w:rsidR="00E24E9F" w:rsidRPr="007C0B39" w:rsidRDefault="00E24E9F" w:rsidP="009A17A5">
      <w:pPr>
        <w:keepNext/>
        <w:keepLines/>
      </w:pPr>
    </w:p>
    <w:p w14:paraId="63E8EAC4" w14:textId="77777777" w:rsidR="00E24E9F" w:rsidRPr="007C0B39" w:rsidRDefault="00E24E9F" w:rsidP="009A17A5">
      <w:pPr>
        <w:keepNext/>
        <w:keepLines/>
      </w:pPr>
      <w:r w:rsidRPr="007C0B39">
        <w:t>________________________________</w:t>
      </w:r>
    </w:p>
    <w:p w14:paraId="63E8EAC5" w14:textId="77777777" w:rsidR="00E24E9F" w:rsidRPr="007C0B39" w:rsidRDefault="00E24E9F" w:rsidP="009A17A5">
      <w:pPr>
        <w:keepNext/>
        <w:keepLines/>
      </w:pPr>
      <w:r w:rsidRPr="007C0B39">
        <w:t>Date</w:t>
      </w:r>
    </w:p>
    <w:p w14:paraId="63E8EAC6" w14:textId="77777777" w:rsidR="00E24E9F" w:rsidRPr="007C0B39" w:rsidRDefault="00E24E9F" w:rsidP="009A17A5">
      <w:pPr>
        <w:keepNext/>
        <w:keepLines/>
      </w:pPr>
    </w:p>
    <w:p w14:paraId="63E8EAC7" w14:textId="77777777" w:rsidR="00E24E9F" w:rsidRPr="007C0B39" w:rsidRDefault="00E24E9F" w:rsidP="00710CC1">
      <w:pPr>
        <w:keepLines/>
      </w:pPr>
    </w:p>
    <w:p w14:paraId="63E8EAC8" w14:textId="77777777" w:rsidR="00E24E9F" w:rsidRPr="007C0B39" w:rsidRDefault="00E24E9F" w:rsidP="00710CC1">
      <w:pPr>
        <w:keepLines/>
      </w:pPr>
      <w:r w:rsidRPr="007C0B39">
        <w:t>________________________________</w:t>
      </w:r>
    </w:p>
    <w:p w14:paraId="63E8EAC9" w14:textId="77777777" w:rsidR="00EE1291" w:rsidRPr="007C0B39" w:rsidRDefault="003A2B14" w:rsidP="00710CC1">
      <w:pPr>
        <w:keepLines/>
      </w:pPr>
      <w:r>
        <w:t>Dan L. Johnson</w:t>
      </w:r>
    </w:p>
    <w:p w14:paraId="63E8EACA" w14:textId="77777777" w:rsidR="00EE1291" w:rsidRPr="007C0B39" w:rsidRDefault="003A2B14" w:rsidP="00710CC1">
      <w:pPr>
        <w:keepLines/>
      </w:pPr>
      <w:r>
        <w:t>President</w:t>
      </w:r>
    </w:p>
    <w:p w14:paraId="63E8EACB" w14:textId="77777777" w:rsidR="00E24E9F" w:rsidRPr="007C0B39" w:rsidRDefault="003A2B14" w:rsidP="00710CC1">
      <w:pPr>
        <w:keepLines/>
      </w:pPr>
      <w:r>
        <w:t>Johnson Towers Corporation</w:t>
      </w:r>
    </w:p>
    <w:p w14:paraId="63E8EACC" w14:textId="77777777" w:rsidR="00E24E9F" w:rsidRPr="007C0B39" w:rsidRDefault="00E24E9F" w:rsidP="00710CC1">
      <w:pPr>
        <w:keepLines/>
      </w:pPr>
    </w:p>
    <w:p w14:paraId="63E8EACD" w14:textId="77777777" w:rsidR="00E24E9F" w:rsidRPr="007C0B39" w:rsidRDefault="00E24E9F" w:rsidP="00710CC1">
      <w:pPr>
        <w:keepLines/>
      </w:pPr>
      <w:r w:rsidRPr="007C0B39">
        <w:t>________________________________</w:t>
      </w:r>
    </w:p>
    <w:p w14:paraId="63E8EACE" w14:textId="77777777" w:rsidR="00E24E9F" w:rsidRPr="002C00E8" w:rsidRDefault="00E24E9F" w:rsidP="002755D1">
      <w:pPr>
        <w:keepLines/>
      </w:pPr>
      <w:r w:rsidRPr="007C0B39">
        <w:t>Date</w:t>
      </w:r>
    </w:p>
    <w:sectPr w:rsidR="00E24E9F" w:rsidRPr="002C00E8" w:rsidSect="00A53EF3">
      <w:footnotePr>
        <w:numRestart w:val="eachSect"/>
      </w:footnotePr>
      <w:endnotePr>
        <w:numFmt w:val="decimal"/>
      </w:endnotePr>
      <w:pgSz w:w="12240" w:h="15840"/>
      <w:pgMar w:top="1267"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02FC0" w14:textId="77777777" w:rsidR="00370D46" w:rsidRDefault="00370D46">
      <w:pPr>
        <w:spacing w:line="20" w:lineRule="exact"/>
      </w:pPr>
    </w:p>
  </w:endnote>
  <w:endnote w:type="continuationSeparator" w:id="0">
    <w:p w14:paraId="29DE92B3" w14:textId="77777777" w:rsidR="00370D46" w:rsidRDefault="00370D46">
      <w:r>
        <w:t xml:space="preserve"> </w:t>
      </w:r>
    </w:p>
  </w:endnote>
  <w:endnote w:type="continuationNotice" w:id="1">
    <w:p w14:paraId="7AA77FF5" w14:textId="77777777" w:rsidR="00370D46" w:rsidRDefault="00370D4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447A8" w14:textId="77777777" w:rsidR="00ED3120" w:rsidRDefault="00ED3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0819"/>
      <w:docPartObj>
        <w:docPartGallery w:val="Page Numbers (Bottom of Page)"/>
        <w:docPartUnique/>
      </w:docPartObj>
    </w:sdtPr>
    <w:sdtEndPr>
      <w:rPr>
        <w:noProof/>
      </w:rPr>
    </w:sdtEndPr>
    <w:sdtContent>
      <w:p w14:paraId="63E8EADA" w14:textId="77777777" w:rsidR="00153AAA" w:rsidRDefault="00453A9E" w:rsidP="00BA1172">
        <w:pPr>
          <w:pStyle w:val="Footer"/>
          <w:jc w:val="center"/>
          <w:rPr>
            <w:noProof/>
          </w:rPr>
        </w:pPr>
        <w:r>
          <w:fldChar w:fldCharType="begin"/>
        </w:r>
        <w:r>
          <w:instrText xml:space="preserve"> PAGE   \* MERGEFORMAT </w:instrText>
        </w:r>
        <w:r>
          <w:fldChar w:fldCharType="separate"/>
        </w:r>
        <w:r w:rsidR="003C1B4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EAE0" w14:textId="77777777" w:rsidR="009E51C5" w:rsidRDefault="009E51C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D3DE6" w14:textId="77777777" w:rsidR="00370D46" w:rsidRDefault="00370D46">
      <w:r>
        <w:separator/>
      </w:r>
    </w:p>
  </w:footnote>
  <w:footnote w:type="continuationSeparator" w:id="0">
    <w:p w14:paraId="4C166160" w14:textId="77777777" w:rsidR="00370D46" w:rsidRDefault="00370D46" w:rsidP="00C721AC">
      <w:pPr>
        <w:spacing w:before="120"/>
        <w:rPr>
          <w:sz w:val="20"/>
        </w:rPr>
      </w:pPr>
      <w:r>
        <w:rPr>
          <w:sz w:val="20"/>
        </w:rPr>
        <w:t xml:space="preserve">(Continued from previous page)  </w:t>
      </w:r>
      <w:r>
        <w:rPr>
          <w:sz w:val="20"/>
        </w:rPr>
        <w:separator/>
      </w:r>
    </w:p>
  </w:footnote>
  <w:footnote w:type="continuationNotice" w:id="1">
    <w:p w14:paraId="22AB2191" w14:textId="77777777" w:rsidR="00370D46" w:rsidRDefault="00370D46" w:rsidP="00C721AC">
      <w:pPr>
        <w:jc w:val="right"/>
        <w:rPr>
          <w:sz w:val="20"/>
        </w:rPr>
      </w:pPr>
      <w:r>
        <w:rPr>
          <w:sz w:val="20"/>
        </w:rPr>
        <w:t>(continued….)</w:t>
      </w:r>
    </w:p>
  </w:footnote>
  <w:footnote w:id="2">
    <w:p w14:paraId="7CA530B6" w14:textId="77777777" w:rsidR="00571B10" w:rsidRPr="00574F64" w:rsidRDefault="00571B10" w:rsidP="00571B10">
      <w:pPr>
        <w:pStyle w:val="FootnoteText"/>
      </w:pPr>
      <w:r>
        <w:rPr>
          <w:rStyle w:val="FootnoteReference"/>
        </w:rPr>
        <w:footnoteRef/>
      </w:r>
      <w:r>
        <w:t xml:space="preserve"> </w:t>
      </w:r>
      <w:r>
        <w:rPr>
          <w:i/>
        </w:rPr>
        <w:t>Johnson Towers Corp.</w:t>
      </w:r>
      <w:r>
        <w:t>, Notice of Apparent Liability for Forfeiture and Order, 28 FCC Rcd 15273 (2013) (NAL).</w:t>
      </w:r>
    </w:p>
  </w:footnote>
  <w:footnote w:id="3">
    <w:p w14:paraId="684A9F3D" w14:textId="77777777" w:rsidR="00571B10" w:rsidRDefault="00571B10" w:rsidP="00571B10">
      <w:pPr>
        <w:pStyle w:val="FootnoteText"/>
      </w:pPr>
      <w:r>
        <w:rPr>
          <w:rStyle w:val="FootnoteReference"/>
        </w:rPr>
        <w:footnoteRef/>
      </w:r>
      <w:r>
        <w:t xml:space="preserve"> 47 U.S.C. </w:t>
      </w:r>
      <w:r w:rsidRPr="001B63BB">
        <w:rPr>
          <w:szCs w:val="22"/>
        </w:rPr>
        <w:t>§</w:t>
      </w:r>
      <w:r>
        <w:rPr>
          <w:szCs w:val="22"/>
        </w:rPr>
        <w:t xml:space="preserve"> 303(q); 47 C.F.R. </w:t>
      </w:r>
      <w:r w:rsidRPr="001B63BB">
        <w:rPr>
          <w:szCs w:val="22"/>
        </w:rPr>
        <w:t>§§</w:t>
      </w:r>
      <w:r>
        <w:rPr>
          <w:szCs w:val="22"/>
        </w:rPr>
        <w:t xml:space="preserve"> 17.21(a), 17.23, 17.57.</w:t>
      </w:r>
    </w:p>
  </w:footnote>
  <w:footnote w:id="4">
    <w:p w14:paraId="11CBE15F" w14:textId="77777777" w:rsidR="00571B10" w:rsidRPr="00D84548" w:rsidRDefault="00571B10" w:rsidP="00571B10">
      <w:pPr>
        <w:pStyle w:val="FootnoteText"/>
      </w:pPr>
      <w:r w:rsidRPr="00D84548">
        <w:rPr>
          <w:rStyle w:val="FootnoteReference"/>
        </w:rPr>
        <w:footnoteRef/>
      </w:r>
      <w:r w:rsidRPr="00D84548">
        <w:t xml:space="preserve"> </w:t>
      </w:r>
      <w:r w:rsidRPr="00D84548">
        <w:rPr>
          <w:szCs w:val="22"/>
        </w:rPr>
        <w:t>47 U.S.C. §§ 154(i), 503(b).</w:t>
      </w:r>
    </w:p>
  </w:footnote>
  <w:footnote w:id="5">
    <w:p w14:paraId="5591B6CD" w14:textId="77777777" w:rsidR="00571B10" w:rsidRDefault="00571B10" w:rsidP="00571B10">
      <w:pPr>
        <w:pStyle w:val="FootnoteText"/>
      </w:pPr>
      <w:r w:rsidRPr="00D84548">
        <w:rPr>
          <w:rStyle w:val="FootnoteReference"/>
        </w:rPr>
        <w:footnoteRef/>
      </w:r>
      <w:r w:rsidRPr="00D84548">
        <w:t xml:space="preserve"> </w:t>
      </w:r>
      <w:r w:rsidRPr="00D84548">
        <w:rPr>
          <w:szCs w:val="22"/>
        </w:rPr>
        <w:t>47 C.F.R §§ 0.111, 0.311.</w:t>
      </w:r>
    </w:p>
  </w:footnote>
  <w:footnote w:id="6">
    <w:p w14:paraId="63E8EAE5" w14:textId="77777777" w:rsidR="00843A5F" w:rsidRDefault="00843A5F">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7">
    <w:p w14:paraId="63E8EAE6" w14:textId="77777777" w:rsidR="006F0B58" w:rsidRDefault="006F0B58">
      <w:pPr>
        <w:pStyle w:val="FootnoteText"/>
      </w:pPr>
      <w:r>
        <w:rPr>
          <w:rStyle w:val="FootnoteReference"/>
        </w:rPr>
        <w:footnoteRef/>
      </w:r>
      <w:r>
        <w:t xml:space="preserve"> 47 U.S.C. </w:t>
      </w:r>
      <w:r w:rsidR="0069076A" w:rsidRPr="001B63BB">
        <w:rPr>
          <w:szCs w:val="22"/>
        </w:rPr>
        <w:t>§</w:t>
      </w:r>
      <w:r w:rsidR="0069076A">
        <w:rPr>
          <w:szCs w:val="22"/>
        </w:rPr>
        <w:t xml:space="preserve"> 303(q); 47 C.F.R. </w:t>
      </w:r>
      <w:r w:rsidR="0069076A" w:rsidRPr="001B63BB">
        <w:rPr>
          <w:szCs w:val="22"/>
        </w:rPr>
        <w:t>§§</w:t>
      </w:r>
      <w:r w:rsidR="0069076A">
        <w:rPr>
          <w:szCs w:val="22"/>
        </w:rPr>
        <w:t xml:space="preserve"> 17.21(a), 17.23, 17.57.</w:t>
      </w:r>
    </w:p>
  </w:footnote>
  <w:footnote w:id="8">
    <w:p w14:paraId="63E8EAE7" w14:textId="77777777" w:rsidR="00E17CC3" w:rsidRPr="00E17CC3" w:rsidRDefault="00E17CC3">
      <w:pPr>
        <w:pStyle w:val="FootnoteText"/>
      </w:pPr>
      <w:r>
        <w:rPr>
          <w:rStyle w:val="FootnoteReference"/>
        </w:rPr>
        <w:footnoteRef/>
      </w:r>
      <w:r>
        <w:t xml:space="preserve"> </w:t>
      </w:r>
      <w:r>
        <w:rPr>
          <w:i/>
        </w:rPr>
        <w:t>Johnson Towers Corp.</w:t>
      </w:r>
      <w:r>
        <w:t>, Notice of Apparent Liability for Forfeiture and Order, 28 FCC Rcd 15273 (2013) (NAL).</w:t>
      </w:r>
    </w:p>
  </w:footnote>
  <w:footnote w:id="9">
    <w:p w14:paraId="63E8EAE8" w14:textId="77777777" w:rsidR="006C761E" w:rsidRPr="00ED4E5F" w:rsidRDefault="006C761E" w:rsidP="006C761E">
      <w:pPr>
        <w:pStyle w:val="FootnoteText"/>
      </w:pPr>
      <w:r w:rsidRPr="00ED4E5F">
        <w:rPr>
          <w:rStyle w:val="FootnoteReference"/>
        </w:rPr>
        <w:footnoteRef/>
      </w:r>
      <w:r w:rsidRPr="00ED4E5F">
        <w:t xml:space="preserve"> </w:t>
      </w:r>
      <w:r w:rsidRPr="00ED4E5F">
        <w:rPr>
          <w:i/>
        </w:rPr>
        <w:t>See</w:t>
      </w:r>
      <w:r w:rsidRPr="00ED4E5F">
        <w:t xml:space="preserve"> 47 C.F.R. §§ 17.1–</w:t>
      </w:r>
      <w:r>
        <w:t>17.58</w:t>
      </w:r>
      <w:r w:rsidRPr="00ED4E5F">
        <w:t>.</w:t>
      </w:r>
    </w:p>
  </w:footnote>
  <w:footnote w:id="10">
    <w:p w14:paraId="63E8EAE9" w14:textId="77777777" w:rsidR="006C761E" w:rsidRPr="00ED4E5F" w:rsidRDefault="006C761E" w:rsidP="006C761E">
      <w:pPr>
        <w:pStyle w:val="FootnoteText"/>
      </w:pPr>
      <w:r w:rsidRPr="00ED4E5F">
        <w:rPr>
          <w:rStyle w:val="FootnoteReference"/>
        </w:rPr>
        <w:footnoteRef/>
      </w:r>
      <w:r w:rsidRPr="00ED4E5F">
        <w:t xml:space="preserve"> 47 U.S.C. § 303(q).</w:t>
      </w:r>
    </w:p>
  </w:footnote>
  <w:footnote w:id="11">
    <w:p w14:paraId="63E8EAEA" w14:textId="77777777" w:rsidR="006C761E" w:rsidRPr="00ED4E5F" w:rsidRDefault="006C761E" w:rsidP="006C761E">
      <w:pPr>
        <w:pStyle w:val="FootnoteText"/>
      </w:pPr>
      <w:r w:rsidRPr="00ED4E5F">
        <w:rPr>
          <w:rStyle w:val="FootnoteReference"/>
        </w:rPr>
        <w:footnoteRef/>
      </w:r>
      <w:r w:rsidRPr="00ED4E5F">
        <w:t xml:space="preserve"> 47 C.F.R. § 17.21(a).</w:t>
      </w:r>
    </w:p>
  </w:footnote>
  <w:footnote w:id="12">
    <w:p w14:paraId="63E8EAEB" w14:textId="77777777" w:rsidR="006C761E" w:rsidRPr="00ED4E5F" w:rsidRDefault="006C761E" w:rsidP="006C761E">
      <w:pPr>
        <w:pStyle w:val="FootnoteText"/>
        <w:rPr>
          <w:caps/>
        </w:rPr>
      </w:pPr>
      <w:r w:rsidRPr="00ED4E5F">
        <w:rPr>
          <w:rStyle w:val="FootnoteReference"/>
        </w:rPr>
        <w:footnoteRef/>
      </w:r>
      <w:r w:rsidRPr="00ED4E5F">
        <w:t xml:space="preserve"> 47 C.F.R. </w:t>
      </w:r>
      <w:r w:rsidRPr="00ED4E5F">
        <w:rPr>
          <w:caps/>
        </w:rPr>
        <w:t>§ 17.23.</w:t>
      </w:r>
    </w:p>
  </w:footnote>
  <w:footnote w:id="13">
    <w:p w14:paraId="63E8EAEC" w14:textId="77777777" w:rsidR="007E04E4" w:rsidRDefault="007E04E4">
      <w:pPr>
        <w:pStyle w:val="FootnoteText"/>
      </w:pPr>
      <w:r>
        <w:rPr>
          <w:rStyle w:val="FootnoteReference"/>
        </w:rPr>
        <w:footnoteRef/>
      </w:r>
      <w:r>
        <w:t xml:space="preserve"> NAL</w:t>
      </w:r>
      <w:r w:rsidR="0069076A">
        <w:t>, 28 FCC Rcd at 15277, para. 13.</w:t>
      </w:r>
    </w:p>
  </w:footnote>
  <w:footnote w:id="14">
    <w:p w14:paraId="63E8EAED" w14:textId="77777777" w:rsidR="006C761E" w:rsidRPr="00ED4E5F" w:rsidRDefault="006C761E" w:rsidP="006C761E">
      <w:pPr>
        <w:pStyle w:val="FootnoteText"/>
      </w:pPr>
      <w:r w:rsidRPr="00ED4E5F">
        <w:rPr>
          <w:rStyle w:val="FootnoteReference"/>
        </w:rPr>
        <w:footnoteRef/>
      </w:r>
      <w:r w:rsidRPr="00ED4E5F">
        <w:t xml:space="preserve"> 47 C.F.R. § 17.57.</w:t>
      </w:r>
    </w:p>
  </w:footnote>
  <w:footnote w:id="15">
    <w:p w14:paraId="63E8EAEE" w14:textId="77777777" w:rsidR="007E04E4" w:rsidRPr="007E04E4" w:rsidRDefault="007E04E4">
      <w:pPr>
        <w:pStyle w:val="FootnoteText"/>
      </w:pPr>
      <w:r>
        <w:rPr>
          <w:rStyle w:val="FootnoteReference"/>
        </w:rPr>
        <w:footnoteRef/>
      </w:r>
      <w:r>
        <w:t xml:space="preserve"> NAL, 28 FCC Rcd at 15273, para. 2.</w:t>
      </w:r>
    </w:p>
  </w:footnote>
  <w:footnote w:id="16">
    <w:p w14:paraId="63E8EAEF" w14:textId="77777777" w:rsidR="00A168BC" w:rsidRPr="00A168BC" w:rsidRDefault="00A168BC">
      <w:pPr>
        <w:pStyle w:val="FootnoteText"/>
      </w:pPr>
      <w:r>
        <w:rPr>
          <w:rStyle w:val="FootnoteReference"/>
        </w:rPr>
        <w:footnoteRef/>
      </w:r>
      <w:r>
        <w:t xml:space="preserve"> </w:t>
      </w:r>
      <w:r>
        <w:rPr>
          <w:i/>
        </w:rPr>
        <w:t xml:space="preserve">Id. </w:t>
      </w:r>
      <w:r>
        <w:t xml:space="preserve">at 15274, paras. 4–6.  </w:t>
      </w:r>
      <w:r>
        <w:rPr>
          <w:iCs/>
          <w:color w:val="000000"/>
        </w:rPr>
        <w:t>T</w:t>
      </w:r>
      <w:r w:rsidRPr="00BF0CB5">
        <w:rPr>
          <w:iCs/>
          <w:color w:val="000000"/>
        </w:rPr>
        <w:t xml:space="preserve">he </w:t>
      </w:r>
      <w:r w:rsidRPr="00A168BC">
        <w:rPr>
          <w:iCs/>
          <w:color w:val="000000"/>
        </w:rPr>
        <w:t>NAL</w:t>
      </w:r>
      <w:r>
        <w:rPr>
          <w:iCs/>
          <w:color w:val="000000"/>
        </w:rPr>
        <w:t xml:space="preserve"> includes a</w:t>
      </w:r>
      <w:r w:rsidRPr="00BF0CB5">
        <w:rPr>
          <w:iCs/>
          <w:color w:val="000000"/>
        </w:rPr>
        <w:t xml:space="preserve"> more complete recitation of the facts and history of this case and is incorporated herein by reference.    </w:t>
      </w:r>
    </w:p>
  </w:footnote>
  <w:footnote w:id="17">
    <w:p w14:paraId="63E8EAF0" w14:textId="77777777" w:rsidR="00C77CE9" w:rsidRDefault="00C77CE9">
      <w:pPr>
        <w:pStyle w:val="FootnoteText"/>
      </w:pPr>
      <w:r>
        <w:rPr>
          <w:rStyle w:val="FootnoteReference"/>
        </w:rPr>
        <w:footnoteRef/>
      </w:r>
      <w:r>
        <w:t xml:space="preserve"> Letter from Dan L. Johnson, President, Johnston Towers Corporation, to Tampa Office, South Central Region, Enforcement Bureau at 2–5 (received Apr. 9, 2014) (on file in </w:t>
      </w:r>
      <w:r w:rsidRPr="00937484">
        <w:rPr>
          <w:szCs w:val="22"/>
        </w:rPr>
        <w:t>EB-11-TP-0038</w:t>
      </w:r>
      <w:r>
        <w:t>).</w:t>
      </w:r>
    </w:p>
  </w:footnote>
  <w:footnote w:id="18">
    <w:p w14:paraId="63E8EAF1" w14:textId="77777777" w:rsidR="003E177F" w:rsidRDefault="003E177F" w:rsidP="003E177F">
      <w:pPr>
        <w:pStyle w:val="FootnoteText"/>
      </w:pPr>
      <w:r>
        <w:rPr>
          <w:rStyle w:val="FootnoteReference"/>
        </w:rPr>
        <w:footnoteRef/>
      </w:r>
      <w:r>
        <w:t xml:space="preserve"> JTC sold antenna structure number 1060090 in November 2013.  </w:t>
      </w:r>
    </w:p>
  </w:footnote>
  <w:footnote w:id="19">
    <w:p w14:paraId="63E8EAF2" w14:textId="77777777" w:rsidR="00E02214" w:rsidRDefault="00E02214" w:rsidP="00E02214">
      <w:pPr>
        <w:pStyle w:val="FootnoteText"/>
      </w:pPr>
      <w:r w:rsidRPr="00A07FCB">
        <w:rPr>
          <w:rStyle w:val="FootnoteReference"/>
        </w:rPr>
        <w:footnoteRef/>
      </w:r>
      <w:r w:rsidRPr="00A07FCB">
        <w:t xml:space="preserve"> 47 C.F.R. § 1.16.</w:t>
      </w:r>
    </w:p>
  </w:footnote>
  <w:footnote w:id="20">
    <w:p w14:paraId="63E8EAF3" w14:textId="77777777" w:rsidR="005D5EBB" w:rsidRDefault="005D5EBB">
      <w:pPr>
        <w:pStyle w:val="FootnoteText"/>
      </w:pPr>
      <w:r>
        <w:rPr>
          <w:rStyle w:val="FootnoteReference"/>
        </w:rPr>
        <w:footnoteRef/>
      </w:r>
      <w:r>
        <w:t xml:space="preserve"> Debt Collection Improvement Act of 1996, Pub. L. No. 104-134, 110 Stat. 1321, 1358 (Apr. 26, 1996)</w:t>
      </w:r>
      <w:r w:rsidR="007C514D">
        <w:t xml:space="preserve"> (DCIA)</w:t>
      </w:r>
      <w:r>
        <w:t>.</w:t>
      </w:r>
    </w:p>
  </w:footnote>
  <w:footnote w:id="21">
    <w:p w14:paraId="63E8EAF4" w14:textId="77777777" w:rsidR="00294E09" w:rsidRPr="00294E09" w:rsidRDefault="00294E09" w:rsidP="00294E09">
      <w:pPr>
        <w:pStyle w:val="FootnoteText"/>
        <w:rPr>
          <w:i/>
        </w:rPr>
      </w:pPr>
      <w:r>
        <w:rPr>
          <w:rStyle w:val="FootnoteReference"/>
        </w:rPr>
        <w:footnoteRef/>
      </w:r>
      <w:r>
        <w:t xml:space="preserve"> </w:t>
      </w:r>
      <w:r>
        <w:rPr>
          <w:i/>
        </w:rPr>
        <w:t>Id.</w:t>
      </w:r>
    </w:p>
  </w:footnote>
  <w:footnote w:id="22">
    <w:p w14:paraId="63E8EAF5" w14:textId="77777777" w:rsidR="00E02214" w:rsidRPr="00042447" w:rsidRDefault="00E02214" w:rsidP="00E02214">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23">
    <w:p w14:paraId="63E8EAF6" w14:textId="77777777" w:rsidR="003A2B14" w:rsidRDefault="003A2B14" w:rsidP="003A2B14">
      <w:pPr>
        <w:pStyle w:val="FootnoteText"/>
      </w:pPr>
      <w:r>
        <w:rPr>
          <w:rStyle w:val="FootnoteReference"/>
        </w:rPr>
        <w:footnoteRef/>
      </w:r>
      <w:r>
        <w:t xml:space="preserve"> </w:t>
      </w:r>
      <w:r w:rsidRPr="005A42DF">
        <w:rPr>
          <w:i/>
        </w:rPr>
        <w:t>See</w:t>
      </w:r>
      <w:r>
        <w:t xml:space="preserve"> 31 C.F.R. Part 900, </w:t>
      </w:r>
      <w:r w:rsidRPr="00AA6A84">
        <w:rPr>
          <w:i/>
        </w:rPr>
        <w:t>et seq</w:t>
      </w:r>
      <w:r>
        <w:t>.</w:t>
      </w:r>
    </w:p>
  </w:footnote>
  <w:footnote w:id="24">
    <w:p w14:paraId="63E8EAF7" w14:textId="77777777" w:rsidR="00E02214" w:rsidRDefault="00E02214" w:rsidP="00E02214">
      <w:pPr>
        <w:pStyle w:val="FootnoteText"/>
        <w:tabs>
          <w:tab w:val="left" w:pos="810"/>
        </w:tabs>
      </w:pPr>
      <w:r w:rsidRPr="003F6349">
        <w:rPr>
          <w:rStyle w:val="FootnoteReference"/>
        </w:rPr>
        <w:footnoteRef/>
      </w:r>
      <w:r w:rsidRPr="003F6349">
        <w:t xml:space="preserve"> </w:t>
      </w:r>
      <w:r w:rsidR="00936B23">
        <w:rPr>
          <w:i/>
        </w:rPr>
        <w:t xml:space="preserve">See </w:t>
      </w:r>
      <w:r w:rsidRPr="003F6349">
        <w:t>5 U.S.C. § 504; 47 C.F.R.</w:t>
      </w:r>
      <w:r w:rsidR="003F5CF7">
        <w:t xml:space="preserve"> </w:t>
      </w:r>
      <w:r w:rsidR="008B628C">
        <w:t>§</w:t>
      </w:r>
      <w:r w:rsidR="00E43C74">
        <w:t>§</w:t>
      </w:r>
      <w:r w:rsidR="008B628C">
        <w:t xml:space="preserve"> </w:t>
      </w:r>
      <w:r w:rsidR="00E43C74">
        <w:t>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365E5" w14:textId="77777777" w:rsidR="00ED3120" w:rsidRDefault="00ED3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EAD7" w14:textId="77777777" w:rsidR="00D3534B" w:rsidRPr="00F60397" w:rsidRDefault="00D3534B" w:rsidP="00D3534B">
    <w:pPr>
      <w:tabs>
        <w:tab w:val="center" w:pos="4680"/>
        <w:tab w:val="right" w:pos="9360"/>
      </w:tabs>
    </w:pPr>
    <w:r>
      <w:rPr>
        <w:b/>
        <w:noProof/>
      </w:rPr>
      <mc:AlternateContent>
        <mc:Choice Requires="wps">
          <w:drawing>
            <wp:anchor distT="0" distB="0" distL="114300" distR="114300" simplePos="0" relativeHeight="251665408" behindDoc="1" locked="0" layoutInCell="0" allowOverlap="1" wp14:anchorId="63E8EAE1" wp14:editId="63E8EAE2">
              <wp:simplePos x="0" y="0"/>
              <wp:positionH relativeFrom="margin">
                <wp:posOffset>7620</wp:posOffset>
              </wp:positionH>
              <wp:positionV relativeFrom="paragraph">
                <wp:posOffset>160655</wp:posOffset>
              </wp:positionV>
              <wp:extent cx="5943600" cy="12065"/>
              <wp:effectExtent l="0" t="0" r="19050"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8D3C72" id="Rectangle 6"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Pr>
        <w:b/>
        <w:spacing w:val="-2"/>
      </w:rPr>
      <w:t>15-742</w:t>
    </w:r>
  </w:p>
  <w:p w14:paraId="63E8EAD9" w14:textId="77777777" w:rsidR="00153AAA" w:rsidRPr="00D3534B" w:rsidRDefault="00153AAA" w:rsidP="00D35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EADD" w14:textId="77777777" w:rsidR="00D3534B" w:rsidRPr="00F60397" w:rsidRDefault="00D3534B" w:rsidP="00D3534B">
    <w:pPr>
      <w:tabs>
        <w:tab w:val="center" w:pos="4680"/>
        <w:tab w:val="right" w:pos="9360"/>
      </w:tabs>
    </w:pPr>
    <w:r>
      <w:rPr>
        <w:b/>
        <w:noProof/>
      </w:rPr>
      <mc:AlternateContent>
        <mc:Choice Requires="wps">
          <w:drawing>
            <wp:anchor distT="0" distB="0" distL="114300" distR="114300" simplePos="0" relativeHeight="251663360" behindDoc="1" locked="0" layoutInCell="0" allowOverlap="1" wp14:anchorId="63E8EAE3" wp14:editId="63E8EAE4">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203F7D"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Pr>
        <w:b/>
        <w:spacing w:val="-2"/>
      </w:rPr>
      <w:t>15-742</w:t>
    </w:r>
  </w:p>
  <w:p w14:paraId="63E8EADF" w14:textId="77777777" w:rsidR="00153AAA" w:rsidRPr="00D3534B" w:rsidRDefault="00153AAA" w:rsidP="00D35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2">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3">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10"/>
  </w:num>
  <w:num w:numId="2">
    <w:abstractNumId w:val="6"/>
  </w:num>
  <w:num w:numId="3">
    <w:abstractNumId w:val="12"/>
  </w:num>
  <w:num w:numId="4">
    <w:abstractNumId w:val="11"/>
  </w:num>
  <w:num w:numId="5">
    <w:abstractNumId w:val="2"/>
  </w:num>
  <w:num w:numId="6">
    <w:abstractNumId w:val="13"/>
  </w:num>
  <w:num w:numId="7">
    <w:abstractNumId w:val="1"/>
  </w:num>
  <w:num w:numId="8">
    <w:abstractNumId w:val="10"/>
    <w:lvlOverride w:ilvl="0">
      <w:startOverride w:val="1"/>
    </w:lvlOverride>
  </w:num>
  <w:num w:numId="9">
    <w:abstractNumId w:val="7"/>
  </w:num>
  <w:num w:numId="10">
    <w:abstractNumId w:val="4"/>
  </w:num>
  <w:num w:numId="11">
    <w:abstractNumId w:val="9"/>
  </w:num>
  <w:num w:numId="12">
    <w:abstractNumId w:val="5"/>
  </w:num>
  <w:num w:numId="13">
    <w:abstractNumId w:val="0"/>
  </w:num>
  <w:num w:numId="14">
    <w:abstractNumId w:val="3"/>
  </w:num>
  <w:num w:numId="15">
    <w:abstractNumId w:val="10"/>
    <w:lvlOverride w:ilvl="0">
      <w:startOverride w:val="4"/>
    </w:lvlOverride>
  </w:num>
  <w:num w:numId="16">
    <w:abstractNumId w:val="10"/>
    <w:lvlOverride w:ilvl="0">
      <w:startOverride w:val="22"/>
    </w:lvlOverride>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lvlOverride w:ilvl="0">
      <w:startOverride w:val="1"/>
    </w:lvlOverride>
  </w:num>
  <w:num w:numId="3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1CB4"/>
    <w:rsid w:val="00014484"/>
    <w:rsid w:val="0002047A"/>
    <w:rsid w:val="000216AD"/>
    <w:rsid w:val="00022B24"/>
    <w:rsid w:val="00024902"/>
    <w:rsid w:val="000251D3"/>
    <w:rsid w:val="000262C0"/>
    <w:rsid w:val="00026D97"/>
    <w:rsid w:val="00036039"/>
    <w:rsid w:val="00036B37"/>
    <w:rsid w:val="00037F90"/>
    <w:rsid w:val="00040BB5"/>
    <w:rsid w:val="0004154A"/>
    <w:rsid w:val="0004267E"/>
    <w:rsid w:val="000514F1"/>
    <w:rsid w:val="00051558"/>
    <w:rsid w:val="00061A57"/>
    <w:rsid w:val="00064ADC"/>
    <w:rsid w:val="000668DA"/>
    <w:rsid w:val="0006774E"/>
    <w:rsid w:val="0007059D"/>
    <w:rsid w:val="000728FF"/>
    <w:rsid w:val="00073450"/>
    <w:rsid w:val="00073561"/>
    <w:rsid w:val="00075906"/>
    <w:rsid w:val="00076C13"/>
    <w:rsid w:val="0008718F"/>
    <w:rsid w:val="000875BF"/>
    <w:rsid w:val="00090E63"/>
    <w:rsid w:val="00094F3A"/>
    <w:rsid w:val="00096D8C"/>
    <w:rsid w:val="000971AC"/>
    <w:rsid w:val="000A5F07"/>
    <w:rsid w:val="000B00E8"/>
    <w:rsid w:val="000B17A6"/>
    <w:rsid w:val="000B622D"/>
    <w:rsid w:val="000C0B65"/>
    <w:rsid w:val="000D5798"/>
    <w:rsid w:val="000E05FE"/>
    <w:rsid w:val="000E3D42"/>
    <w:rsid w:val="000E5A94"/>
    <w:rsid w:val="000E655A"/>
    <w:rsid w:val="000E6874"/>
    <w:rsid w:val="0011427B"/>
    <w:rsid w:val="00122296"/>
    <w:rsid w:val="0012234C"/>
    <w:rsid w:val="00122BD5"/>
    <w:rsid w:val="00126CA2"/>
    <w:rsid w:val="001278CC"/>
    <w:rsid w:val="001314FC"/>
    <w:rsid w:val="0013249B"/>
    <w:rsid w:val="00133F79"/>
    <w:rsid w:val="00136271"/>
    <w:rsid w:val="001438DA"/>
    <w:rsid w:val="00143CF7"/>
    <w:rsid w:val="00145974"/>
    <w:rsid w:val="0015122B"/>
    <w:rsid w:val="0015224A"/>
    <w:rsid w:val="00153AAA"/>
    <w:rsid w:val="00154477"/>
    <w:rsid w:val="00155C0B"/>
    <w:rsid w:val="0015612B"/>
    <w:rsid w:val="00161D89"/>
    <w:rsid w:val="00176594"/>
    <w:rsid w:val="00182304"/>
    <w:rsid w:val="00186182"/>
    <w:rsid w:val="00190C82"/>
    <w:rsid w:val="001911C8"/>
    <w:rsid w:val="0019214A"/>
    <w:rsid w:val="001933D7"/>
    <w:rsid w:val="00194A66"/>
    <w:rsid w:val="00195059"/>
    <w:rsid w:val="001A5288"/>
    <w:rsid w:val="001B2424"/>
    <w:rsid w:val="001B74D4"/>
    <w:rsid w:val="001C1346"/>
    <w:rsid w:val="001C1ADE"/>
    <w:rsid w:val="001C2885"/>
    <w:rsid w:val="001C4926"/>
    <w:rsid w:val="001C71E0"/>
    <w:rsid w:val="001D37A4"/>
    <w:rsid w:val="001D41E6"/>
    <w:rsid w:val="001D4CD4"/>
    <w:rsid w:val="001D6BCF"/>
    <w:rsid w:val="001E01CA"/>
    <w:rsid w:val="00207E47"/>
    <w:rsid w:val="00220A10"/>
    <w:rsid w:val="002436B5"/>
    <w:rsid w:val="0024459E"/>
    <w:rsid w:val="00246786"/>
    <w:rsid w:val="0025156B"/>
    <w:rsid w:val="00262C95"/>
    <w:rsid w:val="00263706"/>
    <w:rsid w:val="002755D1"/>
    <w:rsid w:val="00275CF5"/>
    <w:rsid w:val="00276774"/>
    <w:rsid w:val="00276A71"/>
    <w:rsid w:val="00280D69"/>
    <w:rsid w:val="0028301F"/>
    <w:rsid w:val="00285017"/>
    <w:rsid w:val="00286347"/>
    <w:rsid w:val="00291D68"/>
    <w:rsid w:val="00294E09"/>
    <w:rsid w:val="002A2D2E"/>
    <w:rsid w:val="002A609E"/>
    <w:rsid w:val="002A7B7F"/>
    <w:rsid w:val="002B1765"/>
    <w:rsid w:val="002B5AA5"/>
    <w:rsid w:val="002C00E8"/>
    <w:rsid w:val="002C14B4"/>
    <w:rsid w:val="002C1AC5"/>
    <w:rsid w:val="002C1DDB"/>
    <w:rsid w:val="002E46B8"/>
    <w:rsid w:val="002E4E09"/>
    <w:rsid w:val="002F0A22"/>
    <w:rsid w:val="002F4E1E"/>
    <w:rsid w:val="002F7012"/>
    <w:rsid w:val="003010FA"/>
    <w:rsid w:val="003027C5"/>
    <w:rsid w:val="00302835"/>
    <w:rsid w:val="00302AC4"/>
    <w:rsid w:val="00302C38"/>
    <w:rsid w:val="00320A85"/>
    <w:rsid w:val="00327FAD"/>
    <w:rsid w:val="00330A1A"/>
    <w:rsid w:val="003329C5"/>
    <w:rsid w:val="00340066"/>
    <w:rsid w:val="00343749"/>
    <w:rsid w:val="00344C16"/>
    <w:rsid w:val="003533DC"/>
    <w:rsid w:val="003660ED"/>
    <w:rsid w:val="00370D46"/>
    <w:rsid w:val="00371C88"/>
    <w:rsid w:val="00375E8E"/>
    <w:rsid w:val="003909A2"/>
    <w:rsid w:val="00394828"/>
    <w:rsid w:val="003A2B14"/>
    <w:rsid w:val="003B0550"/>
    <w:rsid w:val="003B4047"/>
    <w:rsid w:val="003B59AC"/>
    <w:rsid w:val="003B694F"/>
    <w:rsid w:val="003C1B4D"/>
    <w:rsid w:val="003C4A20"/>
    <w:rsid w:val="003C4BCC"/>
    <w:rsid w:val="003D7A7D"/>
    <w:rsid w:val="003E177F"/>
    <w:rsid w:val="003F171C"/>
    <w:rsid w:val="003F5CF7"/>
    <w:rsid w:val="00412FC5"/>
    <w:rsid w:val="00422276"/>
    <w:rsid w:val="004242F1"/>
    <w:rsid w:val="00426D94"/>
    <w:rsid w:val="004305E9"/>
    <w:rsid w:val="00440A39"/>
    <w:rsid w:val="0044203A"/>
    <w:rsid w:val="00445A00"/>
    <w:rsid w:val="00451B0F"/>
    <w:rsid w:val="00453A9E"/>
    <w:rsid w:val="004620CB"/>
    <w:rsid w:val="004676BE"/>
    <w:rsid w:val="00474905"/>
    <w:rsid w:val="00485C9F"/>
    <w:rsid w:val="00486AAF"/>
    <w:rsid w:val="00487DA4"/>
    <w:rsid w:val="00497977"/>
    <w:rsid w:val="004A5FBA"/>
    <w:rsid w:val="004A7F18"/>
    <w:rsid w:val="004C10C0"/>
    <w:rsid w:val="004C2EE3"/>
    <w:rsid w:val="004C303F"/>
    <w:rsid w:val="004E4A22"/>
    <w:rsid w:val="004E4F32"/>
    <w:rsid w:val="004E5ED4"/>
    <w:rsid w:val="004F2215"/>
    <w:rsid w:val="00503FA9"/>
    <w:rsid w:val="00511968"/>
    <w:rsid w:val="0051761D"/>
    <w:rsid w:val="0052112B"/>
    <w:rsid w:val="0055035F"/>
    <w:rsid w:val="00550DB5"/>
    <w:rsid w:val="00552E46"/>
    <w:rsid w:val="00554498"/>
    <w:rsid w:val="00555C8A"/>
    <w:rsid w:val="0055614C"/>
    <w:rsid w:val="00560DA5"/>
    <w:rsid w:val="00562DFF"/>
    <w:rsid w:val="00565042"/>
    <w:rsid w:val="00566E9B"/>
    <w:rsid w:val="005675C2"/>
    <w:rsid w:val="00571B10"/>
    <w:rsid w:val="00572F28"/>
    <w:rsid w:val="00582BA0"/>
    <w:rsid w:val="00586080"/>
    <w:rsid w:val="0058772B"/>
    <w:rsid w:val="005902EF"/>
    <w:rsid w:val="0059200B"/>
    <w:rsid w:val="00593EAD"/>
    <w:rsid w:val="005A5FC7"/>
    <w:rsid w:val="005B4F0E"/>
    <w:rsid w:val="005D2C62"/>
    <w:rsid w:val="005D5341"/>
    <w:rsid w:val="005D5EBB"/>
    <w:rsid w:val="005E10F1"/>
    <w:rsid w:val="005E14C2"/>
    <w:rsid w:val="005E6193"/>
    <w:rsid w:val="00605F22"/>
    <w:rsid w:val="0060622A"/>
    <w:rsid w:val="00607BA5"/>
    <w:rsid w:val="00610208"/>
    <w:rsid w:val="0061180A"/>
    <w:rsid w:val="0061277D"/>
    <w:rsid w:val="00623967"/>
    <w:rsid w:val="00626EB6"/>
    <w:rsid w:val="00637785"/>
    <w:rsid w:val="006459B1"/>
    <w:rsid w:val="00646C36"/>
    <w:rsid w:val="00652649"/>
    <w:rsid w:val="0065270B"/>
    <w:rsid w:val="006534CA"/>
    <w:rsid w:val="00655733"/>
    <w:rsid w:val="00655D03"/>
    <w:rsid w:val="00665547"/>
    <w:rsid w:val="00683388"/>
    <w:rsid w:val="00683B2D"/>
    <w:rsid w:val="00683F1F"/>
    <w:rsid w:val="00683F84"/>
    <w:rsid w:val="0069076A"/>
    <w:rsid w:val="006918C5"/>
    <w:rsid w:val="0069341E"/>
    <w:rsid w:val="00693CBB"/>
    <w:rsid w:val="006A0CCD"/>
    <w:rsid w:val="006A16B3"/>
    <w:rsid w:val="006A2897"/>
    <w:rsid w:val="006A551D"/>
    <w:rsid w:val="006A6A81"/>
    <w:rsid w:val="006B14DD"/>
    <w:rsid w:val="006C3459"/>
    <w:rsid w:val="006C761E"/>
    <w:rsid w:val="006D133D"/>
    <w:rsid w:val="006D44F8"/>
    <w:rsid w:val="006E207C"/>
    <w:rsid w:val="006E3C67"/>
    <w:rsid w:val="006E4E12"/>
    <w:rsid w:val="006F0B58"/>
    <w:rsid w:val="006F7147"/>
    <w:rsid w:val="006F7393"/>
    <w:rsid w:val="0070112A"/>
    <w:rsid w:val="0070224F"/>
    <w:rsid w:val="00703BD1"/>
    <w:rsid w:val="00710CC1"/>
    <w:rsid w:val="007115F7"/>
    <w:rsid w:val="00712B39"/>
    <w:rsid w:val="00712FE9"/>
    <w:rsid w:val="00722BB4"/>
    <w:rsid w:val="007563C6"/>
    <w:rsid w:val="00770B53"/>
    <w:rsid w:val="0078084A"/>
    <w:rsid w:val="00782F47"/>
    <w:rsid w:val="00785689"/>
    <w:rsid w:val="0078789C"/>
    <w:rsid w:val="0079754B"/>
    <w:rsid w:val="007A1E6D"/>
    <w:rsid w:val="007A541A"/>
    <w:rsid w:val="007B0D37"/>
    <w:rsid w:val="007B0E95"/>
    <w:rsid w:val="007B0EB2"/>
    <w:rsid w:val="007B2623"/>
    <w:rsid w:val="007B5620"/>
    <w:rsid w:val="007C0B2B"/>
    <w:rsid w:val="007C0B39"/>
    <w:rsid w:val="007C4242"/>
    <w:rsid w:val="007C473D"/>
    <w:rsid w:val="007C514D"/>
    <w:rsid w:val="007D03BC"/>
    <w:rsid w:val="007D19A5"/>
    <w:rsid w:val="007D2615"/>
    <w:rsid w:val="007D2A1D"/>
    <w:rsid w:val="007D7BED"/>
    <w:rsid w:val="007E04E4"/>
    <w:rsid w:val="007E2EBD"/>
    <w:rsid w:val="007E79EC"/>
    <w:rsid w:val="007F2132"/>
    <w:rsid w:val="007F766D"/>
    <w:rsid w:val="00805BF5"/>
    <w:rsid w:val="00806024"/>
    <w:rsid w:val="008062B4"/>
    <w:rsid w:val="0080718C"/>
    <w:rsid w:val="00810B6F"/>
    <w:rsid w:val="008155A1"/>
    <w:rsid w:val="00822CE0"/>
    <w:rsid w:val="008257A7"/>
    <w:rsid w:val="00830A41"/>
    <w:rsid w:val="00832DE8"/>
    <w:rsid w:val="008335CC"/>
    <w:rsid w:val="0083587E"/>
    <w:rsid w:val="00841AB1"/>
    <w:rsid w:val="00842EF2"/>
    <w:rsid w:val="00843A5F"/>
    <w:rsid w:val="00852593"/>
    <w:rsid w:val="00880D15"/>
    <w:rsid w:val="00883524"/>
    <w:rsid w:val="008A1C76"/>
    <w:rsid w:val="008A2AD9"/>
    <w:rsid w:val="008A3BFE"/>
    <w:rsid w:val="008A4375"/>
    <w:rsid w:val="008A5CB2"/>
    <w:rsid w:val="008A7975"/>
    <w:rsid w:val="008A7AD7"/>
    <w:rsid w:val="008B082A"/>
    <w:rsid w:val="008B36CB"/>
    <w:rsid w:val="008B507E"/>
    <w:rsid w:val="008B628C"/>
    <w:rsid w:val="008C474B"/>
    <w:rsid w:val="008C68F1"/>
    <w:rsid w:val="008D3C3F"/>
    <w:rsid w:val="008D6611"/>
    <w:rsid w:val="008D79FA"/>
    <w:rsid w:val="008E0FBE"/>
    <w:rsid w:val="008E3790"/>
    <w:rsid w:val="008E5A04"/>
    <w:rsid w:val="008F21E8"/>
    <w:rsid w:val="008F2DBF"/>
    <w:rsid w:val="00901E3F"/>
    <w:rsid w:val="009068C2"/>
    <w:rsid w:val="00913231"/>
    <w:rsid w:val="009150AB"/>
    <w:rsid w:val="00921803"/>
    <w:rsid w:val="00925078"/>
    <w:rsid w:val="00926503"/>
    <w:rsid w:val="00926FC4"/>
    <w:rsid w:val="009279FD"/>
    <w:rsid w:val="00927B1B"/>
    <w:rsid w:val="0093006C"/>
    <w:rsid w:val="009341CC"/>
    <w:rsid w:val="00936B23"/>
    <w:rsid w:val="009476B1"/>
    <w:rsid w:val="00950A70"/>
    <w:rsid w:val="0095105D"/>
    <w:rsid w:val="009665D7"/>
    <w:rsid w:val="0096758E"/>
    <w:rsid w:val="00971733"/>
    <w:rsid w:val="009726D8"/>
    <w:rsid w:val="00980648"/>
    <w:rsid w:val="00982541"/>
    <w:rsid w:val="009850EA"/>
    <w:rsid w:val="00993743"/>
    <w:rsid w:val="009A17A5"/>
    <w:rsid w:val="009B31C8"/>
    <w:rsid w:val="009C3FC4"/>
    <w:rsid w:val="009C46DE"/>
    <w:rsid w:val="009C6343"/>
    <w:rsid w:val="009D05A0"/>
    <w:rsid w:val="009D071B"/>
    <w:rsid w:val="009D6ED8"/>
    <w:rsid w:val="009D7FB5"/>
    <w:rsid w:val="009E1DE8"/>
    <w:rsid w:val="009E2673"/>
    <w:rsid w:val="009E51C5"/>
    <w:rsid w:val="009F0B2C"/>
    <w:rsid w:val="009F76DB"/>
    <w:rsid w:val="00A11A13"/>
    <w:rsid w:val="00A13790"/>
    <w:rsid w:val="00A13EEC"/>
    <w:rsid w:val="00A168BC"/>
    <w:rsid w:val="00A17DF1"/>
    <w:rsid w:val="00A23E32"/>
    <w:rsid w:val="00A26DAA"/>
    <w:rsid w:val="00A32C3B"/>
    <w:rsid w:val="00A34BAD"/>
    <w:rsid w:val="00A45B71"/>
    <w:rsid w:val="00A45F4F"/>
    <w:rsid w:val="00A475EF"/>
    <w:rsid w:val="00A51F7B"/>
    <w:rsid w:val="00A53EF3"/>
    <w:rsid w:val="00A547F8"/>
    <w:rsid w:val="00A5613E"/>
    <w:rsid w:val="00A600A9"/>
    <w:rsid w:val="00A66B78"/>
    <w:rsid w:val="00A77FDB"/>
    <w:rsid w:val="00A8149F"/>
    <w:rsid w:val="00AA1A67"/>
    <w:rsid w:val="00AA55B7"/>
    <w:rsid w:val="00AA5B9E"/>
    <w:rsid w:val="00AB2407"/>
    <w:rsid w:val="00AB4089"/>
    <w:rsid w:val="00AB43B3"/>
    <w:rsid w:val="00AB53DF"/>
    <w:rsid w:val="00AB6ADC"/>
    <w:rsid w:val="00AC67DE"/>
    <w:rsid w:val="00AC7DEE"/>
    <w:rsid w:val="00AD0401"/>
    <w:rsid w:val="00AD552D"/>
    <w:rsid w:val="00AD6D76"/>
    <w:rsid w:val="00AE01C2"/>
    <w:rsid w:val="00AE24D5"/>
    <w:rsid w:val="00B0044E"/>
    <w:rsid w:val="00B023FF"/>
    <w:rsid w:val="00B067FE"/>
    <w:rsid w:val="00B07974"/>
    <w:rsid w:val="00B07E5C"/>
    <w:rsid w:val="00B1444F"/>
    <w:rsid w:val="00B14DF6"/>
    <w:rsid w:val="00B174A6"/>
    <w:rsid w:val="00B213CA"/>
    <w:rsid w:val="00B2646D"/>
    <w:rsid w:val="00B26748"/>
    <w:rsid w:val="00B43FC1"/>
    <w:rsid w:val="00B4634E"/>
    <w:rsid w:val="00B51B28"/>
    <w:rsid w:val="00B554C0"/>
    <w:rsid w:val="00B56312"/>
    <w:rsid w:val="00B612FF"/>
    <w:rsid w:val="00B65D91"/>
    <w:rsid w:val="00B66BAD"/>
    <w:rsid w:val="00B709FD"/>
    <w:rsid w:val="00B7146B"/>
    <w:rsid w:val="00B73A30"/>
    <w:rsid w:val="00B76F47"/>
    <w:rsid w:val="00B810D1"/>
    <w:rsid w:val="00B811F7"/>
    <w:rsid w:val="00B8387C"/>
    <w:rsid w:val="00B905A7"/>
    <w:rsid w:val="00B94251"/>
    <w:rsid w:val="00BA1172"/>
    <w:rsid w:val="00BA5DC6"/>
    <w:rsid w:val="00BA6196"/>
    <w:rsid w:val="00BB440F"/>
    <w:rsid w:val="00BC67CB"/>
    <w:rsid w:val="00BC6D8C"/>
    <w:rsid w:val="00BC7821"/>
    <w:rsid w:val="00BD08D2"/>
    <w:rsid w:val="00BD4EBC"/>
    <w:rsid w:val="00BD5BEC"/>
    <w:rsid w:val="00BD779B"/>
    <w:rsid w:val="00BE103C"/>
    <w:rsid w:val="00BE7E75"/>
    <w:rsid w:val="00BF3844"/>
    <w:rsid w:val="00BF5002"/>
    <w:rsid w:val="00BF684A"/>
    <w:rsid w:val="00C014DA"/>
    <w:rsid w:val="00C01E1F"/>
    <w:rsid w:val="00C04651"/>
    <w:rsid w:val="00C236AC"/>
    <w:rsid w:val="00C2508B"/>
    <w:rsid w:val="00C277CC"/>
    <w:rsid w:val="00C27BF9"/>
    <w:rsid w:val="00C34006"/>
    <w:rsid w:val="00C353B8"/>
    <w:rsid w:val="00C3652C"/>
    <w:rsid w:val="00C426B1"/>
    <w:rsid w:val="00C43E4A"/>
    <w:rsid w:val="00C575BD"/>
    <w:rsid w:val="00C6383F"/>
    <w:rsid w:val="00C66160"/>
    <w:rsid w:val="00C7140C"/>
    <w:rsid w:val="00C721AC"/>
    <w:rsid w:val="00C74119"/>
    <w:rsid w:val="00C754D2"/>
    <w:rsid w:val="00C77CE9"/>
    <w:rsid w:val="00C841D5"/>
    <w:rsid w:val="00C907ED"/>
    <w:rsid w:val="00C90D6A"/>
    <w:rsid w:val="00CA247E"/>
    <w:rsid w:val="00CB1583"/>
    <w:rsid w:val="00CC72B6"/>
    <w:rsid w:val="00CD3870"/>
    <w:rsid w:val="00CE68FE"/>
    <w:rsid w:val="00CE79A0"/>
    <w:rsid w:val="00CE7D37"/>
    <w:rsid w:val="00CF1B2D"/>
    <w:rsid w:val="00D0218D"/>
    <w:rsid w:val="00D059E5"/>
    <w:rsid w:val="00D10735"/>
    <w:rsid w:val="00D11138"/>
    <w:rsid w:val="00D24CB0"/>
    <w:rsid w:val="00D257FC"/>
    <w:rsid w:val="00D25FB5"/>
    <w:rsid w:val="00D26D0E"/>
    <w:rsid w:val="00D341FE"/>
    <w:rsid w:val="00D3534B"/>
    <w:rsid w:val="00D44223"/>
    <w:rsid w:val="00D4452F"/>
    <w:rsid w:val="00D45A54"/>
    <w:rsid w:val="00D503BA"/>
    <w:rsid w:val="00D528BF"/>
    <w:rsid w:val="00D55502"/>
    <w:rsid w:val="00D560CD"/>
    <w:rsid w:val="00D56A4B"/>
    <w:rsid w:val="00D607B0"/>
    <w:rsid w:val="00D612FE"/>
    <w:rsid w:val="00D627A6"/>
    <w:rsid w:val="00D629B6"/>
    <w:rsid w:val="00D65117"/>
    <w:rsid w:val="00D66953"/>
    <w:rsid w:val="00D71C6E"/>
    <w:rsid w:val="00D80103"/>
    <w:rsid w:val="00D83696"/>
    <w:rsid w:val="00D84F78"/>
    <w:rsid w:val="00D86FE7"/>
    <w:rsid w:val="00D9021A"/>
    <w:rsid w:val="00DA1426"/>
    <w:rsid w:val="00DA176A"/>
    <w:rsid w:val="00DA2529"/>
    <w:rsid w:val="00DA7DE7"/>
    <w:rsid w:val="00DB0955"/>
    <w:rsid w:val="00DB0C03"/>
    <w:rsid w:val="00DB130A"/>
    <w:rsid w:val="00DB178E"/>
    <w:rsid w:val="00DB2EBB"/>
    <w:rsid w:val="00DC10A1"/>
    <w:rsid w:val="00DC2111"/>
    <w:rsid w:val="00DC655F"/>
    <w:rsid w:val="00DC7048"/>
    <w:rsid w:val="00DD0B59"/>
    <w:rsid w:val="00DD1F61"/>
    <w:rsid w:val="00DD4456"/>
    <w:rsid w:val="00DD77CE"/>
    <w:rsid w:val="00DD7EBD"/>
    <w:rsid w:val="00DF2595"/>
    <w:rsid w:val="00DF4574"/>
    <w:rsid w:val="00DF62B6"/>
    <w:rsid w:val="00DF747E"/>
    <w:rsid w:val="00E0195B"/>
    <w:rsid w:val="00E01E06"/>
    <w:rsid w:val="00E02214"/>
    <w:rsid w:val="00E02D1D"/>
    <w:rsid w:val="00E03587"/>
    <w:rsid w:val="00E03CB2"/>
    <w:rsid w:val="00E067E9"/>
    <w:rsid w:val="00E07225"/>
    <w:rsid w:val="00E1090A"/>
    <w:rsid w:val="00E1401A"/>
    <w:rsid w:val="00E17CC3"/>
    <w:rsid w:val="00E2093F"/>
    <w:rsid w:val="00E22653"/>
    <w:rsid w:val="00E24E9F"/>
    <w:rsid w:val="00E3009C"/>
    <w:rsid w:val="00E327EE"/>
    <w:rsid w:val="00E32B72"/>
    <w:rsid w:val="00E40F40"/>
    <w:rsid w:val="00E43C74"/>
    <w:rsid w:val="00E4501C"/>
    <w:rsid w:val="00E5409F"/>
    <w:rsid w:val="00E55D00"/>
    <w:rsid w:val="00E5745E"/>
    <w:rsid w:val="00E656A4"/>
    <w:rsid w:val="00E66F37"/>
    <w:rsid w:val="00E8027E"/>
    <w:rsid w:val="00E831BB"/>
    <w:rsid w:val="00E86022"/>
    <w:rsid w:val="00E861B3"/>
    <w:rsid w:val="00E8630A"/>
    <w:rsid w:val="00E96AD2"/>
    <w:rsid w:val="00EA12C6"/>
    <w:rsid w:val="00EA79E8"/>
    <w:rsid w:val="00EB20A8"/>
    <w:rsid w:val="00ED3120"/>
    <w:rsid w:val="00ED419F"/>
    <w:rsid w:val="00EE1291"/>
    <w:rsid w:val="00EE6488"/>
    <w:rsid w:val="00EF1B1B"/>
    <w:rsid w:val="00EF2D5B"/>
    <w:rsid w:val="00EF30D3"/>
    <w:rsid w:val="00EF4A86"/>
    <w:rsid w:val="00EF5FE2"/>
    <w:rsid w:val="00F021FA"/>
    <w:rsid w:val="00F02B8E"/>
    <w:rsid w:val="00F05C62"/>
    <w:rsid w:val="00F071DB"/>
    <w:rsid w:val="00F11423"/>
    <w:rsid w:val="00F14CA6"/>
    <w:rsid w:val="00F16CFE"/>
    <w:rsid w:val="00F21F87"/>
    <w:rsid w:val="00F22FBF"/>
    <w:rsid w:val="00F23894"/>
    <w:rsid w:val="00F23B6A"/>
    <w:rsid w:val="00F26C20"/>
    <w:rsid w:val="00F32845"/>
    <w:rsid w:val="00F46FBA"/>
    <w:rsid w:val="00F56A65"/>
    <w:rsid w:val="00F60217"/>
    <w:rsid w:val="00F629DB"/>
    <w:rsid w:val="00F62E97"/>
    <w:rsid w:val="00F64209"/>
    <w:rsid w:val="00F65999"/>
    <w:rsid w:val="00F660CB"/>
    <w:rsid w:val="00F67DCE"/>
    <w:rsid w:val="00F7063C"/>
    <w:rsid w:val="00F764C3"/>
    <w:rsid w:val="00F8143D"/>
    <w:rsid w:val="00F8503B"/>
    <w:rsid w:val="00F8748A"/>
    <w:rsid w:val="00F93BF5"/>
    <w:rsid w:val="00FA5B59"/>
    <w:rsid w:val="00FB3458"/>
    <w:rsid w:val="00FB39CB"/>
    <w:rsid w:val="00FB4615"/>
    <w:rsid w:val="00FC5BF6"/>
    <w:rsid w:val="00FC7AC6"/>
    <w:rsid w:val="00FD0E89"/>
    <w:rsid w:val="00FD0F9C"/>
    <w:rsid w:val="00FE482A"/>
    <w:rsid w:val="00FE5B2B"/>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E8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4D"/>
    <w:pPr>
      <w:widowControl w:val="0"/>
    </w:pPr>
    <w:rPr>
      <w:snapToGrid w:val="0"/>
      <w:kern w:val="28"/>
      <w:sz w:val="22"/>
    </w:rPr>
  </w:style>
  <w:style w:type="paragraph" w:styleId="Heading1">
    <w:name w:val="heading 1"/>
    <w:basedOn w:val="Normal"/>
    <w:next w:val="ParaNum"/>
    <w:link w:val="Heading1Char"/>
    <w:qFormat/>
    <w:rsid w:val="003C1B4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C1B4D"/>
    <w:pPr>
      <w:keepNext/>
      <w:numPr>
        <w:ilvl w:val="1"/>
        <w:numId w:val="2"/>
      </w:numPr>
      <w:spacing w:after="120"/>
      <w:outlineLvl w:val="1"/>
    </w:pPr>
    <w:rPr>
      <w:b/>
    </w:rPr>
  </w:style>
  <w:style w:type="paragraph" w:styleId="Heading3">
    <w:name w:val="heading 3"/>
    <w:basedOn w:val="Normal"/>
    <w:next w:val="ParaNum"/>
    <w:qFormat/>
    <w:rsid w:val="003C1B4D"/>
    <w:pPr>
      <w:keepNext/>
      <w:numPr>
        <w:ilvl w:val="2"/>
        <w:numId w:val="2"/>
      </w:numPr>
      <w:tabs>
        <w:tab w:val="left" w:pos="2160"/>
      </w:tabs>
      <w:spacing w:after="120"/>
      <w:outlineLvl w:val="2"/>
    </w:pPr>
    <w:rPr>
      <w:b/>
    </w:rPr>
  </w:style>
  <w:style w:type="paragraph" w:styleId="Heading4">
    <w:name w:val="heading 4"/>
    <w:basedOn w:val="Normal"/>
    <w:next w:val="ParaNum"/>
    <w:qFormat/>
    <w:rsid w:val="003C1B4D"/>
    <w:pPr>
      <w:keepNext/>
      <w:numPr>
        <w:ilvl w:val="3"/>
        <w:numId w:val="2"/>
      </w:numPr>
      <w:tabs>
        <w:tab w:val="left" w:pos="2880"/>
      </w:tabs>
      <w:spacing w:after="120"/>
      <w:outlineLvl w:val="3"/>
    </w:pPr>
    <w:rPr>
      <w:b/>
    </w:rPr>
  </w:style>
  <w:style w:type="paragraph" w:styleId="Heading5">
    <w:name w:val="heading 5"/>
    <w:basedOn w:val="Normal"/>
    <w:next w:val="ParaNum"/>
    <w:qFormat/>
    <w:rsid w:val="003C1B4D"/>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3C1B4D"/>
    <w:pPr>
      <w:numPr>
        <w:ilvl w:val="5"/>
        <w:numId w:val="2"/>
      </w:numPr>
      <w:tabs>
        <w:tab w:val="left" w:pos="4320"/>
      </w:tabs>
      <w:spacing w:after="120"/>
      <w:outlineLvl w:val="5"/>
    </w:pPr>
    <w:rPr>
      <w:b/>
    </w:rPr>
  </w:style>
  <w:style w:type="paragraph" w:styleId="Heading7">
    <w:name w:val="heading 7"/>
    <w:basedOn w:val="Normal"/>
    <w:next w:val="ParaNum"/>
    <w:qFormat/>
    <w:rsid w:val="003C1B4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3C1B4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3C1B4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C1B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1B4D"/>
  </w:style>
  <w:style w:type="paragraph" w:customStyle="1" w:styleId="ParaNum">
    <w:name w:val="ParaNum"/>
    <w:basedOn w:val="Normal"/>
    <w:link w:val="ParaNumChar"/>
    <w:rsid w:val="003C1B4D"/>
    <w:pPr>
      <w:numPr>
        <w:numId w:val="1"/>
      </w:numPr>
      <w:tabs>
        <w:tab w:val="clear" w:pos="1080"/>
        <w:tab w:val="num" w:pos="1440"/>
      </w:tabs>
      <w:spacing w:after="120"/>
    </w:pPr>
  </w:style>
  <w:style w:type="paragraph" w:styleId="EndnoteText">
    <w:name w:val="endnote text"/>
    <w:basedOn w:val="Normal"/>
    <w:semiHidden/>
    <w:rsid w:val="003C1B4D"/>
    <w:rPr>
      <w:sz w:val="20"/>
    </w:rPr>
  </w:style>
  <w:style w:type="character" w:styleId="EndnoteReference">
    <w:name w:val="endnote reference"/>
    <w:semiHidden/>
    <w:rsid w:val="003C1B4D"/>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3C1B4D"/>
    <w:pPr>
      <w:spacing w:after="120"/>
    </w:pPr>
  </w:style>
  <w:style w:type="character" w:styleId="FootnoteReference">
    <w:name w:val="footnote reference"/>
    <w:aliases w:val="Style 4,Style 12,(NECG) Footnote Reference,Appel note de bas de p,Style 124,Style 13,o,fr,Style 3,FR,Style 17,Footnote Reference/,Style 6"/>
    <w:rsid w:val="003C1B4D"/>
    <w:rPr>
      <w:rFonts w:ascii="Times New Roman" w:hAnsi="Times New Roman"/>
      <w:dstrike w:val="0"/>
      <w:color w:val="auto"/>
      <w:sz w:val="20"/>
      <w:vertAlign w:val="superscript"/>
    </w:rPr>
  </w:style>
  <w:style w:type="paragraph" w:styleId="TOC1">
    <w:name w:val="toc 1"/>
    <w:basedOn w:val="Normal"/>
    <w:next w:val="Normal"/>
    <w:semiHidden/>
    <w:rsid w:val="003C1B4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1B4D"/>
    <w:pPr>
      <w:tabs>
        <w:tab w:val="left" w:pos="720"/>
        <w:tab w:val="right" w:leader="dot" w:pos="9360"/>
      </w:tabs>
      <w:suppressAutoHyphens/>
      <w:ind w:left="720" w:right="720" w:hanging="360"/>
    </w:pPr>
    <w:rPr>
      <w:noProof/>
    </w:rPr>
  </w:style>
  <w:style w:type="paragraph" w:styleId="TOC3">
    <w:name w:val="toc 3"/>
    <w:basedOn w:val="Normal"/>
    <w:next w:val="Normal"/>
    <w:semiHidden/>
    <w:rsid w:val="003C1B4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1B4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1B4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1B4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1B4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1B4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1B4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1B4D"/>
    <w:pPr>
      <w:tabs>
        <w:tab w:val="right" w:pos="9360"/>
      </w:tabs>
      <w:suppressAutoHyphens/>
    </w:pPr>
  </w:style>
  <w:style w:type="character" w:customStyle="1" w:styleId="EquationCaption">
    <w:name w:val="_Equation Caption"/>
    <w:rsid w:val="003C1B4D"/>
  </w:style>
  <w:style w:type="paragraph" w:styleId="Header">
    <w:name w:val="header"/>
    <w:basedOn w:val="Normal"/>
    <w:link w:val="HeaderChar"/>
    <w:autoRedefine/>
    <w:rsid w:val="003C1B4D"/>
    <w:pPr>
      <w:tabs>
        <w:tab w:val="center" w:pos="4680"/>
        <w:tab w:val="right" w:pos="9360"/>
      </w:tabs>
    </w:pPr>
    <w:rPr>
      <w:b/>
    </w:rPr>
  </w:style>
  <w:style w:type="paragraph" w:styleId="Footer">
    <w:name w:val="footer"/>
    <w:basedOn w:val="Normal"/>
    <w:link w:val="FooterChar"/>
    <w:rsid w:val="003C1B4D"/>
    <w:pPr>
      <w:tabs>
        <w:tab w:val="center" w:pos="4320"/>
        <w:tab w:val="right" w:pos="8640"/>
      </w:tabs>
    </w:pPr>
  </w:style>
  <w:style w:type="character" w:styleId="PageNumber">
    <w:name w:val="page number"/>
    <w:basedOn w:val="DefaultParagraphFont"/>
    <w:rsid w:val="003C1B4D"/>
  </w:style>
  <w:style w:type="paragraph" w:styleId="BlockText">
    <w:name w:val="Block Text"/>
    <w:basedOn w:val="Normal"/>
    <w:rsid w:val="003C1B4D"/>
    <w:pPr>
      <w:spacing w:after="240"/>
      <w:ind w:left="1440" w:right="1440"/>
    </w:pPr>
  </w:style>
  <w:style w:type="paragraph" w:customStyle="1" w:styleId="Paratitle">
    <w:name w:val="Para title"/>
    <w:basedOn w:val="Normal"/>
    <w:rsid w:val="003C1B4D"/>
    <w:pPr>
      <w:tabs>
        <w:tab w:val="center" w:pos="9270"/>
      </w:tabs>
      <w:spacing w:after="240"/>
    </w:pPr>
    <w:rPr>
      <w:spacing w:val="-2"/>
    </w:rPr>
  </w:style>
  <w:style w:type="paragraph" w:customStyle="1" w:styleId="Bullet">
    <w:name w:val="Bullet"/>
    <w:basedOn w:val="Normal"/>
    <w:rsid w:val="003C1B4D"/>
    <w:pPr>
      <w:tabs>
        <w:tab w:val="left" w:pos="2160"/>
      </w:tabs>
      <w:spacing w:after="220"/>
      <w:ind w:left="2160" w:hanging="720"/>
    </w:pPr>
  </w:style>
  <w:style w:type="paragraph" w:customStyle="1" w:styleId="TableFormat">
    <w:name w:val="TableFormat"/>
    <w:basedOn w:val="Bullet"/>
    <w:rsid w:val="003C1B4D"/>
    <w:pPr>
      <w:tabs>
        <w:tab w:val="clear" w:pos="2160"/>
        <w:tab w:val="left" w:pos="5040"/>
      </w:tabs>
      <w:ind w:left="5040" w:hanging="3600"/>
    </w:pPr>
  </w:style>
  <w:style w:type="paragraph" w:customStyle="1" w:styleId="TOCTitle">
    <w:name w:val="TOC Title"/>
    <w:basedOn w:val="Normal"/>
    <w:rsid w:val="003C1B4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1B4D"/>
    <w:pPr>
      <w:jc w:val="center"/>
    </w:pPr>
    <w:rPr>
      <w:rFonts w:ascii="Times New Roman Bold" w:hAnsi="Times New Roman Bold"/>
      <w:b/>
      <w:bCs/>
      <w:caps/>
      <w:szCs w:val="22"/>
    </w:rPr>
  </w:style>
  <w:style w:type="character" w:styleId="Hyperlink">
    <w:name w:val="Hyperlink"/>
    <w:rsid w:val="003C1B4D"/>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4D"/>
    <w:pPr>
      <w:widowControl w:val="0"/>
    </w:pPr>
    <w:rPr>
      <w:snapToGrid w:val="0"/>
      <w:kern w:val="28"/>
      <w:sz w:val="22"/>
    </w:rPr>
  </w:style>
  <w:style w:type="paragraph" w:styleId="Heading1">
    <w:name w:val="heading 1"/>
    <w:basedOn w:val="Normal"/>
    <w:next w:val="ParaNum"/>
    <w:link w:val="Heading1Char"/>
    <w:qFormat/>
    <w:rsid w:val="003C1B4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C1B4D"/>
    <w:pPr>
      <w:keepNext/>
      <w:numPr>
        <w:ilvl w:val="1"/>
        <w:numId w:val="2"/>
      </w:numPr>
      <w:spacing w:after="120"/>
      <w:outlineLvl w:val="1"/>
    </w:pPr>
    <w:rPr>
      <w:b/>
    </w:rPr>
  </w:style>
  <w:style w:type="paragraph" w:styleId="Heading3">
    <w:name w:val="heading 3"/>
    <w:basedOn w:val="Normal"/>
    <w:next w:val="ParaNum"/>
    <w:qFormat/>
    <w:rsid w:val="003C1B4D"/>
    <w:pPr>
      <w:keepNext/>
      <w:numPr>
        <w:ilvl w:val="2"/>
        <w:numId w:val="2"/>
      </w:numPr>
      <w:tabs>
        <w:tab w:val="left" w:pos="2160"/>
      </w:tabs>
      <w:spacing w:after="120"/>
      <w:outlineLvl w:val="2"/>
    </w:pPr>
    <w:rPr>
      <w:b/>
    </w:rPr>
  </w:style>
  <w:style w:type="paragraph" w:styleId="Heading4">
    <w:name w:val="heading 4"/>
    <w:basedOn w:val="Normal"/>
    <w:next w:val="ParaNum"/>
    <w:qFormat/>
    <w:rsid w:val="003C1B4D"/>
    <w:pPr>
      <w:keepNext/>
      <w:numPr>
        <w:ilvl w:val="3"/>
        <w:numId w:val="2"/>
      </w:numPr>
      <w:tabs>
        <w:tab w:val="left" w:pos="2880"/>
      </w:tabs>
      <w:spacing w:after="120"/>
      <w:outlineLvl w:val="3"/>
    </w:pPr>
    <w:rPr>
      <w:b/>
    </w:rPr>
  </w:style>
  <w:style w:type="paragraph" w:styleId="Heading5">
    <w:name w:val="heading 5"/>
    <w:basedOn w:val="Normal"/>
    <w:next w:val="ParaNum"/>
    <w:qFormat/>
    <w:rsid w:val="003C1B4D"/>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3C1B4D"/>
    <w:pPr>
      <w:numPr>
        <w:ilvl w:val="5"/>
        <w:numId w:val="2"/>
      </w:numPr>
      <w:tabs>
        <w:tab w:val="left" w:pos="4320"/>
      </w:tabs>
      <w:spacing w:after="120"/>
      <w:outlineLvl w:val="5"/>
    </w:pPr>
    <w:rPr>
      <w:b/>
    </w:rPr>
  </w:style>
  <w:style w:type="paragraph" w:styleId="Heading7">
    <w:name w:val="heading 7"/>
    <w:basedOn w:val="Normal"/>
    <w:next w:val="ParaNum"/>
    <w:qFormat/>
    <w:rsid w:val="003C1B4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3C1B4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3C1B4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C1B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1B4D"/>
  </w:style>
  <w:style w:type="paragraph" w:customStyle="1" w:styleId="ParaNum">
    <w:name w:val="ParaNum"/>
    <w:basedOn w:val="Normal"/>
    <w:link w:val="ParaNumChar"/>
    <w:rsid w:val="003C1B4D"/>
    <w:pPr>
      <w:numPr>
        <w:numId w:val="1"/>
      </w:numPr>
      <w:tabs>
        <w:tab w:val="clear" w:pos="1080"/>
        <w:tab w:val="num" w:pos="1440"/>
      </w:tabs>
      <w:spacing w:after="120"/>
    </w:pPr>
  </w:style>
  <w:style w:type="paragraph" w:styleId="EndnoteText">
    <w:name w:val="endnote text"/>
    <w:basedOn w:val="Normal"/>
    <w:semiHidden/>
    <w:rsid w:val="003C1B4D"/>
    <w:rPr>
      <w:sz w:val="20"/>
    </w:rPr>
  </w:style>
  <w:style w:type="character" w:styleId="EndnoteReference">
    <w:name w:val="endnote reference"/>
    <w:semiHidden/>
    <w:rsid w:val="003C1B4D"/>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3C1B4D"/>
    <w:pPr>
      <w:spacing w:after="120"/>
    </w:pPr>
  </w:style>
  <w:style w:type="character" w:styleId="FootnoteReference">
    <w:name w:val="footnote reference"/>
    <w:aliases w:val="Style 4,Style 12,(NECG) Footnote Reference,Appel note de bas de p,Style 124,Style 13,o,fr,Style 3,FR,Style 17,Footnote Reference/,Style 6"/>
    <w:rsid w:val="003C1B4D"/>
    <w:rPr>
      <w:rFonts w:ascii="Times New Roman" w:hAnsi="Times New Roman"/>
      <w:dstrike w:val="0"/>
      <w:color w:val="auto"/>
      <w:sz w:val="20"/>
      <w:vertAlign w:val="superscript"/>
    </w:rPr>
  </w:style>
  <w:style w:type="paragraph" w:styleId="TOC1">
    <w:name w:val="toc 1"/>
    <w:basedOn w:val="Normal"/>
    <w:next w:val="Normal"/>
    <w:semiHidden/>
    <w:rsid w:val="003C1B4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1B4D"/>
    <w:pPr>
      <w:tabs>
        <w:tab w:val="left" w:pos="720"/>
        <w:tab w:val="right" w:leader="dot" w:pos="9360"/>
      </w:tabs>
      <w:suppressAutoHyphens/>
      <w:ind w:left="720" w:right="720" w:hanging="360"/>
    </w:pPr>
    <w:rPr>
      <w:noProof/>
    </w:rPr>
  </w:style>
  <w:style w:type="paragraph" w:styleId="TOC3">
    <w:name w:val="toc 3"/>
    <w:basedOn w:val="Normal"/>
    <w:next w:val="Normal"/>
    <w:semiHidden/>
    <w:rsid w:val="003C1B4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1B4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1B4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1B4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1B4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1B4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1B4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1B4D"/>
    <w:pPr>
      <w:tabs>
        <w:tab w:val="right" w:pos="9360"/>
      </w:tabs>
      <w:suppressAutoHyphens/>
    </w:pPr>
  </w:style>
  <w:style w:type="character" w:customStyle="1" w:styleId="EquationCaption">
    <w:name w:val="_Equation Caption"/>
    <w:rsid w:val="003C1B4D"/>
  </w:style>
  <w:style w:type="paragraph" w:styleId="Header">
    <w:name w:val="header"/>
    <w:basedOn w:val="Normal"/>
    <w:link w:val="HeaderChar"/>
    <w:autoRedefine/>
    <w:rsid w:val="003C1B4D"/>
    <w:pPr>
      <w:tabs>
        <w:tab w:val="center" w:pos="4680"/>
        <w:tab w:val="right" w:pos="9360"/>
      </w:tabs>
    </w:pPr>
    <w:rPr>
      <w:b/>
    </w:rPr>
  </w:style>
  <w:style w:type="paragraph" w:styleId="Footer">
    <w:name w:val="footer"/>
    <w:basedOn w:val="Normal"/>
    <w:link w:val="FooterChar"/>
    <w:rsid w:val="003C1B4D"/>
    <w:pPr>
      <w:tabs>
        <w:tab w:val="center" w:pos="4320"/>
        <w:tab w:val="right" w:pos="8640"/>
      </w:tabs>
    </w:pPr>
  </w:style>
  <w:style w:type="character" w:styleId="PageNumber">
    <w:name w:val="page number"/>
    <w:basedOn w:val="DefaultParagraphFont"/>
    <w:rsid w:val="003C1B4D"/>
  </w:style>
  <w:style w:type="paragraph" w:styleId="BlockText">
    <w:name w:val="Block Text"/>
    <w:basedOn w:val="Normal"/>
    <w:rsid w:val="003C1B4D"/>
    <w:pPr>
      <w:spacing w:after="240"/>
      <w:ind w:left="1440" w:right="1440"/>
    </w:pPr>
  </w:style>
  <w:style w:type="paragraph" w:customStyle="1" w:styleId="Paratitle">
    <w:name w:val="Para title"/>
    <w:basedOn w:val="Normal"/>
    <w:rsid w:val="003C1B4D"/>
    <w:pPr>
      <w:tabs>
        <w:tab w:val="center" w:pos="9270"/>
      </w:tabs>
      <w:spacing w:after="240"/>
    </w:pPr>
    <w:rPr>
      <w:spacing w:val="-2"/>
    </w:rPr>
  </w:style>
  <w:style w:type="paragraph" w:customStyle="1" w:styleId="Bullet">
    <w:name w:val="Bullet"/>
    <w:basedOn w:val="Normal"/>
    <w:rsid w:val="003C1B4D"/>
    <w:pPr>
      <w:tabs>
        <w:tab w:val="left" w:pos="2160"/>
      </w:tabs>
      <w:spacing w:after="220"/>
      <w:ind w:left="2160" w:hanging="720"/>
    </w:pPr>
  </w:style>
  <w:style w:type="paragraph" w:customStyle="1" w:styleId="TableFormat">
    <w:name w:val="TableFormat"/>
    <w:basedOn w:val="Bullet"/>
    <w:rsid w:val="003C1B4D"/>
    <w:pPr>
      <w:tabs>
        <w:tab w:val="clear" w:pos="2160"/>
        <w:tab w:val="left" w:pos="5040"/>
      </w:tabs>
      <w:ind w:left="5040" w:hanging="3600"/>
    </w:pPr>
  </w:style>
  <w:style w:type="paragraph" w:customStyle="1" w:styleId="TOCTitle">
    <w:name w:val="TOC Title"/>
    <w:basedOn w:val="Normal"/>
    <w:rsid w:val="003C1B4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1B4D"/>
    <w:pPr>
      <w:jc w:val="center"/>
    </w:pPr>
    <w:rPr>
      <w:rFonts w:ascii="Times New Roman Bold" w:hAnsi="Times New Roman Bold"/>
      <w:b/>
      <w:bCs/>
      <w:caps/>
      <w:szCs w:val="22"/>
    </w:rPr>
  </w:style>
  <w:style w:type="character" w:styleId="Hyperlink">
    <w:name w:val="Hyperlink"/>
    <w:rsid w:val="003C1B4D"/>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3587</Words>
  <Characters>19436</Characters>
  <Application>Microsoft Office Word</Application>
  <DocSecurity>0</DocSecurity>
  <Lines>363</Lines>
  <Paragraphs>118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23054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2015-09-30T17:50:00Z</cp:lastPrinted>
  <dcterms:created xsi:type="dcterms:W3CDTF">2015-11-03T16:42:00Z</dcterms:created>
  <dcterms:modified xsi:type="dcterms:W3CDTF">2015-11-03T16:42:00Z</dcterms:modified>
  <cp:category> </cp:category>
  <cp:contentStatus> </cp:contentStatus>
</cp:coreProperties>
</file>