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E3" w:rsidRPr="00790B4B" w:rsidRDefault="00E273E3" w:rsidP="002659F3">
      <w:pPr>
        <w:widowControl/>
        <w:jc w:val="center"/>
        <w:rPr>
          <w:b/>
        </w:rPr>
      </w:pPr>
      <w:bookmarkStart w:id="0" w:name="_GoBack"/>
      <w:bookmarkEnd w:id="0"/>
      <w:r w:rsidRPr="00790B4B">
        <w:rPr>
          <w:b/>
          <w:kern w:val="0"/>
          <w:szCs w:val="22"/>
        </w:rPr>
        <w:t>Before</w:t>
      </w:r>
      <w:r w:rsidRPr="00790B4B">
        <w:rPr>
          <w:b/>
        </w:rPr>
        <w:t xml:space="preserve"> the</w:t>
      </w:r>
    </w:p>
    <w:p w:rsidR="00E273E3" w:rsidRPr="00790B4B" w:rsidRDefault="00E273E3" w:rsidP="002659F3">
      <w:pPr>
        <w:pStyle w:val="StyleBoldCentered"/>
        <w:widowControl/>
        <w:rPr>
          <w:rFonts w:ascii="Times New Roman" w:hAnsi="Times New Roman"/>
        </w:rPr>
      </w:pPr>
      <w:r w:rsidRPr="00790B4B">
        <w:rPr>
          <w:rFonts w:ascii="Times New Roman" w:hAnsi="Times New Roman"/>
        </w:rPr>
        <w:t>F</w:t>
      </w:r>
      <w:r w:rsidRPr="00790B4B">
        <w:rPr>
          <w:rFonts w:ascii="Times New Roman" w:hAnsi="Times New Roman"/>
          <w:caps w:val="0"/>
        </w:rPr>
        <w:t>ederal Communications Commission</w:t>
      </w:r>
    </w:p>
    <w:p w:rsidR="00E273E3" w:rsidRPr="00790B4B" w:rsidRDefault="00E273E3" w:rsidP="002659F3">
      <w:pPr>
        <w:pStyle w:val="StyleBoldCentered"/>
        <w:widowControl/>
        <w:rPr>
          <w:rFonts w:ascii="Times New Roman" w:hAnsi="Times New Roman"/>
        </w:rPr>
      </w:pPr>
      <w:r w:rsidRPr="00790B4B">
        <w:rPr>
          <w:rFonts w:ascii="Times New Roman" w:hAnsi="Times New Roman"/>
          <w:caps w:val="0"/>
        </w:rPr>
        <w:t>Washington</w:t>
      </w:r>
      <w:r w:rsidRPr="00790B4B">
        <w:rPr>
          <w:rFonts w:ascii="Times New Roman" w:hAnsi="Times New Roman"/>
        </w:rPr>
        <w:t>, DC 20554</w:t>
      </w:r>
    </w:p>
    <w:p w:rsidR="00E273E3" w:rsidRPr="00790B4B" w:rsidRDefault="00E273E3" w:rsidP="002659F3">
      <w:pPr>
        <w:widowControl/>
      </w:pPr>
    </w:p>
    <w:tbl>
      <w:tblPr>
        <w:tblW w:w="0" w:type="auto"/>
        <w:tblLayout w:type="fixed"/>
        <w:tblLook w:val="0000" w:firstRow="0" w:lastRow="0" w:firstColumn="0" w:lastColumn="0" w:noHBand="0" w:noVBand="0"/>
      </w:tblPr>
      <w:tblGrid>
        <w:gridCol w:w="4698"/>
        <w:gridCol w:w="630"/>
        <w:gridCol w:w="4248"/>
      </w:tblGrid>
      <w:tr w:rsidR="00E273E3" w:rsidRPr="00344C0B">
        <w:tc>
          <w:tcPr>
            <w:tcW w:w="4698" w:type="dxa"/>
          </w:tcPr>
          <w:p w:rsidR="00E273E3" w:rsidRPr="00790B4B" w:rsidRDefault="00E273E3" w:rsidP="002659F3">
            <w:pPr>
              <w:widowControl/>
              <w:suppressAutoHyphens/>
              <w:rPr>
                <w:spacing w:val="-2"/>
              </w:rPr>
            </w:pPr>
            <w:r w:rsidRPr="00790B4B">
              <w:rPr>
                <w:spacing w:val="-2"/>
              </w:rPr>
              <w:t>In the Matter of</w:t>
            </w:r>
          </w:p>
          <w:p w:rsidR="00E273E3" w:rsidRPr="00790B4B" w:rsidRDefault="00E273E3" w:rsidP="002659F3">
            <w:pPr>
              <w:widowControl/>
              <w:suppressAutoHyphens/>
              <w:rPr>
                <w:spacing w:val="-2"/>
              </w:rPr>
            </w:pPr>
          </w:p>
          <w:p w:rsidR="00D27E5E" w:rsidRPr="00D27E5E" w:rsidRDefault="00D27E5E" w:rsidP="00D27E5E">
            <w:pPr>
              <w:widowControl/>
              <w:suppressAutoHyphens/>
              <w:rPr>
                <w:spacing w:val="-2"/>
              </w:rPr>
            </w:pPr>
            <w:r w:rsidRPr="00D27E5E">
              <w:rPr>
                <w:spacing w:val="-2"/>
              </w:rPr>
              <w:t>Acumen Communications</w:t>
            </w:r>
          </w:p>
          <w:p w:rsidR="00D27E5E" w:rsidRPr="00D27E5E" w:rsidRDefault="00D27E5E" w:rsidP="00D27E5E">
            <w:pPr>
              <w:widowControl/>
              <w:suppressAutoHyphens/>
              <w:rPr>
                <w:spacing w:val="-2"/>
              </w:rPr>
            </w:pPr>
          </w:p>
          <w:p w:rsidR="00D27E5E" w:rsidRPr="00D27E5E" w:rsidRDefault="00D27E5E" w:rsidP="00D27E5E">
            <w:pPr>
              <w:widowControl/>
              <w:suppressAutoHyphens/>
              <w:rPr>
                <w:spacing w:val="-2"/>
              </w:rPr>
            </w:pPr>
            <w:r w:rsidRPr="00D27E5E">
              <w:rPr>
                <w:spacing w:val="-2"/>
              </w:rPr>
              <w:t>Licensee of Station WQJF635,</w:t>
            </w:r>
          </w:p>
          <w:p w:rsidR="00E273E3" w:rsidRPr="00344C0B" w:rsidRDefault="00D27E5E" w:rsidP="00D27E5E">
            <w:pPr>
              <w:widowControl/>
              <w:suppressAutoHyphens/>
              <w:rPr>
                <w:spacing w:val="-2"/>
              </w:rPr>
            </w:pPr>
            <w:r w:rsidRPr="00D27E5E">
              <w:rPr>
                <w:spacing w:val="-2"/>
              </w:rPr>
              <w:t xml:space="preserve">Los Angeles, CA </w:t>
            </w:r>
          </w:p>
        </w:tc>
        <w:tc>
          <w:tcPr>
            <w:tcW w:w="630" w:type="dxa"/>
          </w:tcPr>
          <w:p w:rsidR="00E273E3" w:rsidRPr="00344C0B" w:rsidRDefault="00E273E3" w:rsidP="002659F3">
            <w:pPr>
              <w:widowControl/>
              <w:suppressAutoHyphens/>
              <w:rPr>
                <w:spacing w:val="-2"/>
              </w:rPr>
            </w:pPr>
            <w:r w:rsidRPr="00344C0B">
              <w:rPr>
                <w:spacing w:val="-2"/>
              </w:rPr>
              <w:t>)</w:t>
            </w:r>
          </w:p>
          <w:p w:rsidR="00E273E3" w:rsidRPr="00344C0B" w:rsidRDefault="00E273E3" w:rsidP="002659F3">
            <w:pPr>
              <w:widowControl/>
              <w:suppressAutoHyphens/>
              <w:rPr>
                <w:spacing w:val="-2"/>
              </w:rPr>
            </w:pPr>
            <w:r w:rsidRPr="00344C0B">
              <w:rPr>
                <w:spacing w:val="-2"/>
              </w:rPr>
              <w:t>)</w:t>
            </w:r>
          </w:p>
          <w:p w:rsidR="00E273E3" w:rsidRPr="00344C0B" w:rsidRDefault="00E273E3" w:rsidP="002659F3">
            <w:pPr>
              <w:widowControl/>
              <w:suppressAutoHyphens/>
              <w:rPr>
                <w:spacing w:val="-2"/>
              </w:rPr>
            </w:pPr>
            <w:r w:rsidRPr="00344C0B">
              <w:rPr>
                <w:spacing w:val="-2"/>
              </w:rPr>
              <w:t>)</w:t>
            </w:r>
          </w:p>
          <w:p w:rsidR="00E273E3" w:rsidRPr="00344C0B" w:rsidRDefault="00E273E3" w:rsidP="002659F3">
            <w:pPr>
              <w:widowControl/>
              <w:suppressAutoHyphens/>
              <w:rPr>
                <w:spacing w:val="-2"/>
              </w:rPr>
            </w:pPr>
            <w:r w:rsidRPr="00344C0B">
              <w:rPr>
                <w:spacing w:val="-2"/>
              </w:rPr>
              <w:t>)</w:t>
            </w:r>
          </w:p>
          <w:p w:rsidR="00D27E5E" w:rsidRDefault="00D27E5E" w:rsidP="002659F3">
            <w:pPr>
              <w:widowControl/>
              <w:suppressAutoHyphens/>
              <w:rPr>
                <w:spacing w:val="-2"/>
              </w:rPr>
            </w:pPr>
            <w:r>
              <w:rPr>
                <w:spacing w:val="-2"/>
              </w:rPr>
              <w:t>)</w:t>
            </w:r>
          </w:p>
          <w:p w:rsidR="00E273E3" w:rsidRPr="00344C0B" w:rsidRDefault="00E273E3" w:rsidP="002659F3">
            <w:pPr>
              <w:widowControl/>
              <w:suppressAutoHyphens/>
              <w:rPr>
                <w:spacing w:val="-2"/>
              </w:rPr>
            </w:pPr>
            <w:r w:rsidRPr="00344C0B">
              <w:rPr>
                <w:spacing w:val="-2"/>
              </w:rPr>
              <w:t>)</w:t>
            </w:r>
          </w:p>
        </w:tc>
        <w:tc>
          <w:tcPr>
            <w:tcW w:w="4248" w:type="dxa"/>
          </w:tcPr>
          <w:p w:rsidR="00E273E3" w:rsidRPr="00344C0B" w:rsidRDefault="00E273E3" w:rsidP="002659F3">
            <w:pPr>
              <w:widowControl/>
              <w:suppressAutoHyphens/>
              <w:rPr>
                <w:spacing w:val="-2"/>
              </w:rPr>
            </w:pPr>
          </w:p>
          <w:p w:rsidR="00E273E3" w:rsidRPr="00344C0B" w:rsidRDefault="00E273E3" w:rsidP="002659F3">
            <w:pPr>
              <w:widowControl/>
              <w:suppressAutoHyphens/>
              <w:rPr>
                <w:spacing w:val="-2"/>
              </w:rPr>
            </w:pPr>
          </w:p>
          <w:p w:rsidR="00E273E3" w:rsidRPr="0007571D" w:rsidRDefault="00E273E3" w:rsidP="00EE05DB">
            <w:pPr>
              <w:widowControl/>
              <w:suppressAutoHyphens/>
              <w:ind w:left="432"/>
              <w:rPr>
                <w:spacing w:val="-2"/>
              </w:rPr>
            </w:pPr>
            <w:r w:rsidRPr="00344C0B">
              <w:rPr>
                <w:spacing w:val="-2"/>
              </w:rPr>
              <w:t>File No.:  EB-</w:t>
            </w:r>
            <w:r w:rsidR="00D27E5E">
              <w:t xml:space="preserve"> </w:t>
            </w:r>
            <w:r w:rsidR="00D27E5E" w:rsidRPr="00D27E5E">
              <w:rPr>
                <w:spacing w:val="-2"/>
              </w:rPr>
              <w:t>FIELDWR-13-00006185</w:t>
            </w:r>
          </w:p>
          <w:p w:rsidR="00E273E3" w:rsidRPr="0007571D" w:rsidRDefault="00E273E3" w:rsidP="00EE05DB">
            <w:pPr>
              <w:widowControl/>
              <w:suppressAutoHyphens/>
              <w:ind w:left="432"/>
              <w:rPr>
                <w:spacing w:val="-2"/>
              </w:rPr>
            </w:pPr>
            <w:r w:rsidRPr="00344C0B">
              <w:rPr>
                <w:spacing w:val="-2"/>
              </w:rPr>
              <w:t xml:space="preserve">NAL/Acct. No.:  </w:t>
            </w:r>
            <w:r w:rsidR="00D27E5E" w:rsidRPr="00D27E5E">
              <w:rPr>
                <w:spacing w:val="-2"/>
              </w:rPr>
              <w:t xml:space="preserve">201432900001 </w:t>
            </w:r>
          </w:p>
          <w:p w:rsidR="00E273E3" w:rsidRPr="0007571D" w:rsidRDefault="00E273E3" w:rsidP="00D27E5E">
            <w:pPr>
              <w:widowControl/>
              <w:suppressAutoHyphens/>
              <w:ind w:left="432"/>
              <w:rPr>
                <w:spacing w:val="-2"/>
              </w:rPr>
            </w:pPr>
            <w:r w:rsidRPr="00344C0B">
              <w:rPr>
                <w:spacing w:val="-2"/>
              </w:rPr>
              <w:t xml:space="preserve">FRN:  </w:t>
            </w:r>
            <w:r w:rsidR="00D27E5E" w:rsidRPr="00D27E5E">
              <w:rPr>
                <w:spacing w:val="-2"/>
              </w:rPr>
              <w:t xml:space="preserve">0016049017 </w:t>
            </w:r>
          </w:p>
        </w:tc>
      </w:tr>
    </w:tbl>
    <w:p w:rsidR="00E273E3" w:rsidRPr="00344C0B" w:rsidRDefault="00E273E3" w:rsidP="002659F3">
      <w:pPr>
        <w:widowControl/>
      </w:pPr>
    </w:p>
    <w:p w:rsidR="00E273E3" w:rsidRPr="00344C0B" w:rsidRDefault="00E273E3" w:rsidP="002659F3">
      <w:pPr>
        <w:pStyle w:val="StyleBoldCentered"/>
        <w:widowControl/>
        <w:spacing w:after="220"/>
      </w:pPr>
      <w:r w:rsidRPr="00344C0B">
        <w:t>forfeiture ORDER</w:t>
      </w:r>
    </w:p>
    <w:p w:rsidR="00E273E3" w:rsidRPr="0007571D" w:rsidRDefault="00E273E3" w:rsidP="00226191">
      <w:pPr>
        <w:widowControl/>
        <w:tabs>
          <w:tab w:val="right" w:pos="9360"/>
        </w:tabs>
        <w:suppressAutoHyphens/>
        <w:rPr>
          <w:spacing w:val="-2"/>
        </w:rPr>
      </w:pPr>
      <w:r w:rsidRPr="00344C0B">
        <w:rPr>
          <w:b/>
          <w:spacing w:val="-2"/>
        </w:rPr>
        <w:t xml:space="preserve">Adopted:  </w:t>
      </w:r>
      <w:r w:rsidR="00A151BD">
        <w:rPr>
          <w:b/>
          <w:spacing w:val="-2"/>
        </w:rPr>
        <w:t>June 25, 2015</w:t>
      </w:r>
      <w:r w:rsidR="006D2212" w:rsidRPr="0007571D">
        <w:rPr>
          <w:b/>
          <w:spacing w:val="-2"/>
        </w:rPr>
        <w:tab/>
        <w:t xml:space="preserve">Released:  </w:t>
      </w:r>
      <w:r w:rsidR="00A151BD">
        <w:rPr>
          <w:b/>
          <w:spacing w:val="-2"/>
        </w:rPr>
        <w:t>June 26, 2015</w:t>
      </w:r>
    </w:p>
    <w:p w:rsidR="00E273E3" w:rsidRPr="00344C0B" w:rsidRDefault="00E273E3" w:rsidP="00EE05DB">
      <w:pPr>
        <w:widowControl/>
        <w:jc w:val="center"/>
      </w:pPr>
    </w:p>
    <w:p w:rsidR="00E273E3" w:rsidRPr="00344C0B" w:rsidRDefault="00E273E3" w:rsidP="002659F3">
      <w:pPr>
        <w:widowControl/>
        <w:rPr>
          <w:spacing w:val="-2"/>
        </w:rPr>
      </w:pPr>
      <w:r w:rsidRPr="00344C0B">
        <w:t xml:space="preserve">By the </w:t>
      </w:r>
      <w:r w:rsidR="00D27E5E">
        <w:t>Regional Director, Western Region,</w:t>
      </w:r>
      <w:r w:rsidRPr="00344C0B">
        <w:t xml:space="preserve"> Enforcement Bureau</w:t>
      </w:r>
      <w:r w:rsidRPr="0007571D">
        <w:rPr>
          <w:spacing w:val="-2"/>
        </w:rPr>
        <w:t>:</w:t>
      </w:r>
    </w:p>
    <w:p w:rsidR="00E273E3" w:rsidRPr="00344C0B" w:rsidRDefault="00E273E3" w:rsidP="002659F3">
      <w:pPr>
        <w:widowControl/>
        <w:rPr>
          <w:spacing w:val="-2"/>
        </w:rPr>
      </w:pPr>
    </w:p>
    <w:p w:rsidR="00E273E3" w:rsidRPr="00344C0B" w:rsidRDefault="00E273E3" w:rsidP="00226191">
      <w:pPr>
        <w:pStyle w:val="Heading1"/>
      </w:pPr>
      <w:bookmarkStart w:id="1" w:name="_Toc379288998"/>
      <w:bookmarkStart w:id="2" w:name="_Toc379365499"/>
      <w:r w:rsidRPr="00344C0B">
        <w:t>INTRODUCTION</w:t>
      </w:r>
      <w:bookmarkEnd w:id="1"/>
      <w:bookmarkEnd w:id="2"/>
    </w:p>
    <w:p w:rsidR="00E273E3" w:rsidRPr="00344C0B" w:rsidRDefault="00E273E3" w:rsidP="00EE67D5">
      <w:pPr>
        <w:pStyle w:val="ListParagraph"/>
        <w:numPr>
          <w:ilvl w:val="0"/>
          <w:numId w:val="6"/>
        </w:numPr>
        <w:spacing w:after="120"/>
        <w:ind w:left="0" w:firstLine="720"/>
      </w:pPr>
      <w:r w:rsidRPr="00344C0B">
        <w:t>We impose a penalty of $</w:t>
      </w:r>
      <w:r w:rsidR="00D27E5E">
        <w:t>17,000</w:t>
      </w:r>
      <w:r w:rsidRPr="0007571D">
        <w:t xml:space="preserve"> against </w:t>
      </w:r>
      <w:r w:rsidR="00D27E5E">
        <w:t>Acumen Communications (Acumen)</w:t>
      </w:r>
      <w:r w:rsidRPr="00344C0B">
        <w:t xml:space="preserve"> </w:t>
      </w:r>
      <w:r w:rsidR="007B5698" w:rsidRPr="007B5698">
        <w:t xml:space="preserve">licensee of </w:t>
      </w:r>
      <w:r w:rsidR="007B5698">
        <w:t>private land mobile radio service station WQJF635</w:t>
      </w:r>
      <w:r w:rsidR="00072F7F">
        <w:t xml:space="preserve"> (Station)</w:t>
      </w:r>
      <w:r w:rsidR="007B5698">
        <w:t>, Los Angeles</w:t>
      </w:r>
      <w:r w:rsidR="007B5698" w:rsidRPr="007B5698">
        <w:t xml:space="preserve">, California, </w:t>
      </w:r>
      <w:r w:rsidR="00072F7F">
        <w:t>for oper</w:t>
      </w:r>
      <w:r w:rsidR="00072F7F" w:rsidRPr="00425D5F">
        <w:rPr>
          <w:color w:val="000000"/>
          <w:spacing w:val="-2"/>
          <w:kern w:val="0"/>
          <w:szCs w:val="22"/>
          <w:u w:color="000000"/>
        </w:rPr>
        <w:t>ating the Station on a frequency not authorized on its license, and for failing to take reasonable precautions to avoid causing harmful interference</w:t>
      </w:r>
      <w:r w:rsidR="00500C36" w:rsidRPr="00425D5F">
        <w:rPr>
          <w:color w:val="000000"/>
          <w:spacing w:val="-2"/>
          <w:kern w:val="0"/>
          <w:szCs w:val="22"/>
          <w:u w:color="000000"/>
        </w:rPr>
        <w:t xml:space="preserve"> to United States Coast Guard (USCG) operations</w:t>
      </w:r>
      <w:r w:rsidR="00072F7F" w:rsidRPr="00425D5F">
        <w:rPr>
          <w:color w:val="000000"/>
          <w:spacing w:val="-2"/>
          <w:kern w:val="0"/>
          <w:szCs w:val="22"/>
          <w:u w:color="000000"/>
        </w:rPr>
        <w:t xml:space="preserve">.  </w:t>
      </w:r>
      <w:r w:rsidR="004D1078">
        <w:t xml:space="preserve">Acumen argues that the unauthorized frequency was created by a mix of various frequencies, not all within its control, and that </w:t>
      </w:r>
      <w:r w:rsidR="00500C36">
        <w:t>it did not willfully or repeatedly violate the Communica</w:t>
      </w:r>
      <w:r w:rsidR="00014067">
        <w:t>tions A</w:t>
      </w:r>
      <w:r w:rsidR="00500C36">
        <w:t>ct of 1934, as amended (Act), or the Commission’s rules (Rules).  We find that the investigation by the Enforcement Bureau’s Los Angeles Office show</w:t>
      </w:r>
      <w:r w:rsidR="00F30014">
        <w:t>s</w:t>
      </w:r>
      <w:r w:rsidR="00500C36">
        <w:t xml:space="preserve"> that Acumen was responsible for the operation on the unauthorized frequency, and that Acumen willfully and repeated violated the Act and the Rules.  Therefore, </w:t>
      </w:r>
      <w:r w:rsidR="007B5698" w:rsidRPr="007B5698">
        <w:t xml:space="preserve">after reviewing </w:t>
      </w:r>
      <w:r w:rsidR="00500C36">
        <w:t xml:space="preserve">Acumen’s </w:t>
      </w:r>
      <w:r w:rsidR="007B5698" w:rsidRPr="007B5698">
        <w:t xml:space="preserve">response to the </w:t>
      </w:r>
      <w:r w:rsidR="007B5698" w:rsidRPr="008C7EFB">
        <w:rPr>
          <w:i/>
        </w:rPr>
        <w:t>NAL</w:t>
      </w:r>
      <w:r w:rsidR="007B5698" w:rsidRPr="007B5698">
        <w:t>, we find no reason to cancel, withdraw, or reduce the proposed penalty, and we therefore assess the full $1</w:t>
      </w:r>
      <w:r w:rsidR="00500C36">
        <w:t>7</w:t>
      </w:r>
      <w:r w:rsidR="007B5698" w:rsidRPr="007B5698">
        <w:t xml:space="preserve">,000 forfeiture </w:t>
      </w:r>
      <w:r w:rsidR="00500C36">
        <w:t xml:space="preserve">the Bureau </w:t>
      </w:r>
      <w:r w:rsidR="007B5698" w:rsidRPr="007B5698">
        <w:t>proposed</w:t>
      </w:r>
      <w:r w:rsidR="00500C36">
        <w:t>.</w:t>
      </w:r>
      <w:r w:rsidRPr="0007571D">
        <w:t xml:space="preserve">  </w:t>
      </w:r>
      <w:r w:rsidRPr="00344C0B">
        <w:t xml:space="preserve">     </w:t>
      </w:r>
    </w:p>
    <w:p w:rsidR="00E273E3" w:rsidRPr="00344C0B" w:rsidRDefault="00E273E3" w:rsidP="00226191">
      <w:pPr>
        <w:pStyle w:val="Heading1"/>
      </w:pPr>
      <w:bookmarkStart w:id="3" w:name="_Toc379288999"/>
      <w:bookmarkStart w:id="4" w:name="_Toc379365500"/>
      <w:r w:rsidRPr="00344C0B">
        <w:t>BACKGROUND</w:t>
      </w:r>
      <w:bookmarkEnd w:id="3"/>
      <w:bookmarkEnd w:id="4"/>
    </w:p>
    <w:p w:rsidR="0048127F" w:rsidRDefault="00F220DB" w:rsidP="00EE67D5">
      <w:pPr>
        <w:pStyle w:val="ParaNum"/>
        <w:numPr>
          <w:ilvl w:val="0"/>
          <w:numId w:val="6"/>
        </w:numPr>
        <w:ind w:left="0" w:firstLine="720"/>
      </w:pPr>
      <w:r>
        <w:t>On January 17, 2013, in response to a complaint from the USCG concerning interference to their operations in the Los Angeles, California</w:t>
      </w:r>
      <w:r w:rsidR="005A2C9C">
        <w:t>,</w:t>
      </w:r>
      <w:r>
        <w:t xml:space="preserve"> area in the 150 MHz VHF band, an agent from the Enforcement Bureau’s Los Angeles Office (Los Angeles Office), using radio direction-finding methods, determined that the continuous signal that was causing interference to the USCG was coming from the Mount Wilson communications site in Los Angeles, California.</w:t>
      </w:r>
      <w:r w:rsidR="0048127F" w:rsidRPr="0048127F">
        <w:rPr>
          <w:vertAlign w:val="superscript"/>
        </w:rPr>
        <w:footnoteReference w:id="2"/>
      </w:r>
      <w:r w:rsidR="0048127F" w:rsidRPr="0048127F">
        <w:t xml:space="preserve"> </w:t>
      </w:r>
      <w:r>
        <w:t xml:space="preserve"> The next day, Los Angeles agents </w:t>
      </w:r>
      <w:r w:rsidR="0048127F">
        <w:t xml:space="preserve">located the </w:t>
      </w:r>
      <w:r>
        <w:t xml:space="preserve">interfering signal, transmitting on 150.6973 MHz, to the Acumen transmitter and equipment rack, </w:t>
      </w:r>
      <w:r w:rsidR="0048127F">
        <w:t xml:space="preserve">in the Acumen Communications Building on Mount Wilson. </w:t>
      </w:r>
      <w:r>
        <w:t xml:space="preserve"> </w:t>
      </w:r>
      <w:r w:rsidR="0048127F">
        <w:t xml:space="preserve">In response to a request from the </w:t>
      </w:r>
      <w:r>
        <w:t>Los Angeles Office</w:t>
      </w:r>
      <w:r w:rsidR="0048127F">
        <w:t xml:space="preserve">, </w:t>
      </w:r>
      <w:r>
        <w:t>Acumen turned off the offending transmitter remotely and the interference to the USCG ceased.  When queried by the agents, Acumen stated that the radio station in question was operating pursuant to the Station WQJF635 authorization.</w:t>
      </w:r>
      <w:r w:rsidR="0048127F">
        <w:rPr>
          <w:rStyle w:val="FootnoteReference"/>
        </w:rPr>
        <w:footnoteReference w:id="3"/>
      </w:r>
      <w:r>
        <w:t xml:space="preserve">  </w:t>
      </w:r>
      <w:r w:rsidR="0048127F">
        <w:t>In response to a N</w:t>
      </w:r>
      <w:r>
        <w:t>otice of Violation</w:t>
      </w:r>
      <w:r w:rsidR="0048127F">
        <w:rPr>
          <w:rStyle w:val="FootnoteReference"/>
        </w:rPr>
        <w:footnoteReference w:id="4"/>
      </w:r>
      <w:r>
        <w:t xml:space="preserve"> </w:t>
      </w:r>
      <w:r w:rsidR="0048127F">
        <w:t xml:space="preserve">issued by the Los </w:t>
      </w:r>
      <w:r w:rsidR="0048127F">
        <w:lastRenderedPageBreak/>
        <w:t xml:space="preserve">Angeles Office, </w:t>
      </w:r>
      <w:r>
        <w:t>Acumen did not deny that the Station was generating the spurious signal on 150.6973, but stated that the transmitter was operating “on frequency 152.285 [MHz] and . . . that the transmitter was transmitting a spurious signal about .8 [MHz] both sides of the designated [frequency] across the band and . . . [it was] moving all over.  (Completely unstable).”</w:t>
      </w:r>
      <w:r w:rsidR="0048127F">
        <w:rPr>
          <w:rStyle w:val="FootnoteReference"/>
        </w:rPr>
        <w:footnoteReference w:id="5"/>
      </w:r>
    </w:p>
    <w:p w:rsidR="00A85686" w:rsidRPr="00014067" w:rsidRDefault="00E273E3" w:rsidP="00EE67D5">
      <w:pPr>
        <w:pStyle w:val="ParaNum"/>
        <w:numPr>
          <w:ilvl w:val="0"/>
          <w:numId w:val="6"/>
        </w:numPr>
        <w:ind w:left="0" w:firstLine="720"/>
        <w:rPr>
          <w:szCs w:val="22"/>
        </w:rPr>
      </w:pPr>
      <w:r w:rsidRPr="0007571D">
        <w:t xml:space="preserve">On </w:t>
      </w:r>
      <w:r w:rsidR="0048127F">
        <w:t xml:space="preserve">December 11, 2013, </w:t>
      </w:r>
      <w:r w:rsidRPr="0007571D">
        <w:t xml:space="preserve">the </w:t>
      </w:r>
      <w:r w:rsidRPr="00344C0B">
        <w:t>Enforcement Bureau (Bureau)</w:t>
      </w:r>
      <w:r w:rsidR="00CB6E37" w:rsidRPr="0007571D">
        <w:t xml:space="preserve"> </w:t>
      </w:r>
      <w:r w:rsidRPr="0007571D">
        <w:t xml:space="preserve">issued </w:t>
      </w:r>
      <w:r w:rsidR="00CB6E37" w:rsidRPr="00344C0B">
        <w:t xml:space="preserve">the </w:t>
      </w:r>
      <w:r w:rsidR="0048127F">
        <w:t>Acumen</w:t>
      </w:r>
      <w:r w:rsidR="00CB6E37" w:rsidRPr="0007571D">
        <w:t xml:space="preserve"> </w:t>
      </w:r>
      <w:r w:rsidRPr="0007571D">
        <w:rPr>
          <w:i/>
        </w:rPr>
        <w:t xml:space="preserve">NAL </w:t>
      </w:r>
      <w:r w:rsidR="00CB6E37" w:rsidRPr="0007571D">
        <w:t xml:space="preserve">proposing a </w:t>
      </w:r>
      <w:r w:rsidRPr="00344C0B">
        <w:t>$</w:t>
      </w:r>
      <w:r w:rsidR="0048127F">
        <w:t>17,000</w:t>
      </w:r>
      <w:r w:rsidRPr="0007571D">
        <w:t xml:space="preserve"> </w:t>
      </w:r>
      <w:r w:rsidR="00CB6E37" w:rsidRPr="00344C0B">
        <w:t xml:space="preserve">forfeiture </w:t>
      </w:r>
      <w:r w:rsidR="00154A5C" w:rsidRPr="00344C0B">
        <w:t xml:space="preserve">against </w:t>
      </w:r>
      <w:r w:rsidR="0048127F">
        <w:t>Acumen</w:t>
      </w:r>
      <w:r w:rsidR="00154A5C" w:rsidRPr="0007571D">
        <w:t xml:space="preserve"> </w:t>
      </w:r>
      <w:r w:rsidRPr="0007571D">
        <w:t>for its apparent willful and</w:t>
      </w:r>
      <w:r w:rsidRPr="00344C0B">
        <w:t xml:space="preserve"> repeated violation of </w:t>
      </w:r>
      <w:r w:rsidR="00A85686" w:rsidRPr="00A85686">
        <w:rPr>
          <w:snapToGrid/>
          <w:kern w:val="0"/>
          <w:szCs w:val="22"/>
        </w:rPr>
        <w:t xml:space="preserve">Section 301 of the </w:t>
      </w:r>
      <w:r w:rsidR="00A85686">
        <w:rPr>
          <w:snapToGrid/>
          <w:kern w:val="0"/>
          <w:szCs w:val="22"/>
        </w:rPr>
        <w:t>A</w:t>
      </w:r>
      <w:r w:rsidR="00A85686" w:rsidRPr="00A85686">
        <w:rPr>
          <w:snapToGrid/>
          <w:kern w:val="0"/>
          <w:szCs w:val="22"/>
        </w:rPr>
        <w:t>ct,</w:t>
      </w:r>
      <w:r w:rsidR="00A85686" w:rsidRPr="00A85686">
        <w:rPr>
          <w:snapToGrid/>
          <w:kern w:val="0"/>
          <w:szCs w:val="22"/>
          <w:vertAlign w:val="superscript"/>
        </w:rPr>
        <w:footnoteReference w:id="6"/>
      </w:r>
      <w:r w:rsidR="00A85686" w:rsidRPr="00A85686">
        <w:rPr>
          <w:snapToGrid/>
          <w:kern w:val="0"/>
          <w:szCs w:val="22"/>
        </w:rPr>
        <w:t xml:space="preserve"> and </w:t>
      </w:r>
      <w:r w:rsidR="00A85686" w:rsidRPr="00A85686">
        <w:rPr>
          <w:snapToGrid/>
          <w:color w:val="000000"/>
          <w:spacing w:val="-2"/>
          <w:kern w:val="0"/>
          <w:szCs w:val="22"/>
          <w:u w:color="000000"/>
        </w:rPr>
        <w:t>Sections 1.903(a) and 90.403(e) of the Rules,</w:t>
      </w:r>
      <w:r w:rsidR="00A85686" w:rsidRPr="00A85686">
        <w:rPr>
          <w:snapToGrid/>
          <w:color w:val="000000"/>
          <w:spacing w:val="-2"/>
          <w:kern w:val="0"/>
          <w:szCs w:val="22"/>
          <w:u w:color="000000"/>
          <w:vertAlign w:val="superscript"/>
        </w:rPr>
        <w:footnoteReference w:id="7"/>
      </w:r>
      <w:r w:rsidR="00A85686" w:rsidRPr="00A85686">
        <w:rPr>
          <w:snapToGrid/>
          <w:color w:val="000000"/>
          <w:spacing w:val="-2"/>
          <w:kern w:val="0"/>
          <w:szCs w:val="22"/>
          <w:u w:color="000000"/>
        </w:rPr>
        <w:t xml:space="preserve"> by operating </w:t>
      </w:r>
      <w:r w:rsidR="00A85686">
        <w:rPr>
          <w:snapToGrid/>
          <w:color w:val="000000"/>
          <w:spacing w:val="-2"/>
          <w:kern w:val="0"/>
          <w:szCs w:val="22"/>
          <w:u w:color="000000"/>
        </w:rPr>
        <w:t xml:space="preserve">the </w:t>
      </w:r>
      <w:r w:rsidR="00A85686" w:rsidRPr="00A85686">
        <w:rPr>
          <w:snapToGrid/>
          <w:color w:val="000000"/>
          <w:spacing w:val="-2"/>
          <w:kern w:val="0"/>
          <w:szCs w:val="22"/>
          <w:u w:color="000000"/>
        </w:rPr>
        <w:t>Station on a frequency not authorized on its license, and by failing to take reasonable precautions to avoid causing harmful interference.</w:t>
      </w:r>
    </w:p>
    <w:p w:rsidR="00D41A82" w:rsidRPr="00D41A82" w:rsidRDefault="00E273E3" w:rsidP="00EE67D5">
      <w:pPr>
        <w:pStyle w:val="ParaNum"/>
        <w:numPr>
          <w:ilvl w:val="0"/>
          <w:numId w:val="6"/>
        </w:numPr>
        <w:ind w:left="0" w:firstLine="720"/>
        <w:rPr>
          <w:i/>
          <w:szCs w:val="22"/>
        </w:rPr>
      </w:pPr>
      <w:r w:rsidRPr="00014067">
        <w:rPr>
          <w:szCs w:val="22"/>
        </w:rPr>
        <w:t xml:space="preserve">On </w:t>
      </w:r>
      <w:r w:rsidR="005C4CEC">
        <w:rPr>
          <w:szCs w:val="22"/>
        </w:rPr>
        <w:t>January 12</w:t>
      </w:r>
      <w:r w:rsidR="00A85686" w:rsidRPr="00014067">
        <w:rPr>
          <w:szCs w:val="22"/>
        </w:rPr>
        <w:t>, 2014</w:t>
      </w:r>
      <w:r w:rsidR="000B29ED" w:rsidRPr="00014067">
        <w:rPr>
          <w:szCs w:val="22"/>
        </w:rPr>
        <w:t xml:space="preserve">, </w:t>
      </w:r>
      <w:r w:rsidR="00A85686" w:rsidRPr="00014067">
        <w:rPr>
          <w:szCs w:val="22"/>
        </w:rPr>
        <w:t>Acumen</w:t>
      </w:r>
      <w:r w:rsidR="000B29ED" w:rsidRPr="00014067">
        <w:rPr>
          <w:szCs w:val="22"/>
        </w:rPr>
        <w:t xml:space="preserve"> </w:t>
      </w:r>
      <w:r w:rsidRPr="00014067">
        <w:rPr>
          <w:szCs w:val="22"/>
        </w:rPr>
        <w:t xml:space="preserve">filed a response to the </w:t>
      </w:r>
      <w:r w:rsidRPr="00014067">
        <w:rPr>
          <w:i/>
          <w:szCs w:val="22"/>
        </w:rPr>
        <w:t>NAL</w:t>
      </w:r>
      <w:r w:rsidRPr="00014067">
        <w:rPr>
          <w:szCs w:val="22"/>
        </w:rPr>
        <w:t>.</w:t>
      </w:r>
      <w:r w:rsidRPr="00014067">
        <w:rPr>
          <w:rStyle w:val="FootnoteReference"/>
          <w:sz w:val="22"/>
          <w:szCs w:val="22"/>
        </w:rPr>
        <w:footnoteReference w:id="8"/>
      </w:r>
      <w:r w:rsidRPr="00014067">
        <w:rPr>
          <w:szCs w:val="22"/>
        </w:rPr>
        <w:t xml:space="preserve">  </w:t>
      </w:r>
      <w:r w:rsidR="00A85686" w:rsidRPr="00014067">
        <w:rPr>
          <w:szCs w:val="22"/>
        </w:rPr>
        <w:t>Acumen</w:t>
      </w:r>
      <w:r w:rsidR="000B29ED" w:rsidRPr="00014067">
        <w:rPr>
          <w:szCs w:val="22"/>
        </w:rPr>
        <w:t xml:space="preserve"> makes a number of arguments as to why the </w:t>
      </w:r>
      <w:r w:rsidR="000B29ED" w:rsidRPr="00014067">
        <w:rPr>
          <w:i/>
          <w:szCs w:val="22"/>
        </w:rPr>
        <w:t>NAL</w:t>
      </w:r>
      <w:r w:rsidR="000B29ED" w:rsidRPr="00014067">
        <w:rPr>
          <w:szCs w:val="22"/>
        </w:rPr>
        <w:t xml:space="preserve"> should be</w:t>
      </w:r>
      <w:r w:rsidR="00F30014">
        <w:rPr>
          <w:szCs w:val="22"/>
        </w:rPr>
        <w:t xml:space="preserve"> canceled, asserting</w:t>
      </w:r>
      <w:r w:rsidR="00014067" w:rsidRPr="00014067">
        <w:rPr>
          <w:szCs w:val="22"/>
        </w:rPr>
        <w:t xml:space="preserve"> that the unauthorized frequency was created by a mix of various frequencies, not all within its control,</w:t>
      </w:r>
      <w:r w:rsidR="00014067" w:rsidRPr="00014067">
        <w:rPr>
          <w:rStyle w:val="FootnoteReference"/>
          <w:sz w:val="22"/>
          <w:szCs w:val="22"/>
        </w:rPr>
        <w:footnoteReference w:id="9"/>
      </w:r>
      <w:r w:rsidR="00014067" w:rsidRPr="00014067">
        <w:rPr>
          <w:szCs w:val="22"/>
        </w:rPr>
        <w:t xml:space="preserve"> and that it did not willfully or repeatedly violate the Act or the Rules.</w:t>
      </w:r>
      <w:r w:rsidR="00014067" w:rsidRPr="00014067">
        <w:rPr>
          <w:rStyle w:val="FootnoteReference"/>
          <w:sz w:val="22"/>
          <w:szCs w:val="22"/>
        </w:rPr>
        <w:footnoteReference w:id="10"/>
      </w:r>
      <w:r w:rsidR="00014067" w:rsidRPr="00014067">
        <w:rPr>
          <w:szCs w:val="22"/>
        </w:rPr>
        <w:t xml:space="preserve"> </w:t>
      </w:r>
    </w:p>
    <w:p w:rsidR="00D41A82" w:rsidRPr="00344C0B" w:rsidRDefault="00D41A82" w:rsidP="00D41A82">
      <w:pPr>
        <w:pStyle w:val="Heading1"/>
      </w:pPr>
      <w:bookmarkStart w:id="5" w:name="_Toc379289000"/>
      <w:bookmarkStart w:id="6" w:name="_Toc379365501"/>
      <w:r w:rsidRPr="00344C0B">
        <w:t>DISCUSSION</w:t>
      </w:r>
      <w:bookmarkEnd w:id="5"/>
      <w:bookmarkEnd w:id="6"/>
    </w:p>
    <w:p w:rsidR="00E6009E" w:rsidRDefault="00E6009E" w:rsidP="00EE67D5">
      <w:pPr>
        <w:pStyle w:val="ParaNum"/>
        <w:numPr>
          <w:ilvl w:val="0"/>
          <w:numId w:val="6"/>
        </w:numPr>
        <w:ind w:left="0" w:firstLine="720"/>
        <w:rPr>
          <w:i/>
          <w:szCs w:val="22"/>
        </w:rPr>
      </w:pPr>
      <w:r w:rsidRPr="00344C0B">
        <w:t xml:space="preserve">The </w:t>
      </w:r>
      <w:r w:rsidR="008D1BE7" w:rsidRPr="00344C0B">
        <w:t>Bureau</w:t>
      </w:r>
      <w:r w:rsidRPr="00344C0B">
        <w:t xml:space="preserve"> </w:t>
      </w:r>
      <w:r w:rsidR="00E273E3" w:rsidRPr="00344C0B">
        <w:t xml:space="preserve">proposed </w:t>
      </w:r>
      <w:r w:rsidRPr="00344C0B">
        <w:t xml:space="preserve">a </w:t>
      </w:r>
      <w:r w:rsidR="00E273E3" w:rsidRPr="00344C0B">
        <w:t>forfeiture in this case in accordance with Section 503(b) of the</w:t>
      </w:r>
      <w:r w:rsidR="00014067">
        <w:t xml:space="preserve"> </w:t>
      </w:r>
      <w:r w:rsidR="00E273E3" w:rsidRPr="00344C0B">
        <w:t>Act,</w:t>
      </w:r>
      <w:r w:rsidR="00E273E3" w:rsidRPr="0007571D">
        <w:rPr>
          <w:rStyle w:val="FootnoteReference"/>
        </w:rPr>
        <w:footnoteReference w:id="11"/>
      </w:r>
      <w:r w:rsidR="00E273E3" w:rsidRPr="0007571D">
        <w:t xml:space="preserve"> Section 1.80 of the </w:t>
      </w:r>
      <w:r w:rsidR="00C339C4">
        <w:t>Rules</w:t>
      </w:r>
      <w:r w:rsidR="00E273E3" w:rsidRPr="0007571D">
        <w:t>,</w:t>
      </w:r>
      <w:r w:rsidR="00E273E3" w:rsidRPr="0007571D">
        <w:rPr>
          <w:vertAlign w:val="superscript"/>
        </w:rPr>
        <w:footnoteReference w:id="12"/>
      </w:r>
      <w:r w:rsidR="00E273E3" w:rsidRPr="0007571D">
        <w:t xml:space="preserve"> and the Commissi</w:t>
      </w:r>
      <w:r w:rsidR="00E273E3" w:rsidRPr="00344C0B">
        <w:t xml:space="preserve">on’s </w:t>
      </w:r>
      <w:r w:rsidR="00E273E3" w:rsidRPr="00D41A82">
        <w:rPr>
          <w:i/>
        </w:rPr>
        <w:t xml:space="preserve">Forfeiture Policy </w:t>
      </w:r>
      <w:r w:rsidR="00E273E3" w:rsidRPr="00D41A82">
        <w:rPr>
          <w:rFonts w:eastAsia="MS Mincho"/>
          <w:i/>
          <w:szCs w:val="22"/>
        </w:rPr>
        <w:t>Statement</w:t>
      </w:r>
      <w:r w:rsidR="00E273E3" w:rsidRPr="00344C0B">
        <w:t>.</w:t>
      </w:r>
      <w:r w:rsidR="00E273E3" w:rsidRPr="0007571D">
        <w:rPr>
          <w:rStyle w:val="FootnoteReference"/>
          <w:szCs w:val="22"/>
        </w:rPr>
        <w:footnoteReference w:id="13"/>
      </w:r>
      <w:r w:rsidR="00E273E3" w:rsidRPr="0007571D">
        <w:t xml:space="preserve">  </w:t>
      </w:r>
      <w:r w:rsidRPr="00344C0B">
        <w:t>When we assess</w:t>
      </w:r>
      <w:r w:rsidR="00E273E3" w:rsidRPr="00344C0B">
        <w:t xml:space="preserve"> forfeitures, Section 503(b)(2)(E) requires that we take into account the “nature, circumstances, extent, and gravity of the violation and, with respect to the violator, the degree of culpability, any history of prior offenses, ability to pay, and such other matters as justice may require.”</w:t>
      </w:r>
      <w:r w:rsidR="00E273E3" w:rsidRPr="0007571D">
        <w:rPr>
          <w:vertAlign w:val="superscript"/>
        </w:rPr>
        <w:footnoteReference w:id="14"/>
      </w:r>
      <w:r w:rsidR="00E273E3" w:rsidRPr="0007571D">
        <w:t xml:space="preserve">  </w:t>
      </w:r>
      <w:r w:rsidR="006B685D" w:rsidRPr="00D41A82">
        <w:rPr>
          <w:szCs w:val="22"/>
        </w:rPr>
        <w:t>As discussed below, we</w:t>
      </w:r>
      <w:r w:rsidRPr="00D41A82">
        <w:rPr>
          <w:szCs w:val="22"/>
        </w:rPr>
        <w:t xml:space="preserve"> have </w:t>
      </w:r>
      <w:r w:rsidR="006B685D" w:rsidRPr="00D41A82">
        <w:rPr>
          <w:szCs w:val="22"/>
        </w:rPr>
        <w:t xml:space="preserve">fully </w:t>
      </w:r>
      <w:r w:rsidRPr="00D41A82">
        <w:rPr>
          <w:szCs w:val="22"/>
        </w:rPr>
        <w:t xml:space="preserve">considered </w:t>
      </w:r>
      <w:r w:rsidR="00D41A82">
        <w:t>Acumen’s</w:t>
      </w:r>
      <w:r w:rsidRPr="0007571D">
        <w:t xml:space="preserve"> </w:t>
      </w:r>
      <w:r w:rsidRPr="00D41A82">
        <w:rPr>
          <w:szCs w:val="22"/>
        </w:rPr>
        <w:t xml:space="preserve">response to the </w:t>
      </w:r>
      <w:r w:rsidRPr="00D41A82">
        <w:rPr>
          <w:i/>
          <w:szCs w:val="22"/>
        </w:rPr>
        <w:t>NAL</w:t>
      </w:r>
      <w:r w:rsidRPr="00D41A82">
        <w:rPr>
          <w:szCs w:val="22"/>
        </w:rPr>
        <w:t xml:space="preserve">, which includes </w:t>
      </w:r>
      <w:r w:rsidR="00D41A82" w:rsidRPr="00D41A82">
        <w:rPr>
          <w:szCs w:val="22"/>
        </w:rPr>
        <w:t>two</w:t>
      </w:r>
      <w:r w:rsidRPr="00D41A82">
        <w:rPr>
          <w:szCs w:val="22"/>
        </w:rPr>
        <w:t xml:space="preserve"> arguments, but we find n</w:t>
      </w:r>
      <w:r w:rsidR="00D41A82" w:rsidRPr="00D41A82">
        <w:rPr>
          <w:szCs w:val="22"/>
        </w:rPr>
        <w:t>either</w:t>
      </w:r>
      <w:r w:rsidRPr="00D41A82">
        <w:rPr>
          <w:szCs w:val="22"/>
        </w:rPr>
        <w:t xml:space="preserve"> of them persuasive.  We therefore affirm the $</w:t>
      </w:r>
      <w:r w:rsidR="00D41A82" w:rsidRPr="00D41A82">
        <w:rPr>
          <w:szCs w:val="22"/>
        </w:rPr>
        <w:t>17,000</w:t>
      </w:r>
      <w:r w:rsidRPr="00D41A82">
        <w:rPr>
          <w:szCs w:val="22"/>
        </w:rPr>
        <w:t xml:space="preserve"> forfeiture proposed in the </w:t>
      </w:r>
      <w:r w:rsidRPr="00D41A82">
        <w:rPr>
          <w:i/>
          <w:szCs w:val="22"/>
        </w:rPr>
        <w:t>NAL.</w:t>
      </w:r>
    </w:p>
    <w:p w:rsidR="0069722D" w:rsidRPr="0007571D" w:rsidRDefault="0069722D" w:rsidP="00E829E4">
      <w:pPr>
        <w:pStyle w:val="Heading2"/>
      </w:pPr>
      <w:r>
        <w:t>Operation on Unauthorized Frequency</w:t>
      </w:r>
    </w:p>
    <w:p w:rsidR="0069722D" w:rsidRPr="0069722D" w:rsidRDefault="0069722D" w:rsidP="00EE67D5">
      <w:pPr>
        <w:pStyle w:val="ParaNum"/>
        <w:numPr>
          <w:ilvl w:val="0"/>
          <w:numId w:val="6"/>
        </w:numPr>
        <w:spacing w:after="240"/>
        <w:ind w:left="0" w:firstLine="720"/>
        <w:rPr>
          <w:i/>
          <w:szCs w:val="22"/>
        </w:rPr>
      </w:pPr>
      <w:r w:rsidRPr="0069722D">
        <w:rPr>
          <w:snapToGrid/>
          <w:kern w:val="0"/>
          <w:szCs w:val="22"/>
        </w:rPr>
        <w:t>Section 301 of the Act prohibits the use or operation of any apparatus for the transmission of energy or communications or signals by radio, except under and in accordance with the Act and with a license granted under the provisions of the Act.</w:t>
      </w:r>
      <w:r w:rsidRPr="0069722D">
        <w:rPr>
          <w:snapToGrid/>
          <w:kern w:val="0"/>
          <w:szCs w:val="22"/>
          <w:vertAlign w:val="superscript"/>
        </w:rPr>
        <w:footnoteReference w:id="15"/>
      </w:r>
      <w:r w:rsidRPr="0069722D">
        <w:rPr>
          <w:snapToGrid/>
          <w:kern w:val="0"/>
          <w:szCs w:val="22"/>
        </w:rPr>
        <w:t xml:space="preserve">  </w:t>
      </w:r>
      <w:r w:rsidRPr="0069722D">
        <w:rPr>
          <w:snapToGrid/>
          <w:color w:val="000000"/>
          <w:spacing w:val="-2"/>
          <w:kern w:val="0"/>
          <w:szCs w:val="22"/>
          <w:u w:color="000000"/>
        </w:rPr>
        <w:t xml:space="preserve">Section 1.903(a) of the </w:t>
      </w:r>
      <w:r w:rsidRPr="0069722D">
        <w:rPr>
          <w:snapToGrid/>
          <w:kern w:val="0"/>
          <w:szCs w:val="22"/>
        </w:rPr>
        <w:t xml:space="preserve">Rules requires that stations in the Wireless Radio Services must be used and operated only in accordance with the rules </w:t>
      </w:r>
      <w:r w:rsidRPr="0069722D">
        <w:rPr>
          <w:snapToGrid/>
          <w:kern w:val="0"/>
          <w:szCs w:val="22"/>
        </w:rPr>
        <w:lastRenderedPageBreak/>
        <w:t>applicable to their particular service, and with a valid authorization granted by the Commission.</w:t>
      </w:r>
      <w:r w:rsidRPr="0069722D">
        <w:rPr>
          <w:snapToGrid/>
          <w:color w:val="000000"/>
          <w:spacing w:val="-2"/>
          <w:kern w:val="0"/>
          <w:szCs w:val="22"/>
          <w:u w:color="000000"/>
          <w:vertAlign w:val="superscript"/>
        </w:rPr>
        <w:footnoteReference w:id="16"/>
      </w:r>
    </w:p>
    <w:p w:rsidR="0069722D" w:rsidRPr="00E829E4" w:rsidRDefault="0069722D" w:rsidP="00EE67D5">
      <w:pPr>
        <w:pStyle w:val="ParaNum"/>
        <w:numPr>
          <w:ilvl w:val="0"/>
          <w:numId w:val="6"/>
        </w:numPr>
        <w:ind w:left="0" w:firstLine="720"/>
      </w:pPr>
      <w:r>
        <w:t xml:space="preserve">In its NAL Response, Acumen </w:t>
      </w:r>
      <w:r w:rsidR="00F30014">
        <w:t xml:space="preserve">argues </w:t>
      </w:r>
      <w:r>
        <w:t xml:space="preserve">that it was not the source of the interfering signal on 150.6973 MHz, but that the signal was produced by a “mix” of signals, including Acumen’s </w:t>
      </w:r>
      <w:r w:rsidR="00C67D47">
        <w:t>authorized use of frequency 152.285 MHz.</w:t>
      </w:r>
      <w:r w:rsidR="00F30014">
        <w:rPr>
          <w:rStyle w:val="FootnoteReference"/>
        </w:rPr>
        <w:footnoteReference w:id="17"/>
      </w:r>
      <w:r w:rsidR="00C67D47">
        <w:t xml:space="preserve">  Acumen further argues that the Los Angeles Office agents saw only a sticker on the Acumen transmitter that labeled the transmitter as operating on 151.580 MHz</w:t>
      </w:r>
      <w:r w:rsidR="00114734">
        <w:t>.</w:t>
      </w:r>
      <w:r w:rsidR="00682B40">
        <w:rPr>
          <w:rStyle w:val="FootnoteReference"/>
        </w:rPr>
        <w:footnoteReference w:id="18"/>
      </w:r>
      <w:r w:rsidR="00114734">
        <w:t xml:space="preserve">  Conse</w:t>
      </w:r>
      <w:r w:rsidR="00C67D47">
        <w:t>q</w:t>
      </w:r>
      <w:r w:rsidR="00114734">
        <w:t>u</w:t>
      </w:r>
      <w:r w:rsidR="00C67D47">
        <w:t>ently, Acumen sta</w:t>
      </w:r>
      <w:r w:rsidR="00114734">
        <w:t>t</w:t>
      </w:r>
      <w:r w:rsidR="00C67D47">
        <w:t>es there is no evidence that it was responsib</w:t>
      </w:r>
      <w:r w:rsidR="00114734">
        <w:t>l</w:t>
      </w:r>
      <w:r w:rsidR="00C67D47">
        <w:t>e for the offending signal.</w:t>
      </w:r>
      <w:r w:rsidR="00C67D47">
        <w:rPr>
          <w:rStyle w:val="FootnoteReference"/>
        </w:rPr>
        <w:footnoteReference w:id="19"/>
      </w:r>
      <w:r w:rsidR="00C67D47">
        <w:t xml:space="preserve">  Contr</w:t>
      </w:r>
      <w:r w:rsidR="00114734">
        <w:t>a</w:t>
      </w:r>
      <w:r w:rsidR="00C67D47">
        <w:t>ry to Acumen’s assertions, we find tha</w:t>
      </w:r>
      <w:r w:rsidR="00114734">
        <w:t>t</w:t>
      </w:r>
      <w:r w:rsidR="00C67D47">
        <w:t xml:space="preserve"> the evidenc</w:t>
      </w:r>
      <w:r w:rsidR="00114734">
        <w:t>e</w:t>
      </w:r>
      <w:r w:rsidR="00C67D47">
        <w:t xml:space="preserve"> support</w:t>
      </w:r>
      <w:r w:rsidR="00114734">
        <w:t xml:space="preserve">s </w:t>
      </w:r>
      <w:r w:rsidR="00FB5C54">
        <w:t xml:space="preserve">the finding in the </w:t>
      </w:r>
      <w:r w:rsidR="00FB5C54" w:rsidRPr="00FF0626">
        <w:rPr>
          <w:i/>
        </w:rPr>
        <w:t>NAL</w:t>
      </w:r>
      <w:r w:rsidR="00FB5C54">
        <w:t xml:space="preserve"> </w:t>
      </w:r>
      <w:r w:rsidR="00C67D47">
        <w:t>that the Acumen transmitter was responsible for the interfer</w:t>
      </w:r>
      <w:r w:rsidR="00114734">
        <w:t>ing</w:t>
      </w:r>
      <w:r w:rsidR="00C67D47">
        <w:t xml:space="preserve"> signal.  The Los Angeles agent</w:t>
      </w:r>
      <w:r w:rsidR="00114734">
        <w:t>s</w:t>
      </w:r>
      <w:r w:rsidR="00C67D47">
        <w:t xml:space="preserve"> located th</w:t>
      </w:r>
      <w:r w:rsidR="00114734">
        <w:t xml:space="preserve">e </w:t>
      </w:r>
      <w:r w:rsidR="00C67D47">
        <w:t>sign</w:t>
      </w:r>
      <w:r w:rsidR="00114734">
        <w:t>a</w:t>
      </w:r>
      <w:r w:rsidR="00C67D47">
        <w:t xml:space="preserve">l on 150.6973 MHz to the Acumen building on Mt. Wilson, </w:t>
      </w:r>
      <w:r w:rsidR="00E829E4">
        <w:t xml:space="preserve">and </w:t>
      </w:r>
      <w:r w:rsidR="00C67D47" w:rsidRPr="00C67D47">
        <w:rPr>
          <w:iCs/>
        </w:rPr>
        <w:t xml:space="preserve">screen captures of spectrum analyzer measurements </w:t>
      </w:r>
      <w:r w:rsidR="00C67D47">
        <w:rPr>
          <w:iCs/>
        </w:rPr>
        <w:t xml:space="preserve">confirmed that </w:t>
      </w:r>
      <w:r w:rsidR="00C67D47" w:rsidRPr="00C67D47">
        <w:rPr>
          <w:iCs/>
        </w:rPr>
        <w:t>the fundamental frequency in use was 151.580 MHz</w:t>
      </w:r>
      <w:r w:rsidR="00E829E4">
        <w:rPr>
          <w:iCs/>
        </w:rPr>
        <w:t>.</w:t>
      </w:r>
      <w:r w:rsidR="00E829E4">
        <w:rPr>
          <w:rStyle w:val="FootnoteReference"/>
          <w:iCs/>
        </w:rPr>
        <w:footnoteReference w:id="20"/>
      </w:r>
      <w:r w:rsidR="00E829E4">
        <w:rPr>
          <w:iCs/>
        </w:rPr>
        <w:t xml:space="preserve">  A</w:t>
      </w:r>
      <w:r w:rsidR="00C67D47" w:rsidRPr="00C67D47">
        <w:rPr>
          <w:iCs/>
        </w:rPr>
        <w:t xml:space="preserve"> spurious signal causing interference to USCG operations in the 150 MHz band was observed on </w:t>
      </w:r>
      <w:r w:rsidR="00954972">
        <w:rPr>
          <w:iCs/>
        </w:rPr>
        <w:t>1</w:t>
      </w:r>
      <w:r w:rsidR="00C67D47" w:rsidRPr="00C67D47">
        <w:rPr>
          <w:iCs/>
        </w:rPr>
        <w:t>50.6973 MHz, a frequency approximately 0.8 MHz below the center frequency of 151.580 MHz</w:t>
      </w:r>
      <w:r w:rsidR="00E829E4">
        <w:rPr>
          <w:iCs/>
        </w:rPr>
        <w:t xml:space="preserve">, </w:t>
      </w:r>
      <w:r w:rsidR="00F30014">
        <w:rPr>
          <w:iCs/>
        </w:rPr>
        <w:t xml:space="preserve">which is within the </w:t>
      </w:r>
      <w:r w:rsidR="00E829E4">
        <w:rPr>
          <w:iCs/>
        </w:rPr>
        <w:t>range of sp</w:t>
      </w:r>
      <w:r w:rsidR="00114734">
        <w:rPr>
          <w:iCs/>
        </w:rPr>
        <w:t>u</w:t>
      </w:r>
      <w:r w:rsidR="00E829E4">
        <w:rPr>
          <w:iCs/>
        </w:rPr>
        <w:t>rious activity that Acumen acknowledged in its NOV Response</w:t>
      </w:r>
      <w:r w:rsidR="00C67D47" w:rsidRPr="00C67D47">
        <w:rPr>
          <w:iCs/>
        </w:rPr>
        <w:t>.</w:t>
      </w:r>
      <w:r w:rsidR="00C67D47" w:rsidRPr="00C67D47">
        <w:rPr>
          <w:iCs/>
          <w:vertAlign w:val="superscript"/>
        </w:rPr>
        <w:footnoteReference w:id="21"/>
      </w:r>
      <w:r w:rsidR="00C67D47" w:rsidRPr="00C67D47">
        <w:rPr>
          <w:iCs/>
        </w:rPr>
        <w:t xml:space="preserve">  </w:t>
      </w:r>
      <w:r w:rsidR="00506F54">
        <w:rPr>
          <w:iCs/>
        </w:rPr>
        <w:t xml:space="preserve">Finally, when Acumen remotely turned the transmitter off, the spurious signal disappeared.  Acumen proffers no evidence </w:t>
      </w:r>
      <w:r w:rsidR="002D741D">
        <w:rPr>
          <w:iCs/>
        </w:rPr>
        <w:t>or calculations to</w:t>
      </w:r>
      <w:r w:rsidR="00506F54">
        <w:rPr>
          <w:iCs/>
        </w:rPr>
        <w:t xml:space="preserve"> support its assertion that other transmitters </w:t>
      </w:r>
      <w:r w:rsidR="002D741D">
        <w:rPr>
          <w:iCs/>
        </w:rPr>
        <w:t xml:space="preserve">also </w:t>
      </w:r>
      <w:r w:rsidR="00506F54">
        <w:rPr>
          <w:iCs/>
        </w:rPr>
        <w:t xml:space="preserve">contributed to the creation of the interfering signal.  </w:t>
      </w:r>
    </w:p>
    <w:p w:rsidR="00E829E4" w:rsidRDefault="00E829E4" w:rsidP="00E829E4">
      <w:pPr>
        <w:pStyle w:val="Heading2"/>
        <w:rPr>
          <w:u w:color="000000"/>
        </w:rPr>
      </w:pPr>
      <w:r>
        <w:rPr>
          <w:u w:color="000000"/>
        </w:rPr>
        <w:t>Failing to Take Reasonable Precautions to Avoid Interference</w:t>
      </w:r>
    </w:p>
    <w:p w:rsidR="0069722D" w:rsidRPr="00E829E4" w:rsidRDefault="00E829E4" w:rsidP="00EE67D5">
      <w:pPr>
        <w:pStyle w:val="ParaNum"/>
        <w:numPr>
          <w:ilvl w:val="0"/>
          <w:numId w:val="6"/>
        </w:numPr>
        <w:ind w:left="0" w:firstLine="720"/>
      </w:pPr>
      <w:r w:rsidRPr="00E829E4">
        <w:rPr>
          <w:snapToGrid/>
          <w:color w:val="000000"/>
          <w:spacing w:val="-2"/>
          <w:kern w:val="0"/>
          <w:szCs w:val="22"/>
          <w:u w:color="000000"/>
        </w:rPr>
        <w:t xml:space="preserve">Section 90.403(e) of the </w:t>
      </w:r>
      <w:r w:rsidRPr="00E829E4">
        <w:rPr>
          <w:snapToGrid/>
          <w:kern w:val="0"/>
          <w:szCs w:val="22"/>
        </w:rPr>
        <w:t>Rules requires that “[l]icensees shall take reasonable precautions to avoid causing harmful interference.  This includes monitoring the transmitting frequency for communications in progress and such other measures as may be necessary to minimize the potential for causing interference.”</w:t>
      </w:r>
      <w:r w:rsidRPr="00E829E4">
        <w:rPr>
          <w:snapToGrid/>
          <w:color w:val="000000"/>
          <w:spacing w:val="-2"/>
          <w:kern w:val="0"/>
          <w:szCs w:val="22"/>
          <w:u w:color="000000"/>
          <w:vertAlign w:val="superscript"/>
        </w:rPr>
        <w:footnoteReference w:id="22"/>
      </w:r>
      <w:r w:rsidRPr="00E829E4">
        <w:rPr>
          <w:iCs/>
          <w:snapToGrid/>
          <w:color w:val="000000"/>
          <w:kern w:val="0"/>
          <w:szCs w:val="22"/>
          <w:u w:color="000000"/>
        </w:rPr>
        <w:t xml:space="preserve">  </w:t>
      </w:r>
    </w:p>
    <w:p w:rsidR="00CA0B47" w:rsidRDefault="00E829E4" w:rsidP="00CA0654">
      <w:pPr>
        <w:pStyle w:val="ParaNum"/>
        <w:numPr>
          <w:ilvl w:val="0"/>
          <w:numId w:val="6"/>
        </w:numPr>
        <w:ind w:left="0" w:firstLine="720"/>
      </w:pPr>
      <w:r>
        <w:t xml:space="preserve">Acumen argues that </w:t>
      </w:r>
      <w:r w:rsidR="00F30014" w:rsidRPr="00F30014">
        <w:t xml:space="preserve">because </w:t>
      </w:r>
      <w:r w:rsidR="00F30014">
        <w:t xml:space="preserve">there is no evidence that </w:t>
      </w:r>
      <w:r w:rsidR="00F30014" w:rsidRPr="00F30014">
        <w:t xml:space="preserve">it </w:t>
      </w:r>
      <w:r w:rsidR="00F30014">
        <w:t>i</w:t>
      </w:r>
      <w:r w:rsidR="00F30014" w:rsidRPr="00F30014">
        <w:t>ntend</w:t>
      </w:r>
      <w:r w:rsidR="00F30014">
        <w:t>ed</w:t>
      </w:r>
      <w:r w:rsidR="00F30014" w:rsidRPr="00F30014">
        <w:t xml:space="preserve"> to create the</w:t>
      </w:r>
      <w:r w:rsidR="00F30014">
        <w:t xml:space="preserve"> spurious</w:t>
      </w:r>
      <w:r w:rsidR="00F30014" w:rsidRPr="00F30014">
        <w:t xml:space="preserve"> signal</w:t>
      </w:r>
      <w:r w:rsidR="00F30014">
        <w:t>,</w:t>
      </w:r>
      <w:r w:rsidR="00F30014" w:rsidRPr="00F30014">
        <w:t xml:space="preserve"> </w:t>
      </w:r>
      <w:r>
        <w:t>the</w:t>
      </w:r>
      <w:r w:rsidR="00F30014">
        <w:t>re is</w:t>
      </w:r>
      <w:r>
        <w:t xml:space="preserve"> no proof that </w:t>
      </w:r>
      <w:r w:rsidR="00F30014">
        <w:t>Acumen</w:t>
      </w:r>
      <w:r>
        <w:t xml:space="preserve"> willfully or repeatedly violated the Act or the Rules </w:t>
      </w:r>
      <w:r w:rsidR="00F30014">
        <w:t>or</w:t>
      </w:r>
      <w:r>
        <w:t xml:space="preserve"> failed to take reasonable precautions to avoid interference</w:t>
      </w:r>
      <w:r w:rsidR="00F30014">
        <w:t>.</w:t>
      </w:r>
      <w:r w:rsidR="00F30014">
        <w:rPr>
          <w:rStyle w:val="FootnoteReference"/>
        </w:rPr>
        <w:footnoteReference w:id="23"/>
      </w:r>
      <w:r w:rsidR="00F30014">
        <w:t xml:space="preserve">  Acumen also asserts that i</w:t>
      </w:r>
      <w:r w:rsidR="006D5C47">
        <w:t xml:space="preserve">t </w:t>
      </w:r>
      <w:r w:rsidR="002D741D">
        <w:t xml:space="preserve">did </w:t>
      </w:r>
      <w:r>
        <w:t>not know that its transmitter “would mix and</w:t>
      </w:r>
      <w:r w:rsidR="00114734">
        <w:t xml:space="preserve"> </w:t>
      </w:r>
      <w:r>
        <w:t>interfere with the USCG.”</w:t>
      </w:r>
      <w:r>
        <w:rPr>
          <w:rStyle w:val="FootnoteReference"/>
        </w:rPr>
        <w:footnoteReference w:id="24"/>
      </w:r>
      <w:r w:rsidR="004C7D2D">
        <w:t xml:space="preserve">  </w:t>
      </w:r>
      <w:r w:rsidR="0069722D">
        <w:t xml:space="preserve">We reject </w:t>
      </w:r>
      <w:r>
        <w:t>Acumen’s</w:t>
      </w:r>
      <w:r w:rsidR="0069722D">
        <w:t xml:space="preserve"> argument </w:t>
      </w:r>
      <w:r>
        <w:t xml:space="preserve">that </w:t>
      </w:r>
      <w:r w:rsidR="006D5C47">
        <w:t xml:space="preserve">the Bureau must show that Acumen intended to create the offending signals.  </w:t>
      </w:r>
      <w:r w:rsidR="006D5C47" w:rsidRPr="006D5C47">
        <w:t>Licensees are expected to know and comply with the Rules.</w:t>
      </w:r>
      <w:r w:rsidR="006D5C47" w:rsidRPr="006D5C47">
        <w:rPr>
          <w:vertAlign w:val="superscript"/>
        </w:rPr>
        <w:footnoteReference w:id="25"/>
      </w:r>
      <w:r w:rsidR="006D5C47" w:rsidRPr="006D5C47">
        <w:t xml:space="preserve">  As the Commission has repeatedly held, violations resulting from inadvertent error or failure to become familiar with the FCC’s requirements can be and often are willful violations.</w:t>
      </w:r>
      <w:r w:rsidR="006D5C47" w:rsidRPr="006D5C47">
        <w:rPr>
          <w:vertAlign w:val="superscript"/>
        </w:rPr>
        <w:footnoteReference w:id="26"/>
      </w:r>
      <w:r w:rsidR="006D5C47" w:rsidRPr="006D5C47">
        <w:t xml:space="preserve">  In the context of a forfeiture action, “willful” does not require a finding that the rule violation was intentional.</w:t>
      </w:r>
      <w:r w:rsidR="006D5C47" w:rsidRPr="006D5C47">
        <w:rPr>
          <w:vertAlign w:val="superscript"/>
        </w:rPr>
        <w:footnoteReference w:id="27"/>
      </w:r>
      <w:r w:rsidR="006D5C47" w:rsidRPr="006D5C47">
        <w:t xml:space="preserve">  Rather, the term “willful” means that the violator knew it was taking (or not taking) the action in question, irrespective of any intent to violate the law.</w:t>
      </w:r>
      <w:r w:rsidR="006D5C47" w:rsidRPr="006D5C47">
        <w:rPr>
          <w:vertAlign w:val="superscript"/>
        </w:rPr>
        <w:footnoteReference w:id="28"/>
      </w:r>
      <w:r w:rsidR="006D5C47" w:rsidRPr="006D5C47">
        <w:t xml:space="preserve">  Here,</w:t>
      </w:r>
      <w:r w:rsidR="006D5C47">
        <w:t xml:space="preserve"> Acumen was</w:t>
      </w:r>
      <w:r w:rsidR="006D5C47" w:rsidRPr="006D5C47">
        <w:t xml:space="preserve"> operating the </w:t>
      </w:r>
      <w:r w:rsidR="006D5C47">
        <w:t>offending transmitter</w:t>
      </w:r>
      <w:r w:rsidR="000768FE">
        <w:t xml:space="preserve"> which was</w:t>
      </w:r>
      <w:r w:rsidR="006D5C47">
        <w:t xml:space="preserve"> creating the spurious </w:t>
      </w:r>
      <w:r w:rsidR="00F30014">
        <w:t>signal</w:t>
      </w:r>
      <w:r w:rsidR="006D5C47">
        <w:t xml:space="preserve">, over a period of at least two days, January 17 and 18, 2013, </w:t>
      </w:r>
      <w:r w:rsidR="00FE5FA3">
        <w:t xml:space="preserve">and </w:t>
      </w:r>
      <w:r w:rsidR="006D5C47">
        <w:t xml:space="preserve">it failed to monitor or take any other </w:t>
      </w:r>
      <w:r w:rsidR="006D5C47" w:rsidRPr="006D5C47">
        <w:t xml:space="preserve">reasonable precautions to avoid causing harmful interference.  </w:t>
      </w:r>
      <w:r w:rsidR="006D5C47">
        <w:t xml:space="preserve">Consequently, Acumen’s </w:t>
      </w:r>
      <w:r w:rsidR="00954972">
        <w:t>violations</w:t>
      </w:r>
      <w:r w:rsidR="006D5C47">
        <w:t xml:space="preserve"> </w:t>
      </w:r>
      <w:r w:rsidR="00FE5FA3">
        <w:t xml:space="preserve">were willful and </w:t>
      </w:r>
      <w:r w:rsidR="006D5C47">
        <w:t>repeated</w:t>
      </w:r>
      <w:r w:rsidR="00FE5FA3">
        <w:t>.</w:t>
      </w:r>
    </w:p>
    <w:p w:rsidR="00CA0B47" w:rsidRPr="00344C0B" w:rsidRDefault="00CA0B47" w:rsidP="00114734">
      <w:pPr>
        <w:pStyle w:val="Heading1"/>
      </w:pPr>
      <w:r w:rsidRPr="00344C0B">
        <w:t>CONCLUSION</w:t>
      </w:r>
    </w:p>
    <w:p w:rsidR="00CA0B47" w:rsidRPr="00A020A9" w:rsidRDefault="0069722D" w:rsidP="00EE67D5">
      <w:pPr>
        <w:pStyle w:val="ParaNum"/>
        <w:numPr>
          <w:ilvl w:val="0"/>
          <w:numId w:val="6"/>
        </w:numPr>
        <w:ind w:left="0" w:firstLine="720"/>
      </w:pPr>
      <w:r>
        <w:t xml:space="preserve">Having </w:t>
      </w:r>
      <w:r w:rsidRPr="00CA0B47">
        <w:rPr>
          <w:szCs w:val="22"/>
        </w:rPr>
        <w:t xml:space="preserve">considered </w:t>
      </w:r>
      <w:r w:rsidR="00CA0B47" w:rsidRPr="00CA0B47">
        <w:rPr>
          <w:szCs w:val="22"/>
        </w:rPr>
        <w:t>Acumen’s</w:t>
      </w:r>
      <w:r w:rsidRPr="00CA0B47">
        <w:rPr>
          <w:szCs w:val="22"/>
        </w:rPr>
        <w:t xml:space="preserve"> response to the </w:t>
      </w:r>
      <w:r w:rsidRPr="00CA0B47">
        <w:rPr>
          <w:i/>
          <w:szCs w:val="22"/>
        </w:rPr>
        <w:t>NAL</w:t>
      </w:r>
      <w:r w:rsidRPr="00CA0B47">
        <w:rPr>
          <w:szCs w:val="22"/>
        </w:rPr>
        <w:t xml:space="preserve"> in light of the applicable statutory factors, the Rules, and the </w:t>
      </w:r>
      <w:r w:rsidRPr="00CA0B47">
        <w:rPr>
          <w:i/>
          <w:szCs w:val="22"/>
        </w:rPr>
        <w:t>Forfeiture Policy Statement</w:t>
      </w:r>
      <w:r w:rsidRPr="00CA0B47">
        <w:rPr>
          <w:szCs w:val="22"/>
        </w:rPr>
        <w:t xml:space="preserve">, we find that </w:t>
      </w:r>
      <w:r w:rsidR="00CA0B47" w:rsidRPr="00CA0B47">
        <w:rPr>
          <w:szCs w:val="22"/>
        </w:rPr>
        <w:t>Acumen</w:t>
      </w:r>
      <w:r w:rsidRPr="00CA0B47">
        <w:rPr>
          <w:szCs w:val="22"/>
        </w:rPr>
        <w:t xml:space="preserve"> willfully </w:t>
      </w:r>
      <w:r w:rsidR="00CA0B47" w:rsidRPr="00CA0B47">
        <w:rPr>
          <w:szCs w:val="22"/>
        </w:rPr>
        <w:t xml:space="preserve">and repeatedly </w:t>
      </w:r>
      <w:r w:rsidRPr="00CA0B47">
        <w:rPr>
          <w:szCs w:val="22"/>
        </w:rPr>
        <w:t>violated Section 301 of the Act and Section</w:t>
      </w:r>
      <w:r w:rsidR="00CA0B47" w:rsidRPr="00CA0B47">
        <w:rPr>
          <w:szCs w:val="22"/>
        </w:rPr>
        <w:t>s</w:t>
      </w:r>
      <w:r w:rsidRPr="00CA0B47">
        <w:rPr>
          <w:szCs w:val="22"/>
        </w:rPr>
        <w:t xml:space="preserve"> </w:t>
      </w:r>
      <w:r w:rsidR="00CA0B47" w:rsidRPr="00CA0B47">
        <w:rPr>
          <w:snapToGrid/>
          <w:color w:val="000000"/>
          <w:spacing w:val="-2"/>
          <w:kern w:val="0"/>
          <w:szCs w:val="22"/>
          <w:u w:color="000000"/>
        </w:rPr>
        <w:t>1.903(a) and 90.403(e) of the Rules,</w:t>
      </w:r>
      <w:r w:rsidR="00CA0B47" w:rsidRPr="00A85686">
        <w:rPr>
          <w:snapToGrid/>
          <w:color w:val="000000"/>
          <w:spacing w:val="-2"/>
          <w:kern w:val="0"/>
          <w:szCs w:val="22"/>
          <w:u w:color="000000"/>
          <w:vertAlign w:val="superscript"/>
        </w:rPr>
        <w:footnoteReference w:id="29"/>
      </w:r>
      <w:r w:rsidR="00CA0B47" w:rsidRPr="00CA0B47">
        <w:rPr>
          <w:snapToGrid/>
          <w:color w:val="000000"/>
          <w:spacing w:val="-2"/>
          <w:kern w:val="0"/>
          <w:szCs w:val="22"/>
          <w:u w:color="000000"/>
        </w:rPr>
        <w:t xml:space="preserve"> by operating the Station on a frequency not authorized on its license, and by failing to take reasonable precautions to avoid causing harmful interference.  </w:t>
      </w:r>
      <w:r w:rsidR="00CA0B47" w:rsidRPr="0007571D">
        <w:t>We decline to cancel or reduce the</w:t>
      </w:r>
      <w:r w:rsidR="00CA0B47">
        <w:t xml:space="preserve"> </w:t>
      </w:r>
      <w:r w:rsidR="00CA0B47" w:rsidRPr="0007571D">
        <w:t>$</w:t>
      </w:r>
      <w:r w:rsidR="00CA0B47">
        <w:t>17,000</w:t>
      </w:r>
      <w:r w:rsidR="00CA0B47" w:rsidRPr="00A020A9">
        <w:t xml:space="preserve"> </w:t>
      </w:r>
      <w:r w:rsidR="00CA0B47">
        <w:t xml:space="preserve">forfeiture </w:t>
      </w:r>
      <w:r w:rsidR="00CA0B47" w:rsidRPr="00A020A9">
        <w:t xml:space="preserve">proposed in the </w:t>
      </w:r>
      <w:r w:rsidR="00CA0B47" w:rsidRPr="00CA0B47">
        <w:rPr>
          <w:i/>
        </w:rPr>
        <w:t>NAL</w:t>
      </w:r>
      <w:r w:rsidR="00CA0B47" w:rsidRPr="00A020A9">
        <w:t xml:space="preserve">.   </w:t>
      </w:r>
    </w:p>
    <w:p w:rsidR="0069722D" w:rsidRDefault="0069722D" w:rsidP="00114734">
      <w:pPr>
        <w:pStyle w:val="Heading1"/>
      </w:pPr>
      <w:r>
        <w:t>ORDERING CLAUSES</w:t>
      </w:r>
    </w:p>
    <w:p w:rsidR="0069722D" w:rsidRPr="00EE0E5D" w:rsidRDefault="0069722D" w:rsidP="00EE67D5">
      <w:pPr>
        <w:pStyle w:val="ParaNum"/>
        <w:numPr>
          <w:ilvl w:val="0"/>
          <w:numId w:val="6"/>
        </w:numPr>
        <w:ind w:left="0" w:firstLine="720"/>
      </w:pPr>
      <w:r>
        <w:rPr>
          <w:szCs w:val="22"/>
        </w:rPr>
        <w:t xml:space="preserve">Accordingly, </w:t>
      </w:r>
      <w:r w:rsidRPr="001F7EE0">
        <w:rPr>
          <w:b/>
          <w:szCs w:val="22"/>
        </w:rPr>
        <w:t>IT IS ORDERED</w:t>
      </w:r>
      <w:r w:rsidRPr="001F7EE0">
        <w:rPr>
          <w:szCs w:val="22"/>
        </w:rPr>
        <w:t xml:space="preserve"> that, pursuant to Section 503(b) of the </w:t>
      </w:r>
      <w:r>
        <w:rPr>
          <w:szCs w:val="22"/>
        </w:rPr>
        <w:t>C</w:t>
      </w:r>
      <w:r w:rsidRPr="001F7EE0">
        <w:rPr>
          <w:szCs w:val="22"/>
        </w:rPr>
        <w:t>ommunications Act of 1934, as amended, and Sections 0.111, 0.311 and 1.80 of the Commission’s rules,</w:t>
      </w:r>
      <w:r w:rsidRPr="001F7EE0">
        <w:rPr>
          <w:rStyle w:val="FootnoteReference"/>
          <w:szCs w:val="22"/>
        </w:rPr>
        <w:footnoteReference w:id="30"/>
      </w:r>
      <w:r w:rsidRPr="001F7EE0">
        <w:rPr>
          <w:szCs w:val="22"/>
        </w:rPr>
        <w:t xml:space="preserve"> </w:t>
      </w:r>
      <w:r w:rsidR="00CA0B47">
        <w:t xml:space="preserve">Acumen Communications </w:t>
      </w:r>
      <w:r w:rsidRPr="001F7EE0">
        <w:rPr>
          <w:b/>
          <w:szCs w:val="22"/>
        </w:rPr>
        <w:t>IS LIABLE FOR A MONETARY FORFEITURE</w:t>
      </w:r>
      <w:r w:rsidRPr="001F7EE0">
        <w:rPr>
          <w:szCs w:val="22"/>
        </w:rPr>
        <w:t xml:space="preserve"> in the amount of </w:t>
      </w:r>
      <w:r w:rsidR="00CA0B47">
        <w:rPr>
          <w:szCs w:val="22"/>
        </w:rPr>
        <w:t>seven</w:t>
      </w:r>
      <w:r>
        <w:rPr>
          <w:szCs w:val="22"/>
        </w:rPr>
        <w:t>teen thousand dollars ($1</w:t>
      </w:r>
      <w:r w:rsidR="00CA0B47">
        <w:rPr>
          <w:szCs w:val="22"/>
        </w:rPr>
        <w:t>7</w:t>
      </w:r>
      <w:r w:rsidRPr="001F7EE0">
        <w:rPr>
          <w:szCs w:val="22"/>
        </w:rPr>
        <w:t>,000) for willful violation of Section 301 of the Communications Act of 1934, as amended and Section</w:t>
      </w:r>
      <w:r w:rsidR="00CA0B47">
        <w:rPr>
          <w:szCs w:val="22"/>
        </w:rPr>
        <w:t>s 1.903(a) and 90.403(e)</w:t>
      </w:r>
      <w:r w:rsidRPr="001F7EE0">
        <w:rPr>
          <w:szCs w:val="22"/>
        </w:rPr>
        <w:t xml:space="preserve"> of the Commission’s rules</w:t>
      </w:r>
      <w:r>
        <w:rPr>
          <w:szCs w:val="22"/>
        </w:rPr>
        <w:t>.</w:t>
      </w:r>
      <w:r w:rsidRPr="001F7EE0">
        <w:rPr>
          <w:rStyle w:val="FootnoteReference"/>
          <w:szCs w:val="22"/>
        </w:rPr>
        <w:footnoteReference w:id="31"/>
      </w:r>
    </w:p>
    <w:p w:rsidR="00CA0B47" w:rsidRPr="00344C0B" w:rsidRDefault="00CA0B47" w:rsidP="00EE67D5">
      <w:pPr>
        <w:pStyle w:val="ParaNum"/>
        <w:numPr>
          <w:ilvl w:val="0"/>
          <w:numId w:val="6"/>
        </w:numPr>
        <w:ind w:left="0" w:firstLine="720"/>
      </w:pPr>
      <w:r w:rsidRPr="00344C0B">
        <w:t xml:space="preserve">Payment of the forfeiture shall be made in the manner provided for in Section 1.80 of the Rules within </w:t>
      </w:r>
      <w:r>
        <w:t>thirty (30</w:t>
      </w:r>
      <w:r w:rsidRPr="00344C0B">
        <w:t>) calendar days after the release of this Forfeiture Order.</w:t>
      </w:r>
      <w:r w:rsidRPr="0007571D">
        <w:rPr>
          <w:rStyle w:val="FootnoteReference"/>
        </w:rPr>
        <w:footnoteReference w:id="32"/>
      </w:r>
      <w:r w:rsidRPr="0007571D">
        <w:t xml:space="preserve">  If the forfeiture is not paid within the period specified, the case may be referred to the U.S. Department of Justice for enforcement of the forfeiture pursuant to Section 504(a) of the Act.</w:t>
      </w:r>
      <w:r w:rsidRPr="0007571D">
        <w:rPr>
          <w:rStyle w:val="FootnoteReference"/>
        </w:rPr>
        <w:footnoteReference w:id="33"/>
      </w:r>
      <w:r w:rsidRPr="0007571D">
        <w:t xml:space="preserve">  </w:t>
      </w:r>
    </w:p>
    <w:p w:rsidR="00CA0B47" w:rsidRPr="00344C0B" w:rsidRDefault="00CA0B47" w:rsidP="00EE67D5">
      <w:pPr>
        <w:pStyle w:val="ParaNum"/>
        <w:numPr>
          <w:ilvl w:val="0"/>
          <w:numId w:val="6"/>
        </w:numPr>
        <w:ind w:left="0" w:firstLine="720"/>
      </w:pPr>
      <w:r>
        <w:rPr>
          <w:szCs w:val="22"/>
        </w:rPr>
        <w:t xml:space="preserve">Payment of the forfeiture </w:t>
      </w:r>
      <w:r w:rsidRPr="006D73F2">
        <w:rPr>
          <w:szCs w:val="22"/>
        </w:rPr>
        <w:t xml:space="preserve">must be made by check or similar instrument, wire transfer, or credit card, and must include the NAL/Account Number and FRN referenced </w:t>
      </w:r>
      <w:r>
        <w:rPr>
          <w:szCs w:val="22"/>
        </w:rPr>
        <w:t>above</w:t>
      </w:r>
      <w:r w:rsidRPr="006D73F2">
        <w:rPr>
          <w:szCs w:val="22"/>
        </w:rPr>
        <w:t xml:space="preserve">.  </w:t>
      </w:r>
      <w:r>
        <w:rPr>
          <w:szCs w:val="22"/>
        </w:rPr>
        <w:t>Acumen Communications</w:t>
      </w:r>
      <w:r w:rsidRPr="006D73F2">
        <w:rPr>
          <w:szCs w:val="22"/>
        </w:rPr>
        <w:t xml:space="preserve"> shall send electronic notification </w:t>
      </w:r>
      <w:r>
        <w:rPr>
          <w:szCs w:val="22"/>
        </w:rPr>
        <w:t xml:space="preserve">of </w:t>
      </w:r>
      <w:r w:rsidRPr="006D73F2">
        <w:rPr>
          <w:szCs w:val="22"/>
        </w:rPr>
        <w:t>payment to</w:t>
      </w:r>
      <w:r>
        <w:rPr>
          <w:szCs w:val="22"/>
        </w:rPr>
        <w:t xml:space="preserve"> WR-Response@fcc.gov</w:t>
      </w:r>
      <w:r w:rsidRPr="006D73F2">
        <w:rPr>
          <w:szCs w:val="22"/>
        </w:rPr>
        <w:t xml:space="preserve"> on the date said payment is made.</w:t>
      </w:r>
      <w:r>
        <w:rPr>
          <w:szCs w:val="22"/>
        </w:rPr>
        <w:t xml:space="preserve">  </w:t>
      </w:r>
      <w:r w:rsidRPr="00344C0B">
        <w:t>Regardless of the form of payment, a completed FCC Form 159 (Remittance Advice) must be submitted.</w:t>
      </w:r>
      <w:r w:rsidRPr="0007571D">
        <w:rPr>
          <w:rStyle w:val="FootnoteReference"/>
        </w:rPr>
        <w:footnoteReference w:id="34"/>
      </w:r>
      <w:r w:rsidRPr="0007571D">
        <w:t xml:space="preserve">  When completing the Form 159, enter the Account Number in block number 23A (call sign/other ID) and enter the letters “FORF” in block number 24A (payment type code).  </w:t>
      </w:r>
      <w:r w:rsidRPr="006D73F2">
        <w:rPr>
          <w:szCs w:val="22"/>
        </w:rPr>
        <w:t>Below are additional instructions</w:t>
      </w:r>
      <w:r>
        <w:rPr>
          <w:szCs w:val="22"/>
        </w:rPr>
        <w:t xml:space="preserve"> that should be followed </w:t>
      </w:r>
      <w:r w:rsidRPr="006D73F2">
        <w:rPr>
          <w:szCs w:val="22"/>
        </w:rPr>
        <w:t>based on the form of payment select</w:t>
      </w:r>
      <w:r>
        <w:rPr>
          <w:szCs w:val="22"/>
        </w:rPr>
        <w:t>ed</w:t>
      </w:r>
      <w:r w:rsidRPr="006D73F2">
        <w:rPr>
          <w:szCs w:val="22"/>
        </w:rPr>
        <w:t>:</w:t>
      </w:r>
    </w:p>
    <w:p w:rsidR="00CA0B47" w:rsidRPr="00344C0B" w:rsidRDefault="00CA0B47" w:rsidP="00EE67D5">
      <w:pPr>
        <w:pStyle w:val="par1"/>
        <w:numPr>
          <w:ilvl w:val="0"/>
          <w:numId w:val="4"/>
        </w:numPr>
        <w:tabs>
          <w:tab w:val="clear" w:pos="1440"/>
        </w:tabs>
        <w:spacing w:after="120"/>
        <w:ind w:left="1440"/>
        <w:rPr>
          <w:sz w:val="22"/>
        </w:rPr>
      </w:pPr>
      <w:r w:rsidRPr="00344C0B">
        <w:rPr>
          <w:sz w:val="22"/>
        </w:rPr>
        <w:t>Payment by check or money order must be made payable to the order of the Federal Communications Commission.  Such payments (along with completed Form 159) must be mailed to the Federal Communications Commission, P.O. Box 979088, St. Louis, MO 63197-9000, or sent via overnight mail to U.S. Bank – Government Lockbox #979088, SL</w:t>
      </w:r>
      <w:r w:rsidRPr="00344C0B">
        <w:rPr>
          <w:sz w:val="22"/>
        </w:rPr>
        <w:noBreakHyphen/>
        <w:t>MO-C2-GL, 1005 Convention Plaza, St. Louis, MO 63101.</w:t>
      </w:r>
    </w:p>
    <w:p w:rsidR="00CA0B47" w:rsidRPr="00344C0B" w:rsidRDefault="00CA0B47" w:rsidP="00EE67D5">
      <w:pPr>
        <w:pStyle w:val="par1"/>
        <w:numPr>
          <w:ilvl w:val="0"/>
          <w:numId w:val="4"/>
        </w:numPr>
        <w:tabs>
          <w:tab w:val="clear" w:pos="1440"/>
        </w:tabs>
        <w:spacing w:after="120"/>
        <w:ind w:left="1440"/>
        <w:rPr>
          <w:sz w:val="22"/>
        </w:rPr>
      </w:pPr>
      <w:r w:rsidRPr="00344C0B">
        <w:rPr>
          <w:sz w:val="22"/>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rsidR="00CA0B47" w:rsidRPr="00344C0B" w:rsidRDefault="00CA0B47" w:rsidP="00EE67D5">
      <w:pPr>
        <w:pStyle w:val="par1"/>
        <w:widowControl/>
        <w:numPr>
          <w:ilvl w:val="0"/>
          <w:numId w:val="4"/>
        </w:numPr>
        <w:tabs>
          <w:tab w:val="clear" w:pos="1440"/>
        </w:tabs>
        <w:spacing w:after="120"/>
        <w:ind w:left="1440"/>
        <w:rPr>
          <w:sz w:val="22"/>
        </w:rPr>
      </w:pPr>
      <w:r w:rsidRPr="00344C0B">
        <w:rPr>
          <w:sz w:val="22"/>
        </w:rPr>
        <w:t>Payment by credit card must be made by providing the required credit card information on FCC From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rsidR="005973C9" w:rsidRPr="00816F70" w:rsidRDefault="00CA0B47" w:rsidP="00EE67D5">
      <w:pPr>
        <w:pStyle w:val="ParaNum"/>
        <w:numPr>
          <w:ilvl w:val="0"/>
          <w:numId w:val="6"/>
        </w:numPr>
        <w:ind w:left="0" w:firstLine="720"/>
      </w:pPr>
      <w:r w:rsidRPr="006D73F2">
        <w:t xml:space="preserve">Any request for </w:t>
      </w:r>
      <w:r>
        <w:t xml:space="preserve">making </w:t>
      </w:r>
      <w:r w:rsidRPr="006D73F2">
        <w:t xml:space="preserve">full payment </w:t>
      </w:r>
      <w:r>
        <w:t xml:space="preserve">over time </w:t>
      </w:r>
      <w:r w:rsidRPr="006D73F2">
        <w:t>under an installment plan should be sent to</w:t>
      </w:r>
      <w:r>
        <w:t xml:space="preserve">: </w:t>
      </w:r>
      <w:r w:rsidRPr="006D73F2">
        <w:t xml:space="preserve"> Chief Financial Officer – Financial Operations, Federal Communications Commission, 445 12th Street, SW, Room 1</w:t>
      </w:r>
      <w:r w:rsidRPr="006D73F2">
        <w:noBreakHyphen/>
        <w:t>A625, Washington, DC 20554.</w:t>
      </w:r>
      <w:r w:rsidRPr="006D73F2">
        <w:rPr>
          <w:rStyle w:val="FootnoteReference"/>
          <w:sz w:val="22"/>
          <w:szCs w:val="22"/>
        </w:rPr>
        <w:footnoteReference w:id="35"/>
      </w:r>
      <w:r w:rsidRPr="006D73F2">
        <w:t xml:space="preserve">  </w:t>
      </w:r>
      <w:r>
        <w:t>Q</w:t>
      </w:r>
      <w:r w:rsidRPr="006D73F2">
        <w:t>uestions regarding payment procedures</w:t>
      </w:r>
      <w:r>
        <w:t xml:space="preserve"> </w:t>
      </w:r>
      <w:r w:rsidRPr="006D73F2">
        <w:t xml:space="preserve">should </w:t>
      </w:r>
      <w:r>
        <w:t xml:space="preserve">be directed to </w:t>
      </w:r>
      <w:r w:rsidRPr="006D73F2">
        <w:t xml:space="preserve">the Financial Operations Group Help Desk by telephone, 1-877-480-3201, or by e-mail, </w:t>
      </w:r>
      <w:r w:rsidR="005973C9" w:rsidRPr="004D7C0F">
        <w:t>ARINQUIRIES@fcc.gov</w:t>
      </w:r>
      <w:r w:rsidRPr="00373669">
        <w:t>.</w:t>
      </w:r>
    </w:p>
    <w:p w:rsidR="00CA0B47" w:rsidRPr="00114734" w:rsidRDefault="00CA0B47" w:rsidP="00565F66">
      <w:pPr>
        <w:pStyle w:val="ParaNum"/>
        <w:numPr>
          <w:ilvl w:val="0"/>
          <w:numId w:val="6"/>
        </w:numPr>
        <w:ind w:left="0" w:firstLine="720"/>
      </w:pPr>
      <w:r w:rsidRPr="00565F66">
        <w:rPr>
          <w:b/>
        </w:rPr>
        <w:t>IT IS FURTHER ORDERED</w:t>
      </w:r>
      <w:r w:rsidRPr="00344C0B">
        <w:t xml:space="preserve"> that a copy of this Forfeiture Order </w:t>
      </w:r>
      <w:r w:rsidRPr="004749BE">
        <w:t xml:space="preserve">shall be sent by first class mail and certified mail, return receipt requested, to </w:t>
      </w:r>
      <w:r w:rsidR="00114734">
        <w:t xml:space="preserve">Acumen Communications, </w:t>
      </w:r>
      <w:r w:rsidR="00114734" w:rsidRPr="005973C9">
        <w:rPr>
          <w:snapToGrid/>
          <w:color w:val="000000"/>
          <w:spacing w:val="-2"/>
          <w:kern w:val="0"/>
          <w:szCs w:val="22"/>
          <w:u w:color="000000"/>
        </w:rPr>
        <w:t>10670 S. La Cienega Blvd., Suite C, Inglewood, CA 90304.</w:t>
      </w:r>
      <w:r w:rsidR="00114734" w:rsidRPr="00565F66">
        <w:rPr>
          <w:b/>
          <w:snapToGrid/>
          <w:color w:val="000000"/>
          <w:spacing w:val="-2"/>
          <w:kern w:val="0"/>
          <w:szCs w:val="22"/>
          <w:u w:color="000000"/>
        </w:rPr>
        <w:t xml:space="preserve"> </w:t>
      </w:r>
    </w:p>
    <w:p w:rsidR="00114734" w:rsidRPr="00344C0B" w:rsidRDefault="00114734" w:rsidP="00114734">
      <w:pPr>
        <w:widowControl/>
        <w:tabs>
          <w:tab w:val="left" w:pos="0"/>
        </w:tabs>
        <w:suppressAutoHyphens/>
        <w:autoSpaceDE w:val="0"/>
        <w:autoSpaceDN w:val="0"/>
        <w:adjustRightInd w:val="0"/>
        <w:spacing w:line="240" w:lineRule="atLeast"/>
        <w:ind w:left="720"/>
      </w:pPr>
    </w:p>
    <w:p w:rsidR="00CA0B47" w:rsidRPr="00344C0B" w:rsidRDefault="00CA0B47" w:rsidP="00CA0B47"/>
    <w:p w:rsidR="00CA0B47" w:rsidRPr="00344C0B" w:rsidRDefault="00CA0B47" w:rsidP="00CA0B47">
      <w:pPr>
        <w:ind w:left="4410"/>
      </w:pPr>
      <w:r w:rsidRPr="00344C0B">
        <w:t>FEDERAL COMMUNICATIONS COMMISSION</w:t>
      </w:r>
    </w:p>
    <w:p w:rsidR="00CA0B47" w:rsidRPr="00344C0B" w:rsidRDefault="00CA0B47" w:rsidP="00CA0B47">
      <w:pPr>
        <w:ind w:left="4410"/>
      </w:pPr>
    </w:p>
    <w:p w:rsidR="00CA0B47" w:rsidRPr="00344C0B" w:rsidRDefault="00CA0B47" w:rsidP="00CA0B47">
      <w:pPr>
        <w:ind w:left="4410"/>
      </w:pPr>
    </w:p>
    <w:p w:rsidR="00CA0B47" w:rsidRPr="00344C0B" w:rsidRDefault="00CA0B47" w:rsidP="00CA0B47">
      <w:pPr>
        <w:ind w:left="4410"/>
      </w:pPr>
    </w:p>
    <w:p w:rsidR="00CA0B47" w:rsidRPr="00344C0B" w:rsidRDefault="00CA0B47" w:rsidP="00CA0B47">
      <w:pPr>
        <w:ind w:left="4410"/>
      </w:pPr>
    </w:p>
    <w:p w:rsidR="00CA0B47" w:rsidRDefault="00114734" w:rsidP="00CA0B47">
      <w:pPr>
        <w:ind w:left="4410"/>
        <w:rPr>
          <w:szCs w:val="22"/>
        </w:rPr>
      </w:pPr>
      <w:r>
        <w:rPr>
          <w:szCs w:val="22"/>
        </w:rPr>
        <w:t>Rebecca L. Dorch</w:t>
      </w:r>
    </w:p>
    <w:p w:rsidR="00A151BD" w:rsidRDefault="00114734" w:rsidP="00CA0B47">
      <w:pPr>
        <w:ind w:left="4410"/>
        <w:rPr>
          <w:szCs w:val="22"/>
        </w:rPr>
      </w:pPr>
      <w:r>
        <w:rPr>
          <w:szCs w:val="22"/>
        </w:rPr>
        <w:t>Region</w:t>
      </w:r>
      <w:r w:rsidR="00145D22">
        <w:rPr>
          <w:szCs w:val="22"/>
        </w:rPr>
        <w:t>al</w:t>
      </w:r>
      <w:r>
        <w:rPr>
          <w:szCs w:val="22"/>
        </w:rPr>
        <w:t xml:space="preserve"> Director</w:t>
      </w:r>
    </w:p>
    <w:p w:rsidR="00114734" w:rsidRDefault="00114734" w:rsidP="00CA0B47">
      <w:pPr>
        <w:ind w:left="4410"/>
        <w:rPr>
          <w:szCs w:val="22"/>
        </w:rPr>
      </w:pPr>
      <w:r>
        <w:rPr>
          <w:szCs w:val="22"/>
        </w:rPr>
        <w:t>Western Region</w:t>
      </w:r>
    </w:p>
    <w:p w:rsidR="00114734" w:rsidRPr="006D73F2" w:rsidRDefault="00114734" w:rsidP="00CA0B47">
      <w:pPr>
        <w:ind w:left="4410"/>
        <w:rPr>
          <w:szCs w:val="22"/>
        </w:rPr>
      </w:pPr>
      <w:r>
        <w:rPr>
          <w:szCs w:val="22"/>
        </w:rPr>
        <w:t>Enforcement Bureau</w:t>
      </w:r>
    </w:p>
    <w:sectPr w:rsidR="00114734" w:rsidRPr="006D73F2" w:rsidSect="00D417D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6CC" w:rsidRDefault="004546CC">
      <w:pPr>
        <w:spacing w:line="20" w:lineRule="exact"/>
      </w:pPr>
    </w:p>
  </w:endnote>
  <w:endnote w:type="continuationSeparator" w:id="0">
    <w:p w:rsidR="004546CC" w:rsidRDefault="004546CC">
      <w:r>
        <w:t xml:space="preserve"> </w:t>
      </w:r>
    </w:p>
  </w:endnote>
  <w:endnote w:type="continuationNotice" w:id="1">
    <w:p w:rsidR="004546CC" w:rsidRDefault="004546C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Default="00E273E3">
    <w:pPr>
      <w:pStyle w:val="Footer"/>
      <w:framePr w:wrap="around" w:vAnchor="text" w:hAnchor="margin" w:xAlign="center" w:y="1"/>
    </w:pPr>
    <w:r>
      <w:fldChar w:fldCharType="begin"/>
    </w:r>
    <w:r>
      <w:instrText xml:space="preserve">PAGE  </w:instrText>
    </w:r>
    <w:r>
      <w:fldChar w:fldCharType="end"/>
    </w:r>
  </w:p>
  <w:p w:rsidR="00E273E3" w:rsidRDefault="00E27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Default="00EE194C">
    <w:pPr>
      <w:pStyle w:val="Footer"/>
      <w:framePr w:wrap="around" w:vAnchor="text" w:hAnchor="margin" w:xAlign="center" w:y="1"/>
    </w:pPr>
    <w:r>
      <w:fldChar w:fldCharType="begin"/>
    </w:r>
    <w:r>
      <w:instrText xml:space="preserve">PAGE  </w:instrText>
    </w:r>
    <w:r>
      <w:fldChar w:fldCharType="separate"/>
    </w:r>
    <w:r w:rsidR="004E5070">
      <w:rPr>
        <w:noProof/>
      </w:rPr>
      <w:t>2</w:t>
    </w:r>
    <w:r>
      <w:rPr>
        <w:noProof/>
      </w:rPr>
      <w:fldChar w:fldCharType="end"/>
    </w:r>
  </w:p>
  <w:p w:rsidR="00E273E3" w:rsidRDefault="00E273E3">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CF" w:rsidRDefault="00156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6CC" w:rsidRDefault="004546CC">
      <w:r>
        <w:separator/>
      </w:r>
    </w:p>
  </w:footnote>
  <w:footnote w:type="continuationSeparator" w:id="0">
    <w:p w:rsidR="004546CC" w:rsidRDefault="004546CC">
      <w:pPr>
        <w:rPr>
          <w:sz w:val="20"/>
        </w:rPr>
      </w:pPr>
      <w:r>
        <w:rPr>
          <w:sz w:val="20"/>
        </w:rPr>
        <w:t xml:space="preserve">(Continued from previous page)  </w:t>
      </w:r>
      <w:r>
        <w:rPr>
          <w:sz w:val="20"/>
        </w:rPr>
        <w:separator/>
      </w:r>
    </w:p>
  </w:footnote>
  <w:footnote w:type="continuationNotice" w:id="1">
    <w:p w:rsidR="004546CC" w:rsidRDefault="004546CC">
      <w:pPr>
        <w:rPr>
          <w:sz w:val="20"/>
        </w:rPr>
      </w:pPr>
      <w:r>
        <w:rPr>
          <w:sz w:val="20"/>
        </w:rPr>
        <w:t>(continued….)</w:t>
      </w:r>
    </w:p>
  </w:footnote>
  <w:footnote w:id="2">
    <w:p w:rsidR="0048127F" w:rsidRPr="00344C0B" w:rsidRDefault="0048127F" w:rsidP="00565F66">
      <w:pPr>
        <w:pStyle w:val="FootnoteText"/>
        <w:spacing w:before="240"/>
      </w:pPr>
      <w:r w:rsidRPr="00344C0B">
        <w:rPr>
          <w:rStyle w:val="FootnoteReference"/>
        </w:rPr>
        <w:footnoteRef/>
      </w:r>
      <w:r w:rsidRPr="00344C0B">
        <w:t xml:space="preserve"> </w:t>
      </w:r>
      <w:r w:rsidRPr="00344C0B">
        <w:rPr>
          <w:iCs/>
          <w:color w:val="000000"/>
        </w:rPr>
        <w:t xml:space="preserve">The </w:t>
      </w:r>
      <w:r w:rsidRPr="00344C0B">
        <w:rPr>
          <w:i/>
          <w:iCs/>
          <w:color w:val="000000"/>
        </w:rPr>
        <w:t>NAL</w:t>
      </w:r>
      <w:r w:rsidRPr="00344C0B">
        <w:rPr>
          <w:iCs/>
          <w:color w:val="000000"/>
        </w:rPr>
        <w:t xml:space="preserve"> includes a more complete discussion of the facts and history of this case and is incorporated herein by reference.</w:t>
      </w:r>
      <w:r w:rsidRPr="00344C0B">
        <w:t xml:space="preserve">  </w:t>
      </w:r>
      <w:r w:rsidRPr="00344C0B">
        <w:rPr>
          <w:i/>
        </w:rPr>
        <w:t xml:space="preserve">See </w:t>
      </w:r>
      <w:r w:rsidR="00B146EF">
        <w:rPr>
          <w:i/>
        </w:rPr>
        <w:t>Acumen Communication</w:t>
      </w:r>
      <w:r w:rsidR="00565F66">
        <w:rPr>
          <w:i/>
        </w:rPr>
        <w:t>s</w:t>
      </w:r>
      <w:r w:rsidRPr="00344C0B">
        <w:t xml:space="preserve">, </w:t>
      </w:r>
      <w:r>
        <w:t xml:space="preserve">Notice of Apparent Liability for Forfeiture, </w:t>
      </w:r>
      <w:r w:rsidR="00B146EF">
        <w:t>28</w:t>
      </w:r>
      <w:r w:rsidRPr="0007571D">
        <w:t xml:space="preserve"> FCC Rcd</w:t>
      </w:r>
      <w:r w:rsidR="00B146EF">
        <w:t xml:space="preserve"> 16349, at 16349–16350,</w:t>
      </w:r>
      <w:r w:rsidRPr="0007571D">
        <w:t xml:space="preserve"> paras. </w:t>
      </w:r>
      <w:r w:rsidR="00B146EF">
        <w:t>2–4</w:t>
      </w:r>
      <w:r>
        <w:t xml:space="preserve"> (</w:t>
      </w:r>
      <w:r w:rsidR="00B146EF">
        <w:t>Enf. Bur. 2013</w:t>
      </w:r>
      <w:r>
        <w:t>)</w:t>
      </w:r>
      <w:r w:rsidR="00565F66">
        <w:t xml:space="preserve"> (</w:t>
      </w:r>
      <w:r w:rsidR="00565F66">
        <w:rPr>
          <w:i/>
        </w:rPr>
        <w:t>NAL</w:t>
      </w:r>
      <w:r w:rsidR="00565F66">
        <w:t>)</w:t>
      </w:r>
      <w:r w:rsidRPr="0007571D">
        <w:t>.</w:t>
      </w:r>
      <w:r w:rsidRPr="00344C0B">
        <w:t xml:space="preserve">  </w:t>
      </w:r>
    </w:p>
  </w:footnote>
  <w:footnote w:id="3">
    <w:p w:rsidR="0048127F" w:rsidRDefault="0048127F">
      <w:pPr>
        <w:pStyle w:val="FootnoteText"/>
      </w:pPr>
      <w:r>
        <w:rPr>
          <w:rStyle w:val="FootnoteReference"/>
        </w:rPr>
        <w:footnoteRef/>
      </w:r>
      <w:r>
        <w:t xml:space="preserve"> </w:t>
      </w:r>
      <w:r w:rsidRPr="0048127F">
        <w:t>According to the Station WQJF635 authorization in effect at the time of the investigation, the only VHF frequencies it was authorized to operate on, from any location, were VHF frequencies 152.285 MHz and 157.545 MHz; the authorization did not include operation on frequency 151.580 MHz.</w:t>
      </w:r>
    </w:p>
  </w:footnote>
  <w:footnote w:id="4">
    <w:p w:rsidR="0048127F" w:rsidRDefault="0048127F">
      <w:pPr>
        <w:pStyle w:val="FootnoteText"/>
      </w:pPr>
      <w:r>
        <w:rPr>
          <w:rStyle w:val="FootnoteReference"/>
        </w:rPr>
        <w:footnoteRef/>
      </w:r>
      <w:r>
        <w:t xml:space="preserve"> </w:t>
      </w:r>
      <w:r w:rsidR="00B146EF">
        <w:rPr>
          <w:i/>
        </w:rPr>
        <w:t xml:space="preserve">See Acumen Communications, </w:t>
      </w:r>
      <w:r w:rsidR="00B146EF" w:rsidRPr="00B146EF">
        <w:t>Notice of Violation</w:t>
      </w:r>
      <w:r w:rsidR="00B146EF">
        <w:t>, V201332900008 (Jan. 30, 2013) (NOV), issued</w:t>
      </w:r>
      <w:r w:rsidRPr="0048127F">
        <w:t xml:space="preserve"> for failing to operate Station WQJF635 in accordance with its authorization, and for failing to take reasonable precautions to avoid causing interference to licensed services, by operating Station WQJF635 on frequency 151.580 MHz and generating a spurious emission on frequency 150.6973 MHz</w:t>
      </w:r>
      <w:r w:rsidR="005E0A92">
        <w:t>.</w:t>
      </w:r>
    </w:p>
  </w:footnote>
  <w:footnote w:id="5">
    <w:p w:rsidR="0048127F" w:rsidRDefault="0048127F">
      <w:pPr>
        <w:pStyle w:val="FootnoteText"/>
      </w:pPr>
      <w:r>
        <w:rPr>
          <w:rStyle w:val="FootnoteReference"/>
        </w:rPr>
        <w:footnoteRef/>
      </w:r>
      <w:r>
        <w:t xml:space="preserve"> </w:t>
      </w:r>
      <w:r w:rsidR="00B146EF" w:rsidRPr="00B146EF">
        <w:rPr>
          <w:i/>
        </w:rPr>
        <w:t>S</w:t>
      </w:r>
      <w:r w:rsidR="00B146EF" w:rsidRPr="00B146EF">
        <w:rPr>
          <w:i/>
          <w:iCs/>
        </w:rPr>
        <w:t>ee</w:t>
      </w:r>
      <w:r w:rsidR="00B146EF" w:rsidRPr="00B146EF">
        <w:rPr>
          <w:i/>
        </w:rPr>
        <w:t xml:space="preserve"> </w:t>
      </w:r>
      <w:r w:rsidR="00B146EF" w:rsidRPr="00B146EF">
        <w:t>Response to Notice of Violation of Acumen Communications at 1 (Mar. 6, 2013) (on file in EB-FIELDWR-13-00006185).</w:t>
      </w:r>
    </w:p>
  </w:footnote>
  <w:footnote w:id="6">
    <w:p w:rsidR="00A85686" w:rsidRDefault="00A85686" w:rsidP="00A85686">
      <w:pPr>
        <w:pStyle w:val="FootnoteText"/>
      </w:pPr>
      <w:r>
        <w:rPr>
          <w:rStyle w:val="FootnoteReference"/>
        </w:rPr>
        <w:footnoteRef/>
      </w:r>
      <w:r>
        <w:t xml:space="preserve"> 47 U.S.C. § 301.</w:t>
      </w:r>
    </w:p>
  </w:footnote>
  <w:footnote w:id="7">
    <w:p w:rsidR="00A85686" w:rsidRPr="004E42FA" w:rsidRDefault="00A85686" w:rsidP="00A85686">
      <w:pPr>
        <w:pStyle w:val="FootnoteText"/>
        <w:rPr>
          <w:color w:val="000000"/>
        </w:rPr>
      </w:pPr>
      <w:r w:rsidRPr="004E42FA">
        <w:rPr>
          <w:rStyle w:val="FootnoteReference"/>
          <w:color w:val="000000"/>
        </w:rPr>
        <w:footnoteRef/>
      </w:r>
      <w:r w:rsidRPr="004E42FA">
        <w:rPr>
          <w:color w:val="000000"/>
        </w:rPr>
        <w:t xml:space="preserve"> 47 C.F.R. §§</w:t>
      </w:r>
      <w:r>
        <w:rPr>
          <w:color w:val="000000"/>
        </w:rPr>
        <w:t xml:space="preserve"> 1.903(a), 90.403(e).</w:t>
      </w:r>
    </w:p>
  </w:footnote>
  <w:footnote w:id="8">
    <w:p w:rsidR="00E273E3" w:rsidRPr="00344C0B" w:rsidRDefault="00E273E3">
      <w:pPr>
        <w:pStyle w:val="FootnoteText"/>
      </w:pPr>
      <w:r w:rsidRPr="00344C0B">
        <w:rPr>
          <w:rStyle w:val="FootnoteReference"/>
        </w:rPr>
        <w:footnoteRef/>
      </w:r>
      <w:r w:rsidRPr="00344C0B">
        <w:t xml:space="preserve"> </w:t>
      </w:r>
      <w:r w:rsidR="00B146EF" w:rsidRPr="00B146EF">
        <w:rPr>
          <w:i/>
        </w:rPr>
        <w:t>Acumen</w:t>
      </w:r>
      <w:r w:rsidR="000B29ED" w:rsidRPr="0007571D">
        <w:t xml:space="preserve">, </w:t>
      </w:r>
      <w:r w:rsidRPr="0007571D">
        <w:t>Response to Notice of Apparent Liability (</w:t>
      </w:r>
      <w:r w:rsidR="00B146EF">
        <w:t>Jan. 12, 2014</w:t>
      </w:r>
      <w:r w:rsidRPr="0007571D">
        <w:t xml:space="preserve">) (on file in </w:t>
      </w:r>
      <w:r w:rsidR="00B146EF" w:rsidRPr="00B146EF">
        <w:t>EB- FIELDWR-13-00006185</w:t>
      </w:r>
      <w:r w:rsidR="00682B40">
        <w:t>)</w:t>
      </w:r>
      <w:r w:rsidRPr="0007571D">
        <w:t xml:space="preserve"> (NAL Response).    </w:t>
      </w:r>
    </w:p>
  </w:footnote>
  <w:footnote w:id="9">
    <w:p w:rsidR="00014067" w:rsidRDefault="00014067">
      <w:pPr>
        <w:pStyle w:val="FootnoteText"/>
      </w:pPr>
      <w:r>
        <w:rPr>
          <w:rStyle w:val="FootnoteReference"/>
        </w:rPr>
        <w:footnoteRef/>
      </w:r>
      <w:r w:rsidR="00682B40">
        <w:t xml:space="preserve"> NAL Response at 1–3. </w:t>
      </w:r>
    </w:p>
  </w:footnote>
  <w:footnote w:id="10">
    <w:p w:rsidR="00014067" w:rsidRDefault="00014067">
      <w:pPr>
        <w:pStyle w:val="FootnoteText"/>
      </w:pPr>
      <w:r>
        <w:rPr>
          <w:rStyle w:val="FootnoteReference"/>
        </w:rPr>
        <w:footnoteRef/>
      </w:r>
      <w:r w:rsidR="00682B40">
        <w:t xml:space="preserve"> </w:t>
      </w:r>
      <w:r w:rsidR="005E0A92" w:rsidRPr="008C7EFB">
        <w:rPr>
          <w:i/>
        </w:rPr>
        <w:t>Id.</w:t>
      </w:r>
      <w:r w:rsidR="00682B40">
        <w:t xml:space="preserve"> at 2–3. </w:t>
      </w:r>
    </w:p>
  </w:footnote>
  <w:footnote w:id="11">
    <w:p w:rsidR="00E273E3" w:rsidRPr="00344C0B" w:rsidRDefault="00E273E3" w:rsidP="006168A4">
      <w:pPr>
        <w:pStyle w:val="FootnoteText"/>
      </w:pPr>
      <w:r w:rsidRPr="00344C0B">
        <w:rPr>
          <w:rStyle w:val="FootnoteReference"/>
        </w:rPr>
        <w:footnoteRef/>
      </w:r>
      <w:r w:rsidRPr="00344C0B">
        <w:t xml:space="preserve"> </w:t>
      </w:r>
      <w:r w:rsidRPr="00344C0B">
        <w:rPr>
          <w:color w:val="000000"/>
        </w:rPr>
        <w:t>47 U.S.C. § 503(b).</w:t>
      </w:r>
    </w:p>
  </w:footnote>
  <w:footnote w:id="12">
    <w:p w:rsidR="00E273E3" w:rsidRPr="00344C0B" w:rsidRDefault="00E273E3" w:rsidP="006168A4">
      <w:pPr>
        <w:pStyle w:val="FootnoteText"/>
      </w:pPr>
      <w:r w:rsidRPr="00344C0B">
        <w:rPr>
          <w:rStyle w:val="FootnoteReference"/>
        </w:rPr>
        <w:footnoteRef/>
      </w:r>
      <w:r w:rsidRPr="00344C0B">
        <w:t xml:space="preserve"> 47 C.F.R. § 1.80.</w:t>
      </w:r>
    </w:p>
  </w:footnote>
  <w:footnote w:id="13">
    <w:p w:rsidR="00E273E3" w:rsidRPr="00344C0B" w:rsidRDefault="00E273E3" w:rsidP="006168A4">
      <w:pPr>
        <w:pStyle w:val="FootnoteText"/>
      </w:pPr>
      <w:r w:rsidRPr="00344C0B">
        <w:rPr>
          <w:rStyle w:val="FootnoteReference"/>
        </w:rPr>
        <w:footnoteRef/>
      </w:r>
      <w:r w:rsidRPr="00344C0B">
        <w:rPr>
          <w:i/>
        </w:rPr>
        <w:t xml:space="preserve"> The Commission’s Forfeiture Policy Statement and Amendment of Section 1.80 of the Rules to Incorporate the Forfeiture Guidelines</w:t>
      </w:r>
      <w:r w:rsidRPr="00344C0B">
        <w:t>, Report and Order, 12 FCC Rcd 17087 (1997) (</w:t>
      </w:r>
      <w:r w:rsidRPr="00344C0B">
        <w:rPr>
          <w:i/>
        </w:rPr>
        <w:t>Forfeiture Policy Statement</w:t>
      </w:r>
      <w:r w:rsidRPr="00344C0B">
        <w:t xml:space="preserve">), </w:t>
      </w:r>
      <w:r w:rsidRPr="00344C0B">
        <w:rPr>
          <w:i/>
        </w:rPr>
        <w:t>recons. denied</w:t>
      </w:r>
      <w:r w:rsidRPr="00344C0B">
        <w:t xml:space="preserve">, Memorandum Opinion and Order, 15 FCC Rcd 303 (1999). </w:t>
      </w:r>
    </w:p>
  </w:footnote>
  <w:footnote w:id="14">
    <w:p w:rsidR="00E273E3" w:rsidRPr="00344C0B" w:rsidRDefault="00E273E3" w:rsidP="006168A4">
      <w:pPr>
        <w:pStyle w:val="FootnoteText"/>
      </w:pPr>
      <w:r w:rsidRPr="00344C0B">
        <w:rPr>
          <w:rStyle w:val="FootnoteReference"/>
        </w:rPr>
        <w:footnoteRef/>
      </w:r>
      <w:r w:rsidRPr="00344C0B">
        <w:t xml:space="preserve"> 47 U.S.C. § 503(b)(2)(E).</w:t>
      </w:r>
    </w:p>
  </w:footnote>
  <w:footnote w:id="15">
    <w:p w:rsidR="0069722D" w:rsidRDefault="0069722D" w:rsidP="0069722D">
      <w:pPr>
        <w:pStyle w:val="FootnoteText"/>
      </w:pPr>
      <w:r>
        <w:rPr>
          <w:rStyle w:val="FootnoteReference"/>
        </w:rPr>
        <w:footnoteRef/>
      </w:r>
      <w:r>
        <w:t xml:space="preserve"> 47 U.S.C. § 301.</w:t>
      </w:r>
    </w:p>
  </w:footnote>
  <w:footnote w:id="16">
    <w:p w:rsidR="0069722D" w:rsidRPr="005B77DD" w:rsidRDefault="0069722D" w:rsidP="0069722D">
      <w:pPr>
        <w:pStyle w:val="FootnoteText"/>
        <w:rPr>
          <w:color w:val="000000"/>
        </w:rPr>
      </w:pPr>
      <w:r w:rsidRPr="004E42FA">
        <w:rPr>
          <w:rStyle w:val="FootnoteReference"/>
          <w:color w:val="000000"/>
        </w:rPr>
        <w:footnoteRef/>
      </w:r>
      <w:r w:rsidRPr="005B77DD">
        <w:rPr>
          <w:color w:val="000000"/>
        </w:rPr>
        <w:t xml:space="preserve"> 47 C.F.R. § 1.903(a).</w:t>
      </w:r>
    </w:p>
  </w:footnote>
  <w:footnote w:id="17">
    <w:p w:rsidR="00F30014" w:rsidRDefault="00F30014">
      <w:pPr>
        <w:pStyle w:val="FootnoteText"/>
      </w:pPr>
      <w:r>
        <w:rPr>
          <w:rStyle w:val="FootnoteReference"/>
        </w:rPr>
        <w:footnoteRef/>
      </w:r>
      <w:r>
        <w:t xml:space="preserve"> NAL Response at</w:t>
      </w:r>
      <w:r w:rsidR="00682B40">
        <w:t xml:space="preserve"> 1–3. </w:t>
      </w:r>
    </w:p>
  </w:footnote>
  <w:footnote w:id="18">
    <w:p w:rsidR="00682B40" w:rsidRDefault="00682B40">
      <w:pPr>
        <w:pStyle w:val="FootnoteText"/>
      </w:pPr>
      <w:r>
        <w:rPr>
          <w:rStyle w:val="FootnoteReference"/>
        </w:rPr>
        <w:footnoteRef/>
      </w:r>
      <w:r>
        <w:t xml:space="preserve"> </w:t>
      </w:r>
      <w:r w:rsidR="005E0A92" w:rsidRPr="008C7EFB">
        <w:rPr>
          <w:i/>
        </w:rPr>
        <w:t>Id.</w:t>
      </w:r>
      <w:r>
        <w:t xml:space="preserve"> at 2.</w:t>
      </w:r>
    </w:p>
  </w:footnote>
  <w:footnote w:id="19">
    <w:p w:rsidR="00C67D47" w:rsidRDefault="00C67D47">
      <w:pPr>
        <w:pStyle w:val="FootnoteText"/>
      </w:pPr>
      <w:r>
        <w:rPr>
          <w:rStyle w:val="FootnoteReference"/>
        </w:rPr>
        <w:footnoteRef/>
      </w:r>
      <w:r>
        <w:t xml:space="preserve"> </w:t>
      </w:r>
      <w:r w:rsidR="005E0A92" w:rsidRPr="008C7EFB">
        <w:rPr>
          <w:i/>
        </w:rPr>
        <w:t>Id.</w:t>
      </w:r>
      <w:r>
        <w:t xml:space="preserve"> at </w:t>
      </w:r>
      <w:r w:rsidR="00682B40">
        <w:t>2–3.</w:t>
      </w:r>
    </w:p>
  </w:footnote>
  <w:footnote w:id="20">
    <w:p w:rsidR="00E829E4" w:rsidRPr="00682B40" w:rsidRDefault="00E829E4">
      <w:pPr>
        <w:pStyle w:val="FootnoteText"/>
      </w:pPr>
      <w:r>
        <w:rPr>
          <w:rStyle w:val="FootnoteReference"/>
        </w:rPr>
        <w:footnoteRef/>
      </w:r>
      <w:r w:rsidR="00682B40">
        <w:t xml:space="preserve"> </w:t>
      </w:r>
      <w:r w:rsidR="00682B40">
        <w:rPr>
          <w:i/>
        </w:rPr>
        <w:t>NAL</w:t>
      </w:r>
      <w:r w:rsidR="00682B40">
        <w:t xml:space="preserve">, 28 FCC Rcd at </w:t>
      </w:r>
      <w:r w:rsidR="00682B40" w:rsidRPr="00682B40">
        <w:t>16349–16350, paras. 2–4</w:t>
      </w:r>
      <w:r w:rsidR="00682B40">
        <w:t>.</w:t>
      </w:r>
    </w:p>
  </w:footnote>
  <w:footnote w:id="21">
    <w:p w:rsidR="00C67D47" w:rsidRDefault="00C67D47" w:rsidP="00C67D47">
      <w:pPr>
        <w:pStyle w:val="FootnoteText"/>
      </w:pPr>
      <w:r>
        <w:rPr>
          <w:rStyle w:val="FootnoteReference"/>
        </w:rPr>
        <w:footnoteRef/>
      </w:r>
      <w:r>
        <w:t xml:space="preserve"> </w:t>
      </w:r>
      <w:r w:rsidR="00682B40">
        <w:rPr>
          <w:i/>
        </w:rPr>
        <w:t xml:space="preserve">Id. </w:t>
      </w:r>
      <w:r w:rsidRPr="00C67D47">
        <w:t xml:space="preserve"> Indeed, in its NOV Response, Acumen did not dispute that it was the cause of the interfering spurious signal, and it also acknowledged that the spurious signal was approximately 0.8 MHz on both sides of the fundamental frequency.</w:t>
      </w:r>
      <w:r w:rsidR="00682B40">
        <w:t xml:space="preserve">  NOV Response at 1.</w:t>
      </w:r>
    </w:p>
  </w:footnote>
  <w:footnote w:id="22">
    <w:p w:rsidR="00E829E4" w:rsidRPr="005B77DD" w:rsidRDefault="00E829E4" w:rsidP="00E829E4">
      <w:pPr>
        <w:pStyle w:val="FootnoteText"/>
        <w:rPr>
          <w:color w:val="000000"/>
        </w:rPr>
      </w:pPr>
      <w:r w:rsidRPr="004E42FA">
        <w:rPr>
          <w:rStyle w:val="FootnoteReference"/>
          <w:color w:val="000000"/>
        </w:rPr>
        <w:footnoteRef/>
      </w:r>
      <w:r w:rsidRPr="005B77DD">
        <w:rPr>
          <w:color w:val="000000"/>
        </w:rPr>
        <w:t xml:space="preserve"> 47 C.F.R. § </w:t>
      </w:r>
      <w:r>
        <w:rPr>
          <w:color w:val="000000"/>
        </w:rPr>
        <w:t>90.403(e)</w:t>
      </w:r>
      <w:r w:rsidRPr="005B77DD">
        <w:rPr>
          <w:color w:val="000000"/>
        </w:rPr>
        <w:t>.</w:t>
      </w:r>
    </w:p>
  </w:footnote>
  <w:footnote w:id="23">
    <w:p w:rsidR="00F30014" w:rsidRDefault="00F30014">
      <w:pPr>
        <w:pStyle w:val="FootnoteText"/>
      </w:pPr>
      <w:r>
        <w:rPr>
          <w:rStyle w:val="FootnoteReference"/>
        </w:rPr>
        <w:footnoteRef/>
      </w:r>
      <w:r>
        <w:t xml:space="preserve"> </w:t>
      </w:r>
      <w:r w:rsidR="00682B40" w:rsidRPr="00682B40">
        <w:t>NAL Response at 2–3.</w:t>
      </w:r>
    </w:p>
  </w:footnote>
  <w:footnote w:id="24">
    <w:p w:rsidR="00E829E4" w:rsidRPr="00030CF5" w:rsidRDefault="00E829E4">
      <w:pPr>
        <w:pStyle w:val="FootnoteText"/>
      </w:pPr>
      <w:r>
        <w:rPr>
          <w:rStyle w:val="FootnoteReference"/>
        </w:rPr>
        <w:footnoteRef/>
      </w:r>
      <w:r>
        <w:t xml:space="preserve"> </w:t>
      </w:r>
      <w:r w:rsidR="005E0A92" w:rsidRPr="008C7EFB">
        <w:rPr>
          <w:i/>
        </w:rPr>
        <w:t>Id.</w:t>
      </w:r>
      <w:r w:rsidR="00030CF5" w:rsidRPr="00030CF5">
        <w:t xml:space="preserve"> at 2.</w:t>
      </w:r>
    </w:p>
  </w:footnote>
  <w:footnote w:id="25">
    <w:p w:rsidR="006D5C47" w:rsidRDefault="006D5C47" w:rsidP="006D5C47">
      <w:pPr>
        <w:pStyle w:val="FootnoteText"/>
      </w:pPr>
      <w:r>
        <w:rPr>
          <w:rStyle w:val="FootnoteReference"/>
        </w:rPr>
        <w:footnoteRef/>
      </w:r>
      <w:r>
        <w:t xml:space="preserve"> </w:t>
      </w:r>
      <w:r>
        <w:rPr>
          <w:i/>
          <w:color w:val="000000"/>
        </w:rPr>
        <w:t>See Forfeiture Policy Statement</w:t>
      </w:r>
      <w:r>
        <w:rPr>
          <w:color w:val="000000"/>
        </w:rPr>
        <w:t>, 12 FCC Rcd at 17099, para. 22 (“[t]he Commission expects [each licensee], and it is each licensee’s obligation, to know and comply with all of the Commission’s rules”)</w:t>
      </w:r>
      <w:r w:rsidR="00FD3431">
        <w:rPr>
          <w:color w:val="000000"/>
        </w:rPr>
        <w:t xml:space="preserve">. </w:t>
      </w:r>
    </w:p>
  </w:footnote>
  <w:footnote w:id="26">
    <w:p w:rsidR="006D5C47" w:rsidRDefault="006D5C47" w:rsidP="006D5C47">
      <w:pPr>
        <w:pStyle w:val="FootnoteText"/>
      </w:pPr>
      <w:r>
        <w:rPr>
          <w:rStyle w:val="FootnoteReference"/>
        </w:rPr>
        <w:footnoteRef/>
      </w:r>
      <w:r>
        <w:t xml:space="preserve"> </w:t>
      </w:r>
      <w:r>
        <w:rPr>
          <w:i/>
        </w:rPr>
        <w:t>See</w:t>
      </w:r>
      <w:r>
        <w:rPr>
          <w:i/>
          <w:iCs/>
        </w:rPr>
        <w:t>, e.g., Emery Telephone</w:t>
      </w:r>
      <w:r>
        <w:rPr>
          <w:iCs/>
        </w:rPr>
        <w:t>,</w:t>
      </w:r>
      <w:r>
        <w:t xml:space="preserve"> Memorandum Opinion and Order, 13 FCC Rcd 23854, 23859, para. 12 (1998) (by issuing forfeitures for inadvertent violations corrected after the fact, “the Bureau impels licensees to be more familiar with the applicable rules in structuring future conduct”),</w:t>
      </w:r>
      <w:r>
        <w:rPr>
          <w:i/>
          <w:iCs/>
        </w:rPr>
        <w:t xml:space="preserve"> recon. dismissed in part and denied in part</w:t>
      </w:r>
      <w:r>
        <w:t>, Memorandum Opinion an</w:t>
      </w:r>
      <w:r w:rsidR="00FD3431">
        <w:t xml:space="preserve">d Order, 15 FCC Rcd 7181 (1999). </w:t>
      </w:r>
      <w:r>
        <w:rPr>
          <w:i/>
          <w:iCs/>
        </w:rPr>
        <w:t xml:space="preserve"> </w:t>
      </w:r>
    </w:p>
  </w:footnote>
  <w:footnote w:id="27">
    <w:p w:rsidR="006D5C47" w:rsidRDefault="006D5C47" w:rsidP="006D5C47">
      <w:pPr>
        <w:pStyle w:val="FootnoteText"/>
      </w:pPr>
      <w:r>
        <w:rPr>
          <w:rStyle w:val="FootnoteReference"/>
        </w:rPr>
        <w:footnoteRef/>
      </w:r>
      <w:r>
        <w:t xml:space="preserve"> </w:t>
      </w:r>
      <w:r>
        <w:rPr>
          <w:i/>
        </w:rPr>
        <w:t>See</w:t>
      </w:r>
      <w:r>
        <w:t xml:space="preserve">, </w:t>
      </w:r>
      <w:r>
        <w:rPr>
          <w:i/>
        </w:rPr>
        <w:t>e.g.,</w:t>
      </w:r>
      <w:r>
        <w:t xml:space="preserve"> </w:t>
      </w:r>
      <w:r>
        <w:rPr>
          <w:i/>
        </w:rPr>
        <w:t>Tidewater Communications, LLC</w:t>
      </w:r>
      <w:r>
        <w:t>, Order on Review, 25 FCC Rcd 1675, 1676, para. 5 (2010) (“To be willful, the violator must consciously commit or omit certain actions and need not be aware that su</w:t>
      </w:r>
      <w:r w:rsidR="00FD3431">
        <w:t xml:space="preserve">ch actions violate the Rules.”). </w:t>
      </w:r>
      <w:r>
        <w:t xml:space="preserve"> </w:t>
      </w:r>
    </w:p>
  </w:footnote>
  <w:footnote w:id="28">
    <w:p w:rsidR="006D5C47" w:rsidRPr="00D27CE7" w:rsidRDefault="006D5C47" w:rsidP="006D5C47">
      <w:pPr>
        <w:pStyle w:val="FootnoteText"/>
      </w:pPr>
      <w:r w:rsidRPr="00FF5CB4">
        <w:rPr>
          <w:rStyle w:val="FootnoteReference"/>
        </w:rPr>
        <w:footnoteRef/>
      </w:r>
      <w:r w:rsidRPr="00FF5CB4">
        <w:t xml:space="preserve"> </w:t>
      </w:r>
      <w:r w:rsidR="00D27CE7">
        <w:rPr>
          <w:i/>
        </w:rPr>
        <w:t>See Catholic Radio of Loveland, Inc.</w:t>
      </w:r>
      <w:r w:rsidR="005A2C9C">
        <w:t>,</w:t>
      </w:r>
      <w:r w:rsidR="00D27CE7">
        <w:rPr>
          <w:i/>
        </w:rPr>
        <w:t xml:space="preserve"> </w:t>
      </w:r>
      <w:r w:rsidR="00D27CE7">
        <w:t xml:space="preserve">Memorandum Opinion and Order, FCC 15-66, </w:t>
      </w:r>
      <w:r w:rsidR="00D27CE7" w:rsidRPr="00D27CE7">
        <w:t xml:space="preserve">2015 WL 3645698 (June </w:t>
      </w:r>
      <w:r w:rsidR="00D27CE7">
        <w:t>11, 2015</w:t>
      </w:r>
      <w:r w:rsidR="00D27CE7" w:rsidRPr="00D27CE7">
        <w:t>)</w:t>
      </w:r>
      <w:r w:rsidR="00D27CE7">
        <w:t xml:space="preserve"> (</w:t>
      </w:r>
      <w:r w:rsidR="00D27CE7" w:rsidRPr="00D27CE7">
        <w:t>conscious and deliberate operation of a station that results in unauthorized emissions, even if the licensee is not aware of the unauthorized emissions, fulfills the “willful” standard required under the Act</w:t>
      </w:r>
      <w:r w:rsidR="00D27CE7">
        <w:t>).</w:t>
      </w:r>
    </w:p>
  </w:footnote>
  <w:footnote w:id="29">
    <w:p w:rsidR="00CA0B47" w:rsidRPr="004E42FA" w:rsidRDefault="00CA0B47" w:rsidP="00CA0B47">
      <w:pPr>
        <w:pStyle w:val="FootnoteText"/>
        <w:rPr>
          <w:color w:val="000000"/>
        </w:rPr>
      </w:pPr>
      <w:r w:rsidRPr="004E42FA">
        <w:rPr>
          <w:rStyle w:val="FootnoteReference"/>
          <w:color w:val="000000"/>
        </w:rPr>
        <w:footnoteRef/>
      </w:r>
      <w:r w:rsidRPr="004E42FA">
        <w:rPr>
          <w:color w:val="000000"/>
        </w:rPr>
        <w:t xml:space="preserve"> </w:t>
      </w:r>
      <w:r w:rsidRPr="00CA0B47">
        <w:rPr>
          <w:color w:val="000000"/>
        </w:rPr>
        <w:t>47 U.S.C. § 301; 47 C.F.R. §§ 1.903(a), 90.403(e).</w:t>
      </w:r>
    </w:p>
  </w:footnote>
  <w:footnote w:id="30">
    <w:p w:rsidR="0069722D" w:rsidRPr="00FF5CB4" w:rsidRDefault="0069722D" w:rsidP="0069722D">
      <w:pPr>
        <w:pStyle w:val="FootnoteText"/>
      </w:pPr>
      <w:r w:rsidRPr="00FF5CB4">
        <w:rPr>
          <w:rStyle w:val="FootnoteReference"/>
        </w:rPr>
        <w:footnoteRef/>
      </w:r>
      <w:r w:rsidRPr="00FF5CB4">
        <w:t xml:space="preserve"> 47 U.S.C. § 503(b); 47 C.F.R. §§ 0.111, 0.311, 1.80.</w:t>
      </w:r>
    </w:p>
  </w:footnote>
  <w:footnote w:id="31">
    <w:p w:rsidR="0069722D" w:rsidRPr="00FF5CB4" w:rsidRDefault="0069722D" w:rsidP="0069722D">
      <w:pPr>
        <w:pStyle w:val="FootnoteText"/>
      </w:pPr>
      <w:r w:rsidRPr="00FF5CB4">
        <w:rPr>
          <w:rStyle w:val="FootnoteReference"/>
        </w:rPr>
        <w:footnoteRef/>
      </w:r>
      <w:r w:rsidRPr="00FF5CB4">
        <w:t xml:space="preserve"> 47 U.S.C. § 301; 47 C.F.R. §</w:t>
      </w:r>
      <w:r w:rsidR="00CA0B47" w:rsidRPr="00CA0B47">
        <w:t>§</w:t>
      </w:r>
      <w:r w:rsidR="00CA0B47">
        <w:t xml:space="preserve"> 1.903(a), 90.403(e).</w:t>
      </w:r>
    </w:p>
  </w:footnote>
  <w:footnote w:id="32">
    <w:p w:rsidR="00CA0B47" w:rsidRPr="00682B40" w:rsidRDefault="00CA0B47" w:rsidP="00CA0B47">
      <w:pPr>
        <w:pStyle w:val="FootnoteText"/>
      </w:pPr>
      <w:r w:rsidRPr="00344C0B">
        <w:rPr>
          <w:rStyle w:val="FootnoteReference"/>
        </w:rPr>
        <w:footnoteRef/>
      </w:r>
      <w:r w:rsidRPr="00344C0B">
        <w:t xml:space="preserve"> </w:t>
      </w:r>
      <w:r w:rsidR="00682B40">
        <w:t>47 C.F.R. §</w:t>
      </w:r>
      <w:r w:rsidR="00682B40" w:rsidRPr="00682B40">
        <w:t xml:space="preserve"> 1.</w:t>
      </w:r>
      <w:r w:rsidR="00682B40">
        <w:t>80.</w:t>
      </w:r>
    </w:p>
  </w:footnote>
  <w:footnote w:id="33">
    <w:p w:rsidR="00CA0B47" w:rsidRPr="00344C0B" w:rsidRDefault="00CA0B47" w:rsidP="00CA0B47">
      <w:pPr>
        <w:pStyle w:val="FootnoteText"/>
      </w:pPr>
      <w:r w:rsidRPr="00344C0B">
        <w:rPr>
          <w:rStyle w:val="FootnoteReference"/>
        </w:rPr>
        <w:footnoteRef/>
      </w:r>
      <w:r w:rsidRPr="00344C0B">
        <w:t xml:space="preserve"> 47 U.S.C. § 504(a).</w:t>
      </w:r>
    </w:p>
  </w:footnote>
  <w:footnote w:id="34">
    <w:p w:rsidR="00CA0B47" w:rsidRPr="00344C0B" w:rsidRDefault="00CA0B47" w:rsidP="00CA0B47">
      <w:pPr>
        <w:pStyle w:val="FootnoteText"/>
      </w:pPr>
      <w:r w:rsidRPr="00344C0B">
        <w:rPr>
          <w:rStyle w:val="FootnoteReference"/>
        </w:rPr>
        <w:footnoteRef/>
      </w:r>
      <w:r w:rsidRPr="00344C0B">
        <w:t xml:space="preserve"> </w:t>
      </w:r>
      <w:r w:rsidRPr="00344C0B">
        <w:rPr>
          <w:rStyle w:val="FootnoteTextChar2"/>
        </w:rPr>
        <w:t xml:space="preserve">An FCC Form 159 and detailed instructions for completing the form may be obtained at </w:t>
      </w:r>
      <w:r w:rsidRPr="00344C0B">
        <w:t>http://www.fcc.gov/Forms/Form159/159.pdf</w:t>
      </w:r>
      <w:r w:rsidRPr="00344C0B">
        <w:rPr>
          <w:rStyle w:val="FootnoteTextChar2"/>
        </w:rPr>
        <w:t>.</w:t>
      </w:r>
    </w:p>
  </w:footnote>
  <w:footnote w:id="35">
    <w:p w:rsidR="00CA0B47" w:rsidRPr="0030738C" w:rsidRDefault="00CA0B47" w:rsidP="00CA0B47">
      <w:pPr>
        <w:pStyle w:val="FootnoteText"/>
      </w:pPr>
      <w:r w:rsidRPr="00344C0B">
        <w:rPr>
          <w:rStyle w:val="FootnoteReference"/>
        </w:rPr>
        <w:footnoteRef/>
      </w:r>
      <w:r w:rsidRPr="00344C0B">
        <w:t xml:space="preserve"> </w:t>
      </w:r>
      <w:r w:rsidRPr="00344C0B">
        <w:rPr>
          <w:i/>
        </w:rPr>
        <w:t>See</w:t>
      </w:r>
      <w:r w:rsidRPr="00344C0B">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0CF" w:rsidRDefault="001560C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Pr="001B048F" w:rsidRDefault="006D2212" w:rsidP="001B048F">
    <w:pPr>
      <w:pStyle w:val="Header"/>
      <w:rPr>
        <w:b w:val="0"/>
      </w:rPr>
    </w:pPr>
    <w:r>
      <w:rPr>
        <w:noProof/>
      </w:rPr>
      <mc:AlternateContent>
        <mc:Choice Requires="wps">
          <w:drawing>
            <wp:anchor distT="0" distB="0" distL="114300" distR="114300" simplePos="0" relativeHeight="251658240" behindDoc="1" locked="0" layoutInCell="0" allowOverlap="1" wp14:anchorId="4A0E4AAE" wp14:editId="2153DFFC">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2D74C4" w:rsidRPr="00344C0B">
      <w:rPr>
        <w:spacing w:val="-2"/>
      </w:rPr>
      <w:t xml:space="preserve">DA </w:t>
    </w:r>
    <w:r w:rsidR="00D27E5E">
      <w:rPr>
        <w:spacing w:val="-2"/>
      </w:rPr>
      <w:t>15-</w:t>
    </w:r>
    <w:r w:rsidR="00A151BD">
      <w:rPr>
        <w:spacing w:val="-2"/>
      </w:rPr>
      <w:t>747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E7E" w:rsidRDefault="00CC3E7E" w:rsidP="00CC3E7E">
    <w:pPr>
      <w:pStyle w:val="Header"/>
    </w:pPr>
  </w:p>
  <w:p w:rsidR="00E273E3" w:rsidRPr="001B048F" w:rsidRDefault="006D2212" w:rsidP="001B048F">
    <w:pPr>
      <w:pStyle w:val="Header"/>
      <w:rPr>
        <w:b w:val="0"/>
      </w:rPr>
    </w:pPr>
    <w:r>
      <w:rPr>
        <w:noProof/>
      </w:rPr>
      <mc:AlternateContent>
        <mc:Choice Requires="wps">
          <w:drawing>
            <wp:anchor distT="0" distB="0" distL="114300" distR="114300" simplePos="0" relativeHeight="251657216" behindDoc="1" locked="0" layoutInCell="0" allowOverlap="1" wp14:anchorId="6E31AD01" wp14:editId="02C6ECEA">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E273E3" w:rsidRPr="00CE57A9">
      <w:rPr>
        <w:spacing w:val="-2"/>
      </w:rPr>
      <w:t xml:space="preserve">DA </w:t>
    </w:r>
    <w:r w:rsidR="00D27E5E">
      <w:rPr>
        <w:spacing w:val="-2"/>
      </w:rPr>
      <w:t>15-</w:t>
    </w:r>
    <w:r w:rsidR="00A151BD">
      <w:rPr>
        <w:spacing w:val="-2"/>
      </w:rPr>
      <w:t>747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428EE0A"/>
    <w:lvl w:ilvl="0">
      <w:numFmt w:val="bullet"/>
      <w:pStyle w:val="par1"/>
      <w:lvlText w:val="*"/>
      <w:lvlJc w:val="left"/>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32817C4"/>
    <w:multiLevelType w:val="multilevel"/>
    <w:tmpl w:val="1F78C3F8"/>
    <w:lvl w:ilvl="0">
      <w:start w:val="17"/>
      <w:numFmt w:val="decimal"/>
      <w:lvlText w:val="%1."/>
      <w:lvlJc w:val="left"/>
      <w:pPr>
        <w:tabs>
          <w:tab w:val="num" w:pos="1080"/>
        </w:tabs>
        <w:ind w:left="0" w:firstLine="720"/>
      </w:pPr>
      <w:rPr>
        <w:rFonts w:cs="Times New Roman" w:hint="default"/>
        <w:b w:val="0"/>
        <w:i w:val="0"/>
        <w:sz w:val="24"/>
      </w:rPr>
    </w:lvl>
    <w:lvl w:ilvl="1">
      <w:start w:val="1"/>
      <w:numFmt w:val="bullet"/>
      <w:lvlText w:val="o"/>
      <w:lvlJc w:val="left"/>
      <w:pPr>
        <w:ind w:left="1980" w:hanging="360"/>
      </w:pPr>
      <w:rPr>
        <w:rFonts w:ascii="Courier New" w:hAnsi="Courier New" w:hint="default"/>
      </w:rPr>
    </w:lvl>
    <w:lvl w:ilvl="2" w:tentative="1">
      <w:start w:val="1"/>
      <w:numFmt w:val="bullet"/>
      <w:lvlText w:val=""/>
      <w:lvlJc w:val="left"/>
      <w:pPr>
        <w:ind w:left="2700" w:hanging="360"/>
      </w:pPr>
      <w:rPr>
        <w:rFonts w:ascii="Wingdings" w:hAnsi="Wingdings" w:hint="default"/>
      </w:rPr>
    </w:lvl>
    <w:lvl w:ilvl="3" w:tentative="1">
      <w:start w:val="1"/>
      <w:numFmt w:val="bullet"/>
      <w:lvlText w:val=""/>
      <w:lvlJc w:val="left"/>
      <w:pPr>
        <w:ind w:left="3420" w:hanging="360"/>
      </w:pPr>
      <w:rPr>
        <w:rFonts w:ascii="Symbol" w:hAnsi="Symbol" w:hint="default"/>
      </w:rPr>
    </w:lvl>
    <w:lvl w:ilvl="4" w:tentative="1">
      <w:start w:val="1"/>
      <w:numFmt w:val="bullet"/>
      <w:lvlText w:val="o"/>
      <w:lvlJc w:val="left"/>
      <w:pPr>
        <w:ind w:left="4140" w:hanging="360"/>
      </w:pPr>
      <w:rPr>
        <w:rFonts w:ascii="Courier New" w:hAnsi="Courier New" w:hint="default"/>
      </w:rPr>
    </w:lvl>
    <w:lvl w:ilvl="5" w:tentative="1">
      <w:start w:val="1"/>
      <w:numFmt w:val="bullet"/>
      <w:lvlText w:val=""/>
      <w:lvlJc w:val="left"/>
      <w:pPr>
        <w:ind w:left="4860" w:hanging="360"/>
      </w:pPr>
      <w:rPr>
        <w:rFonts w:ascii="Wingdings" w:hAnsi="Wingdings" w:hint="default"/>
      </w:rPr>
    </w:lvl>
    <w:lvl w:ilvl="6" w:tentative="1">
      <w:start w:val="1"/>
      <w:numFmt w:val="bullet"/>
      <w:lvlText w:val=""/>
      <w:lvlJc w:val="left"/>
      <w:pPr>
        <w:ind w:left="5580" w:hanging="360"/>
      </w:pPr>
      <w:rPr>
        <w:rFonts w:ascii="Symbol" w:hAnsi="Symbol" w:hint="default"/>
      </w:rPr>
    </w:lvl>
    <w:lvl w:ilvl="7" w:tentative="1">
      <w:start w:val="1"/>
      <w:numFmt w:val="bullet"/>
      <w:lvlText w:val="o"/>
      <w:lvlJc w:val="left"/>
      <w:pPr>
        <w:ind w:left="6300" w:hanging="360"/>
      </w:pPr>
      <w:rPr>
        <w:rFonts w:ascii="Courier New" w:hAnsi="Courier New" w:hint="default"/>
      </w:rPr>
    </w:lvl>
    <w:lvl w:ilvl="8" w:tentative="1">
      <w:start w:val="1"/>
      <w:numFmt w:val="bullet"/>
      <w:lvlText w:val=""/>
      <w:lvlJc w:val="left"/>
      <w:pPr>
        <w:ind w:left="702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1E163B5"/>
    <w:multiLevelType w:val="hybridMultilevel"/>
    <w:tmpl w:val="D7B49522"/>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698C655C"/>
    <w:multiLevelType w:val="hybridMultilevel"/>
    <w:tmpl w:val="FAE4AD02"/>
    <w:lvl w:ilvl="0" w:tplc="72B2ACC2">
      <w:start w:val="1"/>
      <w:numFmt w:val="decimal"/>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4"/>
  </w:num>
  <w:num w:numId="3">
    <w:abstractNumId w:val="0"/>
    <w:lvlOverride w:ilvl="0">
      <w:lvl w:ilvl="0">
        <w:numFmt w:val="bullet"/>
        <w:pStyle w:val="par1"/>
        <w:lvlText w:val=""/>
        <w:legacy w:legacy="1" w:legacySpace="0" w:legacyIndent="360"/>
        <w:lvlJc w:val="left"/>
        <w:rPr>
          <w:rFonts w:ascii="Symbol" w:hAnsi="Symbol" w:hint="default"/>
        </w:rPr>
      </w:lvl>
    </w:lvlOverride>
  </w:num>
  <w:num w:numId="4">
    <w:abstractNumId w:val="7"/>
  </w:num>
  <w:num w:numId="5">
    <w:abstractNumId w:val="5"/>
  </w:num>
  <w:num w:numId="6">
    <w:abstractNumId w:val="9"/>
  </w:num>
  <w:num w:numId="7">
    <w:abstractNumId w:val="2"/>
  </w:num>
  <w:num w:numId="8">
    <w:abstractNumId w:val="6"/>
  </w:num>
  <w:num w:numId="9">
    <w:abstractNumId w:val="3"/>
  </w:num>
  <w:num w:numId="10">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B"/>
    <w:rsid w:val="000024CA"/>
    <w:rsid w:val="00005148"/>
    <w:rsid w:val="0000624E"/>
    <w:rsid w:val="00014067"/>
    <w:rsid w:val="00014462"/>
    <w:rsid w:val="000145C6"/>
    <w:rsid w:val="000174F9"/>
    <w:rsid w:val="000264B4"/>
    <w:rsid w:val="00030CF5"/>
    <w:rsid w:val="00031AE8"/>
    <w:rsid w:val="00036D58"/>
    <w:rsid w:val="00043C9B"/>
    <w:rsid w:val="00046801"/>
    <w:rsid w:val="00054208"/>
    <w:rsid w:val="000604EB"/>
    <w:rsid w:val="00062C44"/>
    <w:rsid w:val="000649FE"/>
    <w:rsid w:val="00071E3F"/>
    <w:rsid w:val="00072D7D"/>
    <w:rsid w:val="00072F7F"/>
    <w:rsid w:val="00074717"/>
    <w:rsid w:val="0007571D"/>
    <w:rsid w:val="000768FE"/>
    <w:rsid w:val="00077DE6"/>
    <w:rsid w:val="00080535"/>
    <w:rsid w:val="000853AD"/>
    <w:rsid w:val="00086824"/>
    <w:rsid w:val="00091AE4"/>
    <w:rsid w:val="00092506"/>
    <w:rsid w:val="000962DF"/>
    <w:rsid w:val="00097F82"/>
    <w:rsid w:val="000A3E68"/>
    <w:rsid w:val="000A4776"/>
    <w:rsid w:val="000B14C3"/>
    <w:rsid w:val="000B1C2B"/>
    <w:rsid w:val="000B29ED"/>
    <w:rsid w:val="000B7657"/>
    <w:rsid w:val="000C092B"/>
    <w:rsid w:val="000C6050"/>
    <w:rsid w:val="000D03AE"/>
    <w:rsid w:val="000D1391"/>
    <w:rsid w:val="000E1951"/>
    <w:rsid w:val="000E2707"/>
    <w:rsid w:val="000F1155"/>
    <w:rsid w:val="00100646"/>
    <w:rsid w:val="00105A35"/>
    <w:rsid w:val="001067B6"/>
    <w:rsid w:val="0011337B"/>
    <w:rsid w:val="00114734"/>
    <w:rsid w:val="0011687C"/>
    <w:rsid w:val="001205FE"/>
    <w:rsid w:val="0012427E"/>
    <w:rsid w:val="00126C88"/>
    <w:rsid w:val="00135F7F"/>
    <w:rsid w:val="00136476"/>
    <w:rsid w:val="00140ABB"/>
    <w:rsid w:val="001426F0"/>
    <w:rsid w:val="00145D22"/>
    <w:rsid w:val="00145E08"/>
    <w:rsid w:val="001532B1"/>
    <w:rsid w:val="00153904"/>
    <w:rsid w:val="00153CE0"/>
    <w:rsid w:val="00154A5C"/>
    <w:rsid w:val="001560CF"/>
    <w:rsid w:val="00162161"/>
    <w:rsid w:val="00164D9B"/>
    <w:rsid w:val="001715BD"/>
    <w:rsid w:val="00172581"/>
    <w:rsid w:val="001740BB"/>
    <w:rsid w:val="00180026"/>
    <w:rsid w:val="001819AF"/>
    <w:rsid w:val="00196E93"/>
    <w:rsid w:val="001A29EF"/>
    <w:rsid w:val="001A2F40"/>
    <w:rsid w:val="001A3127"/>
    <w:rsid w:val="001A69BA"/>
    <w:rsid w:val="001A79FB"/>
    <w:rsid w:val="001B048F"/>
    <w:rsid w:val="001C3156"/>
    <w:rsid w:val="001C3B35"/>
    <w:rsid w:val="001C42B3"/>
    <w:rsid w:val="001D1CEF"/>
    <w:rsid w:val="001E135C"/>
    <w:rsid w:val="001E1906"/>
    <w:rsid w:val="001E401B"/>
    <w:rsid w:val="001F2B76"/>
    <w:rsid w:val="001F5AA4"/>
    <w:rsid w:val="001F7EE0"/>
    <w:rsid w:val="002037C2"/>
    <w:rsid w:val="00212FB2"/>
    <w:rsid w:val="0021315C"/>
    <w:rsid w:val="002146E2"/>
    <w:rsid w:val="00223173"/>
    <w:rsid w:val="00225854"/>
    <w:rsid w:val="00226191"/>
    <w:rsid w:val="0022665A"/>
    <w:rsid w:val="00236820"/>
    <w:rsid w:val="00246222"/>
    <w:rsid w:val="00250EDF"/>
    <w:rsid w:val="002523B2"/>
    <w:rsid w:val="00252799"/>
    <w:rsid w:val="00256904"/>
    <w:rsid w:val="00256B42"/>
    <w:rsid w:val="002659F3"/>
    <w:rsid w:val="00265FC9"/>
    <w:rsid w:val="00270CD1"/>
    <w:rsid w:val="002710C5"/>
    <w:rsid w:val="002718D7"/>
    <w:rsid w:val="00283E59"/>
    <w:rsid w:val="00287564"/>
    <w:rsid w:val="00293ACC"/>
    <w:rsid w:val="002966A1"/>
    <w:rsid w:val="00297424"/>
    <w:rsid w:val="002A1963"/>
    <w:rsid w:val="002B17E2"/>
    <w:rsid w:val="002B7493"/>
    <w:rsid w:val="002C079C"/>
    <w:rsid w:val="002C12AD"/>
    <w:rsid w:val="002C66A2"/>
    <w:rsid w:val="002D3A88"/>
    <w:rsid w:val="002D4CD9"/>
    <w:rsid w:val="002D6A81"/>
    <w:rsid w:val="002D741D"/>
    <w:rsid w:val="002D74C4"/>
    <w:rsid w:val="002E046E"/>
    <w:rsid w:val="002E1671"/>
    <w:rsid w:val="002E43B6"/>
    <w:rsid w:val="002E6027"/>
    <w:rsid w:val="002F2ACB"/>
    <w:rsid w:val="00306C34"/>
    <w:rsid w:val="00306C50"/>
    <w:rsid w:val="00310B8E"/>
    <w:rsid w:val="0032053D"/>
    <w:rsid w:val="0032244D"/>
    <w:rsid w:val="00325463"/>
    <w:rsid w:val="00327A14"/>
    <w:rsid w:val="00331B47"/>
    <w:rsid w:val="00331D4E"/>
    <w:rsid w:val="003343CA"/>
    <w:rsid w:val="00335814"/>
    <w:rsid w:val="003368A3"/>
    <w:rsid w:val="003368E2"/>
    <w:rsid w:val="00337B66"/>
    <w:rsid w:val="003400E9"/>
    <w:rsid w:val="00340246"/>
    <w:rsid w:val="00344871"/>
    <w:rsid w:val="00344C0B"/>
    <w:rsid w:val="00345F40"/>
    <w:rsid w:val="00346DCB"/>
    <w:rsid w:val="003472A7"/>
    <w:rsid w:val="00347397"/>
    <w:rsid w:val="00353E9D"/>
    <w:rsid w:val="003563C1"/>
    <w:rsid w:val="00361B43"/>
    <w:rsid w:val="003623B1"/>
    <w:rsid w:val="0038136A"/>
    <w:rsid w:val="0039768C"/>
    <w:rsid w:val="003A07BF"/>
    <w:rsid w:val="003A4346"/>
    <w:rsid w:val="003A4767"/>
    <w:rsid w:val="003A5530"/>
    <w:rsid w:val="003A6F0A"/>
    <w:rsid w:val="003B4544"/>
    <w:rsid w:val="003B5341"/>
    <w:rsid w:val="003B5EF6"/>
    <w:rsid w:val="003B6421"/>
    <w:rsid w:val="003B6F75"/>
    <w:rsid w:val="003C0BCF"/>
    <w:rsid w:val="003C5EF1"/>
    <w:rsid w:val="003C6559"/>
    <w:rsid w:val="003D5B63"/>
    <w:rsid w:val="003D5BD6"/>
    <w:rsid w:val="003E36EC"/>
    <w:rsid w:val="003E4BA1"/>
    <w:rsid w:val="003E5CB1"/>
    <w:rsid w:val="003E7003"/>
    <w:rsid w:val="003F2F66"/>
    <w:rsid w:val="004016AD"/>
    <w:rsid w:val="00403291"/>
    <w:rsid w:val="00403B86"/>
    <w:rsid w:val="00416F51"/>
    <w:rsid w:val="004200CE"/>
    <w:rsid w:val="0042056B"/>
    <w:rsid w:val="00422A26"/>
    <w:rsid w:val="00425D5F"/>
    <w:rsid w:val="00431572"/>
    <w:rsid w:val="00436A9E"/>
    <w:rsid w:val="00441CED"/>
    <w:rsid w:val="0044390D"/>
    <w:rsid w:val="00452C14"/>
    <w:rsid w:val="004546CC"/>
    <w:rsid w:val="00454EFD"/>
    <w:rsid w:val="00457AE7"/>
    <w:rsid w:val="00466CC6"/>
    <w:rsid w:val="0047078D"/>
    <w:rsid w:val="004736A1"/>
    <w:rsid w:val="0048127F"/>
    <w:rsid w:val="00484016"/>
    <w:rsid w:val="00493B9B"/>
    <w:rsid w:val="00493EB0"/>
    <w:rsid w:val="004C0831"/>
    <w:rsid w:val="004C1903"/>
    <w:rsid w:val="004C3EDB"/>
    <w:rsid w:val="004C4957"/>
    <w:rsid w:val="004C7D2D"/>
    <w:rsid w:val="004D1078"/>
    <w:rsid w:val="004D7C0F"/>
    <w:rsid w:val="004E218D"/>
    <w:rsid w:val="004E4FD9"/>
    <w:rsid w:val="004E5070"/>
    <w:rsid w:val="004E5D01"/>
    <w:rsid w:val="004F0990"/>
    <w:rsid w:val="00500C36"/>
    <w:rsid w:val="00505616"/>
    <w:rsid w:val="00506F54"/>
    <w:rsid w:val="00512A5C"/>
    <w:rsid w:val="00514466"/>
    <w:rsid w:val="00514B5F"/>
    <w:rsid w:val="005214C9"/>
    <w:rsid w:val="00522727"/>
    <w:rsid w:val="00524310"/>
    <w:rsid w:val="00526086"/>
    <w:rsid w:val="00526174"/>
    <w:rsid w:val="00535D18"/>
    <w:rsid w:val="00537EE6"/>
    <w:rsid w:val="005415C8"/>
    <w:rsid w:val="0054220C"/>
    <w:rsid w:val="005440C1"/>
    <w:rsid w:val="00545EF8"/>
    <w:rsid w:val="00547654"/>
    <w:rsid w:val="00552923"/>
    <w:rsid w:val="00557BF1"/>
    <w:rsid w:val="00560703"/>
    <w:rsid w:val="00565F66"/>
    <w:rsid w:val="0056704D"/>
    <w:rsid w:val="00567C95"/>
    <w:rsid w:val="00567D8D"/>
    <w:rsid w:val="0059732E"/>
    <w:rsid w:val="005973C9"/>
    <w:rsid w:val="005A2C9C"/>
    <w:rsid w:val="005A72DD"/>
    <w:rsid w:val="005B3158"/>
    <w:rsid w:val="005B4CEA"/>
    <w:rsid w:val="005B67ED"/>
    <w:rsid w:val="005C2A5A"/>
    <w:rsid w:val="005C30D4"/>
    <w:rsid w:val="005C4CEC"/>
    <w:rsid w:val="005D250F"/>
    <w:rsid w:val="005D364B"/>
    <w:rsid w:val="005D4F7D"/>
    <w:rsid w:val="005E0A92"/>
    <w:rsid w:val="005E3D9F"/>
    <w:rsid w:val="00600186"/>
    <w:rsid w:val="006020E8"/>
    <w:rsid w:val="00603106"/>
    <w:rsid w:val="00610D09"/>
    <w:rsid w:val="006168A4"/>
    <w:rsid w:val="00622396"/>
    <w:rsid w:val="00624EEA"/>
    <w:rsid w:val="0063038A"/>
    <w:rsid w:val="00634F84"/>
    <w:rsid w:val="00637D3F"/>
    <w:rsid w:val="00640EAA"/>
    <w:rsid w:val="00641EE1"/>
    <w:rsid w:val="00644983"/>
    <w:rsid w:val="0064498D"/>
    <w:rsid w:val="006472F4"/>
    <w:rsid w:val="00650C92"/>
    <w:rsid w:val="00653DFB"/>
    <w:rsid w:val="006557D7"/>
    <w:rsid w:val="00655B5D"/>
    <w:rsid w:val="0065677C"/>
    <w:rsid w:val="006606A3"/>
    <w:rsid w:val="00661DE5"/>
    <w:rsid w:val="0066537F"/>
    <w:rsid w:val="00671666"/>
    <w:rsid w:val="00672014"/>
    <w:rsid w:val="006733A8"/>
    <w:rsid w:val="00673674"/>
    <w:rsid w:val="00674B18"/>
    <w:rsid w:val="00682B40"/>
    <w:rsid w:val="00683E53"/>
    <w:rsid w:val="00686968"/>
    <w:rsid w:val="006877E7"/>
    <w:rsid w:val="0069722D"/>
    <w:rsid w:val="006A23FA"/>
    <w:rsid w:val="006A6FD0"/>
    <w:rsid w:val="006B080E"/>
    <w:rsid w:val="006B685D"/>
    <w:rsid w:val="006D2212"/>
    <w:rsid w:val="006D550A"/>
    <w:rsid w:val="006D5C47"/>
    <w:rsid w:val="006D7FF3"/>
    <w:rsid w:val="006E3B0D"/>
    <w:rsid w:val="006E6868"/>
    <w:rsid w:val="006E728E"/>
    <w:rsid w:val="00704843"/>
    <w:rsid w:val="007112FE"/>
    <w:rsid w:val="007115F7"/>
    <w:rsid w:val="00714FD7"/>
    <w:rsid w:val="00715666"/>
    <w:rsid w:val="007231BA"/>
    <w:rsid w:val="0072776E"/>
    <w:rsid w:val="00731211"/>
    <w:rsid w:val="007325C3"/>
    <w:rsid w:val="0073326F"/>
    <w:rsid w:val="00743885"/>
    <w:rsid w:val="00743CDB"/>
    <w:rsid w:val="00745AB4"/>
    <w:rsid w:val="007470E1"/>
    <w:rsid w:val="007479D6"/>
    <w:rsid w:val="00752D0E"/>
    <w:rsid w:val="00755564"/>
    <w:rsid w:val="00757E63"/>
    <w:rsid w:val="00765619"/>
    <w:rsid w:val="0077103F"/>
    <w:rsid w:val="00781BFC"/>
    <w:rsid w:val="00782257"/>
    <w:rsid w:val="00785772"/>
    <w:rsid w:val="0078649E"/>
    <w:rsid w:val="00787DBC"/>
    <w:rsid w:val="00790B4B"/>
    <w:rsid w:val="00791577"/>
    <w:rsid w:val="00792AD9"/>
    <w:rsid w:val="007A2AF2"/>
    <w:rsid w:val="007A400F"/>
    <w:rsid w:val="007B1368"/>
    <w:rsid w:val="007B1B20"/>
    <w:rsid w:val="007B25BE"/>
    <w:rsid w:val="007B5698"/>
    <w:rsid w:val="007B6478"/>
    <w:rsid w:val="007C197B"/>
    <w:rsid w:val="007C3802"/>
    <w:rsid w:val="007C3FB4"/>
    <w:rsid w:val="007C416C"/>
    <w:rsid w:val="007D5BA0"/>
    <w:rsid w:val="007E10B6"/>
    <w:rsid w:val="007E39BB"/>
    <w:rsid w:val="007E6849"/>
    <w:rsid w:val="007F29BF"/>
    <w:rsid w:val="007F3C22"/>
    <w:rsid w:val="0080144D"/>
    <w:rsid w:val="00804AA7"/>
    <w:rsid w:val="00806AEF"/>
    <w:rsid w:val="00813F43"/>
    <w:rsid w:val="0081526D"/>
    <w:rsid w:val="00817123"/>
    <w:rsid w:val="008218CC"/>
    <w:rsid w:val="00823395"/>
    <w:rsid w:val="00836DF6"/>
    <w:rsid w:val="00854197"/>
    <w:rsid w:val="00862B6D"/>
    <w:rsid w:val="008635E6"/>
    <w:rsid w:val="008666BC"/>
    <w:rsid w:val="00867A33"/>
    <w:rsid w:val="008742A5"/>
    <w:rsid w:val="00874CFC"/>
    <w:rsid w:val="00890DC3"/>
    <w:rsid w:val="008A0B16"/>
    <w:rsid w:val="008A1A2C"/>
    <w:rsid w:val="008B1964"/>
    <w:rsid w:val="008C7EFB"/>
    <w:rsid w:val="008D1BE7"/>
    <w:rsid w:val="008D6AFE"/>
    <w:rsid w:val="008E0D87"/>
    <w:rsid w:val="008F0F79"/>
    <w:rsid w:val="009012DC"/>
    <w:rsid w:val="00901EA9"/>
    <w:rsid w:val="00910008"/>
    <w:rsid w:val="00913674"/>
    <w:rsid w:val="009150E9"/>
    <w:rsid w:val="00920FB9"/>
    <w:rsid w:val="00922BC7"/>
    <w:rsid w:val="00924198"/>
    <w:rsid w:val="009244F0"/>
    <w:rsid w:val="00932FF9"/>
    <w:rsid w:val="0093638C"/>
    <w:rsid w:val="00937A4E"/>
    <w:rsid w:val="00943061"/>
    <w:rsid w:val="009447BE"/>
    <w:rsid w:val="00954972"/>
    <w:rsid w:val="00955661"/>
    <w:rsid w:val="00957948"/>
    <w:rsid w:val="00966093"/>
    <w:rsid w:val="009708B5"/>
    <w:rsid w:val="009714F0"/>
    <w:rsid w:val="00974A8A"/>
    <w:rsid w:val="0097633D"/>
    <w:rsid w:val="00980AA0"/>
    <w:rsid w:val="00981A39"/>
    <w:rsid w:val="009847FB"/>
    <w:rsid w:val="00985084"/>
    <w:rsid w:val="00990196"/>
    <w:rsid w:val="00992A29"/>
    <w:rsid w:val="009A09C6"/>
    <w:rsid w:val="009A2403"/>
    <w:rsid w:val="009A323D"/>
    <w:rsid w:val="009A3AE5"/>
    <w:rsid w:val="009A4C09"/>
    <w:rsid w:val="009B0223"/>
    <w:rsid w:val="009B1061"/>
    <w:rsid w:val="009B2C59"/>
    <w:rsid w:val="009B3E58"/>
    <w:rsid w:val="009B6F55"/>
    <w:rsid w:val="009C2411"/>
    <w:rsid w:val="009C3321"/>
    <w:rsid w:val="009C46AB"/>
    <w:rsid w:val="009C6AD9"/>
    <w:rsid w:val="009D0C63"/>
    <w:rsid w:val="009D5355"/>
    <w:rsid w:val="009E44EE"/>
    <w:rsid w:val="009E708F"/>
    <w:rsid w:val="00A002F4"/>
    <w:rsid w:val="00A00AE0"/>
    <w:rsid w:val="00A01D1A"/>
    <w:rsid w:val="00A020A9"/>
    <w:rsid w:val="00A02148"/>
    <w:rsid w:val="00A047AF"/>
    <w:rsid w:val="00A0567A"/>
    <w:rsid w:val="00A10460"/>
    <w:rsid w:val="00A14E35"/>
    <w:rsid w:val="00A151BD"/>
    <w:rsid w:val="00A174D4"/>
    <w:rsid w:val="00A204BA"/>
    <w:rsid w:val="00A20570"/>
    <w:rsid w:val="00A223C9"/>
    <w:rsid w:val="00A22B12"/>
    <w:rsid w:val="00A230E1"/>
    <w:rsid w:val="00A24336"/>
    <w:rsid w:val="00A24CD1"/>
    <w:rsid w:val="00A26C54"/>
    <w:rsid w:val="00A30DF4"/>
    <w:rsid w:val="00A3796D"/>
    <w:rsid w:val="00A41565"/>
    <w:rsid w:val="00A42341"/>
    <w:rsid w:val="00A449C2"/>
    <w:rsid w:val="00A45420"/>
    <w:rsid w:val="00A45E09"/>
    <w:rsid w:val="00A46E5E"/>
    <w:rsid w:val="00A52CEE"/>
    <w:rsid w:val="00A85686"/>
    <w:rsid w:val="00A95983"/>
    <w:rsid w:val="00AA19E7"/>
    <w:rsid w:val="00AA1C42"/>
    <w:rsid w:val="00AA614F"/>
    <w:rsid w:val="00AB2A81"/>
    <w:rsid w:val="00AB3A5F"/>
    <w:rsid w:val="00AB3FF0"/>
    <w:rsid w:val="00AC08EF"/>
    <w:rsid w:val="00AC0A30"/>
    <w:rsid w:val="00AC7682"/>
    <w:rsid w:val="00AC7905"/>
    <w:rsid w:val="00AD35D3"/>
    <w:rsid w:val="00AD525D"/>
    <w:rsid w:val="00AE4E71"/>
    <w:rsid w:val="00AE6CDF"/>
    <w:rsid w:val="00AF2483"/>
    <w:rsid w:val="00AF6122"/>
    <w:rsid w:val="00B046DF"/>
    <w:rsid w:val="00B0601B"/>
    <w:rsid w:val="00B102D9"/>
    <w:rsid w:val="00B106C6"/>
    <w:rsid w:val="00B146EF"/>
    <w:rsid w:val="00B164B6"/>
    <w:rsid w:val="00B20811"/>
    <w:rsid w:val="00B21753"/>
    <w:rsid w:val="00B246DD"/>
    <w:rsid w:val="00B26603"/>
    <w:rsid w:val="00B307A4"/>
    <w:rsid w:val="00B5182F"/>
    <w:rsid w:val="00B52F5E"/>
    <w:rsid w:val="00B631C7"/>
    <w:rsid w:val="00B65C9D"/>
    <w:rsid w:val="00B661C1"/>
    <w:rsid w:val="00B70A0B"/>
    <w:rsid w:val="00B7385F"/>
    <w:rsid w:val="00B84DAA"/>
    <w:rsid w:val="00B86B94"/>
    <w:rsid w:val="00BA0DEA"/>
    <w:rsid w:val="00BB18C9"/>
    <w:rsid w:val="00BB2B10"/>
    <w:rsid w:val="00BB4888"/>
    <w:rsid w:val="00BB6D6F"/>
    <w:rsid w:val="00BC3C88"/>
    <w:rsid w:val="00BC3FB6"/>
    <w:rsid w:val="00BD5C10"/>
    <w:rsid w:val="00BD747D"/>
    <w:rsid w:val="00BF0CB5"/>
    <w:rsid w:val="00BF689C"/>
    <w:rsid w:val="00C02572"/>
    <w:rsid w:val="00C063BE"/>
    <w:rsid w:val="00C11CF4"/>
    <w:rsid w:val="00C135FF"/>
    <w:rsid w:val="00C138D9"/>
    <w:rsid w:val="00C14EBB"/>
    <w:rsid w:val="00C15447"/>
    <w:rsid w:val="00C16C03"/>
    <w:rsid w:val="00C211BD"/>
    <w:rsid w:val="00C23262"/>
    <w:rsid w:val="00C23391"/>
    <w:rsid w:val="00C2400C"/>
    <w:rsid w:val="00C2483C"/>
    <w:rsid w:val="00C25EAE"/>
    <w:rsid w:val="00C26770"/>
    <w:rsid w:val="00C26850"/>
    <w:rsid w:val="00C30B5C"/>
    <w:rsid w:val="00C32B5E"/>
    <w:rsid w:val="00C339C4"/>
    <w:rsid w:val="00C37DEA"/>
    <w:rsid w:val="00C5575E"/>
    <w:rsid w:val="00C67D47"/>
    <w:rsid w:val="00C710A4"/>
    <w:rsid w:val="00C7583B"/>
    <w:rsid w:val="00C7593B"/>
    <w:rsid w:val="00C771F0"/>
    <w:rsid w:val="00C80AB7"/>
    <w:rsid w:val="00C81248"/>
    <w:rsid w:val="00C81DFC"/>
    <w:rsid w:val="00C82A24"/>
    <w:rsid w:val="00C835A2"/>
    <w:rsid w:val="00C855E5"/>
    <w:rsid w:val="00C90207"/>
    <w:rsid w:val="00C9559E"/>
    <w:rsid w:val="00C9673A"/>
    <w:rsid w:val="00C97F25"/>
    <w:rsid w:val="00CA0654"/>
    <w:rsid w:val="00CA0B47"/>
    <w:rsid w:val="00CA60E2"/>
    <w:rsid w:val="00CA74A0"/>
    <w:rsid w:val="00CB6E37"/>
    <w:rsid w:val="00CC3E7E"/>
    <w:rsid w:val="00CC48B6"/>
    <w:rsid w:val="00CC660D"/>
    <w:rsid w:val="00CC6B2D"/>
    <w:rsid w:val="00CD01AA"/>
    <w:rsid w:val="00CD7A1B"/>
    <w:rsid w:val="00CE57A9"/>
    <w:rsid w:val="00CF0BCD"/>
    <w:rsid w:val="00CF2340"/>
    <w:rsid w:val="00CF537E"/>
    <w:rsid w:val="00CF6B67"/>
    <w:rsid w:val="00D137D5"/>
    <w:rsid w:val="00D15C2F"/>
    <w:rsid w:val="00D23943"/>
    <w:rsid w:val="00D249F3"/>
    <w:rsid w:val="00D26CBB"/>
    <w:rsid w:val="00D27CE7"/>
    <w:rsid w:val="00D27E5E"/>
    <w:rsid w:val="00D417DA"/>
    <w:rsid w:val="00D41A82"/>
    <w:rsid w:val="00D55192"/>
    <w:rsid w:val="00D70FC6"/>
    <w:rsid w:val="00D74CED"/>
    <w:rsid w:val="00D75D1C"/>
    <w:rsid w:val="00D77881"/>
    <w:rsid w:val="00DA4A80"/>
    <w:rsid w:val="00DA67BE"/>
    <w:rsid w:val="00DB04B0"/>
    <w:rsid w:val="00DB110F"/>
    <w:rsid w:val="00DB209B"/>
    <w:rsid w:val="00DC68F5"/>
    <w:rsid w:val="00DD066D"/>
    <w:rsid w:val="00DD17B4"/>
    <w:rsid w:val="00DD355E"/>
    <w:rsid w:val="00DD7B34"/>
    <w:rsid w:val="00DF2FC3"/>
    <w:rsid w:val="00DF3333"/>
    <w:rsid w:val="00DF49C5"/>
    <w:rsid w:val="00E03C5E"/>
    <w:rsid w:val="00E03D76"/>
    <w:rsid w:val="00E0401A"/>
    <w:rsid w:val="00E136B4"/>
    <w:rsid w:val="00E20614"/>
    <w:rsid w:val="00E216B3"/>
    <w:rsid w:val="00E273E3"/>
    <w:rsid w:val="00E32B89"/>
    <w:rsid w:val="00E40344"/>
    <w:rsid w:val="00E41348"/>
    <w:rsid w:val="00E44BA5"/>
    <w:rsid w:val="00E51553"/>
    <w:rsid w:val="00E51F9F"/>
    <w:rsid w:val="00E57ED1"/>
    <w:rsid w:val="00E6009E"/>
    <w:rsid w:val="00E61780"/>
    <w:rsid w:val="00E650AE"/>
    <w:rsid w:val="00E6792A"/>
    <w:rsid w:val="00E74600"/>
    <w:rsid w:val="00E829E4"/>
    <w:rsid w:val="00E85E97"/>
    <w:rsid w:val="00E9402D"/>
    <w:rsid w:val="00E95342"/>
    <w:rsid w:val="00EA7BC5"/>
    <w:rsid w:val="00EB5C8E"/>
    <w:rsid w:val="00EC01C8"/>
    <w:rsid w:val="00EC389E"/>
    <w:rsid w:val="00EC59F7"/>
    <w:rsid w:val="00EC6192"/>
    <w:rsid w:val="00ED001A"/>
    <w:rsid w:val="00ED50F4"/>
    <w:rsid w:val="00ED7F11"/>
    <w:rsid w:val="00EE05DB"/>
    <w:rsid w:val="00EE194C"/>
    <w:rsid w:val="00EE67D5"/>
    <w:rsid w:val="00EE7218"/>
    <w:rsid w:val="00EF23E9"/>
    <w:rsid w:val="00EF2D22"/>
    <w:rsid w:val="00EF3412"/>
    <w:rsid w:val="00EF49F0"/>
    <w:rsid w:val="00EF5B91"/>
    <w:rsid w:val="00F0262C"/>
    <w:rsid w:val="00F03DF9"/>
    <w:rsid w:val="00F07C8E"/>
    <w:rsid w:val="00F122FD"/>
    <w:rsid w:val="00F156C3"/>
    <w:rsid w:val="00F15E74"/>
    <w:rsid w:val="00F16485"/>
    <w:rsid w:val="00F210F9"/>
    <w:rsid w:val="00F21DEF"/>
    <w:rsid w:val="00F220DB"/>
    <w:rsid w:val="00F23F1E"/>
    <w:rsid w:val="00F25D8F"/>
    <w:rsid w:val="00F30014"/>
    <w:rsid w:val="00F35991"/>
    <w:rsid w:val="00F368C8"/>
    <w:rsid w:val="00F51AF3"/>
    <w:rsid w:val="00F80BCB"/>
    <w:rsid w:val="00F83951"/>
    <w:rsid w:val="00F84343"/>
    <w:rsid w:val="00F8613C"/>
    <w:rsid w:val="00F90362"/>
    <w:rsid w:val="00F93126"/>
    <w:rsid w:val="00F9326A"/>
    <w:rsid w:val="00F94931"/>
    <w:rsid w:val="00F968BB"/>
    <w:rsid w:val="00FA2BC9"/>
    <w:rsid w:val="00FA3463"/>
    <w:rsid w:val="00FA581C"/>
    <w:rsid w:val="00FB450C"/>
    <w:rsid w:val="00FB5C54"/>
    <w:rsid w:val="00FC1C58"/>
    <w:rsid w:val="00FD2585"/>
    <w:rsid w:val="00FD3274"/>
    <w:rsid w:val="00FD3431"/>
    <w:rsid w:val="00FE5FA3"/>
    <w:rsid w:val="00FE74AF"/>
    <w:rsid w:val="00FF0626"/>
    <w:rsid w:val="00FF0865"/>
    <w:rsid w:val="00FF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E5070"/>
    <w:pPr>
      <w:widowControl w:val="0"/>
    </w:pPr>
    <w:rPr>
      <w:snapToGrid w:val="0"/>
      <w:kern w:val="28"/>
      <w:szCs w:val="20"/>
    </w:rPr>
  </w:style>
  <w:style w:type="paragraph" w:styleId="Heading1">
    <w:name w:val="heading 1"/>
    <w:basedOn w:val="Normal"/>
    <w:next w:val="ParaNum"/>
    <w:link w:val="Heading1Char"/>
    <w:qFormat/>
    <w:rsid w:val="004E507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E5070"/>
    <w:pPr>
      <w:keepNext/>
      <w:numPr>
        <w:ilvl w:val="1"/>
        <w:numId w:val="2"/>
      </w:numPr>
      <w:spacing w:after="120"/>
      <w:outlineLvl w:val="1"/>
    </w:pPr>
    <w:rPr>
      <w:b/>
    </w:rPr>
  </w:style>
  <w:style w:type="paragraph" w:styleId="Heading3">
    <w:name w:val="heading 3"/>
    <w:basedOn w:val="Normal"/>
    <w:next w:val="ParaNum"/>
    <w:link w:val="Heading3Char"/>
    <w:qFormat/>
    <w:rsid w:val="004E5070"/>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4E5070"/>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4E5070"/>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4E5070"/>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4E5070"/>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4E507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E507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E50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5070"/>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E829E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4E5070"/>
    <w:pPr>
      <w:numPr>
        <w:numId w:val="1"/>
      </w:numPr>
      <w:tabs>
        <w:tab w:val="clear" w:pos="1080"/>
        <w:tab w:val="num" w:pos="1440"/>
      </w:tabs>
      <w:spacing w:after="120"/>
    </w:pPr>
  </w:style>
  <w:style w:type="paragraph" w:styleId="EndnoteText">
    <w:name w:val="endnote text"/>
    <w:basedOn w:val="Normal"/>
    <w:link w:val="EndnoteTextChar"/>
    <w:semiHidden/>
    <w:rsid w:val="004E5070"/>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4E5070"/>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4E5070"/>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4E5070"/>
    <w:rPr>
      <w:rFonts w:ascii="Times New Roman" w:hAnsi="Times New Roman"/>
      <w:dstrike w:val="0"/>
      <w:color w:val="auto"/>
      <w:sz w:val="20"/>
      <w:vertAlign w:val="superscript"/>
    </w:rPr>
  </w:style>
  <w:style w:type="paragraph" w:styleId="TOC1">
    <w:name w:val="toc 1"/>
    <w:basedOn w:val="Normal"/>
    <w:next w:val="Normal"/>
    <w:rsid w:val="004E507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E5070"/>
    <w:pPr>
      <w:tabs>
        <w:tab w:val="left" w:pos="720"/>
        <w:tab w:val="right" w:leader="dot" w:pos="9360"/>
      </w:tabs>
      <w:suppressAutoHyphens/>
      <w:ind w:left="720" w:right="720" w:hanging="360"/>
    </w:pPr>
    <w:rPr>
      <w:noProof/>
    </w:rPr>
  </w:style>
  <w:style w:type="paragraph" w:styleId="TOC3">
    <w:name w:val="toc 3"/>
    <w:basedOn w:val="Normal"/>
    <w:next w:val="Normal"/>
    <w:semiHidden/>
    <w:rsid w:val="004E507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E507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E507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E507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E507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E507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E507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E5070"/>
    <w:pPr>
      <w:tabs>
        <w:tab w:val="right" w:pos="9360"/>
      </w:tabs>
      <w:suppressAutoHyphens/>
    </w:pPr>
  </w:style>
  <w:style w:type="character" w:customStyle="1" w:styleId="EquationCaption">
    <w:name w:val="_Equation Caption"/>
    <w:rsid w:val="004E5070"/>
  </w:style>
  <w:style w:type="paragraph" w:styleId="Header">
    <w:name w:val="header"/>
    <w:basedOn w:val="Normal"/>
    <w:link w:val="HeaderChar"/>
    <w:autoRedefine/>
    <w:rsid w:val="004E5070"/>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4E5070"/>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4E5070"/>
  </w:style>
  <w:style w:type="paragraph" w:styleId="BlockText">
    <w:name w:val="Block Text"/>
    <w:basedOn w:val="Normal"/>
    <w:rsid w:val="004E5070"/>
    <w:pPr>
      <w:spacing w:after="240"/>
      <w:ind w:left="1440" w:right="1440"/>
    </w:pPr>
  </w:style>
  <w:style w:type="paragraph" w:customStyle="1" w:styleId="Paratitle">
    <w:name w:val="Para title"/>
    <w:basedOn w:val="Normal"/>
    <w:rsid w:val="004E5070"/>
    <w:pPr>
      <w:tabs>
        <w:tab w:val="center" w:pos="9270"/>
      </w:tabs>
      <w:spacing w:after="240"/>
    </w:pPr>
    <w:rPr>
      <w:spacing w:val="-2"/>
    </w:rPr>
  </w:style>
  <w:style w:type="paragraph" w:customStyle="1" w:styleId="Bullet">
    <w:name w:val="Bullet"/>
    <w:basedOn w:val="Normal"/>
    <w:rsid w:val="004E5070"/>
    <w:pPr>
      <w:tabs>
        <w:tab w:val="left" w:pos="2160"/>
      </w:tabs>
      <w:spacing w:after="220"/>
      <w:ind w:left="2160" w:hanging="720"/>
    </w:pPr>
  </w:style>
  <w:style w:type="paragraph" w:customStyle="1" w:styleId="TableFormat">
    <w:name w:val="TableFormat"/>
    <w:basedOn w:val="Bullet"/>
    <w:rsid w:val="004E5070"/>
    <w:pPr>
      <w:tabs>
        <w:tab w:val="clear" w:pos="2160"/>
        <w:tab w:val="left" w:pos="5040"/>
      </w:tabs>
      <w:ind w:left="5040" w:hanging="3600"/>
    </w:pPr>
  </w:style>
  <w:style w:type="paragraph" w:customStyle="1" w:styleId="TOCTitle">
    <w:name w:val="TOC Title"/>
    <w:basedOn w:val="Normal"/>
    <w:rsid w:val="004E507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E5070"/>
    <w:pPr>
      <w:jc w:val="center"/>
    </w:pPr>
    <w:rPr>
      <w:rFonts w:ascii="Times New Roman Bold" w:hAnsi="Times New Roman Bold"/>
      <w:b/>
      <w:bCs/>
      <w:caps/>
      <w:szCs w:val="22"/>
    </w:rPr>
  </w:style>
  <w:style w:type="character" w:styleId="Hyperlink">
    <w:name w:val="Hyperlink"/>
    <w:rsid w:val="004E5070"/>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3"/>
      </w:numPr>
      <w:tabs>
        <w:tab w:val="num" w:pos="900"/>
        <w:tab w:val="left" w:pos="1440"/>
      </w:tabs>
      <w:ind w:left="-180" w:firstLine="720"/>
    </w:pPr>
    <w:rPr>
      <w:snapToGrid/>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E5070"/>
    <w:pPr>
      <w:widowControl w:val="0"/>
    </w:pPr>
    <w:rPr>
      <w:snapToGrid w:val="0"/>
      <w:kern w:val="28"/>
      <w:szCs w:val="20"/>
    </w:rPr>
  </w:style>
  <w:style w:type="paragraph" w:styleId="Heading1">
    <w:name w:val="heading 1"/>
    <w:basedOn w:val="Normal"/>
    <w:next w:val="ParaNum"/>
    <w:link w:val="Heading1Char"/>
    <w:qFormat/>
    <w:rsid w:val="004E5070"/>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E5070"/>
    <w:pPr>
      <w:keepNext/>
      <w:numPr>
        <w:ilvl w:val="1"/>
        <w:numId w:val="2"/>
      </w:numPr>
      <w:spacing w:after="120"/>
      <w:outlineLvl w:val="1"/>
    </w:pPr>
    <w:rPr>
      <w:b/>
    </w:rPr>
  </w:style>
  <w:style w:type="paragraph" w:styleId="Heading3">
    <w:name w:val="heading 3"/>
    <w:basedOn w:val="Normal"/>
    <w:next w:val="ParaNum"/>
    <w:link w:val="Heading3Char"/>
    <w:qFormat/>
    <w:rsid w:val="004E5070"/>
    <w:pPr>
      <w:keepNext/>
      <w:numPr>
        <w:ilvl w:val="2"/>
        <w:numId w:val="2"/>
      </w:numPr>
      <w:tabs>
        <w:tab w:val="left" w:pos="2160"/>
      </w:tabs>
      <w:spacing w:after="120"/>
      <w:outlineLvl w:val="2"/>
    </w:pPr>
    <w:rPr>
      <w:b/>
    </w:rPr>
  </w:style>
  <w:style w:type="paragraph" w:styleId="Heading4">
    <w:name w:val="heading 4"/>
    <w:basedOn w:val="Normal"/>
    <w:next w:val="ParaNum"/>
    <w:link w:val="Heading4Char"/>
    <w:qFormat/>
    <w:rsid w:val="004E5070"/>
    <w:pPr>
      <w:keepNext/>
      <w:numPr>
        <w:ilvl w:val="3"/>
        <w:numId w:val="2"/>
      </w:numPr>
      <w:tabs>
        <w:tab w:val="left" w:pos="2880"/>
      </w:tabs>
      <w:spacing w:after="120"/>
      <w:outlineLvl w:val="3"/>
    </w:pPr>
    <w:rPr>
      <w:b/>
    </w:rPr>
  </w:style>
  <w:style w:type="paragraph" w:styleId="Heading5">
    <w:name w:val="heading 5"/>
    <w:basedOn w:val="Normal"/>
    <w:next w:val="ParaNum"/>
    <w:link w:val="Heading5Char"/>
    <w:qFormat/>
    <w:rsid w:val="004E5070"/>
    <w:pPr>
      <w:keepNext/>
      <w:numPr>
        <w:ilvl w:val="4"/>
        <w:numId w:val="2"/>
      </w:numPr>
      <w:tabs>
        <w:tab w:val="left" w:pos="3600"/>
      </w:tabs>
      <w:suppressAutoHyphens/>
      <w:spacing w:after="120"/>
      <w:outlineLvl w:val="4"/>
    </w:pPr>
    <w:rPr>
      <w:b/>
    </w:rPr>
  </w:style>
  <w:style w:type="paragraph" w:styleId="Heading6">
    <w:name w:val="heading 6"/>
    <w:basedOn w:val="Normal"/>
    <w:next w:val="ParaNum"/>
    <w:link w:val="Heading6Char"/>
    <w:qFormat/>
    <w:rsid w:val="004E5070"/>
    <w:pPr>
      <w:numPr>
        <w:ilvl w:val="5"/>
        <w:numId w:val="2"/>
      </w:numPr>
      <w:tabs>
        <w:tab w:val="left" w:pos="4320"/>
      </w:tabs>
      <w:spacing w:after="120"/>
      <w:outlineLvl w:val="5"/>
    </w:pPr>
    <w:rPr>
      <w:b/>
    </w:rPr>
  </w:style>
  <w:style w:type="paragraph" w:styleId="Heading7">
    <w:name w:val="heading 7"/>
    <w:basedOn w:val="Normal"/>
    <w:next w:val="ParaNum"/>
    <w:link w:val="Heading7Char"/>
    <w:qFormat/>
    <w:rsid w:val="004E5070"/>
    <w:pPr>
      <w:numPr>
        <w:ilvl w:val="6"/>
        <w:numId w:val="2"/>
      </w:numPr>
      <w:tabs>
        <w:tab w:val="left" w:pos="5040"/>
      </w:tabs>
      <w:spacing w:after="120"/>
      <w:ind w:left="5040" w:hanging="720"/>
      <w:outlineLvl w:val="6"/>
    </w:pPr>
    <w:rPr>
      <w:b/>
    </w:rPr>
  </w:style>
  <w:style w:type="paragraph" w:styleId="Heading8">
    <w:name w:val="heading 8"/>
    <w:basedOn w:val="Normal"/>
    <w:next w:val="ParaNum"/>
    <w:link w:val="Heading8Char"/>
    <w:qFormat/>
    <w:rsid w:val="004E5070"/>
    <w:pPr>
      <w:numPr>
        <w:ilvl w:val="7"/>
        <w:numId w:val="2"/>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E5070"/>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E507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E5070"/>
  </w:style>
  <w:style w:type="character" w:customStyle="1" w:styleId="Heading1Char">
    <w:name w:val="Heading 1 Char"/>
    <w:basedOn w:val="DefaultParagraphFont"/>
    <w:link w:val="Heading1"/>
    <w:locked/>
    <w:rsid w:val="0011687C"/>
    <w:rPr>
      <w:rFonts w:ascii="Times New Roman Bold" w:hAnsi="Times New Roman Bold"/>
      <w:b/>
      <w:caps/>
      <w:snapToGrid w:val="0"/>
      <w:kern w:val="28"/>
      <w:szCs w:val="20"/>
    </w:rPr>
  </w:style>
  <w:style w:type="character" w:customStyle="1" w:styleId="Heading2Char">
    <w:name w:val="Heading 2 Char"/>
    <w:basedOn w:val="DefaultParagraphFont"/>
    <w:link w:val="Heading2"/>
    <w:locked/>
    <w:rsid w:val="00E829E4"/>
    <w:rPr>
      <w:b/>
      <w:snapToGrid w:val="0"/>
      <w:kern w:val="28"/>
      <w:szCs w:val="20"/>
    </w:rPr>
  </w:style>
  <w:style w:type="character" w:customStyle="1" w:styleId="Heading3Char">
    <w:name w:val="Heading 3 Char"/>
    <w:basedOn w:val="DefaultParagraphFont"/>
    <w:link w:val="Heading3"/>
    <w:locked/>
    <w:rsid w:val="0011687C"/>
    <w:rPr>
      <w:b/>
      <w:snapToGrid w:val="0"/>
      <w:kern w:val="28"/>
      <w:szCs w:val="20"/>
    </w:rPr>
  </w:style>
  <w:style w:type="character" w:customStyle="1" w:styleId="Heading4Char">
    <w:name w:val="Heading 4 Char"/>
    <w:basedOn w:val="DefaultParagraphFont"/>
    <w:link w:val="Heading4"/>
    <w:locked/>
    <w:rsid w:val="0011687C"/>
    <w:rPr>
      <w:b/>
      <w:snapToGrid w:val="0"/>
      <w:kern w:val="28"/>
      <w:szCs w:val="20"/>
    </w:rPr>
  </w:style>
  <w:style w:type="character" w:customStyle="1" w:styleId="Heading5Char">
    <w:name w:val="Heading 5 Char"/>
    <w:basedOn w:val="DefaultParagraphFont"/>
    <w:link w:val="Heading5"/>
    <w:locked/>
    <w:rsid w:val="0011687C"/>
    <w:rPr>
      <w:b/>
      <w:snapToGrid w:val="0"/>
      <w:kern w:val="28"/>
      <w:szCs w:val="20"/>
    </w:rPr>
  </w:style>
  <w:style w:type="character" w:customStyle="1" w:styleId="Heading6Char">
    <w:name w:val="Heading 6 Char"/>
    <w:basedOn w:val="DefaultParagraphFont"/>
    <w:link w:val="Heading6"/>
    <w:locked/>
    <w:rsid w:val="0011687C"/>
    <w:rPr>
      <w:b/>
      <w:snapToGrid w:val="0"/>
      <w:kern w:val="28"/>
      <w:szCs w:val="20"/>
    </w:rPr>
  </w:style>
  <w:style w:type="character" w:customStyle="1" w:styleId="Heading7Char">
    <w:name w:val="Heading 7 Char"/>
    <w:basedOn w:val="DefaultParagraphFont"/>
    <w:link w:val="Heading7"/>
    <w:locked/>
    <w:rsid w:val="0011687C"/>
    <w:rPr>
      <w:b/>
      <w:snapToGrid w:val="0"/>
      <w:kern w:val="28"/>
      <w:szCs w:val="20"/>
    </w:rPr>
  </w:style>
  <w:style w:type="character" w:customStyle="1" w:styleId="Heading8Char">
    <w:name w:val="Heading 8 Char"/>
    <w:basedOn w:val="DefaultParagraphFont"/>
    <w:link w:val="Heading8"/>
    <w:locked/>
    <w:rsid w:val="0011687C"/>
    <w:rPr>
      <w:b/>
      <w:snapToGrid w:val="0"/>
      <w:kern w:val="28"/>
      <w:szCs w:val="20"/>
    </w:rPr>
  </w:style>
  <w:style w:type="character" w:customStyle="1" w:styleId="Heading9Char">
    <w:name w:val="Heading 9 Char"/>
    <w:basedOn w:val="DefaultParagraphFont"/>
    <w:link w:val="Heading9"/>
    <w:locked/>
    <w:rsid w:val="0011687C"/>
    <w:rPr>
      <w:b/>
      <w:snapToGrid w:val="0"/>
      <w:kern w:val="28"/>
      <w:szCs w:val="20"/>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rsid w:val="004E5070"/>
    <w:pPr>
      <w:numPr>
        <w:numId w:val="1"/>
      </w:numPr>
      <w:tabs>
        <w:tab w:val="clear" w:pos="1080"/>
        <w:tab w:val="num" w:pos="1440"/>
      </w:tabs>
      <w:spacing w:after="120"/>
    </w:pPr>
  </w:style>
  <w:style w:type="paragraph" w:styleId="EndnoteText">
    <w:name w:val="endnote text"/>
    <w:basedOn w:val="Normal"/>
    <w:link w:val="EndnoteTextChar"/>
    <w:semiHidden/>
    <w:rsid w:val="004E5070"/>
    <w:rPr>
      <w:sz w:val="20"/>
    </w:rPr>
  </w:style>
  <w:style w:type="character" w:customStyle="1" w:styleId="EndnoteTextChar">
    <w:name w:val="Endnote Text Char"/>
    <w:basedOn w:val="DefaultParagraphFont"/>
    <w:link w:val="EndnoteText"/>
    <w:semiHidden/>
    <w:locked/>
    <w:rsid w:val="0011687C"/>
    <w:rPr>
      <w:snapToGrid w:val="0"/>
      <w:kern w:val="28"/>
      <w:sz w:val="20"/>
      <w:szCs w:val="20"/>
    </w:rPr>
  </w:style>
  <w:style w:type="character" w:styleId="EndnoteReference">
    <w:name w:val="endnote reference"/>
    <w:semiHidden/>
    <w:rsid w:val="004E5070"/>
    <w:rPr>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link w:val="FootnoteTextChar2"/>
    <w:rsid w:val="004E5070"/>
    <w:pPr>
      <w:spacing w:after="120"/>
    </w:pPr>
    <w:rPr>
      <w:sz w:val="20"/>
      <w:szCs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locked/>
    <w:rsid w:val="009B2C59"/>
    <w:rPr>
      <w:sz w:val="20"/>
      <w:szCs w:val="20"/>
    </w:rPr>
  </w:style>
  <w:style w:type="character" w:styleId="FootnoteReference">
    <w:name w:val="footnote reference"/>
    <w:aliases w:val="Style 4,Appel note de bas de p,Style 12,(NECG) Footnote Reference,Style 124,Style 13,o,fr,Style 3,FR,Style 17,Style 6,Footnote Reference/"/>
    <w:rsid w:val="004E5070"/>
    <w:rPr>
      <w:rFonts w:ascii="Times New Roman" w:hAnsi="Times New Roman"/>
      <w:dstrike w:val="0"/>
      <w:color w:val="auto"/>
      <w:sz w:val="20"/>
      <w:vertAlign w:val="superscript"/>
    </w:rPr>
  </w:style>
  <w:style w:type="paragraph" w:styleId="TOC1">
    <w:name w:val="toc 1"/>
    <w:basedOn w:val="Normal"/>
    <w:next w:val="Normal"/>
    <w:rsid w:val="004E507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4E5070"/>
    <w:pPr>
      <w:tabs>
        <w:tab w:val="left" w:pos="720"/>
        <w:tab w:val="right" w:leader="dot" w:pos="9360"/>
      </w:tabs>
      <w:suppressAutoHyphens/>
      <w:ind w:left="720" w:right="720" w:hanging="360"/>
    </w:pPr>
    <w:rPr>
      <w:noProof/>
    </w:rPr>
  </w:style>
  <w:style w:type="paragraph" w:styleId="TOC3">
    <w:name w:val="toc 3"/>
    <w:basedOn w:val="Normal"/>
    <w:next w:val="Normal"/>
    <w:semiHidden/>
    <w:rsid w:val="004E507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E507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E507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E507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E507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E507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E507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4E5070"/>
    <w:pPr>
      <w:tabs>
        <w:tab w:val="right" w:pos="9360"/>
      </w:tabs>
      <w:suppressAutoHyphens/>
    </w:pPr>
  </w:style>
  <w:style w:type="character" w:customStyle="1" w:styleId="EquationCaption">
    <w:name w:val="_Equation Caption"/>
    <w:rsid w:val="004E5070"/>
  </w:style>
  <w:style w:type="paragraph" w:styleId="Header">
    <w:name w:val="header"/>
    <w:basedOn w:val="Normal"/>
    <w:link w:val="HeaderChar"/>
    <w:autoRedefine/>
    <w:rsid w:val="004E5070"/>
    <w:pPr>
      <w:tabs>
        <w:tab w:val="center" w:pos="4680"/>
        <w:tab w:val="right" w:pos="9360"/>
      </w:tabs>
    </w:pPr>
    <w:rPr>
      <w:b/>
    </w:rPr>
  </w:style>
  <w:style w:type="character" w:customStyle="1" w:styleId="HeaderChar">
    <w:name w:val="Header Char"/>
    <w:basedOn w:val="DefaultParagraphFont"/>
    <w:link w:val="Header"/>
    <w:locked/>
    <w:rsid w:val="0011687C"/>
    <w:rPr>
      <w:b/>
      <w:snapToGrid w:val="0"/>
      <w:kern w:val="28"/>
      <w:szCs w:val="20"/>
    </w:rPr>
  </w:style>
  <w:style w:type="paragraph" w:styleId="Footer">
    <w:name w:val="footer"/>
    <w:basedOn w:val="Normal"/>
    <w:link w:val="FooterChar"/>
    <w:rsid w:val="004E5070"/>
    <w:pPr>
      <w:tabs>
        <w:tab w:val="center" w:pos="4320"/>
        <w:tab w:val="right" w:pos="8640"/>
      </w:tabs>
    </w:pPr>
  </w:style>
  <w:style w:type="character" w:customStyle="1" w:styleId="FooterChar">
    <w:name w:val="Footer Char"/>
    <w:basedOn w:val="DefaultParagraphFont"/>
    <w:link w:val="Footer"/>
    <w:locked/>
    <w:rsid w:val="0011687C"/>
    <w:rPr>
      <w:snapToGrid w:val="0"/>
      <w:kern w:val="28"/>
      <w:szCs w:val="20"/>
    </w:rPr>
  </w:style>
  <w:style w:type="character" w:styleId="PageNumber">
    <w:name w:val="page number"/>
    <w:basedOn w:val="DefaultParagraphFont"/>
    <w:rsid w:val="004E5070"/>
  </w:style>
  <w:style w:type="paragraph" w:styleId="BlockText">
    <w:name w:val="Block Text"/>
    <w:basedOn w:val="Normal"/>
    <w:rsid w:val="004E5070"/>
    <w:pPr>
      <w:spacing w:after="240"/>
      <w:ind w:left="1440" w:right="1440"/>
    </w:pPr>
  </w:style>
  <w:style w:type="paragraph" w:customStyle="1" w:styleId="Paratitle">
    <w:name w:val="Para title"/>
    <w:basedOn w:val="Normal"/>
    <w:rsid w:val="004E5070"/>
    <w:pPr>
      <w:tabs>
        <w:tab w:val="center" w:pos="9270"/>
      </w:tabs>
      <w:spacing w:after="240"/>
    </w:pPr>
    <w:rPr>
      <w:spacing w:val="-2"/>
    </w:rPr>
  </w:style>
  <w:style w:type="paragraph" w:customStyle="1" w:styleId="Bullet">
    <w:name w:val="Bullet"/>
    <w:basedOn w:val="Normal"/>
    <w:rsid w:val="004E5070"/>
    <w:pPr>
      <w:tabs>
        <w:tab w:val="left" w:pos="2160"/>
      </w:tabs>
      <w:spacing w:after="220"/>
      <w:ind w:left="2160" w:hanging="720"/>
    </w:pPr>
  </w:style>
  <w:style w:type="paragraph" w:customStyle="1" w:styleId="TableFormat">
    <w:name w:val="TableFormat"/>
    <w:basedOn w:val="Bullet"/>
    <w:rsid w:val="004E5070"/>
    <w:pPr>
      <w:tabs>
        <w:tab w:val="clear" w:pos="2160"/>
        <w:tab w:val="left" w:pos="5040"/>
      </w:tabs>
      <w:ind w:left="5040" w:hanging="3600"/>
    </w:pPr>
  </w:style>
  <w:style w:type="paragraph" w:customStyle="1" w:styleId="TOCTitle">
    <w:name w:val="TOC Title"/>
    <w:basedOn w:val="Normal"/>
    <w:rsid w:val="004E507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E5070"/>
    <w:pPr>
      <w:jc w:val="center"/>
    </w:pPr>
    <w:rPr>
      <w:rFonts w:ascii="Times New Roman Bold" w:hAnsi="Times New Roman Bold"/>
      <w:b/>
      <w:bCs/>
      <w:caps/>
      <w:szCs w:val="22"/>
    </w:rPr>
  </w:style>
  <w:style w:type="character" w:styleId="Hyperlink">
    <w:name w:val="Hyperlink"/>
    <w:rsid w:val="004E5070"/>
    <w:rPr>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locked/>
    <w:rsid w:val="00226191"/>
    <w:rPr>
      <w:snapToGrid w:val="0"/>
      <w:kern w:val="28"/>
      <w:szCs w:val="20"/>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 w:type="character" w:customStyle="1" w:styleId="FootnoteTextChar3">
    <w:name w:val="Footnote Text Char3"/>
    <w:aliases w:val="Footnote Text Char1 Char1,Footnote Text Char Char Char1,Footnote Text Char2 Char Char Char1,Footnote Text Char3 Char1 Char Char Char1,Footnote Text Char2 Char1 Char1 Char Char Char1,Footnote Text Char3 Char1 Char Char Char Char Char1"/>
    <w:locked/>
    <w:rsid w:val="00A204BA"/>
    <w:rPr>
      <w:sz w:val="20"/>
      <w:szCs w:val="20"/>
    </w:rPr>
  </w:style>
  <w:style w:type="paragraph" w:styleId="ListParagraph">
    <w:name w:val="List Paragraph"/>
    <w:basedOn w:val="Normal"/>
    <w:uiPriority w:val="99"/>
    <w:qFormat/>
    <w:rsid w:val="003343CA"/>
    <w:pPr>
      <w:ind w:left="720"/>
      <w:contextualSpacing/>
    </w:pPr>
    <w:rPr>
      <w:snapToGrid/>
    </w:rPr>
  </w:style>
  <w:style w:type="paragraph" w:customStyle="1" w:styleId="par1">
    <w:name w:val="par1"/>
    <w:basedOn w:val="Normal"/>
    <w:link w:val="par1Char"/>
    <w:uiPriority w:val="99"/>
    <w:rsid w:val="003343CA"/>
    <w:pPr>
      <w:numPr>
        <w:numId w:val="3"/>
      </w:numPr>
      <w:tabs>
        <w:tab w:val="num" w:pos="900"/>
        <w:tab w:val="left" w:pos="1440"/>
      </w:tabs>
      <w:ind w:left="-180" w:firstLine="720"/>
    </w:pPr>
    <w:rPr>
      <w:snapToGrid/>
      <w:sz w:val="20"/>
    </w:rPr>
  </w:style>
  <w:style w:type="character" w:customStyle="1" w:styleId="par1Char">
    <w:name w:val="par1 Char"/>
    <w:link w:val="par1"/>
    <w:uiPriority w:val="99"/>
    <w:locked/>
    <w:rsid w:val="003343CA"/>
    <w:rPr>
      <w:kern w:val="28"/>
      <w:sz w:val="20"/>
      <w:szCs w:val="20"/>
    </w:rPr>
  </w:style>
  <w:style w:type="paragraph" w:styleId="Revision">
    <w:name w:val="Revision"/>
    <w:hidden/>
    <w:uiPriority w:val="99"/>
    <w:semiHidden/>
    <w:rsid w:val="00B5182F"/>
    <w:rPr>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6321">
      <w:marLeft w:val="0"/>
      <w:marRight w:val="0"/>
      <w:marTop w:val="0"/>
      <w:marBottom w:val="0"/>
      <w:divBdr>
        <w:top w:val="none" w:sz="0" w:space="0" w:color="auto"/>
        <w:left w:val="none" w:sz="0" w:space="0" w:color="auto"/>
        <w:bottom w:val="none" w:sz="0" w:space="0" w:color="auto"/>
        <w:right w:val="none" w:sz="0" w:space="0" w:color="auto"/>
      </w:divBdr>
      <w:divsChild>
        <w:div w:id="437216320">
          <w:marLeft w:val="0"/>
          <w:marRight w:val="0"/>
          <w:marTop w:val="0"/>
          <w:marBottom w:val="0"/>
          <w:divBdr>
            <w:top w:val="none" w:sz="0" w:space="0" w:color="auto"/>
            <w:left w:val="none" w:sz="0" w:space="0" w:color="auto"/>
            <w:bottom w:val="none" w:sz="0" w:space="0" w:color="auto"/>
            <w:right w:val="none" w:sz="0" w:space="0" w:color="auto"/>
          </w:divBdr>
          <w:divsChild>
            <w:div w:id="437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81990">
      <w:bodyDiv w:val="1"/>
      <w:marLeft w:val="0"/>
      <w:marRight w:val="0"/>
      <w:marTop w:val="0"/>
      <w:marBottom w:val="0"/>
      <w:divBdr>
        <w:top w:val="none" w:sz="0" w:space="0" w:color="auto"/>
        <w:left w:val="none" w:sz="0" w:space="0" w:color="auto"/>
        <w:bottom w:val="none" w:sz="0" w:space="0" w:color="auto"/>
        <w:right w:val="none" w:sz="0" w:space="0" w:color="auto"/>
      </w:divBdr>
    </w:div>
    <w:div w:id="180692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1842</Words>
  <Characters>9886</Characters>
  <Application>Microsoft Office Word</Application>
  <DocSecurity>0</DocSecurity>
  <Lines>166</Lines>
  <Paragraphs>49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11751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2015-06-26T01:30:00Z</dcterms:created>
  <dcterms:modified xsi:type="dcterms:W3CDTF">2015-06-26T01:30:00Z</dcterms:modified>
  <cp:category> </cp:category>
  <cp:contentStatus> </cp:contentStatus>
</cp:coreProperties>
</file>