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8D412C" w:rsidRDefault="00602577">
      <w:pPr>
        <w:pStyle w:val="Header"/>
        <w:tabs>
          <w:tab w:val="clear" w:pos="4320"/>
          <w:tab w:val="clear" w:pos="8640"/>
        </w:tabs>
        <w:sectPr w:rsidR="00602577" w:rsidRPr="008D412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F709F6" w:rsidRDefault="00395955">
      <w:pPr>
        <w:jc w:val="right"/>
        <w:rPr>
          <w:b/>
          <w:szCs w:val="22"/>
        </w:rPr>
      </w:pPr>
      <w:r w:rsidRPr="00F709F6">
        <w:rPr>
          <w:b/>
          <w:szCs w:val="22"/>
        </w:rPr>
        <w:lastRenderedPageBreak/>
        <w:t>DA 15-749</w:t>
      </w:r>
    </w:p>
    <w:p w:rsidR="00602577" w:rsidRPr="008D412C" w:rsidRDefault="00E5690B">
      <w:pPr>
        <w:spacing w:before="60"/>
        <w:jc w:val="right"/>
        <w:rPr>
          <w:szCs w:val="22"/>
        </w:rPr>
      </w:pPr>
      <w:r w:rsidRPr="00F709F6">
        <w:rPr>
          <w:b/>
          <w:szCs w:val="22"/>
        </w:rPr>
        <w:t xml:space="preserve">Released: </w:t>
      </w:r>
      <w:r w:rsidR="00E8768A" w:rsidRPr="00F709F6">
        <w:rPr>
          <w:b/>
          <w:szCs w:val="22"/>
        </w:rPr>
        <w:t>June 25</w:t>
      </w:r>
      <w:r w:rsidR="003E738E" w:rsidRPr="00F709F6">
        <w:rPr>
          <w:b/>
          <w:szCs w:val="22"/>
        </w:rPr>
        <w:t>, 2015</w:t>
      </w:r>
    </w:p>
    <w:p w:rsidR="00602577" w:rsidRPr="008D412C" w:rsidRDefault="00602577" w:rsidP="003E738E">
      <w:pPr>
        <w:contextualSpacing/>
        <w:jc w:val="center"/>
        <w:rPr>
          <w:szCs w:val="22"/>
        </w:rPr>
      </w:pPr>
    </w:p>
    <w:p w:rsidR="003E738E" w:rsidRPr="008D412C" w:rsidRDefault="001321ED" w:rsidP="003E738E">
      <w:pPr>
        <w:contextualSpacing/>
        <w:jc w:val="center"/>
        <w:rPr>
          <w:b/>
          <w:szCs w:val="22"/>
        </w:rPr>
      </w:pPr>
      <w:r>
        <w:rPr>
          <w:b/>
          <w:szCs w:val="22"/>
        </w:rPr>
        <w:t xml:space="preserve">Wireless Telecommunications Bureau Reminds Licensees in the </w:t>
      </w:r>
      <w:r w:rsidR="003E738E" w:rsidRPr="008D412C">
        <w:rPr>
          <w:b/>
          <w:szCs w:val="22"/>
        </w:rPr>
        <w:t xml:space="preserve">3650-3700 MHz Band Wireless Broadband Service and 3550-3650 MHz Band Non-Federal Radiolocation Service </w:t>
      </w:r>
      <w:r>
        <w:rPr>
          <w:b/>
          <w:szCs w:val="22"/>
        </w:rPr>
        <w:t>of Requirements for Construction and Operation</w:t>
      </w:r>
    </w:p>
    <w:p w:rsidR="003E738E" w:rsidRPr="008D412C" w:rsidRDefault="003E738E" w:rsidP="003E738E">
      <w:pPr>
        <w:contextualSpacing/>
        <w:jc w:val="center"/>
        <w:rPr>
          <w:b/>
          <w:color w:val="0000FF"/>
          <w:szCs w:val="22"/>
        </w:rPr>
      </w:pPr>
    </w:p>
    <w:p w:rsidR="00602577" w:rsidRPr="008D412C" w:rsidRDefault="003E738E" w:rsidP="003E738E">
      <w:pPr>
        <w:spacing w:after="240"/>
        <w:jc w:val="center"/>
        <w:rPr>
          <w:b/>
          <w:szCs w:val="22"/>
        </w:rPr>
      </w:pPr>
      <w:r w:rsidRPr="008D412C">
        <w:rPr>
          <w:b/>
          <w:szCs w:val="22"/>
        </w:rPr>
        <w:t>GN Docket No. 12-354</w:t>
      </w:r>
    </w:p>
    <w:p w:rsidR="003E738E" w:rsidRPr="008D412C" w:rsidRDefault="003E738E" w:rsidP="003E738E">
      <w:pPr>
        <w:ind w:left="1080"/>
        <w:contextualSpacing/>
        <w:jc w:val="center"/>
        <w:rPr>
          <w:b/>
          <w:szCs w:val="22"/>
        </w:rPr>
      </w:pPr>
    </w:p>
    <w:p w:rsidR="0047045C" w:rsidRDefault="008D412C" w:rsidP="003446B8">
      <w:pPr>
        <w:widowControl w:val="0"/>
        <w:ind w:firstLine="720"/>
        <w:rPr>
          <w:szCs w:val="22"/>
        </w:rPr>
      </w:pPr>
      <w:r w:rsidRPr="003B38A4">
        <w:rPr>
          <w:szCs w:val="22"/>
        </w:rPr>
        <w:t xml:space="preserve">On April 17, 2015, the Commission Adopted a </w:t>
      </w:r>
      <w:r w:rsidRPr="003B38A4">
        <w:rPr>
          <w:i/>
          <w:szCs w:val="22"/>
        </w:rPr>
        <w:t>Report and Order and Second Further Notice of Proposed Rulemaking</w:t>
      </w:r>
      <w:r w:rsidRPr="003B38A4">
        <w:rPr>
          <w:szCs w:val="22"/>
        </w:rPr>
        <w:t xml:space="preserve"> (</w:t>
      </w:r>
      <w:r w:rsidRPr="003B38A4">
        <w:rPr>
          <w:i/>
          <w:szCs w:val="22"/>
        </w:rPr>
        <w:t>3.5 GHz Order</w:t>
      </w:r>
      <w:r w:rsidRPr="003B38A4">
        <w:rPr>
          <w:szCs w:val="22"/>
        </w:rPr>
        <w:t>) that established a new Citizens Broadband Radio Service in the 3550-3700 MHz band (3.5 GHz Band).</w:t>
      </w:r>
      <w:r w:rsidRPr="003B38A4">
        <w:rPr>
          <w:rStyle w:val="FootnoteReference"/>
          <w:szCs w:val="22"/>
        </w:rPr>
        <w:footnoteReference w:id="1"/>
      </w:r>
      <w:r w:rsidRPr="003B38A4">
        <w:rPr>
          <w:szCs w:val="22"/>
        </w:rPr>
        <w:t xml:space="preserve"> </w:t>
      </w:r>
      <w:r>
        <w:rPr>
          <w:szCs w:val="22"/>
        </w:rPr>
        <w:t xml:space="preserve"> </w:t>
      </w:r>
      <w:r w:rsidR="00266D50">
        <w:rPr>
          <w:szCs w:val="22"/>
        </w:rPr>
        <w:t xml:space="preserve">As noted in the </w:t>
      </w:r>
      <w:r w:rsidR="00266D50">
        <w:rPr>
          <w:i/>
          <w:szCs w:val="22"/>
        </w:rPr>
        <w:t xml:space="preserve">3.5 GHz </w:t>
      </w:r>
      <w:r w:rsidR="00266D50" w:rsidRPr="00266D50">
        <w:rPr>
          <w:i/>
          <w:szCs w:val="22"/>
        </w:rPr>
        <w:t>Order</w:t>
      </w:r>
      <w:r w:rsidR="00266D50">
        <w:rPr>
          <w:szCs w:val="22"/>
        </w:rPr>
        <w:t>, other non-federal services</w:t>
      </w:r>
      <w:r w:rsidR="006E264D">
        <w:rPr>
          <w:szCs w:val="22"/>
        </w:rPr>
        <w:t xml:space="preserve"> – </w:t>
      </w:r>
      <w:r w:rsidR="00266D50">
        <w:rPr>
          <w:szCs w:val="22"/>
        </w:rPr>
        <w:t>including</w:t>
      </w:r>
      <w:r w:rsidR="006E264D">
        <w:rPr>
          <w:szCs w:val="22"/>
        </w:rPr>
        <w:t xml:space="preserve"> </w:t>
      </w:r>
      <w:r w:rsidR="00266D50">
        <w:rPr>
          <w:szCs w:val="22"/>
        </w:rPr>
        <w:t>wireless broadband services in the 3650-3700 MHz band and non-federal radiolocation services in the 355</w:t>
      </w:r>
      <w:r w:rsidR="00DB0230">
        <w:rPr>
          <w:szCs w:val="22"/>
        </w:rPr>
        <w:t>0</w:t>
      </w:r>
      <w:r w:rsidR="00266D50">
        <w:rPr>
          <w:szCs w:val="22"/>
        </w:rPr>
        <w:t xml:space="preserve">-3650 MHz band – are currently licensed in the </w:t>
      </w:r>
      <w:r w:rsidR="004A4111">
        <w:rPr>
          <w:szCs w:val="22"/>
        </w:rPr>
        <w:t>3.5 GHz B</w:t>
      </w:r>
      <w:r w:rsidR="00266D50">
        <w:rPr>
          <w:szCs w:val="22"/>
        </w:rPr>
        <w:t>and.</w:t>
      </w:r>
      <w:r w:rsidR="0047045C">
        <w:rPr>
          <w:rStyle w:val="FootnoteReference"/>
          <w:szCs w:val="22"/>
        </w:rPr>
        <w:footnoteReference w:id="2"/>
      </w:r>
      <w:r w:rsidR="0047045C">
        <w:rPr>
          <w:szCs w:val="22"/>
        </w:rPr>
        <w:t xml:space="preserve">  This </w:t>
      </w:r>
      <w:r w:rsidR="0047045C" w:rsidRPr="00F07156">
        <w:rPr>
          <w:i/>
          <w:szCs w:val="22"/>
        </w:rPr>
        <w:t>Public Notice</w:t>
      </w:r>
      <w:r w:rsidR="0047045C">
        <w:rPr>
          <w:szCs w:val="22"/>
        </w:rPr>
        <w:t xml:space="preserve"> is a reminder to licensees</w:t>
      </w:r>
      <w:r w:rsidR="001004D4">
        <w:rPr>
          <w:szCs w:val="22"/>
        </w:rPr>
        <w:t xml:space="preserve"> </w:t>
      </w:r>
      <w:r w:rsidR="0047045C">
        <w:rPr>
          <w:szCs w:val="22"/>
        </w:rPr>
        <w:t xml:space="preserve">in these services of their rights and responsibilities regarding the operation of registered </w:t>
      </w:r>
      <w:r w:rsidR="00F07156">
        <w:rPr>
          <w:szCs w:val="22"/>
        </w:rPr>
        <w:t>stations</w:t>
      </w:r>
      <w:r w:rsidR="0047045C">
        <w:rPr>
          <w:szCs w:val="22"/>
        </w:rPr>
        <w:t>.</w:t>
      </w:r>
    </w:p>
    <w:p w:rsidR="0047045C" w:rsidRDefault="0047045C" w:rsidP="003E738E">
      <w:pPr>
        <w:widowControl w:val="0"/>
        <w:rPr>
          <w:szCs w:val="22"/>
        </w:rPr>
      </w:pPr>
    </w:p>
    <w:p w:rsidR="003E738E" w:rsidRPr="00DC5F7F" w:rsidRDefault="0047045C" w:rsidP="003446B8">
      <w:pPr>
        <w:widowControl w:val="0"/>
        <w:ind w:firstLine="720"/>
        <w:rPr>
          <w:szCs w:val="22"/>
        </w:rPr>
      </w:pPr>
      <w:r>
        <w:rPr>
          <w:b/>
          <w:i/>
          <w:szCs w:val="22"/>
        </w:rPr>
        <w:t xml:space="preserve">3650-3700 MHz Wireless Broadband Service.  </w:t>
      </w:r>
      <w:r w:rsidR="00EB3EFA">
        <w:rPr>
          <w:szCs w:val="22"/>
        </w:rPr>
        <w:t xml:space="preserve">In the </w:t>
      </w:r>
      <w:r w:rsidR="00EB3EFA">
        <w:rPr>
          <w:i/>
          <w:szCs w:val="22"/>
        </w:rPr>
        <w:t>3.5 GHz Order</w:t>
      </w:r>
      <w:r w:rsidR="00EB3EFA">
        <w:rPr>
          <w:szCs w:val="22"/>
        </w:rPr>
        <w:t>, the Com</w:t>
      </w:r>
      <w:r w:rsidR="001004D4">
        <w:rPr>
          <w:szCs w:val="22"/>
        </w:rPr>
        <w:t xml:space="preserve">mission adopted </w:t>
      </w:r>
      <w:r w:rsidR="00F07156">
        <w:rPr>
          <w:szCs w:val="22"/>
        </w:rPr>
        <w:t>rules that will protect “grandfathered”</w:t>
      </w:r>
      <w:r w:rsidR="001004D4">
        <w:rPr>
          <w:szCs w:val="22"/>
        </w:rPr>
        <w:t xml:space="preserve"> </w:t>
      </w:r>
      <w:r w:rsidR="00EB3EFA">
        <w:rPr>
          <w:szCs w:val="22"/>
        </w:rPr>
        <w:t xml:space="preserve">3650-3700 MHz band </w:t>
      </w:r>
      <w:r w:rsidR="001004D4">
        <w:rPr>
          <w:szCs w:val="22"/>
        </w:rPr>
        <w:t>lic</w:t>
      </w:r>
      <w:r w:rsidR="006E264D">
        <w:rPr>
          <w:szCs w:val="22"/>
        </w:rPr>
        <w:t>e</w:t>
      </w:r>
      <w:r w:rsidR="001004D4">
        <w:rPr>
          <w:szCs w:val="22"/>
        </w:rPr>
        <w:t xml:space="preserve">nsees </w:t>
      </w:r>
      <w:r w:rsidR="00EB3EFA">
        <w:rPr>
          <w:szCs w:val="22"/>
        </w:rPr>
        <w:t>from harmful interference from Citizens Broadband Radio Service users for a fixed transition period</w:t>
      </w:r>
      <w:r w:rsidR="003E738E" w:rsidRPr="008D412C">
        <w:rPr>
          <w:szCs w:val="22"/>
        </w:rPr>
        <w:t>.</w:t>
      </w:r>
      <w:r w:rsidR="003E738E" w:rsidRPr="008D412C">
        <w:rPr>
          <w:rStyle w:val="FootnoteReference"/>
          <w:szCs w:val="22"/>
        </w:rPr>
        <w:footnoteReference w:id="3"/>
      </w:r>
      <w:r w:rsidR="001004D4">
        <w:rPr>
          <w:szCs w:val="22"/>
        </w:rPr>
        <w:t xml:space="preserve"> </w:t>
      </w:r>
      <w:r w:rsidR="00F07156">
        <w:rPr>
          <w:szCs w:val="22"/>
        </w:rPr>
        <w:t xml:space="preserve"> Specifically, “grandfathered”</w:t>
      </w:r>
      <w:r w:rsidR="00EB3EFA">
        <w:rPr>
          <w:szCs w:val="22"/>
        </w:rPr>
        <w:t xml:space="preserve"> licensees </w:t>
      </w:r>
      <w:r w:rsidR="003E738E" w:rsidRPr="008D412C">
        <w:rPr>
          <w:szCs w:val="22"/>
        </w:rPr>
        <w:t xml:space="preserve">will be protected from harmful interference within a </w:t>
      </w:r>
      <w:r w:rsidR="00EB3EFA">
        <w:rPr>
          <w:szCs w:val="22"/>
        </w:rPr>
        <w:t xml:space="preserve">contour </w:t>
      </w:r>
      <w:r w:rsidR="003E738E" w:rsidRPr="008D412C">
        <w:rPr>
          <w:szCs w:val="22"/>
        </w:rPr>
        <w:t>around base or fixed stations only if</w:t>
      </w:r>
      <w:r w:rsidR="00DC5F7F">
        <w:rPr>
          <w:szCs w:val="22"/>
        </w:rPr>
        <w:t>:</w:t>
      </w:r>
      <w:r w:rsidR="003E738E" w:rsidRPr="008D412C">
        <w:rPr>
          <w:szCs w:val="22"/>
        </w:rPr>
        <w:t xml:space="preserve"> (1) the stations were registered in the Commission’s Universal Licensing System (ULS) on or before April</w:t>
      </w:r>
      <w:r w:rsidR="00DC5F7F">
        <w:rPr>
          <w:szCs w:val="22"/>
        </w:rPr>
        <w:t xml:space="preserve"> 17, 2015;</w:t>
      </w:r>
      <w:r w:rsidR="003E738E" w:rsidRPr="008D412C">
        <w:rPr>
          <w:szCs w:val="22"/>
        </w:rPr>
        <w:t xml:space="preserve"> and (2) as of a year later (April 17, 2016) the stations are constructed, in service, and fully compliant with the relevant operating rules.</w:t>
      </w:r>
      <w:r w:rsidR="003E738E" w:rsidRPr="008D412C">
        <w:rPr>
          <w:rStyle w:val="FootnoteReference"/>
          <w:szCs w:val="22"/>
        </w:rPr>
        <w:footnoteReference w:id="4"/>
      </w:r>
      <w:r w:rsidR="003E738E" w:rsidRPr="008D412C">
        <w:rPr>
          <w:color w:val="0000FF"/>
          <w:szCs w:val="22"/>
        </w:rPr>
        <w:t xml:space="preserve">  </w:t>
      </w:r>
      <w:r w:rsidR="00141626">
        <w:rPr>
          <w:szCs w:val="22"/>
        </w:rPr>
        <w:t xml:space="preserve">Consistent with the </w:t>
      </w:r>
      <w:r w:rsidR="006E264D">
        <w:rPr>
          <w:i/>
          <w:szCs w:val="22"/>
        </w:rPr>
        <w:t xml:space="preserve">3.5 GHz </w:t>
      </w:r>
      <w:r w:rsidR="003E738E" w:rsidRPr="008D412C">
        <w:rPr>
          <w:i/>
          <w:szCs w:val="22"/>
        </w:rPr>
        <w:t>Order</w:t>
      </w:r>
      <w:r w:rsidR="00141626">
        <w:rPr>
          <w:szCs w:val="22"/>
        </w:rPr>
        <w:t xml:space="preserve">, </w:t>
      </w:r>
      <w:r w:rsidR="003E738E" w:rsidRPr="008D412C">
        <w:rPr>
          <w:szCs w:val="22"/>
        </w:rPr>
        <w:t xml:space="preserve">the operative terms </w:t>
      </w:r>
      <w:r w:rsidR="00141626">
        <w:rPr>
          <w:szCs w:val="22"/>
        </w:rPr>
        <w:t>are defined as</w:t>
      </w:r>
      <w:r w:rsidR="003E738E" w:rsidRPr="008D412C">
        <w:rPr>
          <w:szCs w:val="22"/>
        </w:rPr>
        <w:t>:</w:t>
      </w:r>
      <w:r w:rsidR="003E738E" w:rsidRPr="008D412C">
        <w:rPr>
          <w:rStyle w:val="FootnoteReference"/>
          <w:szCs w:val="22"/>
        </w:rPr>
        <w:t xml:space="preserve"> </w:t>
      </w:r>
      <w:r w:rsidR="003E738E" w:rsidRPr="008D412C">
        <w:rPr>
          <w:rStyle w:val="FootnoteReference"/>
          <w:szCs w:val="22"/>
        </w:rPr>
        <w:footnoteReference w:id="5"/>
      </w:r>
      <w:r w:rsidR="003E738E" w:rsidRPr="008D412C">
        <w:rPr>
          <w:szCs w:val="22"/>
        </w:rPr>
        <w:t xml:space="preserve">  </w:t>
      </w:r>
    </w:p>
    <w:p w:rsidR="003E738E" w:rsidRPr="008D412C" w:rsidRDefault="003E738E" w:rsidP="003E738E">
      <w:pPr>
        <w:keepNext/>
        <w:rPr>
          <w:szCs w:val="22"/>
        </w:rPr>
      </w:pPr>
    </w:p>
    <w:p w:rsidR="003E738E" w:rsidRPr="008D412C" w:rsidRDefault="003E738E" w:rsidP="00F07156">
      <w:pPr>
        <w:widowControl w:val="0"/>
        <w:ind w:firstLine="720"/>
        <w:rPr>
          <w:color w:val="0000FF"/>
          <w:szCs w:val="22"/>
        </w:rPr>
      </w:pPr>
      <w:r w:rsidRPr="008D412C">
        <w:rPr>
          <w:b/>
          <w:szCs w:val="22"/>
        </w:rPr>
        <w:t>Registered</w:t>
      </w:r>
      <w:r w:rsidRPr="008D412C">
        <w:rPr>
          <w:szCs w:val="22"/>
        </w:rPr>
        <w:t xml:space="preserve"> – fixed and base stations </w:t>
      </w:r>
      <w:r w:rsidR="006E264D">
        <w:rPr>
          <w:szCs w:val="22"/>
        </w:rPr>
        <w:t xml:space="preserve">that </w:t>
      </w:r>
      <w:r w:rsidRPr="008D412C">
        <w:rPr>
          <w:szCs w:val="22"/>
        </w:rPr>
        <w:t>have been properly registered with ULS.</w:t>
      </w:r>
    </w:p>
    <w:p w:rsidR="003E738E" w:rsidRPr="008D412C" w:rsidRDefault="003E738E" w:rsidP="00F07156">
      <w:pPr>
        <w:widowControl w:val="0"/>
        <w:ind w:left="720"/>
        <w:rPr>
          <w:color w:val="0000FF"/>
          <w:szCs w:val="22"/>
        </w:rPr>
      </w:pPr>
      <w:r w:rsidRPr="008D412C">
        <w:rPr>
          <w:b/>
          <w:szCs w:val="22"/>
        </w:rPr>
        <w:t>Constructed</w:t>
      </w:r>
      <w:r w:rsidRPr="008D412C">
        <w:rPr>
          <w:szCs w:val="22"/>
        </w:rPr>
        <w:t xml:space="preserve"> – all infrastructure is in place and operational, including siting, FCC-certified radio equipment, backhaul, power, etc.</w:t>
      </w:r>
    </w:p>
    <w:p w:rsidR="003E738E" w:rsidRPr="008D412C" w:rsidRDefault="003E738E" w:rsidP="00F07156">
      <w:pPr>
        <w:widowControl w:val="0"/>
        <w:ind w:left="720"/>
        <w:rPr>
          <w:color w:val="0000FF"/>
          <w:szCs w:val="22"/>
        </w:rPr>
      </w:pPr>
      <w:r w:rsidRPr="008D412C">
        <w:rPr>
          <w:b/>
          <w:szCs w:val="22"/>
        </w:rPr>
        <w:t>In service</w:t>
      </w:r>
      <w:r w:rsidRPr="008D412C">
        <w:rPr>
          <w:szCs w:val="22"/>
        </w:rPr>
        <w:t xml:space="preserve"> – network provides ongoing service to unaffiliated, paying subscribers (</w:t>
      </w:r>
      <w:r w:rsidRPr="001E558D">
        <w:rPr>
          <w:i/>
          <w:szCs w:val="22"/>
        </w:rPr>
        <w:t>e.g.</w:t>
      </w:r>
      <w:r w:rsidRPr="008D412C">
        <w:rPr>
          <w:szCs w:val="22"/>
        </w:rPr>
        <w:t>, broadband service from a Wireless Internet Service Provider) or for bona fide private uses (</w:t>
      </w:r>
      <w:r w:rsidRPr="001E558D">
        <w:rPr>
          <w:i/>
          <w:szCs w:val="22"/>
        </w:rPr>
        <w:t>e.g.</w:t>
      </w:r>
      <w:r w:rsidRPr="008D412C">
        <w:rPr>
          <w:szCs w:val="22"/>
        </w:rPr>
        <w:t>, utility networks, network backhaul).</w:t>
      </w:r>
    </w:p>
    <w:p w:rsidR="003E738E" w:rsidRPr="008D412C" w:rsidRDefault="00141626" w:rsidP="00141626">
      <w:pPr>
        <w:widowControl w:val="0"/>
        <w:ind w:left="720"/>
        <w:rPr>
          <w:color w:val="0000FF"/>
          <w:szCs w:val="22"/>
        </w:rPr>
      </w:pPr>
      <w:r>
        <w:rPr>
          <w:b/>
          <w:szCs w:val="22"/>
        </w:rPr>
        <w:t>Compliance</w:t>
      </w:r>
      <w:r w:rsidR="003E738E" w:rsidRPr="008D412C">
        <w:rPr>
          <w:szCs w:val="22"/>
        </w:rPr>
        <w:t xml:space="preserve"> –</w:t>
      </w:r>
      <w:r>
        <w:rPr>
          <w:szCs w:val="22"/>
        </w:rPr>
        <w:t xml:space="preserve"> </w:t>
      </w:r>
      <w:r>
        <w:t xml:space="preserve">in compliance with all </w:t>
      </w:r>
      <w:r w:rsidRPr="00072DD2">
        <w:t>applicable FCC rules (or operating pursuant to a waiver of those rules)</w:t>
      </w:r>
      <w:r w:rsidR="003E738E" w:rsidRPr="008D412C">
        <w:rPr>
          <w:szCs w:val="22"/>
        </w:rPr>
        <w:t>.</w:t>
      </w:r>
    </w:p>
    <w:p w:rsidR="003E738E" w:rsidRPr="008D412C" w:rsidRDefault="003E738E" w:rsidP="003E738E">
      <w:pPr>
        <w:widowControl w:val="0"/>
        <w:rPr>
          <w:szCs w:val="22"/>
        </w:rPr>
      </w:pPr>
    </w:p>
    <w:p w:rsidR="003E738E" w:rsidRDefault="001004D4" w:rsidP="003446B8">
      <w:pPr>
        <w:widowControl w:val="0"/>
        <w:ind w:firstLine="720"/>
        <w:rPr>
          <w:szCs w:val="22"/>
        </w:rPr>
      </w:pPr>
      <w:r w:rsidRPr="008D412C">
        <w:rPr>
          <w:szCs w:val="22"/>
        </w:rPr>
        <w:t xml:space="preserve">As noted in the </w:t>
      </w:r>
      <w:r w:rsidR="006E264D">
        <w:rPr>
          <w:i/>
          <w:szCs w:val="22"/>
        </w:rPr>
        <w:t xml:space="preserve">3.5 GHz </w:t>
      </w:r>
      <w:r w:rsidRPr="00F07156">
        <w:rPr>
          <w:i/>
          <w:szCs w:val="22"/>
        </w:rPr>
        <w:t>Order</w:t>
      </w:r>
      <w:r>
        <w:rPr>
          <w:szCs w:val="22"/>
        </w:rPr>
        <w:t xml:space="preserve">, </w:t>
      </w:r>
      <w:r w:rsidRPr="00DC5F7F">
        <w:rPr>
          <w:szCs w:val="22"/>
        </w:rPr>
        <w:t>the</w:t>
      </w:r>
      <w:r w:rsidRPr="008D412C">
        <w:rPr>
          <w:szCs w:val="22"/>
        </w:rPr>
        <w:t xml:space="preserve"> Commission intends “to distinguish between ‘real’ networks that have received substantial investment and provide socially productive service from ‘paper networks’ whose only effect is to restrict spectrum accessible by the Citizens Broadband Radio Service.”</w:t>
      </w:r>
      <w:r w:rsidRPr="008D412C">
        <w:rPr>
          <w:rStyle w:val="FootnoteReference"/>
          <w:szCs w:val="22"/>
        </w:rPr>
        <w:footnoteReference w:id="6"/>
      </w:r>
      <w:r w:rsidRPr="008D412C">
        <w:rPr>
          <w:szCs w:val="22"/>
        </w:rPr>
        <w:t xml:space="preserve">  </w:t>
      </w:r>
      <w:r>
        <w:rPr>
          <w:szCs w:val="22"/>
        </w:rPr>
        <w:t>As such, t</w:t>
      </w:r>
      <w:r w:rsidR="003E738E" w:rsidRPr="008D412C">
        <w:rPr>
          <w:szCs w:val="22"/>
        </w:rPr>
        <w:t xml:space="preserve">o determine whether those stations that have been registered in ULS on or before April 17, 2015 qualify for protection, the Commission may require licensees to provide evidence showing that the conditions have been met.  </w:t>
      </w:r>
    </w:p>
    <w:p w:rsidR="00DC5F7F" w:rsidRDefault="00DC5F7F" w:rsidP="003E738E">
      <w:pPr>
        <w:widowControl w:val="0"/>
        <w:rPr>
          <w:szCs w:val="22"/>
        </w:rPr>
      </w:pPr>
    </w:p>
    <w:p w:rsidR="00DC5F7F" w:rsidRPr="00D278A2" w:rsidRDefault="00DC5F7F" w:rsidP="003446B8">
      <w:pPr>
        <w:widowControl w:val="0"/>
        <w:ind w:firstLine="720"/>
        <w:rPr>
          <w:szCs w:val="22"/>
        </w:rPr>
      </w:pPr>
      <w:r>
        <w:rPr>
          <w:b/>
          <w:i/>
          <w:szCs w:val="22"/>
        </w:rPr>
        <w:t>Non-Federal Radiolocation Service.</w:t>
      </w:r>
      <w:r>
        <w:rPr>
          <w:i/>
          <w:szCs w:val="22"/>
        </w:rPr>
        <w:t xml:space="preserve">  </w:t>
      </w:r>
      <w:r>
        <w:rPr>
          <w:szCs w:val="22"/>
        </w:rPr>
        <w:t xml:space="preserve">In the </w:t>
      </w:r>
      <w:r>
        <w:rPr>
          <w:i/>
          <w:szCs w:val="22"/>
        </w:rPr>
        <w:t>3.5 GHz Order</w:t>
      </w:r>
      <w:r>
        <w:rPr>
          <w:szCs w:val="22"/>
        </w:rPr>
        <w:t xml:space="preserve">, the Commission </w:t>
      </w:r>
      <w:r w:rsidR="00D278A2">
        <w:rPr>
          <w:szCs w:val="22"/>
        </w:rPr>
        <w:t>removed the allocation for the non-federal radiolocation services in the 3550-3650 MHz band.</w:t>
      </w:r>
      <w:r w:rsidR="00D278A2">
        <w:rPr>
          <w:rStyle w:val="FootnoteReference"/>
          <w:szCs w:val="22"/>
        </w:rPr>
        <w:footnoteReference w:id="7"/>
      </w:r>
      <w:r w:rsidR="00D278A2">
        <w:rPr>
          <w:szCs w:val="22"/>
        </w:rPr>
        <w:t xml:space="preserve">  However, license</w:t>
      </w:r>
      <w:r w:rsidR="004A4111">
        <w:rPr>
          <w:szCs w:val="22"/>
        </w:rPr>
        <w:t>e</w:t>
      </w:r>
      <w:r w:rsidR="00D278A2">
        <w:rPr>
          <w:szCs w:val="22"/>
        </w:rPr>
        <w:t xml:space="preserve">s </w:t>
      </w:r>
      <w:r w:rsidR="004A4111">
        <w:rPr>
          <w:szCs w:val="22"/>
        </w:rPr>
        <w:t xml:space="preserve">operating pursuant to licenses </w:t>
      </w:r>
      <w:r w:rsidR="00D278A2">
        <w:rPr>
          <w:szCs w:val="22"/>
        </w:rPr>
        <w:t xml:space="preserve">granted before the effective date of the rules would be allowed to continue using the service </w:t>
      </w:r>
      <w:r w:rsidR="00D278A2">
        <w:rPr>
          <w:i/>
          <w:szCs w:val="22"/>
        </w:rPr>
        <w:t>on a secondary basis</w:t>
      </w:r>
      <w:r w:rsidR="00D278A2">
        <w:rPr>
          <w:szCs w:val="22"/>
        </w:rPr>
        <w:t xml:space="preserve"> through the end of their equipment’s useful life.</w:t>
      </w:r>
      <w:r w:rsidR="00D278A2">
        <w:rPr>
          <w:rStyle w:val="FootnoteReference"/>
          <w:szCs w:val="22"/>
        </w:rPr>
        <w:footnoteReference w:id="8"/>
      </w:r>
      <w:r w:rsidR="00D278A2">
        <w:rPr>
          <w:szCs w:val="22"/>
        </w:rPr>
        <w:t xml:space="preserve">  Licensees are reminded that their operations must not interfere with any other authorized operations in the band, including Citizens Broadband Radio Service users</w:t>
      </w:r>
      <w:r w:rsidR="006E264D">
        <w:rPr>
          <w:szCs w:val="22"/>
        </w:rPr>
        <w:t xml:space="preserve">, and </w:t>
      </w:r>
      <w:r w:rsidR="004A4111">
        <w:rPr>
          <w:szCs w:val="22"/>
        </w:rPr>
        <w:t xml:space="preserve">that they </w:t>
      </w:r>
      <w:r w:rsidR="006E264D">
        <w:rPr>
          <w:szCs w:val="22"/>
        </w:rPr>
        <w:t>must accept interference from all primary services, including Citizens Broadband Radio Service users</w:t>
      </w:r>
      <w:r w:rsidR="00D278A2">
        <w:rPr>
          <w:szCs w:val="22"/>
        </w:rPr>
        <w:t>.</w:t>
      </w:r>
    </w:p>
    <w:p w:rsidR="00DC5F7F" w:rsidRDefault="00DC5F7F" w:rsidP="003E738E">
      <w:pPr>
        <w:widowControl w:val="0"/>
        <w:rPr>
          <w:szCs w:val="22"/>
        </w:rPr>
      </w:pPr>
    </w:p>
    <w:p w:rsidR="00DC5F7F" w:rsidRDefault="00DC5F7F" w:rsidP="003446B8">
      <w:pPr>
        <w:widowControl w:val="0"/>
        <w:ind w:firstLine="720"/>
        <w:rPr>
          <w:szCs w:val="22"/>
        </w:rPr>
      </w:pPr>
      <w:r>
        <w:rPr>
          <w:szCs w:val="22"/>
        </w:rPr>
        <w:t xml:space="preserve">For additional information, please contact Paul Powell, Attorney Advisor, Wireless Telecommunications Bureau, Mobility Division at </w:t>
      </w:r>
      <w:hyperlink r:id="rId14" w:history="1">
        <w:r w:rsidRPr="00620CF2">
          <w:rPr>
            <w:rStyle w:val="Hyperlink"/>
            <w:szCs w:val="22"/>
          </w:rPr>
          <w:t>paul.powell@fcc.gov</w:t>
        </w:r>
      </w:hyperlink>
      <w:r>
        <w:rPr>
          <w:szCs w:val="22"/>
        </w:rPr>
        <w:t xml:space="preserve"> or (202) 418-1613.</w:t>
      </w:r>
    </w:p>
    <w:p w:rsidR="00DC5F7F" w:rsidRPr="008D412C" w:rsidRDefault="00DC5F7F" w:rsidP="003E738E">
      <w:pPr>
        <w:widowControl w:val="0"/>
        <w:rPr>
          <w:szCs w:val="22"/>
        </w:rPr>
      </w:pPr>
    </w:p>
    <w:p w:rsidR="003E738E" w:rsidRPr="008D412C" w:rsidRDefault="003E738E" w:rsidP="003446B8">
      <w:pPr>
        <w:pStyle w:val="paranum0"/>
        <w:spacing w:before="0" w:beforeAutospacing="0" w:after="120" w:afterAutospacing="0"/>
        <w:ind w:firstLine="720"/>
        <w:jc w:val="both"/>
        <w:rPr>
          <w:sz w:val="22"/>
          <w:szCs w:val="22"/>
        </w:rPr>
      </w:pPr>
      <w:r w:rsidRPr="008D412C">
        <w:rPr>
          <w:sz w:val="22"/>
          <w:szCs w:val="22"/>
        </w:rPr>
        <w:t xml:space="preserve">To request materials in accessible formats for people with disabilities (Braille, large print, electronic files, audio format), send an e-mail to fcc504@fcc.gov or call the Consumer &amp; Governmental Affairs Bureau at 202-418-0530 (voice), (202) 418-0432 (TTY).  </w:t>
      </w:r>
    </w:p>
    <w:p w:rsidR="00602577" w:rsidRPr="008D412C" w:rsidRDefault="00602577">
      <w:pPr>
        <w:spacing w:before="120" w:after="240"/>
        <w:rPr>
          <w:sz w:val="24"/>
        </w:rPr>
      </w:pPr>
    </w:p>
    <w:sectPr w:rsidR="00602577" w:rsidRPr="008D412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F4" w:rsidRDefault="00EE76F4">
      <w:r>
        <w:separator/>
      </w:r>
    </w:p>
  </w:endnote>
  <w:endnote w:type="continuationSeparator" w:id="0">
    <w:p w:rsidR="00EE76F4" w:rsidRDefault="00EE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65" w:rsidRDefault="00715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83385"/>
      <w:docPartObj>
        <w:docPartGallery w:val="Page Numbers (Bottom of Page)"/>
        <w:docPartUnique/>
      </w:docPartObj>
    </w:sdtPr>
    <w:sdtEndPr>
      <w:rPr>
        <w:noProof/>
      </w:rPr>
    </w:sdtEndPr>
    <w:sdtContent>
      <w:p w:rsidR="006E264D" w:rsidRDefault="006E264D">
        <w:pPr>
          <w:pStyle w:val="Footer"/>
          <w:jc w:val="center"/>
        </w:pPr>
        <w:r>
          <w:fldChar w:fldCharType="begin"/>
        </w:r>
        <w:r>
          <w:instrText xml:space="preserve"> PAGE   \* MERGEFORMAT </w:instrText>
        </w:r>
        <w:r>
          <w:fldChar w:fldCharType="separate"/>
        </w:r>
        <w:r w:rsidR="006C2554">
          <w:rPr>
            <w:noProof/>
          </w:rPr>
          <w:t>2</w:t>
        </w:r>
        <w:r>
          <w:rPr>
            <w:noProof/>
          </w:rPr>
          <w:fldChar w:fldCharType="end"/>
        </w:r>
      </w:p>
    </w:sdtContent>
  </w:sdt>
  <w:p w:rsidR="006E264D" w:rsidRDefault="006E26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65" w:rsidRDefault="00715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F4" w:rsidRDefault="00EE76F4">
      <w:r>
        <w:separator/>
      </w:r>
    </w:p>
  </w:footnote>
  <w:footnote w:type="continuationSeparator" w:id="0">
    <w:p w:rsidR="00EE76F4" w:rsidRDefault="00EE76F4">
      <w:r>
        <w:continuationSeparator/>
      </w:r>
    </w:p>
  </w:footnote>
  <w:footnote w:id="1">
    <w:p w:rsidR="008D412C" w:rsidRPr="001004D4" w:rsidRDefault="008D412C" w:rsidP="008D412C">
      <w:pPr>
        <w:pStyle w:val="FootnoteText"/>
        <w:rPr>
          <w:sz w:val="20"/>
        </w:rPr>
      </w:pPr>
      <w:r w:rsidRPr="001004D4">
        <w:rPr>
          <w:rStyle w:val="FootnoteReference"/>
          <w:sz w:val="20"/>
        </w:rPr>
        <w:footnoteRef/>
      </w:r>
      <w:r w:rsidRPr="001004D4">
        <w:rPr>
          <w:sz w:val="20"/>
        </w:rPr>
        <w:t xml:space="preserve"> </w:t>
      </w:r>
      <w:r w:rsidRPr="001004D4">
        <w:rPr>
          <w:i/>
          <w:sz w:val="20"/>
        </w:rPr>
        <w:t xml:space="preserve">See </w:t>
      </w:r>
      <w:r w:rsidRPr="001004D4">
        <w:rPr>
          <w:sz w:val="20"/>
        </w:rPr>
        <w:t xml:space="preserve">Amendment of the Commission's Rules with Regard to Commercial Operations in the 3550-3650 MHz Band, GN Docket No. 12-354, </w:t>
      </w:r>
      <w:r w:rsidRPr="001004D4">
        <w:rPr>
          <w:i/>
          <w:sz w:val="20"/>
        </w:rPr>
        <w:t>Report and Order and Second Further Notice of Proposed Rulemaking</w:t>
      </w:r>
      <w:r w:rsidRPr="001004D4">
        <w:rPr>
          <w:sz w:val="20"/>
        </w:rPr>
        <w:t>, 30 FCC Rcd 3959 (2015) (</w:t>
      </w:r>
      <w:r w:rsidRPr="001004D4">
        <w:rPr>
          <w:i/>
          <w:sz w:val="20"/>
        </w:rPr>
        <w:t>3.5 GHz Order</w:t>
      </w:r>
      <w:r w:rsidRPr="001004D4">
        <w:rPr>
          <w:sz w:val="20"/>
        </w:rPr>
        <w:t>).</w:t>
      </w:r>
    </w:p>
  </w:footnote>
  <w:footnote w:id="2">
    <w:p w:rsidR="0047045C" w:rsidRPr="001004D4" w:rsidRDefault="0047045C">
      <w:pPr>
        <w:pStyle w:val="FootnoteText"/>
        <w:rPr>
          <w:sz w:val="20"/>
        </w:rPr>
      </w:pPr>
      <w:r w:rsidRPr="001004D4">
        <w:rPr>
          <w:rStyle w:val="FootnoteReference"/>
          <w:sz w:val="20"/>
        </w:rPr>
        <w:footnoteRef/>
      </w:r>
      <w:r w:rsidRPr="001004D4">
        <w:rPr>
          <w:sz w:val="20"/>
        </w:rPr>
        <w:t xml:space="preserve"> </w:t>
      </w:r>
      <w:r w:rsidR="001004D4">
        <w:rPr>
          <w:i/>
          <w:sz w:val="20"/>
        </w:rPr>
        <w:t xml:space="preserve">Id. </w:t>
      </w:r>
      <w:r w:rsidR="001004D4">
        <w:rPr>
          <w:sz w:val="20"/>
        </w:rPr>
        <w:t>at 3965-66, ¶¶ 17, 19.</w:t>
      </w:r>
    </w:p>
  </w:footnote>
  <w:footnote w:id="3">
    <w:p w:rsidR="003E738E" w:rsidRPr="001004D4" w:rsidRDefault="003E738E" w:rsidP="003E738E">
      <w:pPr>
        <w:pStyle w:val="FootnoteText"/>
        <w:rPr>
          <w:sz w:val="20"/>
        </w:rPr>
      </w:pPr>
      <w:r w:rsidRPr="001004D4">
        <w:rPr>
          <w:rStyle w:val="FootnoteReference"/>
          <w:sz w:val="20"/>
        </w:rPr>
        <w:footnoteRef/>
      </w:r>
      <w:r w:rsidRPr="001004D4">
        <w:rPr>
          <w:sz w:val="20"/>
        </w:rPr>
        <w:t xml:space="preserve"> </w:t>
      </w:r>
      <w:r w:rsidRPr="001004D4">
        <w:rPr>
          <w:rFonts w:eastAsia="Calibri"/>
          <w:i/>
          <w:sz w:val="20"/>
        </w:rPr>
        <w:t>Id.</w:t>
      </w:r>
      <w:r w:rsidRPr="001004D4">
        <w:rPr>
          <w:rFonts w:eastAsia="Calibri"/>
          <w:sz w:val="20"/>
        </w:rPr>
        <w:t xml:space="preserve"> at 4071-80, </w:t>
      </w:r>
      <w:r w:rsidR="00EB3EFA" w:rsidRPr="001004D4">
        <w:rPr>
          <w:rFonts w:eastAsia="Calibri"/>
          <w:sz w:val="20"/>
        </w:rPr>
        <w:t>¶¶</w:t>
      </w:r>
      <w:r w:rsidRPr="001004D4">
        <w:rPr>
          <w:rFonts w:eastAsia="Calibri"/>
          <w:sz w:val="20"/>
        </w:rPr>
        <w:t xml:space="preserve"> 387-412.</w:t>
      </w:r>
    </w:p>
  </w:footnote>
  <w:footnote w:id="4">
    <w:p w:rsidR="003E738E" w:rsidRPr="001004D4" w:rsidRDefault="003E738E" w:rsidP="003E738E">
      <w:pPr>
        <w:pStyle w:val="FootnoteText"/>
        <w:rPr>
          <w:sz w:val="20"/>
        </w:rPr>
      </w:pPr>
      <w:r w:rsidRPr="001004D4">
        <w:rPr>
          <w:rStyle w:val="FootnoteReference"/>
          <w:sz w:val="20"/>
        </w:rPr>
        <w:footnoteRef/>
      </w:r>
      <w:r w:rsidRPr="001004D4">
        <w:rPr>
          <w:sz w:val="20"/>
        </w:rPr>
        <w:t xml:space="preserve"> </w:t>
      </w:r>
      <w:r w:rsidRPr="001004D4">
        <w:rPr>
          <w:rFonts w:eastAsia="Calibri"/>
          <w:sz w:val="20"/>
        </w:rPr>
        <w:t>47 C.F.R. § 90.1338.</w:t>
      </w:r>
      <w:r w:rsidR="00EB3EFA" w:rsidRPr="001004D4">
        <w:rPr>
          <w:rFonts w:eastAsia="Calibri"/>
          <w:sz w:val="20"/>
        </w:rPr>
        <w:t xml:space="preserve">  </w:t>
      </w:r>
      <w:r w:rsidR="00EB3EFA" w:rsidRPr="001004D4">
        <w:rPr>
          <w:sz w:val="20"/>
        </w:rPr>
        <w:t xml:space="preserve">WTB will release a public notice seeking comment on an appropriate method for determining the protected contours for grandfathered 3650-3700 MHZ band licensees. </w:t>
      </w:r>
      <w:r w:rsidR="00EB3EFA" w:rsidRPr="001004D4">
        <w:rPr>
          <w:i/>
          <w:sz w:val="20"/>
        </w:rPr>
        <w:t xml:space="preserve">See </w:t>
      </w:r>
      <w:r w:rsidR="00EB3EFA" w:rsidRPr="001004D4">
        <w:rPr>
          <w:rFonts w:eastAsia="Calibri"/>
          <w:i/>
          <w:sz w:val="20"/>
        </w:rPr>
        <w:t>3.5 GHz Order</w:t>
      </w:r>
      <w:r w:rsidR="00EB3EFA" w:rsidRPr="001004D4">
        <w:rPr>
          <w:rFonts w:eastAsia="Calibri"/>
          <w:sz w:val="20"/>
        </w:rPr>
        <w:t>, 30 FCC Rcd at 4077, ¶ 404.</w:t>
      </w:r>
    </w:p>
  </w:footnote>
  <w:footnote w:id="5">
    <w:p w:rsidR="003E738E" w:rsidRPr="001004D4" w:rsidRDefault="003E738E" w:rsidP="003E738E">
      <w:pPr>
        <w:pStyle w:val="FootnoteText"/>
        <w:rPr>
          <w:sz w:val="20"/>
        </w:rPr>
      </w:pPr>
      <w:r w:rsidRPr="001004D4">
        <w:rPr>
          <w:rStyle w:val="FootnoteReference"/>
          <w:sz w:val="20"/>
        </w:rPr>
        <w:footnoteRef/>
      </w:r>
      <w:r w:rsidR="00EB3EFA" w:rsidRPr="001004D4">
        <w:rPr>
          <w:rFonts w:eastAsia="Calibri"/>
          <w:i/>
          <w:sz w:val="20"/>
        </w:rPr>
        <w:t>3.5 GHz Order</w:t>
      </w:r>
      <w:r w:rsidRPr="001004D4">
        <w:rPr>
          <w:rFonts w:eastAsia="Calibri"/>
          <w:sz w:val="20"/>
        </w:rPr>
        <w:t xml:space="preserve">, 30 FCC Rcd at 4077, </w:t>
      </w:r>
      <w:r w:rsidR="00EB3EFA" w:rsidRPr="001004D4">
        <w:rPr>
          <w:rFonts w:eastAsia="Calibri"/>
          <w:sz w:val="20"/>
        </w:rPr>
        <w:t>¶</w:t>
      </w:r>
      <w:r w:rsidRPr="001004D4">
        <w:rPr>
          <w:rFonts w:eastAsia="Calibri"/>
          <w:sz w:val="20"/>
        </w:rPr>
        <w:t xml:space="preserve"> 403.</w:t>
      </w:r>
    </w:p>
    <w:p w:rsidR="003E738E" w:rsidRPr="001004D4" w:rsidRDefault="003E738E" w:rsidP="003E738E">
      <w:pPr>
        <w:pStyle w:val="FootnoteText"/>
        <w:spacing w:after="120"/>
        <w:rPr>
          <w:b/>
          <w:sz w:val="20"/>
        </w:rPr>
      </w:pPr>
    </w:p>
  </w:footnote>
  <w:footnote w:id="6">
    <w:p w:rsidR="001004D4" w:rsidRPr="001004D4" w:rsidRDefault="001004D4" w:rsidP="001004D4">
      <w:pPr>
        <w:pStyle w:val="FootnoteText"/>
        <w:rPr>
          <w:sz w:val="20"/>
        </w:rPr>
      </w:pPr>
      <w:r w:rsidRPr="001004D4">
        <w:rPr>
          <w:rStyle w:val="FootnoteReference"/>
          <w:sz w:val="20"/>
        </w:rPr>
        <w:footnoteRef/>
      </w:r>
      <w:r w:rsidRPr="001004D4">
        <w:rPr>
          <w:sz w:val="20"/>
        </w:rPr>
        <w:t xml:space="preserve"> </w:t>
      </w:r>
      <w:r w:rsidRPr="001004D4">
        <w:rPr>
          <w:i/>
          <w:sz w:val="20"/>
        </w:rPr>
        <w:t>Id.</w:t>
      </w:r>
      <w:r w:rsidRPr="001004D4">
        <w:rPr>
          <w:sz w:val="20"/>
        </w:rPr>
        <w:t xml:space="preserve"> at 4077, ¶¶ 402.</w:t>
      </w:r>
    </w:p>
  </w:footnote>
  <w:footnote w:id="7">
    <w:p w:rsidR="00D278A2" w:rsidRPr="001004D4" w:rsidRDefault="00D278A2">
      <w:pPr>
        <w:pStyle w:val="FootnoteText"/>
        <w:rPr>
          <w:sz w:val="20"/>
        </w:rPr>
      </w:pPr>
      <w:r w:rsidRPr="001004D4">
        <w:rPr>
          <w:rStyle w:val="FootnoteReference"/>
          <w:sz w:val="20"/>
        </w:rPr>
        <w:footnoteRef/>
      </w:r>
      <w:r w:rsidRPr="001004D4">
        <w:rPr>
          <w:sz w:val="20"/>
        </w:rPr>
        <w:t xml:space="preserve"> </w:t>
      </w:r>
      <w:r w:rsidR="001004D4" w:rsidRPr="001004D4">
        <w:rPr>
          <w:i/>
          <w:sz w:val="20"/>
        </w:rPr>
        <w:t xml:space="preserve">Id. </w:t>
      </w:r>
      <w:r w:rsidR="001004D4" w:rsidRPr="001004D4">
        <w:rPr>
          <w:sz w:val="20"/>
        </w:rPr>
        <w:t>at 3974, ¶ 40.</w:t>
      </w:r>
    </w:p>
  </w:footnote>
  <w:footnote w:id="8">
    <w:p w:rsidR="00D278A2" w:rsidRPr="001004D4" w:rsidRDefault="00D278A2">
      <w:pPr>
        <w:pStyle w:val="FootnoteText"/>
        <w:rPr>
          <w:sz w:val="20"/>
        </w:rPr>
      </w:pPr>
      <w:r w:rsidRPr="001004D4">
        <w:rPr>
          <w:rStyle w:val="FootnoteReference"/>
          <w:sz w:val="20"/>
        </w:rPr>
        <w:footnoteRef/>
      </w:r>
      <w:r w:rsidRPr="001004D4">
        <w:rPr>
          <w:sz w:val="20"/>
        </w:rPr>
        <w:t xml:space="preserve"> </w:t>
      </w:r>
      <w:r w:rsidR="001004D4" w:rsidRPr="001004D4">
        <w:rPr>
          <w:i/>
          <w:sz w:val="20"/>
        </w:rPr>
        <w:t xml:space="preserve"> See </w:t>
      </w:r>
      <w:r w:rsidR="001004D4" w:rsidRPr="001004D4">
        <w:rPr>
          <w:sz w:val="20"/>
        </w:rPr>
        <w:t>47 C.F.R. § 2.106, note US105.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65" w:rsidRDefault="00715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65" w:rsidRDefault="00715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Pr="003E738E" w:rsidRDefault="001004D4">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sidRPr="003E738E">
      <w:rPr>
        <w:rFonts w:ascii="Arial" w:hAnsi="Arial" w:cs="Arial"/>
        <w:b/>
        <w:kern w:val="28"/>
        <w:sz w:val="96"/>
      </w:rPr>
      <w:t>PUBLIC NOTICE</w:t>
    </w:r>
  </w:p>
  <w:p w:rsidR="00602577" w:rsidRDefault="001004D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8E"/>
    <w:rsid w:val="000265AE"/>
    <w:rsid w:val="001004D4"/>
    <w:rsid w:val="001321ED"/>
    <w:rsid w:val="00141626"/>
    <w:rsid w:val="001E558D"/>
    <w:rsid w:val="00226A1F"/>
    <w:rsid w:val="00266D50"/>
    <w:rsid w:val="002B1E77"/>
    <w:rsid w:val="003446B8"/>
    <w:rsid w:val="00395955"/>
    <w:rsid w:val="003E738E"/>
    <w:rsid w:val="0047045C"/>
    <w:rsid w:val="004A4111"/>
    <w:rsid w:val="00602577"/>
    <w:rsid w:val="006C2554"/>
    <w:rsid w:val="006E264D"/>
    <w:rsid w:val="00715D65"/>
    <w:rsid w:val="008A5DE7"/>
    <w:rsid w:val="008D412C"/>
    <w:rsid w:val="008D5770"/>
    <w:rsid w:val="008D670F"/>
    <w:rsid w:val="00B63385"/>
    <w:rsid w:val="00BC6F63"/>
    <w:rsid w:val="00C2562E"/>
    <w:rsid w:val="00D17DC0"/>
    <w:rsid w:val="00D278A2"/>
    <w:rsid w:val="00D60EFF"/>
    <w:rsid w:val="00DB0230"/>
    <w:rsid w:val="00DC5F7F"/>
    <w:rsid w:val="00E5690B"/>
    <w:rsid w:val="00E80258"/>
    <w:rsid w:val="00E8768A"/>
    <w:rsid w:val="00E92844"/>
    <w:rsid w:val="00EB3EFA"/>
    <w:rsid w:val="00EE76F4"/>
    <w:rsid w:val="00EE7985"/>
    <w:rsid w:val="00F07156"/>
    <w:rsid w:val="00F7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4,Appel note de bas de p,Style 12,(NECG) Footnote Reference,Style 124,Style 13,o,fr,Style 3,Footnote Reference1"/>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link w:val="FootnoteText"/>
    <w:uiPriority w:val="99"/>
    <w:semiHidden/>
    <w:rsid w:val="003E738E"/>
    <w:rPr>
      <w:sz w:val="22"/>
    </w:rPr>
  </w:style>
  <w:style w:type="paragraph" w:customStyle="1" w:styleId="paranum0">
    <w:name w:val="paranum"/>
    <w:basedOn w:val="Normal"/>
    <w:uiPriority w:val="99"/>
    <w:rsid w:val="003E738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321ED"/>
    <w:rPr>
      <w:rFonts w:ascii="Tahoma" w:hAnsi="Tahoma" w:cs="Tahoma"/>
      <w:sz w:val="16"/>
      <w:szCs w:val="16"/>
    </w:rPr>
  </w:style>
  <w:style w:type="character" w:customStyle="1" w:styleId="BalloonTextChar">
    <w:name w:val="Balloon Text Char"/>
    <w:basedOn w:val="DefaultParagraphFont"/>
    <w:link w:val="BalloonText"/>
    <w:uiPriority w:val="99"/>
    <w:semiHidden/>
    <w:rsid w:val="001321ED"/>
    <w:rPr>
      <w:rFonts w:ascii="Tahoma" w:hAnsi="Tahoma" w:cs="Tahoma"/>
      <w:sz w:val="16"/>
      <w:szCs w:val="16"/>
    </w:rPr>
  </w:style>
  <w:style w:type="character" w:styleId="CommentReference">
    <w:name w:val="annotation reference"/>
    <w:basedOn w:val="DefaultParagraphFont"/>
    <w:uiPriority w:val="99"/>
    <w:semiHidden/>
    <w:unhideWhenUsed/>
    <w:rsid w:val="006E264D"/>
    <w:rPr>
      <w:sz w:val="16"/>
      <w:szCs w:val="16"/>
    </w:rPr>
  </w:style>
  <w:style w:type="paragraph" w:styleId="CommentText">
    <w:name w:val="annotation text"/>
    <w:basedOn w:val="Normal"/>
    <w:link w:val="CommentTextChar"/>
    <w:uiPriority w:val="99"/>
    <w:semiHidden/>
    <w:unhideWhenUsed/>
    <w:rsid w:val="006E264D"/>
    <w:rPr>
      <w:sz w:val="20"/>
    </w:rPr>
  </w:style>
  <w:style w:type="character" w:customStyle="1" w:styleId="CommentTextChar">
    <w:name w:val="Comment Text Char"/>
    <w:basedOn w:val="DefaultParagraphFont"/>
    <w:link w:val="CommentText"/>
    <w:uiPriority w:val="99"/>
    <w:semiHidden/>
    <w:rsid w:val="006E264D"/>
  </w:style>
  <w:style w:type="paragraph" w:styleId="CommentSubject">
    <w:name w:val="annotation subject"/>
    <w:basedOn w:val="CommentText"/>
    <w:next w:val="CommentText"/>
    <w:link w:val="CommentSubjectChar"/>
    <w:uiPriority w:val="99"/>
    <w:semiHidden/>
    <w:unhideWhenUsed/>
    <w:rsid w:val="006E264D"/>
    <w:rPr>
      <w:b/>
      <w:bCs/>
    </w:rPr>
  </w:style>
  <w:style w:type="character" w:customStyle="1" w:styleId="CommentSubjectChar">
    <w:name w:val="Comment Subject Char"/>
    <w:basedOn w:val="CommentTextChar"/>
    <w:link w:val="CommentSubject"/>
    <w:uiPriority w:val="99"/>
    <w:semiHidden/>
    <w:rsid w:val="006E264D"/>
    <w:rPr>
      <w:b/>
      <w:bCs/>
    </w:rPr>
  </w:style>
  <w:style w:type="character" w:customStyle="1" w:styleId="FooterChar">
    <w:name w:val="Footer Char"/>
    <w:basedOn w:val="DefaultParagraphFont"/>
    <w:link w:val="Footer"/>
    <w:uiPriority w:val="99"/>
    <w:rsid w:val="006E264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4,Appel note de bas de p,Style 12,(NECG) Footnote Reference,Style 124,Style 13,o,fr,Style 3,Footnote Reference1"/>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 Char"/>
    <w:link w:val="FootnoteText"/>
    <w:uiPriority w:val="99"/>
    <w:semiHidden/>
    <w:rsid w:val="003E738E"/>
    <w:rPr>
      <w:sz w:val="22"/>
    </w:rPr>
  </w:style>
  <w:style w:type="paragraph" w:customStyle="1" w:styleId="paranum0">
    <w:name w:val="paranum"/>
    <w:basedOn w:val="Normal"/>
    <w:uiPriority w:val="99"/>
    <w:rsid w:val="003E738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321ED"/>
    <w:rPr>
      <w:rFonts w:ascii="Tahoma" w:hAnsi="Tahoma" w:cs="Tahoma"/>
      <w:sz w:val="16"/>
      <w:szCs w:val="16"/>
    </w:rPr>
  </w:style>
  <w:style w:type="character" w:customStyle="1" w:styleId="BalloonTextChar">
    <w:name w:val="Balloon Text Char"/>
    <w:basedOn w:val="DefaultParagraphFont"/>
    <w:link w:val="BalloonText"/>
    <w:uiPriority w:val="99"/>
    <w:semiHidden/>
    <w:rsid w:val="001321ED"/>
    <w:rPr>
      <w:rFonts w:ascii="Tahoma" w:hAnsi="Tahoma" w:cs="Tahoma"/>
      <w:sz w:val="16"/>
      <w:szCs w:val="16"/>
    </w:rPr>
  </w:style>
  <w:style w:type="character" w:styleId="CommentReference">
    <w:name w:val="annotation reference"/>
    <w:basedOn w:val="DefaultParagraphFont"/>
    <w:uiPriority w:val="99"/>
    <w:semiHidden/>
    <w:unhideWhenUsed/>
    <w:rsid w:val="006E264D"/>
    <w:rPr>
      <w:sz w:val="16"/>
      <w:szCs w:val="16"/>
    </w:rPr>
  </w:style>
  <w:style w:type="paragraph" w:styleId="CommentText">
    <w:name w:val="annotation text"/>
    <w:basedOn w:val="Normal"/>
    <w:link w:val="CommentTextChar"/>
    <w:uiPriority w:val="99"/>
    <w:semiHidden/>
    <w:unhideWhenUsed/>
    <w:rsid w:val="006E264D"/>
    <w:rPr>
      <w:sz w:val="20"/>
    </w:rPr>
  </w:style>
  <w:style w:type="character" w:customStyle="1" w:styleId="CommentTextChar">
    <w:name w:val="Comment Text Char"/>
    <w:basedOn w:val="DefaultParagraphFont"/>
    <w:link w:val="CommentText"/>
    <w:uiPriority w:val="99"/>
    <w:semiHidden/>
    <w:rsid w:val="006E264D"/>
  </w:style>
  <w:style w:type="paragraph" w:styleId="CommentSubject">
    <w:name w:val="annotation subject"/>
    <w:basedOn w:val="CommentText"/>
    <w:next w:val="CommentText"/>
    <w:link w:val="CommentSubjectChar"/>
    <w:uiPriority w:val="99"/>
    <w:semiHidden/>
    <w:unhideWhenUsed/>
    <w:rsid w:val="006E264D"/>
    <w:rPr>
      <w:b/>
      <w:bCs/>
    </w:rPr>
  </w:style>
  <w:style w:type="character" w:customStyle="1" w:styleId="CommentSubjectChar">
    <w:name w:val="Comment Subject Char"/>
    <w:basedOn w:val="CommentTextChar"/>
    <w:link w:val="CommentSubject"/>
    <w:uiPriority w:val="99"/>
    <w:semiHidden/>
    <w:rsid w:val="006E264D"/>
    <w:rPr>
      <w:b/>
      <w:bCs/>
    </w:rPr>
  </w:style>
  <w:style w:type="character" w:customStyle="1" w:styleId="FooterChar">
    <w:name w:val="Footer Char"/>
    <w:basedOn w:val="DefaultParagraphFont"/>
    <w:link w:val="Footer"/>
    <w:uiPriority w:val="99"/>
    <w:rsid w:val="006E26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ul.powell@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545</Words>
  <Characters>3214</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3766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2015-06-25T18:34:00Z</dcterms:created>
  <dcterms:modified xsi:type="dcterms:W3CDTF">2015-06-25T18:34:00Z</dcterms:modified>
  <cp:category> </cp:category>
  <cp:contentStatus> </cp:contentStatus>
</cp:coreProperties>
</file>