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Pr="003B38A4" w:rsidRDefault="00602577">
      <w:pPr>
        <w:pStyle w:val="Header"/>
        <w:tabs>
          <w:tab w:val="clear" w:pos="4320"/>
          <w:tab w:val="clear" w:pos="8640"/>
        </w:tabs>
        <w:rPr>
          <w:szCs w:val="22"/>
        </w:rPr>
        <w:sectPr w:rsidR="00602577" w:rsidRPr="003B38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602577" w:rsidRPr="008E40F0" w:rsidRDefault="00494762">
      <w:pPr>
        <w:jc w:val="right"/>
        <w:rPr>
          <w:b/>
          <w:szCs w:val="22"/>
        </w:rPr>
      </w:pPr>
      <w:r w:rsidRPr="008E40F0">
        <w:rPr>
          <w:b/>
          <w:szCs w:val="22"/>
        </w:rPr>
        <w:lastRenderedPageBreak/>
        <w:t>DA 15-750</w:t>
      </w:r>
    </w:p>
    <w:p w:rsidR="00602577" w:rsidRPr="003B38A4" w:rsidRDefault="00AE16FD">
      <w:pPr>
        <w:spacing w:before="60"/>
        <w:jc w:val="right"/>
        <w:rPr>
          <w:szCs w:val="22"/>
        </w:rPr>
      </w:pPr>
      <w:r w:rsidRPr="008E40F0">
        <w:rPr>
          <w:b/>
          <w:szCs w:val="22"/>
        </w:rPr>
        <w:t>Released</w:t>
      </w:r>
      <w:r w:rsidR="008E40F0" w:rsidRPr="008E40F0">
        <w:rPr>
          <w:b/>
          <w:szCs w:val="22"/>
        </w:rPr>
        <w:t>:</w:t>
      </w:r>
      <w:r w:rsidRPr="008E40F0">
        <w:rPr>
          <w:b/>
          <w:szCs w:val="22"/>
        </w:rPr>
        <w:t xml:space="preserve"> June </w:t>
      </w:r>
      <w:r w:rsidR="00FC2B70" w:rsidRPr="008E40F0">
        <w:rPr>
          <w:b/>
          <w:szCs w:val="22"/>
        </w:rPr>
        <w:t>25</w:t>
      </w:r>
      <w:r w:rsidRPr="008E40F0">
        <w:rPr>
          <w:b/>
          <w:szCs w:val="22"/>
        </w:rPr>
        <w:t>, 2015</w:t>
      </w:r>
    </w:p>
    <w:p w:rsidR="00602577" w:rsidRPr="003B38A4" w:rsidRDefault="00602577">
      <w:pPr>
        <w:jc w:val="right"/>
        <w:rPr>
          <w:szCs w:val="22"/>
        </w:rPr>
      </w:pPr>
    </w:p>
    <w:p w:rsidR="00602577" w:rsidRPr="003B38A4" w:rsidRDefault="00AE16FD" w:rsidP="006F2C74">
      <w:pPr>
        <w:spacing w:after="240"/>
        <w:jc w:val="center"/>
        <w:rPr>
          <w:b/>
          <w:szCs w:val="22"/>
        </w:rPr>
      </w:pPr>
      <w:r w:rsidRPr="003B38A4">
        <w:rPr>
          <w:b/>
          <w:szCs w:val="22"/>
        </w:rPr>
        <w:t>Wireless Telecommunications Bureau</w:t>
      </w:r>
      <w:r w:rsidR="006F2C74" w:rsidRPr="003B38A4">
        <w:rPr>
          <w:b/>
          <w:szCs w:val="22"/>
        </w:rPr>
        <w:t xml:space="preserve"> Announces Comment Dates for 3.5 GHz Second FNPRM and Upcoming Releases in GN </w:t>
      </w:r>
      <w:r w:rsidR="00B11B2A" w:rsidRPr="003B38A4">
        <w:rPr>
          <w:b/>
          <w:szCs w:val="22"/>
        </w:rPr>
        <w:t xml:space="preserve">Docket No. </w:t>
      </w:r>
      <w:r w:rsidR="006F2C74" w:rsidRPr="003B38A4">
        <w:rPr>
          <w:b/>
          <w:szCs w:val="22"/>
        </w:rPr>
        <w:t>12-354</w:t>
      </w:r>
    </w:p>
    <w:p w:rsidR="006F2C74" w:rsidRPr="003B38A4" w:rsidRDefault="006F2C74" w:rsidP="006F2C74">
      <w:pPr>
        <w:spacing w:after="240"/>
        <w:jc w:val="center"/>
        <w:rPr>
          <w:b/>
          <w:szCs w:val="22"/>
        </w:rPr>
      </w:pPr>
      <w:r w:rsidRPr="003B38A4">
        <w:rPr>
          <w:b/>
          <w:szCs w:val="22"/>
        </w:rPr>
        <w:t>GN Docket No. 12-354</w:t>
      </w:r>
    </w:p>
    <w:p w:rsidR="00DC7F57" w:rsidRPr="003B38A4" w:rsidRDefault="006F2C74" w:rsidP="006F2C74">
      <w:pPr>
        <w:spacing w:after="240"/>
        <w:rPr>
          <w:szCs w:val="22"/>
        </w:rPr>
      </w:pPr>
      <w:r w:rsidRPr="003B38A4">
        <w:rPr>
          <w:szCs w:val="22"/>
        </w:rPr>
        <w:tab/>
        <w:t xml:space="preserve">On April 17, 2015, the Commission Adopted a </w:t>
      </w:r>
      <w:r w:rsidRPr="003B38A4">
        <w:rPr>
          <w:i/>
          <w:szCs w:val="22"/>
        </w:rPr>
        <w:t>Report and Order and Second Further Notice of Proposed Rulemaking</w:t>
      </w:r>
      <w:r w:rsidRPr="003B38A4">
        <w:rPr>
          <w:szCs w:val="22"/>
        </w:rPr>
        <w:t xml:space="preserve"> (</w:t>
      </w:r>
      <w:r w:rsidR="00F86907">
        <w:rPr>
          <w:szCs w:val="22"/>
        </w:rPr>
        <w:t xml:space="preserve">collectively, </w:t>
      </w:r>
      <w:r w:rsidRPr="003B38A4">
        <w:rPr>
          <w:i/>
          <w:szCs w:val="22"/>
        </w:rPr>
        <w:t>3.5 GHz Order</w:t>
      </w:r>
      <w:r w:rsidRPr="003B38A4">
        <w:rPr>
          <w:szCs w:val="22"/>
        </w:rPr>
        <w:t>)</w:t>
      </w:r>
      <w:r w:rsidR="00F86907">
        <w:rPr>
          <w:rStyle w:val="FootnoteReference"/>
          <w:szCs w:val="22"/>
        </w:rPr>
        <w:footnoteReference w:id="1"/>
      </w:r>
      <w:r w:rsidRPr="003B38A4">
        <w:rPr>
          <w:szCs w:val="22"/>
        </w:rPr>
        <w:t xml:space="preserve"> that established a new Citizens Broadband Radio Service in the 3550-3700 MHz band (3.5 GHz Band).</w:t>
      </w:r>
      <w:r w:rsidR="007D3AEF" w:rsidRPr="003B38A4">
        <w:rPr>
          <w:rStyle w:val="FootnoteReference"/>
          <w:szCs w:val="22"/>
        </w:rPr>
        <w:footnoteReference w:id="2"/>
      </w:r>
      <w:r w:rsidRPr="003B38A4">
        <w:rPr>
          <w:szCs w:val="22"/>
        </w:rPr>
        <w:t xml:space="preserve">  </w:t>
      </w:r>
      <w:r w:rsidR="00DC7F57" w:rsidRPr="003B38A4">
        <w:rPr>
          <w:szCs w:val="22"/>
        </w:rPr>
        <w:t xml:space="preserve">The </w:t>
      </w:r>
      <w:r w:rsidR="00DC7F57" w:rsidRPr="003B38A4">
        <w:rPr>
          <w:i/>
          <w:szCs w:val="22"/>
        </w:rPr>
        <w:t>3.5 GHz Order</w:t>
      </w:r>
      <w:r w:rsidR="00DC7F57" w:rsidRPr="003B38A4">
        <w:rPr>
          <w:szCs w:val="22"/>
        </w:rPr>
        <w:t xml:space="preserve"> described several additional actions that the Commission would take in this proceeding d</w:t>
      </w:r>
      <w:r w:rsidR="00E71EDE">
        <w:rPr>
          <w:szCs w:val="22"/>
        </w:rPr>
        <w:t>uring the coming months.  This public n</w:t>
      </w:r>
      <w:r w:rsidR="00DC7F57" w:rsidRPr="003B38A4">
        <w:rPr>
          <w:szCs w:val="22"/>
        </w:rPr>
        <w:t xml:space="preserve">otice </w:t>
      </w:r>
      <w:r w:rsidR="00571E59">
        <w:rPr>
          <w:szCs w:val="22"/>
        </w:rPr>
        <w:t>provides an</w:t>
      </w:r>
      <w:r w:rsidR="00DC7F57" w:rsidRPr="003B38A4">
        <w:rPr>
          <w:szCs w:val="22"/>
        </w:rPr>
        <w:t xml:space="preserve"> approximate schedule </w:t>
      </w:r>
      <w:r w:rsidR="00571E59">
        <w:rPr>
          <w:szCs w:val="22"/>
        </w:rPr>
        <w:t>for these activities</w:t>
      </w:r>
      <w:r w:rsidR="00DC7F57" w:rsidRPr="003B38A4">
        <w:rPr>
          <w:szCs w:val="22"/>
        </w:rPr>
        <w:t>.</w:t>
      </w:r>
    </w:p>
    <w:p w:rsidR="006F2C74" w:rsidRPr="00F86907" w:rsidRDefault="00571E59" w:rsidP="00DC7F57">
      <w:pPr>
        <w:spacing w:after="240"/>
        <w:ind w:firstLine="720"/>
        <w:rPr>
          <w:szCs w:val="22"/>
        </w:rPr>
      </w:pPr>
      <w:r>
        <w:rPr>
          <w:i/>
          <w:szCs w:val="22"/>
        </w:rPr>
        <w:t xml:space="preserve">Second FNPRM </w:t>
      </w:r>
      <w:r w:rsidR="00DC7F57" w:rsidRPr="003B38A4">
        <w:rPr>
          <w:i/>
          <w:szCs w:val="22"/>
        </w:rPr>
        <w:t>Comment Deadlines</w:t>
      </w:r>
      <w:r w:rsidR="00DC7F57" w:rsidRPr="003B38A4">
        <w:rPr>
          <w:szCs w:val="22"/>
        </w:rPr>
        <w:t xml:space="preserve">. </w:t>
      </w:r>
      <w:r w:rsidR="006F2C74" w:rsidRPr="003B38A4">
        <w:rPr>
          <w:szCs w:val="22"/>
        </w:rPr>
        <w:t xml:space="preserve">On June </w:t>
      </w:r>
      <w:r w:rsidR="00EE63A8">
        <w:rPr>
          <w:szCs w:val="22"/>
        </w:rPr>
        <w:t>15,</w:t>
      </w:r>
      <w:r w:rsidR="006F2C74" w:rsidRPr="003B38A4">
        <w:rPr>
          <w:szCs w:val="22"/>
        </w:rPr>
        <w:t xml:space="preserve"> 2015, the</w:t>
      </w:r>
      <w:r w:rsidR="00F86907">
        <w:rPr>
          <w:szCs w:val="22"/>
        </w:rPr>
        <w:t xml:space="preserve"> </w:t>
      </w:r>
      <w:r w:rsidR="00F86907">
        <w:rPr>
          <w:i/>
          <w:szCs w:val="22"/>
        </w:rPr>
        <w:t>Second Further Notice of Proposed Rulemaking</w:t>
      </w:r>
      <w:r w:rsidR="00DC7F57" w:rsidRPr="003B38A4">
        <w:rPr>
          <w:szCs w:val="22"/>
        </w:rPr>
        <w:t xml:space="preserve"> was published in the Federal Register.  Comments on issues raised in the </w:t>
      </w:r>
      <w:r w:rsidR="00DC7F57" w:rsidRPr="003B38A4">
        <w:rPr>
          <w:i/>
          <w:szCs w:val="22"/>
        </w:rPr>
        <w:t xml:space="preserve">Second </w:t>
      </w:r>
      <w:r w:rsidR="00CE2D68" w:rsidRPr="003B38A4">
        <w:rPr>
          <w:i/>
          <w:szCs w:val="22"/>
        </w:rPr>
        <w:t>F</w:t>
      </w:r>
      <w:r w:rsidR="00CE2D68">
        <w:rPr>
          <w:i/>
          <w:szCs w:val="22"/>
        </w:rPr>
        <w:t>urther Notice of Proposed Rulemaking</w:t>
      </w:r>
      <w:r w:rsidR="00CE2D68" w:rsidRPr="003B38A4">
        <w:rPr>
          <w:i/>
          <w:szCs w:val="22"/>
        </w:rPr>
        <w:t xml:space="preserve"> </w:t>
      </w:r>
      <w:r w:rsidR="00DC7F57" w:rsidRPr="003B38A4">
        <w:rPr>
          <w:szCs w:val="22"/>
        </w:rPr>
        <w:t xml:space="preserve">are due on or before </w:t>
      </w:r>
      <w:r w:rsidR="00EE63A8">
        <w:rPr>
          <w:b/>
          <w:szCs w:val="22"/>
        </w:rPr>
        <w:t>July 15, 2015</w:t>
      </w:r>
      <w:r w:rsidR="00DC7F57" w:rsidRPr="003B38A4">
        <w:rPr>
          <w:szCs w:val="22"/>
        </w:rPr>
        <w:t xml:space="preserve"> and reply comments are due on or before </w:t>
      </w:r>
      <w:r w:rsidR="00EE63A8">
        <w:rPr>
          <w:b/>
          <w:szCs w:val="22"/>
        </w:rPr>
        <w:t>August 14, 2015</w:t>
      </w:r>
      <w:r w:rsidR="00DC7F57" w:rsidRPr="003B38A4">
        <w:rPr>
          <w:szCs w:val="22"/>
        </w:rPr>
        <w:t>.</w:t>
      </w:r>
      <w:r w:rsidR="00F86907">
        <w:rPr>
          <w:szCs w:val="22"/>
        </w:rPr>
        <w:t xml:space="preserve">  The </w:t>
      </w:r>
      <w:r w:rsidR="00F86907">
        <w:rPr>
          <w:i/>
          <w:szCs w:val="22"/>
        </w:rPr>
        <w:t>Report and Order</w:t>
      </w:r>
      <w:r w:rsidR="00F86907">
        <w:rPr>
          <w:szCs w:val="22"/>
        </w:rPr>
        <w:t xml:space="preserve"> was published separately on June </w:t>
      </w:r>
      <w:r w:rsidR="00B51708">
        <w:rPr>
          <w:szCs w:val="22"/>
        </w:rPr>
        <w:t>23</w:t>
      </w:r>
      <w:r w:rsidR="00F86907">
        <w:rPr>
          <w:szCs w:val="22"/>
        </w:rPr>
        <w:t>, 2015.</w:t>
      </w:r>
    </w:p>
    <w:p w:rsidR="007D3AEF" w:rsidRPr="003B38A4" w:rsidRDefault="007D3AEF" w:rsidP="007D3AEF">
      <w:pPr>
        <w:spacing w:after="240"/>
        <w:ind w:firstLine="720"/>
        <w:rPr>
          <w:szCs w:val="22"/>
        </w:rPr>
      </w:pPr>
      <w:r w:rsidRPr="003B38A4">
        <w:rPr>
          <w:i/>
          <w:szCs w:val="22"/>
        </w:rPr>
        <w:t>Machine Readable List of Rural Census Tracts.</w:t>
      </w:r>
      <w:r w:rsidRPr="003B38A4">
        <w:rPr>
          <w:szCs w:val="22"/>
        </w:rPr>
        <w:t xml:space="preserve"> A machine readable list of census tracts meeting the definition of “rural” set forth in section 96.3 of the Commission’s rules was released on </w:t>
      </w:r>
      <w:r w:rsidR="00E60806" w:rsidRPr="004C7620">
        <w:rPr>
          <w:szCs w:val="22"/>
        </w:rPr>
        <w:t>June 24</w:t>
      </w:r>
      <w:r w:rsidRPr="004C7620">
        <w:rPr>
          <w:szCs w:val="22"/>
        </w:rPr>
        <w:t>, 2015</w:t>
      </w:r>
      <w:r w:rsidRPr="003B38A4">
        <w:rPr>
          <w:szCs w:val="22"/>
        </w:rPr>
        <w:t>.</w:t>
      </w:r>
      <w:r w:rsidRPr="003B38A4">
        <w:rPr>
          <w:rStyle w:val="FootnoteReference"/>
          <w:szCs w:val="22"/>
        </w:rPr>
        <w:footnoteReference w:id="3"/>
      </w:r>
      <w:r w:rsidRPr="003B38A4">
        <w:rPr>
          <w:szCs w:val="22"/>
        </w:rPr>
        <w:t xml:space="preserve">  The list is available at: </w:t>
      </w:r>
      <w:hyperlink r:id="rId14" w:history="1">
        <w:r w:rsidR="00FC2B70">
          <w:rPr>
            <w:rStyle w:val="Hyperlink"/>
          </w:rPr>
          <w:t>https://apps.fcc.gov/edocs_public/attachmatch/DOC-334099A1.xlsx</w:t>
        </w:r>
      </w:hyperlink>
      <w:r w:rsidR="00FC2B70">
        <w:t>.</w:t>
      </w:r>
    </w:p>
    <w:p w:rsidR="0020449B" w:rsidRDefault="007D3AEF" w:rsidP="00571E59">
      <w:pPr>
        <w:spacing w:after="240"/>
        <w:ind w:firstLine="720"/>
        <w:rPr>
          <w:szCs w:val="22"/>
        </w:rPr>
      </w:pPr>
      <w:r w:rsidRPr="003B38A4">
        <w:rPr>
          <w:i/>
          <w:szCs w:val="22"/>
        </w:rPr>
        <w:t>S</w:t>
      </w:r>
      <w:r w:rsidR="00F875C8">
        <w:rPr>
          <w:i/>
          <w:szCs w:val="22"/>
        </w:rPr>
        <w:t>pectrum Access System (S</w:t>
      </w:r>
      <w:r w:rsidRPr="003B38A4">
        <w:rPr>
          <w:i/>
          <w:szCs w:val="22"/>
        </w:rPr>
        <w:t>AS</w:t>
      </w:r>
      <w:r w:rsidR="00F875C8">
        <w:rPr>
          <w:i/>
          <w:szCs w:val="22"/>
        </w:rPr>
        <w:t>)</w:t>
      </w:r>
      <w:r w:rsidRPr="003B38A4">
        <w:rPr>
          <w:i/>
          <w:szCs w:val="22"/>
        </w:rPr>
        <w:t>/</w:t>
      </w:r>
      <w:r w:rsidR="00F875C8">
        <w:rPr>
          <w:i/>
          <w:szCs w:val="22"/>
        </w:rPr>
        <w:t>Environmental Sensing Capability (</w:t>
      </w:r>
      <w:r w:rsidRPr="003B38A4">
        <w:rPr>
          <w:i/>
          <w:szCs w:val="22"/>
        </w:rPr>
        <w:t>ESC</w:t>
      </w:r>
      <w:r w:rsidR="00F875C8">
        <w:rPr>
          <w:i/>
          <w:szCs w:val="22"/>
        </w:rPr>
        <w:t>)</w:t>
      </w:r>
      <w:r w:rsidRPr="003B38A4">
        <w:rPr>
          <w:i/>
          <w:szCs w:val="22"/>
        </w:rPr>
        <w:t xml:space="preserve"> Approval Process.</w:t>
      </w:r>
      <w:r w:rsidR="003B38A4" w:rsidRPr="003B38A4">
        <w:rPr>
          <w:szCs w:val="22"/>
        </w:rPr>
        <w:t xml:space="preserve"> Consistent with the </w:t>
      </w:r>
      <w:r w:rsidR="003B38A4" w:rsidRPr="003B38A4">
        <w:rPr>
          <w:i/>
          <w:szCs w:val="22"/>
        </w:rPr>
        <w:t>3.5 GHz Order</w:t>
      </w:r>
      <w:r w:rsidR="003B38A4">
        <w:rPr>
          <w:szCs w:val="22"/>
        </w:rPr>
        <w:t xml:space="preserve">, the Wireless Telecommunications Bureau (WTB) and the Office of Engineering and Technology (OET) will solicit </w:t>
      </w:r>
      <w:r w:rsidR="007D6E05">
        <w:rPr>
          <w:szCs w:val="22"/>
        </w:rPr>
        <w:t xml:space="preserve">proposals </w:t>
      </w:r>
      <w:r w:rsidR="003B38A4">
        <w:rPr>
          <w:szCs w:val="22"/>
        </w:rPr>
        <w:t xml:space="preserve">from prospective SAS Administrators </w:t>
      </w:r>
      <w:r w:rsidR="00E71EDE">
        <w:rPr>
          <w:szCs w:val="22"/>
        </w:rPr>
        <w:t xml:space="preserve">and ESC operators </w:t>
      </w:r>
      <w:r w:rsidR="003B38A4">
        <w:rPr>
          <w:szCs w:val="22"/>
        </w:rPr>
        <w:t xml:space="preserve">and establish a process for evaluating such </w:t>
      </w:r>
      <w:r w:rsidR="007D6E05">
        <w:rPr>
          <w:szCs w:val="22"/>
        </w:rPr>
        <w:t>proposals</w:t>
      </w:r>
      <w:r w:rsidR="003B38A4">
        <w:rPr>
          <w:szCs w:val="22"/>
        </w:rPr>
        <w:t>.</w:t>
      </w:r>
      <w:r w:rsidR="003B38A4">
        <w:rPr>
          <w:rStyle w:val="FootnoteReference"/>
          <w:szCs w:val="22"/>
        </w:rPr>
        <w:footnoteReference w:id="4"/>
      </w:r>
      <w:r w:rsidR="00571E59">
        <w:rPr>
          <w:szCs w:val="22"/>
        </w:rPr>
        <w:t xml:space="preserve"> </w:t>
      </w:r>
      <w:r w:rsidR="00F86907">
        <w:rPr>
          <w:szCs w:val="22"/>
        </w:rPr>
        <w:t xml:space="preserve"> </w:t>
      </w:r>
      <w:r w:rsidR="003B38A4">
        <w:rPr>
          <w:szCs w:val="22"/>
        </w:rPr>
        <w:t>WTB and OET will issue a public notice requesting proposals from entities interested in administering an SAS for a 5-year term.</w:t>
      </w:r>
      <w:r w:rsidR="003B38A4">
        <w:rPr>
          <w:rStyle w:val="FootnoteReference"/>
          <w:szCs w:val="22"/>
        </w:rPr>
        <w:footnoteReference w:id="5"/>
      </w:r>
      <w:r w:rsidR="0020449B">
        <w:rPr>
          <w:szCs w:val="22"/>
        </w:rPr>
        <w:t xml:space="preserve">  The public </w:t>
      </w:r>
      <w:r w:rsidR="0020449B">
        <w:rPr>
          <w:szCs w:val="22"/>
        </w:rPr>
        <w:lastRenderedPageBreak/>
        <w:t xml:space="preserve">notice will establish </w:t>
      </w:r>
      <w:r w:rsidR="00065D46">
        <w:rPr>
          <w:szCs w:val="22"/>
        </w:rPr>
        <w:t xml:space="preserve">proposal submission procedures.  We </w:t>
      </w:r>
      <w:r w:rsidR="003C6052">
        <w:rPr>
          <w:szCs w:val="22"/>
        </w:rPr>
        <w:t xml:space="preserve">anticipate that this public notice will be released in the </w:t>
      </w:r>
      <w:r w:rsidR="003C6052">
        <w:rPr>
          <w:b/>
          <w:szCs w:val="22"/>
        </w:rPr>
        <w:t xml:space="preserve">third or fourth quarter of calendar year </w:t>
      </w:r>
      <w:r w:rsidR="003C6052" w:rsidRPr="00D6113A">
        <w:rPr>
          <w:szCs w:val="22"/>
        </w:rPr>
        <w:t>2015</w:t>
      </w:r>
      <w:r w:rsidR="003C6052">
        <w:rPr>
          <w:szCs w:val="22"/>
        </w:rPr>
        <w:t xml:space="preserve"> and we </w:t>
      </w:r>
      <w:r w:rsidR="00065D46" w:rsidRPr="003C6052">
        <w:rPr>
          <w:szCs w:val="22"/>
        </w:rPr>
        <w:t>will</w:t>
      </w:r>
      <w:r w:rsidR="00065D46">
        <w:rPr>
          <w:szCs w:val="22"/>
        </w:rPr>
        <w:t xml:space="preserve"> begin accepting proposals </w:t>
      </w:r>
      <w:r w:rsidR="0020449B" w:rsidRPr="0020449B">
        <w:rPr>
          <w:b/>
          <w:szCs w:val="22"/>
        </w:rPr>
        <w:t xml:space="preserve">no sooner than the fourth quarter of </w:t>
      </w:r>
      <w:r w:rsidR="0067471F">
        <w:rPr>
          <w:b/>
          <w:szCs w:val="22"/>
        </w:rPr>
        <w:t xml:space="preserve">calendar year </w:t>
      </w:r>
      <w:r w:rsidR="0020449B" w:rsidRPr="0020449B">
        <w:rPr>
          <w:b/>
          <w:szCs w:val="22"/>
        </w:rPr>
        <w:t>2015</w:t>
      </w:r>
      <w:r w:rsidR="0020449B">
        <w:rPr>
          <w:szCs w:val="22"/>
        </w:rPr>
        <w:t>.</w:t>
      </w:r>
    </w:p>
    <w:p w:rsidR="0020449B" w:rsidRPr="0020449B" w:rsidRDefault="00366859" w:rsidP="0020449B">
      <w:pPr>
        <w:spacing w:after="240"/>
        <w:ind w:firstLine="720"/>
        <w:rPr>
          <w:szCs w:val="22"/>
        </w:rPr>
      </w:pPr>
      <w:r w:rsidRPr="00D6113A">
        <w:t xml:space="preserve">Additional information </w:t>
      </w:r>
      <w:r>
        <w:t xml:space="preserve">regarding review and approval procedures for prospective SAS Administrators </w:t>
      </w:r>
      <w:r w:rsidRPr="00366859">
        <w:t>will be provided in th</w:t>
      </w:r>
      <w:r>
        <w:t>e above referenced</w:t>
      </w:r>
      <w:r w:rsidRPr="00D6113A">
        <w:t xml:space="preserve"> </w:t>
      </w:r>
      <w:r w:rsidRPr="00366859">
        <w:t>public notice</w:t>
      </w:r>
      <w:r>
        <w:t xml:space="preserve">.  However, </w:t>
      </w:r>
      <w:r w:rsidRPr="00D6113A">
        <w:t xml:space="preserve">consistent with the </w:t>
      </w:r>
      <w:r w:rsidRPr="00D6113A">
        <w:rPr>
          <w:i/>
          <w:iCs/>
        </w:rPr>
        <w:t>3.5 GHz Order</w:t>
      </w:r>
      <w:r w:rsidRPr="00D6113A">
        <w:t xml:space="preserve">, </w:t>
      </w:r>
      <w:r>
        <w:rPr>
          <w:szCs w:val="22"/>
        </w:rPr>
        <w:t>p</w:t>
      </w:r>
      <w:r w:rsidR="007D6E05">
        <w:rPr>
          <w:szCs w:val="22"/>
        </w:rPr>
        <w:t>rospective SAS Administrators</w:t>
      </w:r>
      <w:r w:rsidR="007D6E05" w:rsidRPr="0020449B">
        <w:rPr>
          <w:szCs w:val="22"/>
        </w:rPr>
        <w:t xml:space="preserve"> </w:t>
      </w:r>
      <w:r w:rsidR="0020449B" w:rsidRPr="0020449B">
        <w:rPr>
          <w:szCs w:val="22"/>
        </w:rPr>
        <w:t>will be required to</w:t>
      </w:r>
      <w:r w:rsidR="00F1473D">
        <w:rPr>
          <w:szCs w:val="22"/>
        </w:rPr>
        <w:t xml:space="preserve"> demonstrate</w:t>
      </w:r>
      <w:r w:rsidR="0020449B" w:rsidRPr="0020449B">
        <w:rPr>
          <w:szCs w:val="22"/>
        </w:rPr>
        <w:t>, at a minimum, how they plan to meet the Commission’s rules governing SAS operations, demonstrate their technical qualifications to operate an SAS, and provide any additional information r</w:t>
      </w:r>
      <w:r w:rsidR="0020449B">
        <w:rPr>
          <w:szCs w:val="22"/>
        </w:rPr>
        <w:t>equested by WTB and OET.</w:t>
      </w:r>
      <w:r w:rsidR="0020449B">
        <w:rPr>
          <w:rStyle w:val="FootnoteReference"/>
          <w:szCs w:val="22"/>
        </w:rPr>
        <w:footnoteReference w:id="6"/>
      </w:r>
      <w:r w:rsidR="0020449B">
        <w:rPr>
          <w:szCs w:val="22"/>
        </w:rPr>
        <w:t xml:space="preserve">  Based on the information provided, </w:t>
      </w:r>
      <w:r w:rsidR="0020449B" w:rsidRPr="0020449B">
        <w:rPr>
          <w:szCs w:val="22"/>
        </w:rPr>
        <w:t xml:space="preserve">WTB and OET will determine whether to </w:t>
      </w:r>
      <w:r w:rsidR="007D6E05">
        <w:rPr>
          <w:szCs w:val="22"/>
        </w:rPr>
        <w:t xml:space="preserve">conditionally </w:t>
      </w:r>
      <w:r w:rsidR="0020449B">
        <w:rPr>
          <w:szCs w:val="22"/>
        </w:rPr>
        <w:t xml:space="preserve">accept the </w:t>
      </w:r>
      <w:r w:rsidR="007D6E05">
        <w:rPr>
          <w:szCs w:val="22"/>
        </w:rPr>
        <w:t>proposals</w:t>
      </w:r>
      <w:r w:rsidR="0020449B" w:rsidRPr="0020449B">
        <w:rPr>
          <w:szCs w:val="22"/>
        </w:rPr>
        <w:t xml:space="preserve">.  </w:t>
      </w:r>
      <w:r w:rsidR="00F875C8">
        <w:rPr>
          <w:szCs w:val="22"/>
        </w:rPr>
        <w:t xml:space="preserve">Any party whose </w:t>
      </w:r>
      <w:r w:rsidR="00065D46">
        <w:rPr>
          <w:szCs w:val="22"/>
        </w:rPr>
        <w:t xml:space="preserve">proposal </w:t>
      </w:r>
      <w:r w:rsidR="00F875C8">
        <w:rPr>
          <w:szCs w:val="22"/>
        </w:rPr>
        <w:t xml:space="preserve">is </w:t>
      </w:r>
      <w:r w:rsidR="00065D46">
        <w:rPr>
          <w:szCs w:val="22"/>
        </w:rPr>
        <w:t xml:space="preserve">conditionally </w:t>
      </w:r>
      <w:r w:rsidR="00F875C8">
        <w:rPr>
          <w:szCs w:val="22"/>
        </w:rPr>
        <w:t xml:space="preserve">accepted </w:t>
      </w:r>
      <w:r w:rsidR="0020449B" w:rsidRPr="0020449B">
        <w:rPr>
          <w:szCs w:val="22"/>
        </w:rPr>
        <w:t>will</w:t>
      </w:r>
      <w:r w:rsidR="00F875C8">
        <w:rPr>
          <w:szCs w:val="22"/>
        </w:rPr>
        <w:t xml:space="preserve"> then</w:t>
      </w:r>
      <w:r w:rsidR="0020449B" w:rsidRPr="0020449B">
        <w:rPr>
          <w:szCs w:val="22"/>
        </w:rPr>
        <w:t xml:space="preserve"> be required to demonstrate </w:t>
      </w:r>
      <w:r w:rsidR="00F875C8">
        <w:rPr>
          <w:szCs w:val="22"/>
        </w:rPr>
        <w:t xml:space="preserve">that </w:t>
      </w:r>
      <w:r w:rsidR="00F1473D">
        <w:rPr>
          <w:szCs w:val="22"/>
        </w:rPr>
        <w:t>its</w:t>
      </w:r>
      <w:r w:rsidR="00F875C8">
        <w:rPr>
          <w:szCs w:val="22"/>
        </w:rPr>
        <w:t xml:space="preserve"> SAS</w:t>
      </w:r>
      <w:r w:rsidR="0020449B" w:rsidRPr="0020449B">
        <w:rPr>
          <w:szCs w:val="22"/>
        </w:rPr>
        <w:t xml:space="preserve"> meets all of the requirements set forth in the Commission’s rules and any other conditions that these offices deem necessary before final approval.  </w:t>
      </w:r>
      <w:r w:rsidR="00065D46">
        <w:rPr>
          <w:szCs w:val="22"/>
        </w:rPr>
        <w:t xml:space="preserve">Prospective SAS Administrators </w:t>
      </w:r>
      <w:r w:rsidR="00F875C8">
        <w:rPr>
          <w:szCs w:val="22"/>
        </w:rPr>
        <w:t xml:space="preserve">may also be required to participate in workshops and will be required to submit their SASs to WTB and OET for testing.  </w:t>
      </w:r>
      <w:r w:rsidR="008B709D" w:rsidRPr="00072DD2">
        <w:t xml:space="preserve">All stages of the process, including review of </w:t>
      </w:r>
      <w:r w:rsidR="00065D46">
        <w:t>proposals</w:t>
      </w:r>
      <w:r w:rsidR="00065D46" w:rsidRPr="00072DD2">
        <w:t xml:space="preserve"> </w:t>
      </w:r>
      <w:r w:rsidR="008B709D" w:rsidRPr="00072DD2">
        <w:t>and system compliance testing, will be overseen by WTB and OET, in close consultation with NTIA and DoD.</w:t>
      </w:r>
      <w:r w:rsidR="00A432AC">
        <w:rPr>
          <w:rStyle w:val="FootnoteReference"/>
          <w:szCs w:val="22"/>
        </w:rPr>
        <w:footnoteReference w:id="7"/>
      </w:r>
      <w:r w:rsidR="00065D46">
        <w:t xml:space="preserve">  A similar, parallel process will be used to review proposals from prospective ESC operators.</w:t>
      </w:r>
      <w:r w:rsidR="00CD6B27" w:rsidRPr="00CD6B27">
        <w:t xml:space="preserve"> </w:t>
      </w:r>
      <w:r w:rsidR="00CD6B27">
        <w:t xml:space="preserve"> </w:t>
      </w:r>
      <w:r w:rsidR="00CD6B27" w:rsidRPr="00CD6B27">
        <w:t xml:space="preserve">These two processes may be combined </w:t>
      </w:r>
      <w:r w:rsidR="00CD6B27">
        <w:t>if a party seeks</w:t>
      </w:r>
      <w:r w:rsidR="00CD6B27" w:rsidRPr="00CD6B27">
        <w:t xml:space="preserve"> to operate both an SAS and an ESC.</w:t>
      </w:r>
    </w:p>
    <w:p w:rsidR="0020449B" w:rsidRPr="003B38A4" w:rsidRDefault="00366859" w:rsidP="0020449B">
      <w:pPr>
        <w:spacing w:after="240"/>
        <w:ind w:firstLine="720"/>
        <w:rPr>
          <w:szCs w:val="22"/>
        </w:rPr>
      </w:pPr>
      <w:r w:rsidRPr="0020449B">
        <w:rPr>
          <w:szCs w:val="22"/>
        </w:rPr>
        <w:t xml:space="preserve">We encourage </w:t>
      </w:r>
      <w:r>
        <w:rPr>
          <w:szCs w:val="22"/>
        </w:rPr>
        <w:t>prospective SAS Administrators</w:t>
      </w:r>
      <w:r w:rsidRPr="0020449B">
        <w:rPr>
          <w:szCs w:val="22"/>
        </w:rPr>
        <w:t xml:space="preserve"> to work in earnest toward common industry standards through multi-stakeholder fora, since this will ultimately facilitate approval</w:t>
      </w:r>
      <w:r>
        <w:rPr>
          <w:szCs w:val="22"/>
        </w:rPr>
        <w:t xml:space="preserve"> of their proposals</w:t>
      </w:r>
      <w:r w:rsidRPr="0020449B">
        <w:rPr>
          <w:szCs w:val="22"/>
        </w:rPr>
        <w:t>.</w:t>
      </w:r>
      <w:r>
        <w:rPr>
          <w:szCs w:val="22"/>
        </w:rPr>
        <w:t xml:space="preserve">  </w:t>
      </w:r>
      <w:r w:rsidR="0020449B" w:rsidRPr="0020449B">
        <w:rPr>
          <w:szCs w:val="22"/>
        </w:rPr>
        <w:t xml:space="preserve">To the extent that some of the rules require interoperability and coordination among multiple SAS providers, our review process will give </w:t>
      </w:r>
      <w:r>
        <w:rPr>
          <w:szCs w:val="22"/>
        </w:rPr>
        <w:t xml:space="preserve">consideration </w:t>
      </w:r>
      <w:r w:rsidR="0020449B" w:rsidRPr="0020449B">
        <w:rPr>
          <w:szCs w:val="22"/>
        </w:rPr>
        <w:t xml:space="preserve">to </w:t>
      </w:r>
      <w:r w:rsidR="00065D46">
        <w:rPr>
          <w:szCs w:val="22"/>
        </w:rPr>
        <w:t>proposals</w:t>
      </w:r>
      <w:r w:rsidR="0020449B" w:rsidRPr="0020449B">
        <w:rPr>
          <w:szCs w:val="22"/>
        </w:rPr>
        <w:t xml:space="preserve"> that </w:t>
      </w:r>
      <w:r w:rsidR="00F3066A">
        <w:rPr>
          <w:szCs w:val="22"/>
        </w:rPr>
        <w:t xml:space="preserve">incorporate </w:t>
      </w:r>
      <w:r w:rsidR="0020449B" w:rsidRPr="0020449B">
        <w:rPr>
          <w:szCs w:val="22"/>
        </w:rPr>
        <w:t xml:space="preserve">common industry standards </w:t>
      </w:r>
      <w:r w:rsidR="00571E59">
        <w:rPr>
          <w:szCs w:val="22"/>
        </w:rPr>
        <w:t>that</w:t>
      </w:r>
      <w:r w:rsidR="00571E59" w:rsidRPr="0020449B">
        <w:rPr>
          <w:szCs w:val="22"/>
        </w:rPr>
        <w:t xml:space="preserve"> </w:t>
      </w:r>
      <w:r w:rsidR="0020449B" w:rsidRPr="0020449B">
        <w:rPr>
          <w:szCs w:val="22"/>
        </w:rPr>
        <w:t xml:space="preserve">achieve these goals. </w:t>
      </w:r>
      <w:r w:rsidR="00F875C8">
        <w:rPr>
          <w:szCs w:val="22"/>
        </w:rPr>
        <w:t xml:space="preserve"> </w:t>
      </w:r>
    </w:p>
    <w:p w:rsidR="007D3AEF" w:rsidRPr="003B38A4" w:rsidRDefault="007D3AEF" w:rsidP="00F875C8">
      <w:pPr>
        <w:spacing w:after="240"/>
        <w:ind w:firstLine="720"/>
        <w:rPr>
          <w:i/>
          <w:szCs w:val="22"/>
        </w:rPr>
      </w:pPr>
      <w:r w:rsidRPr="003B38A4">
        <w:rPr>
          <w:i/>
          <w:szCs w:val="22"/>
        </w:rPr>
        <w:t>3650-3700 MHz Grandfathered Protection Contours Public Notice.</w:t>
      </w:r>
      <w:r w:rsidR="00F875C8">
        <w:t xml:space="preserve">  </w:t>
      </w:r>
      <w:r w:rsidR="00F875C8">
        <w:rPr>
          <w:szCs w:val="22"/>
        </w:rPr>
        <w:t>WTB will release a p</w:t>
      </w:r>
      <w:r w:rsidR="00F875C8" w:rsidRPr="00F875C8">
        <w:rPr>
          <w:szCs w:val="22"/>
        </w:rPr>
        <w:t xml:space="preserve">ublic </w:t>
      </w:r>
      <w:r w:rsidR="00F875C8">
        <w:rPr>
          <w:szCs w:val="22"/>
        </w:rPr>
        <w:t>n</w:t>
      </w:r>
      <w:r w:rsidR="00F875C8" w:rsidRPr="00F875C8">
        <w:rPr>
          <w:szCs w:val="22"/>
        </w:rPr>
        <w:t xml:space="preserve">otice seeking comment on an appropriate method for determining the protected contours for </w:t>
      </w:r>
      <w:r w:rsidR="00F875C8">
        <w:rPr>
          <w:szCs w:val="22"/>
        </w:rPr>
        <w:t>grandfathered</w:t>
      </w:r>
      <w:r w:rsidR="00F875C8" w:rsidRPr="00F875C8">
        <w:rPr>
          <w:szCs w:val="22"/>
        </w:rPr>
        <w:t xml:space="preserve"> 3650-3700</w:t>
      </w:r>
      <w:r w:rsidR="00F875C8">
        <w:rPr>
          <w:szCs w:val="22"/>
        </w:rPr>
        <w:t xml:space="preserve"> MHZ band</w:t>
      </w:r>
      <w:r w:rsidR="00F875C8" w:rsidRPr="00F875C8">
        <w:rPr>
          <w:szCs w:val="22"/>
        </w:rPr>
        <w:t xml:space="preserve"> licensees.</w:t>
      </w:r>
      <w:r w:rsidR="00F875C8">
        <w:rPr>
          <w:rStyle w:val="FootnoteReference"/>
          <w:szCs w:val="22"/>
        </w:rPr>
        <w:footnoteReference w:id="8"/>
      </w:r>
      <w:r w:rsidR="00F875C8" w:rsidRPr="00F875C8">
        <w:rPr>
          <w:szCs w:val="22"/>
        </w:rPr>
        <w:t xml:space="preserve">  </w:t>
      </w:r>
      <w:r w:rsidR="00F875C8">
        <w:rPr>
          <w:szCs w:val="22"/>
        </w:rPr>
        <w:t xml:space="preserve">Consistent with the </w:t>
      </w:r>
      <w:r w:rsidR="00F875C8">
        <w:rPr>
          <w:i/>
          <w:szCs w:val="22"/>
        </w:rPr>
        <w:t xml:space="preserve">3.5 GHz </w:t>
      </w:r>
      <w:r w:rsidR="00F875C8" w:rsidRPr="00F875C8">
        <w:rPr>
          <w:szCs w:val="22"/>
        </w:rPr>
        <w:t>Order</w:t>
      </w:r>
      <w:r w:rsidR="00F875C8">
        <w:rPr>
          <w:szCs w:val="22"/>
        </w:rPr>
        <w:t xml:space="preserve">, </w:t>
      </w:r>
      <w:r w:rsidR="00F875C8" w:rsidRPr="00F875C8">
        <w:rPr>
          <w:szCs w:val="22"/>
        </w:rPr>
        <w:t xml:space="preserve">only sites registered </w:t>
      </w:r>
      <w:r w:rsidR="00F875C8">
        <w:rPr>
          <w:szCs w:val="22"/>
        </w:rPr>
        <w:t xml:space="preserve">by existing licensees </w:t>
      </w:r>
      <w:r w:rsidR="00847439">
        <w:rPr>
          <w:szCs w:val="22"/>
        </w:rPr>
        <w:t>on or before</w:t>
      </w:r>
      <w:r w:rsidR="00F875C8" w:rsidRPr="00F875C8">
        <w:rPr>
          <w:szCs w:val="22"/>
        </w:rPr>
        <w:t xml:space="preserve"> April 17, 2015 and constructed, in service, and in compliance with the rules by April 17, 2016 will be included in the protected contours.</w:t>
      </w:r>
      <w:r w:rsidR="00A87F68">
        <w:rPr>
          <w:rStyle w:val="FootnoteReference"/>
          <w:szCs w:val="22"/>
        </w:rPr>
        <w:footnoteReference w:id="9"/>
      </w:r>
      <w:r w:rsidR="00F875C8">
        <w:rPr>
          <w:szCs w:val="22"/>
        </w:rPr>
        <w:t xml:space="preserve">  </w:t>
      </w:r>
      <w:r w:rsidR="00B71C80">
        <w:rPr>
          <w:szCs w:val="22"/>
        </w:rPr>
        <w:t>We anticipate that t</w:t>
      </w:r>
      <w:r w:rsidR="00F875C8">
        <w:rPr>
          <w:szCs w:val="22"/>
        </w:rPr>
        <w:t xml:space="preserve">his public notice will be released in the </w:t>
      </w:r>
      <w:r w:rsidR="00F875C8" w:rsidRPr="00F875C8">
        <w:rPr>
          <w:b/>
          <w:szCs w:val="22"/>
        </w:rPr>
        <w:t xml:space="preserve">third quarter of </w:t>
      </w:r>
      <w:r w:rsidR="0067471F">
        <w:rPr>
          <w:b/>
          <w:szCs w:val="22"/>
        </w:rPr>
        <w:t xml:space="preserve">calendar year </w:t>
      </w:r>
      <w:r w:rsidR="00F875C8" w:rsidRPr="00F875C8">
        <w:rPr>
          <w:b/>
          <w:szCs w:val="22"/>
        </w:rPr>
        <w:t>2015</w:t>
      </w:r>
      <w:r w:rsidR="00F875C8">
        <w:rPr>
          <w:szCs w:val="22"/>
        </w:rPr>
        <w:t xml:space="preserve">.  </w:t>
      </w:r>
    </w:p>
    <w:p w:rsidR="007D3AEF" w:rsidRPr="00C41D2F" w:rsidRDefault="007D3AEF" w:rsidP="00DC7F57">
      <w:pPr>
        <w:spacing w:after="240"/>
        <w:ind w:firstLine="720"/>
        <w:rPr>
          <w:szCs w:val="22"/>
        </w:rPr>
      </w:pPr>
      <w:r w:rsidRPr="003B38A4">
        <w:rPr>
          <w:i/>
          <w:szCs w:val="22"/>
        </w:rPr>
        <w:t>Registration Process for Fixed Satellite Service (FSS) Earth Stations.</w:t>
      </w:r>
      <w:r w:rsidR="00C41D2F">
        <w:rPr>
          <w:szCs w:val="22"/>
        </w:rPr>
        <w:t xml:space="preserve"> WTB will release a public notice describing the annual registration process for qualified in-band FSS earth stations.</w:t>
      </w:r>
      <w:r w:rsidR="00C41D2F">
        <w:rPr>
          <w:rStyle w:val="FootnoteReference"/>
          <w:szCs w:val="22"/>
        </w:rPr>
        <w:footnoteReference w:id="10"/>
      </w:r>
      <w:r w:rsidR="00C41D2F">
        <w:rPr>
          <w:szCs w:val="22"/>
        </w:rPr>
        <w:t xml:space="preserve">  </w:t>
      </w:r>
      <w:r w:rsidR="00E71EDE">
        <w:rPr>
          <w:szCs w:val="22"/>
        </w:rPr>
        <w:t>We expect the public notice to be released</w:t>
      </w:r>
      <w:r w:rsidR="00271969">
        <w:rPr>
          <w:szCs w:val="22"/>
        </w:rPr>
        <w:t xml:space="preserve"> </w:t>
      </w:r>
      <w:r w:rsidR="00571E59">
        <w:rPr>
          <w:szCs w:val="22"/>
        </w:rPr>
        <w:t>by</w:t>
      </w:r>
      <w:r w:rsidR="00571E59" w:rsidRPr="00271969">
        <w:rPr>
          <w:b/>
          <w:szCs w:val="22"/>
        </w:rPr>
        <w:t xml:space="preserve"> </w:t>
      </w:r>
      <w:r w:rsidR="00271969" w:rsidRPr="00271969">
        <w:rPr>
          <w:b/>
          <w:szCs w:val="22"/>
        </w:rPr>
        <w:t>early 2016</w:t>
      </w:r>
      <w:r w:rsidR="00271969">
        <w:rPr>
          <w:szCs w:val="22"/>
        </w:rPr>
        <w:t>.</w:t>
      </w:r>
    </w:p>
    <w:p w:rsidR="007D3AEF" w:rsidRDefault="007D3AEF" w:rsidP="00DC7F57">
      <w:pPr>
        <w:spacing w:after="240"/>
        <w:ind w:firstLine="720"/>
      </w:pPr>
      <w:r w:rsidRPr="003B38A4">
        <w:rPr>
          <w:i/>
          <w:szCs w:val="22"/>
        </w:rPr>
        <w:t xml:space="preserve">Auction </w:t>
      </w:r>
      <w:r w:rsidR="00C77FBC">
        <w:rPr>
          <w:i/>
          <w:szCs w:val="22"/>
        </w:rPr>
        <w:t xml:space="preserve">Comment </w:t>
      </w:r>
      <w:r w:rsidRPr="003B38A4">
        <w:rPr>
          <w:i/>
          <w:szCs w:val="22"/>
        </w:rPr>
        <w:t xml:space="preserve">and </w:t>
      </w:r>
      <w:r w:rsidR="00C77FBC">
        <w:rPr>
          <w:i/>
          <w:szCs w:val="22"/>
        </w:rPr>
        <w:t>Procedures</w:t>
      </w:r>
      <w:r w:rsidRPr="003B38A4">
        <w:rPr>
          <w:i/>
          <w:szCs w:val="22"/>
        </w:rPr>
        <w:t xml:space="preserve"> Public Notices.</w:t>
      </w:r>
      <w:r w:rsidR="00775F50">
        <w:rPr>
          <w:szCs w:val="22"/>
        </w:rPr>
        <w:t xml:space="preserve">  Consistent with practice</w:t>
      </w:r>
      <w:r w:rsidR="00457E92">
        <w:rPr>
          <w:szCs w:val="22"/>
        </w:rPr>
        <w:t xml:space="preserve"> in past spectrum license auctions</w:t>
      </w:r>
      <w:r w:rsidR="00775F50">
        <w:rPr>
          <w:szCs w:val="22"/>
        </w:rPr>
        <w:t xml:space="preserve">, the Commission will </w:t>
      </w:r>
      <w:r w:rsidR="00457E92" w:rsidRPr="00072DD2">
        <w:t>determin</w:t>
      </w:r>
      <w:r w:rsidR="00457E92">
        <w:t xml:space="preserve">e </w:t>
      </w:r>
      <w:r w:rsidR="00457E92" w:rsidRPr="00072DD2">
        <w:t>specific final auction procedures</w:t>
      </w:r>
      <w:r w:rsidR="00457E92">
        <w:rPr>
          <w:szCs w:val="22"/>
        </w:rPr>
        <w:t xml:space="preserve"> through a </w:t>
      </w:r>
      <w:r w:rsidR="00C77FBC">
        <w:rPr>
          <w:szCs w:val="22"/>
        </w:rPr>
        <w:t xml:space="preserve">public notice process.  The process will be initiated by release of an </w:t>
      </w:r>
      <w:r w:rsidR="00775F50">
        <w:rPr>
          <w:szCs w:val="22"/>
        </w:rPr>
        <w:t>Auction Comment Public Notice</w:t>
      </w:r>
      <w:r w:rsidR="00644E11">
        <w:rPr>
          <w:szCs w:val="22"/>
        </w:rPr>
        <w:t>,</w:t>
      </w:r>
      <w:r w:rsidR="00775F50">
        <w:rPr>
          <w:szCs w:val="22"/>
        </w:rPr>
        <w:t xml:space="preserve"> </w:t>
      </w:r>
      <w:r w:rsidR="002031C5">
        <w:t>which</w:t>
      </w:r>
      <w:r w:rsidR="00775F50">
        <w:t xml:space="preserve"> </w:t>
      </w:r>
      <w:r w:rsidR="00775F50" w:rsidRPr="00072DD2">
        <w:t>will solicit public input on fina</w:t>
      </w:r>
      <w:r w:rsidR="00775F50">
        <w:t xml:space="preserve">l auction procedures and </w:t>
      </w:r>
      <w:r w:rsidR="00775F50" w:rsidRPr="00072DD2">
        <w:t xml:space="preserve">will include specific proposals for auction components such as minimum opening bids.  Thereafter, the </w:t>
      </w:r>
      <w:r w:rsidR="00775F50">
        <w:t xml:space="preserve">Auction Procedures Public Notice </w:t>
      </w:r>
      <w:r w:rsidR="00775F50" w:rsidRPr="00072DD2">
        <w:t xml:space="preserve">will specify final </w:t>
      </w:r>
      <w:r w:rsidR="00775F50" w:rsidRPr="00072DD2">
        <w:lastRenderedPageBreak/>
        <w:t>procedures, including dates, deadlines, and other final details of the applications and bidding processes.</w:t>
      </w:r>
      <w:r w:rsidR="00775F50">
        <w:rPr>
          <w:rStyle w:val="FootnoteReference"/>
        </w:rPr>
        <w:footnoteReference w:id="11"/>
      </w:r>
      <w:r w:rsidR="00775F50" w:rsidRPr="00072DD2">
        <w:t xml:space="preserve">  </w:t>
      </w:r>
      <w:r w:rsidR="00E71EDE">
        <w:t xml:space="preserve">  We expect the notices to be released in </w:t>
      </w:r>
      <w:r w:rsidR="00E71EDE" w:rsidRPr="00E71EDE">
        <w:rPr>
          <w:b/>
        </w:rPr>
        <w:t>2016</w:t>
      </w:r>
      <w:r w:rsidR="00E71EDE">
        <w:t>.</w:t>
      </w:r>
    </w:p>
    <w:p w:rsidR="0067471F" w:rsidRPr="0067471F" w:rsidRDefault="0067471F" w:rsidP="00DC7F57">
      <w:pPr>
        <w:spacing w:after="240"/>
        <w:ind w:firstLine="720"/>
        <w:rPr>
          <w:szCs w:val="22"/>
        </w:rPr>
      </w:pPr>
      <w:r>
        <w:rPr>
          <w:i/>
        </w:rPr>
        <w:t>NTIA Technical Report</w:t>
      </w:r>
      <w:r>
        <w:t xml:space="preserve">.  In addition, on </w:t>
      </w:r>
      <w:r w:rsidRPr="00E60806">
        <w:t xml:space="preserve">June </w:t>
      </w:r>
      <w:r w:rsidR="00B51708" w:rsidRPr="00E60806">
        <w:t>18</w:t>
      </w:r>
      <w:r w:rsidRPr="00E60806">
        <w:t>, 2015,</w:t>
      </w:r>
      <w:r>
        <w:t xml:space="preserve"> </w:t>
      </w:r>
      <w:r w:rsidRPr="001302B5">
        <w:t xml:space="preserve">NTIA </w:t>
      </w:r>
      <w:r>
        <w:t xml:space="preserve">released a report that </w:t>
      </w:r>
      <w:r w:rsidRPr="001302B5">
        <w:t xml:space="preserve">presents the assumptions, methods, analyses, and system characteristics used to generate the maps of the revised exclusion zones that </w:t>
      </w:r>
      <w:r>
        <w:t>NTIA</w:t>
      </w:r>
      <w:r w:rsidRPr="001302B5">
        <w:t xml:space="preserve"> submitted to the FCC in March.</w:t>
      </w:r>
      <w:r>
        <w:rPr>
          <w:rStyle w:val="FootnoteReference"/>
        </w:rPr>
        <w:footnoteReference w:id="12"/>
      </w:r>
      <w:r>
        <w:t xml:space="preserve">  </w:t>
      </w:r>
      <w:r w:rsidR="0058339D">
        <w:t>The report provides a</w:t>
      </w:r>
      <w:r w:rsidRPr="0067471F">
        <w:t xml:space="preserve"> description of the technical and deployment parameters of Citizens</w:t>
      </w:r>
      <w:r>
        <w:t xml:space="preserve"> Broadband Radio Service Devices </w:t>
      </w:r>
      <w:r w:rsidRPr="0067471F">
        <w:t xml:space="preserve">and </w:t>
      </w:r>
      <w:r>
        <w:t xml:space="preserve">end </w:t>
      </w:r>
      <w:r w:rsidRPr="0067471F">
        <w:t xml:space="preserve">user equipment, technical characteristics of federal radar systems, and the analysis methodology used to compute the distances that established the revised exclusion zones. </w:t>
      </w:r>
      <w:r>
        <w:t xml:space="preserve"> T</w:t>
      </w:r>
      <w:r w:rsidRPr="0067471F">
        <w:t>he report</w:t>
      </w:r>
      <w:r>
        <w:t xml:space="preserve"> also</w:t>
      </w:r>
      <w:r w:rsidRPr="0067471F">
        <w:t xml:space="preserve"> provides detailed descriptions of the propagation and clutter loss models used to predict transmission loss in a variety of scenarios and the computational methods used to predict aggregate interference power.</w:t>
      </w:r>
    </w:p>
    <w:p w:rsidR="00D6113A" w:rsidRDefault="00D6113A" w:rsidP="00D6113A">
      <w:pPr>
        <w:widowControl w:val="0"/>
        <w:ind w:firstLine="720"/>
        <w:rPr>
          <w:szCs w:val="22"/>
        </w:rPr>
      </w:pPr>
      <w:r>
        <w:rPr>
          <w:szCs w:val="22"/>
        </w:rPr>
        <w:t xml:space="preserve">For additional information, please contact Paul Powell, Attorney Advisor, Wireless Telecommunications Bureau, Mobility Division at </w:t>
      </w:r>
      <w:hyperlink r:id="rId15" w:history="1">
        <w:r w:rsidRPr="00620CF2">
          <w:rPr>
            <w:rStyle w:val="Hyperlink"/>
            <w:szCs w:val="22"/>
          </w:rPr>
          <w:t>paul.powell@fcc.gov</w:t>
        </w:r>
      </w:hyperlink>
      <w:r>
        <w:rPr>
          <w:szCs w:val="22"/>
        </w:rPr>
        <w:t xml:space="preserve"> or (202) 418-1613.</w:t>
      </w:r>
    </w:p>
    <w:p w:rsidR="00D6113A" w:rsidRPr="008D412C" w:rsidRDefault="00D6113A" w:rsidP="00D6113A">
      <w:pPr>
        <w:widowControl w:val="0"/>
        <w:rPr>
          <w:szCs w:val="22"/>
        </w:rPr>
      </w:pPr>
    </w:p>
    <w:p w:rsidR="00D6113A" w:rsidRPr="008D412C" w:rsidRDefault="00D6113A" w:rsidP="00D6113A">
      <w:pPr>
        <w:pStyle w:val="paranum0"/>
        <w:spacing w:before="0" w:beforeAutospacing="0" w:after="120" w:afterAutospacing="0"/>
        <w:ind w:firstLine="720"/>
        <w:jc w:val="both"/>
        <w:rPr>
          <w:sz w:val="22"/>
          <w:szCs w:val="22"/>
        </w:rPr>
      </w:pPr>
      <w:r w:rsidRPr="008D412C">
        <w:rPr>
          <w:sz w:val="22"/>
          <w:szCs w:val="22"/>
        </w:rPr>
        <w:t xml:space="preserve">To request materials in accessible formats for people with disabilities (Braille, large print, electronic files, audio format), send an e-mail to fcc504@fcc.gov or call the Consumer &amp; Governmental Affairs Bureau at 202-418-0530 (voice), (202) 418-0432 (TTY).  </w:t>
      </w:r>
    </w:p>
    <w:p w:rsidR="00602577" w:rsidRPr="003B38A4" w:rsidRDefault="00602577">
      <w:pPr>
        <w:spacing w:before="120" w:after="240"/>
        <w:rPr>
          <w:szCs w:val="22"/>
        </w:rPr>
      </w:pPr>
    </w:p>
    <w:sectPr w:rsidR="00602577" w:rsidRPr="003B38A4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A07" w:rsidRDefault="00916A07">
      <w:r>
        <w:separator/>
      </w:r>
    </w:p>
  </w:endnote>
  <w:endnote w:type="continuationSeparator" w:id="0">
    <w:p w:rsidR="00916A07" w:rsidRDefault="0091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1B4" w:rsidRDefault="00E861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8877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6B27" w:rsidRDefault="00CD6B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6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6B27" w:rsidRDefault="00CD6B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7792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1EDE" w:rsidRDefault="00E71E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6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1EDE" w:rsidRDefault="00E71EDE" w:rsidP="00E71E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A07" w:rsidRDefault="00916A07">
      <w:r>
        <w:separator/>
      </w:r>
    </w:p>
  </w:footnote>
  <w:footnote w:type="continuationSeparator" w:id="0">
    <w:p w:rsidR="00916A07" w:rsidRDefault="00916A07">
      <w:r>
        <w:continuationSeparator/>
      </w:r>
    </w:p>
  </w:footnote>
  <w:footnote w:id="1">
    <w:p w:rsidR="00F86907" w:rsidRPr="00FC2B70" w:rsidRDefault="00F86907">
      <w:pPr>
        <w:pStyle w:val="FootnoteText"/>
        <w:rPr>
          <w:sz w:val="20"/>
        </w:rPr>
      </w:pPr>
      <w:r w:rsidRPr="00FC2B70">
        <w:rPr>
          <w:rStyle w:val="FootnoteReference"/>
          <w:sz w:val="20"/>
        </w:rPr>
        <w:footnoteRef/>
      </w:r>
      <w:r w:rsidRPr="00FC2B70">
        <w:rPr>
          <w:sz w:val="20"/>
        </w:rPr>
        <w:t xml:space="preserve"> Separate portions of the </w:t>
      </w:r>
      <w:r w:rsidRPr="00FC2B70">
        <w:rPr>
          <w:i/>
          <w:sz w:val="20"/>
        </w:rPr>
        <w:t>3.5 GHz Order</w:t>
      </w:r>
      <w:r w:rsidRPr="00FC2B70">
        <w:rPr>
          <w:sz w:val="20"/>
        </w:rPr>
        <w:t xml:space="preserve"> are referenced as the </w:t>
      </w:r>
      <w:r w:rsidRPr="00FC2B70">
        <w:rPr>
          <w:i/>
          <w:sz w:val="20"/>
        </w:rPr>
        <w:t>Report and Order</w:t>
      </w:r>
      <w:r w:rsidRPr="00FC2B70">
        <w:rPr>
          <w:sz w:val="20"/>
        </w:rPr>
        <w:t xml:space="preserve"> and </w:t>
      </w:r>
      <w:r w:rsidRPr="00FC2B70">
        <w:rPr>
          <w:i/>
          <w:sz w:val="20"/>
        </w:rPr>
        <w:t>Second Further Notice of Proposed Rulemaking</w:t>
      </w:r>
      <w:r w:rsidRPr="00FC2B70">
        <w:rPr>
          <w:sz w:val="20"/>
        </w:rPr>
        <w:t>, respectively.</w:t>
      </w:r>
    </w:p>
  </w:footnote>
  <w:footnote w:id="2">
    <w:p w:rsidR="007D3AEF" w:rsidRPr="00FC2B70" w:rsidRDefault="007D3AEF">
      <w:pPr>
        <w:pStyle w:val="FootnoteText"/>
        <w:rPr>
          <w:sz w:val="20"/>
        </w:rPr>
      </w:pPr>
      <w:r w:rsidRPr="00FC2B70">
        <w:rPr>
          <w:rStyle w:val="FootnoteReference"/>
          <w:sz w:val="20"/>
        </w:rPr>
        <w:footnoteRef/>
      </w:r>
      <w:r w:rsidR="00E71EDE" w:rsidRPr="00FC2B70">
        <w:rPr>
          <w:sz w:val="20"/>
        </w:rPr>
        <w:t xml:space="preserve"> </w:t>
      </w:r>
      <w:r w:rsidR="00E71EDE" w:rsidRPr="00FC2B70">
        <w:rPr>
          <w:i/>
          <w:sz w:val="20"/>
        </w:rPr>
        <w:t xml:space="preserve">See </w:t>
      </w:r>
      <w:r w:rsidR="00E71EDE" w:rsidRPr="00FC2B70">
        <w:rPr>
          <w:sz w:val="20"/>
        </w:rPr>
        <w:t xml:space="preserve">Amendment of the Commission's Rules with Regard to Commercial Operations in the 3550-3650 MHz Band, GN Docket No. 12-354, </w:t>
      </w:r>
      <w:r w:rsidR="00E71EDE" w:rsidRPr="00FC2B70">
        <w:rPr>
          <w:i/>
          <w:sz w:val="20"/>
        </w:rPr>
        <w:t>Report and Order and Second Further Notice of Proposed Rulemaking</w:t>
      </w:r>
      <w:r w:rsidR="00E71EDE" w:rsidRPr="00FC2B70">
        <w:rPr>
          <w:sz w:val="20"/>
        </w:rPr>
        <w:t>, 30 FCC Rcd 3959 (2015)</w:t>
      </w:r>
      <w:r w:rsidR="00A432AC" w:rsidRPr="00FC2B70">
        <w:rPr>
          <w:sz w:val="20"/>
        </w:rPr>
        <w:t xml:space="preserve"> (</w:t>
      </w:r>
      <w:r w:rsidR="00A432AC" w:rsidRPr="00FC2B70">
        <w:rPr>
          <w:i/>
          <w:sz w:val="20"/>
        </w:rPr>
        <w:t>3.5 GHz Order</w:t>
      </w:r>
      <w:r w:rsidR="00A432AC" w:rsidRPr="00FC2B70">
        <w:rPr>
          <w:sz w:val="20"/>
        </w:rPr>
        <w:t>)</w:t>
      </w:r>
      <w:r w:rsidR="00E71EDE" w:rsidRPr="00FC2B70">
        <w:rPr>
          <w:sz w:val="20"/>
        </w:rPr>
        <w:t>.</w:t>
      </w:r>
    </w:p>
  </w:footnote>
  <w:footnote w:id="3">
    <w:p w:rsidR="007D3AEF" w:rsidRPr="00FC2B70" w:rsidRDefault="007D3AEF">
      <w:pPr>
        <w:pStyle w:val="FootnoteText"/>
        <w:rPr>
          <w:sz w:val="20"/>
        </w:rPr>
      </w:pPr>
      <w:r w:rsidRPr="00FC2B70">
        <w:rPr>
          <w:rStyle w:val="FootnoteReference"/>
          <w:sz w:val="20"/>
        </w:rPr>
        <w:footnoteRef/>
      </w:r>
      <w:r w:rsidRPr="00FC2B70">
        <w:rPr>
          <w:sz w:val="20"/>
        </w:rPr>
        <w:t xml:space="preserve"> 47 C.F.R. § 96.3.</w:t>
      </w:r>
    </w:p>
  </w:footnote>
  <w:footnote w:id="4">
    <w:p w:rsidR="003B38A4" w:rsidRPr="00FC2B70" w:rsidRDefault="003B38A4">
      <w:pPr>
        <w:pStyle w:val="FootnoteText"/>
        <w:rPr>
          <w:sz w:val="20"/>
        </w:rPr>
      </w:pPr>
      <w:r w:rsidRPr="00FC2B70">
        <w:rPr>
          <w:rStyle w:val="FootnoteReference"/>
          <w:sz w:val="20"/>
        </w:rPr>
        <w:footnoteRef/>
      </w:r>
      <w:r w:rsidR="00A432AC" w:rsidRPr="00FC2B70">
        <w:rPr>
          <w:sz w:val="20"/>
        </w:rPr>
        <w:t xml:space="preserve"> </w:t>
      </w:r>
      <w:r w:rsidR="00A432AC" w:rsidRPr="00FC2B70">
        <w:rPr>
          <w:i/>
          <w:sz w:val="20"/>
        </w:rPr>
        <w:t>See 3.5 GHz Order</w:t>
      </w:r>
      <w:r w:rsidR="00A432AC" w:rsidRPr="00FC2B70">
        <w:rPr>
          <w:sz w:val="20"/>
        </w:rPr>
        <w:t>, 30 FCC Rcd at 4067, ¶¶ 369-73.</w:t>
      </w:r>
    </w:p>
  </w:footnote>
  <w:footnote w:id="5">
    <w:p w:rsidR="003B38A4" w:rsidRPr="00FC2B70" w:rsidRDefault="003B38A4">
      <w:pPr>
        <w:pStyle w:val="FootnoteText"/>
        <w:rPr>
          <w:i/>
          <w:sz w:val="20"/>
        </w:rPr>
      </w:pPr>
      <w:r w:rsidRPr="00FC2B70">
        <w:rPr>
          <w:rStyle w:val="FootnoteReference"/>
          <w:sz w:val="20"/>
        </w:rPr>
        <w:footnoteRef/>
      </w:r>
      <w:r w:rsidR="00A432AC" w:rsidRPr="00FC2B70">
        <w:rPr>
          <w:sz w:val="20"/>
        </w:rPr>
        <w:t xml:space="preserve"> </w:t>
      </w:r>
      <w:r w:rsidR="00A432AC" w:rsidRPr="00FC2B70">
        <w:rPr>
          <w:i/>
          <w:sz w:val="20"/>
        </w:rPr>
        <w:t xml:space="preserve">See id. </w:t>
      </w:r>
    </w:p>
  </w:footnote>
  <w:footnote w:id="6">
    <w:p w:rsidR="0020449B" w:rsidRPr="00FC2B70" w:rsidRDefault="0020449B">
      <w:pPr>
        <w:pStyle w:val="FootnoteText"/>
        <w:rPr>
          <w:sz w:val="20"/>
        </w:rPr>
      </w:pPr>
      <w:r w:rsidRPr="00FC2B70">
        <w:rPr>
          <w:rStyle w:val="FootnoteReference"/>
          <w:sz w:val="20"/>
        </w:rPr>
        <w:footnoteRef/>
      </w:r>
      <w:r w:rsidRPr="00FC2B70">
        <w:rPr>
          <w:sz w:val="20"/>
        </w:rPr>
        <w:t xml:space="preserve"> </w:t>
      </w:r>
      <w:r w:rsidR="00A432AC" w:rsidRPr="00FC2B70">
        <w:rPr>
          <w:i/>
          <w:sz w:val="20"/>
        </w:rPr>
        <w:t>See id.</w:t>
      </w:r>
    </w:p>
  </w:footnote>
  <w:footnote w:id="7">
    <w:p w:rsidR="00A432AC" w:rsidRPr="00FC2B70" w:rsidRDefault="00A432AC">
      <w:pPr>
        <w:pStyle w:val="FootnoteText"/>
        <w:rPr>
          <w:i/>
          <w:sz w:val="20"/>
        </w:rPr>
      </w:pPr>
      <w:r w:rsidRPr="00FC2B70">
        <w:rPr>
          <w:rStyle w:val="FootnoteReference"/>
          <w:sz w:val="20"/>
        </w:rPr>
        <w:footnoteRef/>
      </w:r>
      <w:r w:rsidRPr="00FC2B70">
        <w:rPr>
          <w:sz w:val="20"/>
        </w:rPr>
        <w:t xml:space="preserve"> </w:t>
      </w:r>
      <w:r w:rsidRPr="00FC2B70">
        <w:rPr>
          <w:i/>
          <w:sz w:val="20"/>
        </w:rPr>
        <w:t>See id.</w:t>
      </w:r>
    </w:p>
  </w:footnote>
  <w:footnote w:id="8">
    <w:p w:rsidR="00F875C8" w:rsidRPr="00FC2B70" w:rsidRDefault="00F875C8">
      <w:pPr>
        <w:pStyle w:val="FootnoteText"/>
        <w:rPr>
          <w:sz w:val="20"/>
        </w:rPr>
      </w:pPr>
      <w:r w:rsidRPr="00FC2B70">
        <w:rPr>
          <w:rStyle w:val="FootnoteReference"/>
          <w:sz w:val="20"/>
        </w:rPr>
        <w:footnoteRef/>
      </w:r>
      <w:r w:rsidR="00A87F68" w:rsidRPr="00FC2B70">
        <w:rPr>
          <w:sz w:val="20"/>
        </w:rPr>
        <w:t xml:space="preserve"> </w:t>
      </w:r>
      <w:r w:rsidR="00A87F68" w:rsidRPr="00FC2B70">
        <w:rPr>
          <w:i/>
          <w:sz w:val="20"/>
        </w:rPr>
        <w:t xml:space="preserve">See id. </w:t>
      </w:r>
      <w:r w:rsidR="00A87F68" w:rsidRPr="00FC2B70">
        <w:rPr>
          <w:sz w:val="20"/>
        </w:rPr>
        <w:t>at 4077, ¶ 404.</w:t>
      </w:r>
    </w:p>
  </w:footnote>
  <w:footnote w:id="9">
    <w:p w:rsidR="00A87F68" w:rsidRPr="00FC2B70" w:rsidRDefault="00A87F68">
      <w:pPr>
        <w:pStyle w:val="FootnoteText"/>
        <w:rPr>
          <w:sz w:val="20"/>
        </w:rPr>
      </w:pPr>
      <w:r w:rsidRPr="00FC2B70">
        <w:rPr>
          <w:rStyle w:val="FootnoteReference"/>
          <w:sz w:val="20"/>
        </w:rPr>
        <w:footnoteRef/>
      </w:r>
      <w:r w:rsidRPr="00FC2B70">
        <w:rPr>
          <w:sz w:val="20"/>
        </w:rPr>
        <w:t xml:space="preserve"> </w:t>
      </w:r>
      <w:r w:rsidRPr="00FC2B70">
        <w:rPr>
          <w:i/>
          <w:sz w:val="20"/>
        </w:rPr>
        <w:t>See id.</w:t>
      </w:r>
      <w:r w:rsidRPr="00FC2B70">
        <w:rPr>
          <w:sz w:val="20"/>
        </w:rPr>
        <w:t xml:space="preserve"> at 4078, ¶ 406.</w:t>
      </w:r>
    </w:p>
  </w:footnote>
  <w:footnote w:id="10">
    <w:p w:rsidR="00C41D2F" w:rsidRPr="00FC2B70" w:rsidRDefault="00C41D2F">
      <w:pPr>
        <w:pStyle w:val="FootnoteText"/>
        <w:rPr>
          <w:sz w:val="20"/>
        </w:rPr>
      </w:pPr>
      <w:r w:rsidRPr="00FC2B70">
        <w:rPr>
          <w:rStyle w:val="FootnoteReference"/>
          <w:sz w:val="20"/>
        </w:rPr>
        <w:footnoteRef/>
      </w:r>
      <w:r w:rsidRPr="00FC2B70">
        <w:rPr>
          <w:sz w:val="20"/>
        </w:rPr>
        <w:t xml:space="preserve"> </w:t>
      </w:r>
      <w:r w:rsidR="00A87F68" w:rsidRPr="00FC2B70">
        <w:rPr>
          <w:i/>
          <w:sz w:val="20"/>
        </w:rPr>
        <w:t>See id.</w:t>
      </w:r>
      <w:r w:rsidR="00A87F68" w:rsidRPr="00FC2B70">
        <w:rPr>
          <w:sz w:val="20"/>
        </w:rPr>
        <w:t xml:space="preserve"> at 4046, ¶ 290.</w:t>
      </w:r>
    </w:p>
  </w:footnote>
  <w:footnote w:id="11">
    <w:p w:rsidR="00775F50" w:rsidRPr="00FC2B70" w:rsidRDefault="00775F50">
      <w:pPr>
        <w:pStyle w:val="FootnoteText"/>
        <w:rPr>
          <w:sz w:val="20"/>
        </w:rPr>
      </w:pPr>
      <w:r w:rsidRPr="00FC2B70">
        <w:rPr>
          <w:rStyle w:val="FootnoteReference"/>
          <w:sz w:val="20"/>
        </w:rPr>
        <w:footnoteRef/>
      </w:r>
      <w:r w:rsidRPr="00FC2B70">
        <w:rPr>
          <w:sz w:val="20"/>
        </w:rPr>
        <w:t xml:space="preserve"> </w:t>
      </w:r>
      <w:r w:rsidR="00A87F68" w:rsidRPr="00FC2B70">
        <w:rPr>
          <w:i/>
          <w:sz w:val="20"/>
        </w:rPr>
        <w:t xml:space="preserve">See id. </w:t>
      </w:r>
      <w:r w:rsidR="00A87F68" w:rsidRPr="00FC2B70">
        <w:rPr>
          <w:sz w:val="20"/>
        </w:rPr>
        <w:t>at 4007-09, ¶</w:t>
      </w:r>
      <w:r w:rsidRPr="00FC2B70">
        <w:rPr>
          <w:i/>
          <w:sz w:val="20"/>
        </w:rPr>
        <w:t>¶</w:t>
      </w:r>
      <w:r w:rsidRPr="00FC2B70">
        <w:rPr>
          <w:sz w:val="20"/>
        </w:rPr>
        <w:t>147</w:t>
      </w:r>
      <w:r w:rsidR="00A87F68" w:rsidRPr="00FC2B70">
        <w:rPr>
          <w:sz w:val="20"/>
        </w:rPr>
        <w:t>, 152-54.</w:t>
      </w:r>
    </w:p>
  </w:footnote>
  <w:footnote w:id="12">
    <w:p w:rsidR="0067471F" w:rsidRPr="00FC2B70" w:rsidRDefault="0067471F" w:rsidP="0067471F">
      <w:pPr>
        <w:pStyle w:val="CommentText"/>
      </w:pPr>
      <w:r w:rsidRPr="00FC2B70">
        <w:rPr>
          <w:rStyle w:val="FootnoteReference"/>
        </w:rPr>
        <w:footnoteRef/>
      </w:r>
      <w:r w:rsidRPr="00FC2B70">
        <w:t xml:space="preserve"> </w:t>
      </w:r>
      <w:r w:rsidRPr="00FC2B70">
        <w:rPr>
          <w:i/>
        </w:rPr>
        <w:t xml:space="preserve">See </w:t>
      </w:r>
      <w:r w:rsidRPr="00FC2B70">
        <w:t xml:space="preserve">E. Drocella, J. Richards, R. Sole, F. Najmy, A. Lundy, P. McKenna, “3.5 GHz Exclusion Zone Analyses and Methodology,” NTIA Report 15-517 (June 2015), </w:t>
      </w:r>
      <w:r w:rsidRPr="00FC2B70">
        <w:rPr>
          <w:i/>
        </w:rPr>
        <w:t>available at</w:t>
      </w:r>
      <w:r w:rsidRPr="00FC2B70">
        <w:t xml:space="preserve"> </w:t>
      </w:r>
      <w:hyperlink r:id="rId1" w:history="1">
        <w:r w:rsidRPr="00FC2B70">
          <w:rPr>
            <w:rStyle w:val="Hyperlink"/>
          </w:rPr>
          <w:t>http://www.its.bldrdoc.gov/publications/2805.aspx</w:t>
        </w:r>
      </w:hyperlink>
      <w:r w:rsidRPr="00FC2B70">
        <w:t>.</w:t>
      </w:r>
    </w:p>
    <w:p w:rsidR="0067471F" w:rsidRPr="00FC2B70" w:rsidRDefault="0067471F">
      <w:pPr>
        <w:pStyle w:val="FootnoteText"/>
        <w:rPr>
          <w:sz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1B4" w:rsidRDefault="00E861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1B4" w:rsidRDefault="00E861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Pr="00BF4DE5" w:rsidRDefault="0025044B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 wp14:anchorId="25535DB9" wp14:editId="0A3F413A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 w:rsidRPr="00BF4DE5">
      <w:rPr>
        <w:rFonts w:ascii="Arial" w:hAnsi="Arial" w:cs="Arial"/>
        <w:b/>
        <w:kern w:val="28"/>
        <w:sz w:val="96"/>
      </w:rPr>
      <w:t>PUBLIC NOTICE</w:t>
    </w:r>
  </w:p>
  <w:p w:rsidR="00602577" w:rsidRDefault="0025044B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B5705D6" wp14:editId="5487E68A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CA42973" wp14:editId="40D7218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JnRVCi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82D2E1A" wp14:editId="184E65ED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01.5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FD"/>
    <w:rsid w:val="000265AE"/>
    <w:rsid w:val="00065D46"/>
    <w:rsid w:val="000C58D8"/>
    <w:rsid w:val="001302B5"/>
    <w:rsid w:val="001576A8"/>
    <w:rsid w:val="0019352A"/>
    <w:rsid w:val="001F57FC"/>
    <w:rsid w:val="002031C5"/>
    <w:rsid w:val="0020449B"/>
    <w:rsid w:val="0020467B"/>
    <w:rsid w:val="0022497C"/>
    <w:rsid w:val="0025044B"/>
    <w:rsid w:val="00271969"/>
    <w:rsid w:val="002D26ED"/>
    <w:rsid w:val="00366859"/>
    <w:rsid w:val="00396550"/>
    <w:rsid w:val="003B38A4"/>
    <w:rsid w:val="003C6052"/>
    <w:rsid w:val="003D67A2"/>
    <w:rsid w:val="003F27FF"/>
    <w:rsid w:val="0042692F"/>
    <w:rsid w:val="00457E92"/>
    <w:rsid w:val="00494762"/>
    <w:rsid w:val="00495E73"/>
    <w:rsid w:val="004B6FDB"/>
    <w:rsid w:val="004C2913"/>
    <w:rsid w:val="004C7620"/>
    <w:rsid w:val="00530C16"/>
    <w:rsid w:val="00571E59"/>
    <w:rsid w:val="0058339D"/>
    <w:rsid w:val="005C3D54"/>
    <w:rsid w:val="005E3A1A"/>
    <w:rsid w:val="005E55D4"/>
    <w:rsid w:val="00602577"/>
    <w:rsid w:val="0063003F"/>
    <w:rsid w:val="00644E11"/>
    <w:rsid w:val="00666DB5"/>
    <w:rsid w:val="0067471F"/>
    <w:rsid w:val="006F2C74"/>
    <w:rsid w:val="00744FF1"/>
    <w:rsid w:val="00754B8B"/>
    <w:rsid w:val="00764E41"/>
    <w:rsid w:val="00775F50"/>
    <w:rsid w:val="00781835"/>
    <w:rsid w:val="007D3AEF"/>
    <w:rsid w:val="007D5184"/>
    <w:rsid w:val="007D6E05"/>
    <w:rsid w:val="007E1042"/>
    <w:rsid w:val="0080162E"/>
    <w:rsid w:val="0081746A"/>
    <w:rsid w:val="00847439"/>
    <w:rsid w:val="008961FA"/>
    <w:rsid w:val="008B709D"/>
    <w:rsid w:val="008E40F0"/>
    <w:rsid w:val="009074C1"/>
    <w:rsid w:val="00916A07"/>
    <w:rsid w:val="0096739C"/>
    <w:rsid w:val="009909E1"/>
    <w:rsid w:val="009F2A2D"/>
    <w:rsid w:val="00A30867"/>
    <w:rsid w:val="00A30E65"/>
    <w:rsid w:val="00A432AC"/>
    <w:rsid w:val="00A87818"/>
    <w:rsid w:val="00A87F68"/>
    <w:rsid w:val="00AC3227"/>
    <w:rsid w:val="00AE16FD"/>
    <w:rsid w:val="00AE1EB8"/>
    <w:rsid w:val="00B11B2A"/>
    <w:rsid w:val="00B34609"/>
    <w:rsid w:val="00B51708"/>
    <w:rsid w:val="00B66B38"/>
    <w:rsid w:val="00B71C80"/>
    <w:rsid w:val="00BA3B6B"/>
    <w:rsid w:val="00BB50AE"/>
    <w:rsid w:val="00BC5FBB"/>
    <w:rsid w:val="00BC7859"/>
    <w:rsid w:val="00BF4DE5"/>
    <w:rsid w:val="00C41D2F"/>
    <w:rsid w:val="00C44983"/>
    <w:rsid w:val="00C77FBC"/>
    <w:rsid w:val="00CD6B27"/>
    <w:rsid w:val="00CE2D68"/>
    <w:rsid w:val="00D17DC0"/>
    <w:rsid w:val="00D60EFF"/>
    <w:rsid w:val="00D6113A"/>
    <w:rsid w:val="00DC7F57"/>
    <w:rsid w:val="00DE69C8"/>
    <w:rsid w:val="00E60806"/>
    <w:rsid w:val="00E71EDE"/>
    <w:rsid w:val="00E861B4"/>
    <w:rsid w:val="00EC77F6"/>
    <w:rsid w:val="00EC7D19"/>
    <w:rsid w:val="00EE63A8"/>
    <w:rsid w:val="00EF05CE"/>
    <w:rsid w:val="00F1473D"/>
    <w:rsid w:val="00F3066A"/>
    <w:rsid w:val="00F86907"/>
    <w:rsid w:val="00F875C8"/>
    <w:rsid w:val="00F92337"/>
    <w:rsid w:val="00FB5B58"/>
    <w:rsid w:val="00FC2B70"/>
    <w:rsid w:val="00FC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71EDE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71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E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E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E59"/>
    <w:rPr>
      <w:b/>
      <w:bCs/>
    </w:rPr>
  </w:style>
  <w:style w:type="paragraph" w:styleId="Revision">
    <w:name w:val="Revision"/>
    <w:hidden/>
    <w:uiPriority w:val="99"/>
    <w:semiHidden/>
    <w:rsid w:val="00571E59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E59"/>
    <w:rPr>
      <w:rFonts w:ascii="Tahoma" w:hAnsi="Tahoma" w:cs="Tahoma"/>
      <w:sz w:val="16"/>
      <w:szCs w:val="16"/>
    </w:rPr>
  </w:style>
  <w:style w:type="paragraph" w:customStyle="1" w:styleId="paranum0">
    <w:name w:val="paranum"/>
    <w:basedOn w:val="Normal"/>
    <w:uiPriority w:val="99"/>
    <w:rsid w:val="00D6113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71EDE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71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E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E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E59"/>
    <w:rPr>
      <w:b/>
      <w:bCs/>
    </w:rPr>
  </w:style>
  <w:style w:type="paragraph" w:styleId="Revision">
    <w:name w:val="Revision"/>
    <w:hidden/>
    <w:uiPriority w:val="99"/>
    <w:semiHidden/>
    <w:rsid w:val="00571E59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E59"/>
    <w:rPr>
      <w:rFonts w:ascii="Tahoma" w:hAnsi="Tahoma" w:cs="Tahoma"/>
      <w:sz w:val="16"/>
      <w:szCs w:val="16"/>
    </w:rPr>
  </w:style>
  <w:style w:type="paragraph" w:customStyle="1" w:styleId="paranum0">
    <w:name w:val="paranum"/>
    <w:basedOn w:val="Normal"/>
    <w:uiPriority w:val="99"/>
    <w:rsid w:val="00D6113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paul.powell@fcc.gov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apps.fcc.gov/edocs_public/attachmatch/DOC-334099A1.xls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s.bldrdoc.gov/publications/2805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3</Pages>
  <Words>961</Words>
  <Characters>5508</Characters>
  <Application>Microsoft Office Word</Application>
  <DocSecurity>0</DocSecurity>
  <Lines>76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6488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2002-01-31T15:18:00Z</cp:lastPrinted>
  <dcterms:created xsi:type="dcterms:W3CDTF">2015-06-25T18:41:00Z</dcterms:created>
  <dcterms:modified xsi:type="dcterms:W3CDTF">2015-06-25T18:41:00Z</dcterms:modified>
  <cp:category> </cp:category>
  <cp:contentStatus> </cp:contentStatus>
</cp:coreProperties>
</file>