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4A505" w14:textId="77777777" w:rsidR="00B4282D" w:rsidRPr="00540842" w:rsidRDefault="00B4282D" w:rsidP="00DC6514">
      <w:pPr>
        <w:jc w:val="center"/>
        <w:rPr>
          <w:b/>
        </w:rPr>
      </w:pPr>
      <w:bookmarkStart w:id="0" w:name="_GoBack"/>
      <w:bookmarkEnd w:id="0"/>
      <w:r w:rsidRPr="00540842">
        <w:rPr>
          <w:b/>
        </w:rPr>
        <w:t>Before the</w:t>
      </w:r>
    </w:p>
    <w:p w14:paraId="2BFBAC26" w14:textId="77777777" w:rsidR="00B4282D" w:rsidRPr="00540842" w:rsidRDefault="00B4282D" w:rsidP="00DC6514">
      <w:pPr>
        <w:jc w:val="center"/>
        <w:rPr>
          <w:b/>
        </w:rPr>
      </w:pPr>
      <w:r w:rsidRPr="00540842">
        <w:rPr>
          <w:b/>
        </w:rPr>
        <w:t>Federal Communications Commission</w:t>
      </w:r>
    </w:p>
    <w:p w14:paraId="7108070B" w14:textId="77777777" w:rsidR="00B4282D" w:rsidRDefault="00B4282D" w:rsidP="00DC6514">
      <w:pPr>
        <w:jc w:val="center"/>
        <w:rPr>
          <w:b/>
        </w:rPr>
      </w:pPr>
      <w:r w:rsidRPr="00540842">
        <w:rPr>
          <w:b/>
        </w:rPr>
        <w:t>Washington, D.C. 20554</w:t>
      </w:r>
    </w:p>
    <w:p w14:paraId="5C0317A5" w14:textId="77777777" w:rsidR="0071378D" w:rsidRPr="00540842" w:rsidRDefault="0071378D" w:rsidP="00DC6514">
      <w:pPr>
        <w:jc w:val="center"/>
        <w:rPr>
          <w:b/>
        </w:rPr>
      </w:pPr>
    </w:p>
    <w:p w14:paraId="7DAF0F72" w14:textId="77777777" w:rsidR="00B4282D" w:rsidRPr="00540842" w:rsidRDefault="00B4282D" w:rsidP="00A363BC"/>
    <w:tbl>
      <w:tblPr>
        <w:tblW w:w="9648" w:type="dxa"/>
        <w:tblLayout w:type="fixed"/>
        <w:tblLook w:val="0000" w:firstRow="0" w:lastRow="0" w:firstColumn="0" w:lastColumn="0" w:noHBand="0" w:noVBand="0"/>
      </w:tblPr>
      <w:tblGrid>
        <w:gridCol w:w="4698"/>
        <w:gridCol w:w="990"/>
        <w:gridCol w:w="3960"/>
      </w:tblGrid>
      <w:tr w:rsidR="00B4282D" w:rsidRPr="00540842" w14:paraId="01C6E678" w14:textId="77777777">
        <w:tc>
          <w:tcPr>
            <w:tcW w:w="4698" w:type="dxa"/>
          </w:tcPr>
          <w:p w14:paraId="3FF087F1" w14:textId="77777777" w:rsidR="00B4282D" w:rsidRPr="00540842" w:rsidRDefault="00B4282D" w:rsidP="0041527A">
            <w:pPr>
              <w:ind w:right="-18"/>
            </w:pPr>
            <w:r w:rsidRPr="00540842">
              <w:t>In the Matter of</w:t>
            </w:r>
          </w:p>
          <w:p w14:paraId="099C0863" w14:textId="77777777" w:rsidR="00B4282D" w:rsidRPr="00540842" w:rsidRDefault="00B4282D" w:rsidP="008D13C0">
            <w:pPr>
              <w:ind w:right="-18"/>
            </w:pPr>
          </w:p>
          <w:p w14:paraId="0294F622" w14:textId="20F948F1" w:rsidR="001C0AA7" w:rsidRDefault="001C0AA7" w:rsidP="009C3CAB">
            <w:pPr>
              <w:ind w:right="-18"/>
            </w:pPr>
            <w:r>
              <w:t>Connect America Fund</w:t>
            </w:r>
          </w:p>
          <w:p w14:paraId="27B334B2" w14:textId="77777777" w:rsidR="001C0AA7" w:rsidRDefault="001C0AA7" w:rsidP="009C3CAB">
            <w:pPr>
              <w:ind w:right="-18"/>
            </w:pPr>
          </w:p>
          <w:p w14:paraId="41FA7DA7" w14:textId="77777777" w:rsidR="009C3CAB" w:rsidRDefault="009C3CAB" w:rsidP="009C3CAB">
            <w:pPr>
              <w:ind w:right="-18"/>
            </w:pPr>
            <w:r>
              <w:t>Allband Communications Cooperative</w:t>
            </w:r>
          </w:p>
          <w:p w14:paraId="41B358A5" w14:textId="77777777" w:rsidR="009C3CAB" w:rsidRDefault="009C3CAB" w:rsidP="009C3CAB">
            <w:pPr>
              <w:ind w:right="-18"/>
            </w:pPr>
            <w:r>
              <w:t>Petition for Waiver of Certain High-Cost</w:t>
            </w:r>
          </w:p>
          <w:p w14:paraId="185C77C7" w14:textId="77777777" w:rsidR="00B4282D" w:rsidRPr="00540842" w:rsidRDefault="009C3CAB" w:rsidP="009C3CAB">
            <w:pPr>
              <w:ind w:right="-18"/>
            </w:pPr>
            <w:r>
              <w:t>Universal Service Rules</w:t>
            </w:r>
          </w:p>
        </w:tc>
        <w:tc>
          <w:tcPr>
            <w:tcW w:w="990" w:type="dxa"/>
          </w:tcPr>
          <w:p w14:paraId="2E6BCBDC" w14:textId="77777777" w:rsidR="00B4282D" w:rsidRPr="00540842" w:rsidRDefault="00B4282D">
            <w:pPr>
              <w:rPr>
                <w:b/>
              </w:rPr>
            </w:pPr>
            <w:r w:rsidRPr="00540842">
              <w:rPr>
                <w:b/>
              </w:rPr>
              <w:t>)</w:t>
            </w:r>
          </w:p>
          <w:p w14:paraId="78788418" w14:textId="77777777" w:rsidR="00B4282D" w:rsidRPr="00540842" w:rsidRDefault="00B4282D">
            <w:pPr>
              <w:rPr>
                <w:b/>
              </w:rPr>
            </w:pPr>
            <w:r w:rsidRPr="00540842">
              <w:rPr>
                <w:b/>
              </w:rPr>
              <w:t>)</w:t>
            </w:r>
          </w:p>
          <w:p w14:paraId="4270905E" w14:textId="77777777" w:rsidR="00B4282D" w:rsidRPr="00540842" w:rsidRDefault="00B4282D">
            <w:pPr>
              <w:rPr>
                <w:b/>
              </w:rPr>
            </w:pPr>
            <w:r w:rsidRPr="00540842">
              <w:rPr>
                <w:b/>
              </w:rPr>
              <w:t>)</w:t>
            </w:r>
          </w:p>
          <w:p w14:paraId="735F4588" w14:textId="77777777" w:rsidR="00B4282D" w:rsidRPr="00540842" w:rsidRDefault="00B4282D">
            <w:pPr>
              <w:rPr>
                <w:b/>
              </w:rPr>
            </w:pPr>
            <w:r w:rsidRPr="00540842">
              <w:rPr>
                <w:b/>
              </w:rPr>
              <w:t>)</w:t>
            </w:r>
          </w:p>
          <w:p w14:paraId="166FF97B" w14:textId="77777777" w:rsidR="00B54C86" w:rsidRDefault="00B4282D">
            <w:pPr>
              <w:rPr>
                <w:b/>
              </w:rPr>
            </w:pPr>
            <w:r w:rsidRPr="00540842">
              <w:rPr>
                <w:b/>
              </w:rPr>
              <w:t>)</w:t>
            </w:r>
          </w:p>
          <w:p w14:paraId="60C29270" w14:textId="77777777" w:rsidR="001C0AA7" w:rsidRDefault="001C0AA7">
            <w:pPr>
              <w:rPr>
                <w:b/>
              </w:rPr>
            </w:pPr>
            <w:r>
              <w:rPr>
                <w:b/>
              </w:rPr>
              <w:t>)</w:t>
            </w:r>
          </w:p>
          <w:p w14:paraId="28FB5503" w14:textId="697971F4" w:rsidR="001C0AA7" w:rsidRPr="00540842" w:rsidRDefault="001C0AA7">
            <w:pPr>
              <w:rPr>
                <w:b/>
              </w:rPr>
            </w:pPr>
            <w:r>
              <w:rPr>
                <w:b/>
              </w:rPr>
              <w:t>)</w:t>
            </w:r>
          </w:p>
        </w:tc>
        <w:tc>
          <w:tcPr>
            <w:tcW w:w="3960" w:type="dxa"/>
          </w:tcPr>
          <w:p w14:paraId="4CF92F6D" w14:textId="77777777" w:rsidR="00B4282D" w:rsidRPr="00540842" w:rsidRDefault="00B4282D"/>
          <w:p w14:paraId="0E9D528D" w14:textId="77777777" w:rsidR="00B4282D" w:rsidRPr="00540842" w:rsidRDefault="00B4282D"/>
          <w:p w14:paraId="4474988E" w14:textId="77777777" w:rsidR="00B4282D" w:rsidRPr="00540842" w:rsidRDefault="00B4282D">
            <w:pPr>
              <w:rPr>
                <w:spacing w:val="-2"/>
              </w:rPr>
            </w:pPr>
            <w:r w:rsidRPr="00540842">
              <w:rPr>
                <w:spacing w:val="-2"/>
              </w:rPr>
              <w:t>WC Docket No. 10-90</w:t>
            </w:r>
          </w:p>
          <w:p w14:paraId="480D554E" w14:textId="77777777" w:rsidR="00B4282D" w:rsidRPr="00540842" w:rsidRDefault="00B4282D">
            <w:pPr>
              <w:rPr>
                <w:spacing w:val="-2"/>
              </w:rPr>
            </w:pPr>
          </w:p>
          <w:p w14:paraId="428E6362" w14:textId="77777777" w:rsidR="0071378D" w:rsidRDefault="0071378D"/>
          <w:p w14:paraId="6B877C78" w14:textId="77777777" w:rsidR="00B54C86" w:rsidRPr="00540842" w:rsidRDefault="00B54C86"/>
          <w:p w14:paraId="47BEE794" w14:textId="77777777" w:rsidR="00B4282D" w:rsidRPr="00540842" w:rsidRDefault="00B4282D"/>
        </w:tc>
      </w:tr>
    </w:tbl>
    <w:p w14:paraId="46844AEE" w14:textId="2378B9B7" w:rsidR="00B4282D" w:rsidRPr="00540842" w:rsidRDefault="00B4282D" w:rsidP="00A363BC"/>
    <w:p w14:paraId="5C3B7549" w14:textId="77777777" w:rsidR="00B4282D" w:rsidRPr="00540842" w:rsidRDefault="00B4282D" w:rsidP="0071378D">
      <w:pPr>
        <w:jc w:val="center"/>
        <w:rPr>
          <w:b/>
        </w:rPr>
      </w:pPr>
      <w:r w:rsidRPr="00540842">
        <w:rPr>
          <w:b/>
          <w:spacing w:val="-2"/>
        </w:rPr>
        <w:t>ORDER</w:t>
      </w:r>
    </w:p>
    <w:p w14:paraId="700F66C8" w14:textId="77777777" w:rsidR="00B4282D" w:rsidRPr="00540842" w:rsidRDefault="00B4282D" w:rsidP="009C7326">
      <w:pPr>
        <w:jc w:val="center"/>
      </w:pPr>
    </w:p>
    <w:p w14:paraId="19E6EAC3" w14:textId="3ABEB7AD" w:rsidR="00CF1D03" w:rsidRDefault="001F040F" w:rsidP="00CF1D03">
      <w:pPr>
        <w:widowControl/>
        <w:tabs>
          <w:tab w:val="left" w:pos="720"/>
          <w:tab w:val="right" w:pos="9360"/>
        </w:tabs>
        <w:suppressAutoHyphens/>
        <w:spacing w:line="227" w:lineRule="auto"/>
        <w:rPr>
          <w:spacing w:val="-2"/>
        </w:rPr>
      </w:pPr>
      <w:r>
        <w:rPr>
          <w:b/>
          <w:spacing w:val="-2"/>
        </w:rPr>
        <w:t xml:space="preserve">Adopted:  </w:t>
      </w:r>
      <w:r w:rsidR="001C0AA7">
        <w:rPr>
          <w:b/>
          <w:spacing w:val="-2"/>
        </w:rPr>
        <w:t xml:space="preserve">June </w:t>
      </w:r>
      <w:r w:rsidR="00FE49BE">
        <w:rPr>
          <w:b/>
          <w:spacing w:val="-2"/>
        </w:rPr>
        <w:t>29</w:t>
      </w:r>
      <w:r w:rsidR="00CF1D03">
        <w:rPr>
          <w:b/>
          <w:spacing w:val="-2"/>
        </w:rPr>
        <w:t>, 2015</w:t>
      </w:r>
      <w:r w:rsidR="00CF1D03">
        <w:rPr>
          <w:b/>
          <w:spacing w:val="-2"/>
        </w:rPr>
        <w:tab/>
        <w:t xml:space="preserve">Released:  </w:t>
      </w:r>
      <w:r w:rsidR="00FE49BE">
        <w:rPr>
          <w:b/>
          <w:spacing w:val="-2"/>
        </w:rPr>
        <w:t>June 29</w:t>
      </w:r>
      <w:r w:rsidR="00CF1D03">
        <w:rPr>
          <w:b/>
          <w:spacing w:val="-2"/>
        </w:rPr>
        <w:t>, 2015</w:t>
      </w:r>
    </w:p>
    <w:p w14:paraId="4AC90817" w14:textId="77777777" w:rsidR="00B4282D" w:rsidRPr="00540842" w:rsidRDefault="00B4282D" w:rsidP="0041527A">
      <w:pPr>
        <w:tabs>
          <w:tab w:val="left" w:pos="5760"/>
        </w:tabs>
        <w:rPr>
          <w:b/>
        </w:rPr>
      </w:pPr>
    </w:p>
    <w:p w14:paraId="1D483E9D" w14:textId="77777777" w:rsidR="00DD34C7" w:rsidRDefault="00DD34C7" w:rsidP="0041527A">
      <w:pPr>
        <w:tabs>
          <w:tab w:val="left" w:pos="5760"/>
        </w:tabs>
      </w:pPr>
      <w:r w:rsidRPr="0071378D">
        <w:t xml:space="preserve">By the </w:t>
      </w:r>
      <w:r w:rsidR="000244C2" w:rsidRPr="00134773">
        <w:rPr>
          <w:spacing w:val="-2"/>
        </w:rPr>
        <w:t>Chief, Wireline Competition Bureau</w:t>
      </w:r>
      <w:r w:rsidRPr="0071378D">
        <w:t>:</w:t>
      </w:r>
      <w:r w:rsidR="0071378D">
        <w:t xml:space="preserve">  </w:t>
      </w:r>
    </w:p>
    <w:p w14:paraId="7796C1DB" w14:textId="77777777" w:rsidR="00BC03BF" w:rsidRDefault="00BC03BF" w:rsidP="0041527A">
      <w:pPr>
        <w:tabs>
          <w:tab w:val="left" w:pos="5760"/>
        </w:tabs>
      </w:pPr>
    </w:p>
    <w:p w14:paraId="7902DCC2" w14:textId="202AC561" w:rsidR="00B4282D" w:rsidRPr="00203AF0" w:rsidRDefault="00BC03BF" w:rsidP="00203AF0">
      <w:pPr>
        <w:pStyle w:val="Heading1"/>
      </w:pPr>
      <w:r>
        <w:t xml:space="preserve">Introduction </w:t>
      </w:r>
    </w:p>
    <w:p w14:paraId="7DDBF9E1" w14:textId="6F72AE25" w:rsidR="00531E4F" w:rsidRDefault="00461A48" w:rsidP="00531E4F">
      <w:pPr>
        <w:pStyle w:val="ParaNum"/>
      </w:pPr>
      <w:r>
        <w:t xml:space="preserve">In this Order, </w:t>
      </w:r>
      <w:r w:rsidR="009C3CAB">
        <w:t xml:space="preserve">the Wireline Competition Bureau (Bureau) </w:t>
      </w:r>
      <w:r>
        <w:t xml:space="preserve">directs the Universal Service Administrative Company (USAC) to undertake certain factual inquiries and on an interim basis extends a waiver previously granted to Allband Communications Cooperative (Allband or </w:t>
      </w:r>
      <w:r w:rsidR="007E2B9E">
        <w:t xml:space="preserve">company </w:t>
      </w:r>
      <w:r w:rsidR="00255654">
        <w:t>or ACC</w:t>
      </w:r>
      <w:r>
        <w:t xml:space="preserve">) until the earlier of either December 31, 2015 or the date on which further action is taken on the pending waiver request, without prejudice to the ultimate determination as to whether relief is warranted.  </w:t>
      </w:r>
    </w:p>
    <w:p w14:paraId="2F354CFD" w14:textId="77777777" w:rsidR="00461A48" w:rsidRPr="00540842" w:rsidRDefault="00461A48" w:rsidP="00461A48">
      <w:pPr>
        <w:pStyle w:val="Heading1"/>
        <w:widowControl/>
      </w:pPr>
      <w:r w:rsidRPr="00540842">
        <w:t>BACKGROUND</w:t>
      </w:r>
    </w:p>
    <w:p w14:paraId="2AD758DB" w14:textId="64C68F47" w:rsidR="00461A48" w:rsidRPr="00540842" w:rsidRDefault="00461A48" w:rsidP="00461A48">
      <w:pPr>
        <w:pStyle w:val="ParaNum"/>
      </w:pPr>
      <w:r w:rsidRPr="00540842">
        <w:t xml:space="preserve">In the </w:t>
      </w:r>
      <w:r w:rsidRPr="00540842">
        <w:rPr>
          <w:i/>
        </w:rPr>
        <w:t>USF/ICC Transformation Order</w:t>
      </w:r>
      <w:r w:rsidRPr="00540842">
        <w:t>,</w:t>
      </w:r>
      <w:r w:rsidRPr="00540842">
        <w:rPr>
          <w:rStyle w:val="FootnoteReference"/>
        </w:rPr>
        <w:footnoteReference w:id="2"/>
      </w:r>
      <w:r w:rsidRPr="00540842">
        <w:t xml:space="preserve"> the Commission comprehensively reformed federal universal service funding for high-cost, rural areas, adopting fiscally responsible, accountable, incentive-based policies to preserve and advance voice and broadband-capable networks while ensuring fairness for consumers and businesses that ultimately pay into t</w:t>
      </w:r>
      <w:r w:rsidR="000647AE">
        <w:t>he universal service fund</w:t>
      </w:r>
      <w:r w:rsidRPr="00540842">
        <w:t>.</w:t>
      </w:r>
      <w:r w:rsidRPr="00540842">
        <w:rPr>
          <w:rStyle w:val="FootnoteReference"/>
          <w:szCs w:val="22"/>
        </w:rPr>
        <w:footnoteReference w:id="3"/>
      </w:r>
      <w:r w:rsidRPr="00540842">
        <w:t xml:space="preserve">  </w:t>
      </w:r>
      <w:r>
        <w:t>T</w:t>
      </w:r>
      <w:r w:rsidRPr="00540842">
        <w:t>he Commission adopted new section 54.302, establishing a presumptive per line cap of $250 per month on total high-cost universal service support for all ETCs, including incumbent local exchange carriers (LECs), to be phased in over three years.</w:t>
      </w:r>
      <w:r w:rsidRPr="00540842">
        <w:rPr>
          <w:rStyle w:val="FootnoteReference"/>
        </w:rPr>
        <w:footnoteReference w:id="4"/>
      </w:r>
      <w:r w:rsidRPr="00540842">
        <w:t xml:space="preserve">  The Commission concluded that support in excess of that amount should not be provided without further justification.</w:t>
      </w:r>
      <w:r w:rsidRPr="00540842">
        <w:rPr>
          <w:rStyle w:val="FootnoteReference"/>
        </w:rPr>
        <w:footnoteReference w:id="5"/>
      </w:r>
    </w:p>
    <w:p w14:paraId="2278A652" w14:textId="046C966D" w:rsidR="00461A48" w:rsidRPr="00540842" w:rsidRDefault="00461A48" w:rsidP="00461A48">
      <w:pPr>
        <w:pStyle w:val="ParaNum"/>
        <w:widowControl/>
      </w:pPr>
      <w:r w:rsidRPr="00540842">
        <w:t xml:space="preserve">The </w:t>
      </w:r>
      <w:r w:rsidRPr="00540842">
        <w:rPr>
          <w:i/>
        </w:rPr>
        <w:t>USF/ICC Transformation Order</w:t>
      </w:r>
      <w:r w:rsidRPr="00540842">
        <w:t xml:space="preserve"> noted that “any carrier negatively affected by the universal service reforms . . . [may] file a petition for waiver that clearly demonstrates that good cause exists for exempting the carrier from some or all of those reforms, and that waiver is necessary and in the public interest to ensure that consumers in the area continue to receive voice service.”</w:t>
      </w:r>
      <w:r>
        <w:rPr>
          <w:rStyle w:val="FootnoteReference"/>
        </w:rPr>
        <w:footnoteReference w:id="6"/>
      </w:r>
      <w:r w:rsidRPr="00540842">
        <w:t xml:space="preserve">  The Commission </w:t>
      </w:r>
      <w:r w:rsidRPr="00540842">
        <w:lastRenderedPageBreak/>
        <w:t>stated that “[w]e envision granting relief only in those circumstances in which the petitioner can demonstrate that the reduction in existing high-cost support would put consumers at risk of losing voice services, with no alternative terrestrial providers available to provide voice telephony service.”</w:t>
      </w:r>
      <w:r w:rsidRPr="00540842">
        <w:rPr>
          <w:rStyle w:val="FootnoteReference"/>
          <w:szCs w:val="22"/>
        </w:rPr>
        <w:footnoteReference w:id="7"/>
      </w:r>
      <w:r w:rsidRPr="00540842">
        <w:t xml:space="preserve">  In delegating to the </w:t>
      </w:r>
      <w:r>
        <w:t xml:space="preserve">Wireline Competition Bureau </w:t>
      </w:r>
      <w:r w:rsidRPr="00540842">
        <w:t>the authority to approve or deny requests for waiver,</w:t>
      </w:r>
      <w:r w:rsidRPr="00540842">
        <w:rPr>
          <w:rStyle w:val="FootnoteReference"/>
          <w:szCs w:val="22"/>
        </w:rPr>
        <w:footnoteReference w:id="8"/>
      </w:r>
      <w:r w:rsidRPr="00540842">
        <w:t xml:space="preserve"> the Commission indicated that it did not anticipate granting waiver requests routinely or for “undefined duration[s]”</w:t>
      </w:r>
      <w:r w:rsidRPr="00540842">
        <w:rPr>
          <w:rStyle w:val="FootnoteReference"/>
          <w:szCs w:val="22"/>
        </w:rPr>
        <w:t xml:space="preserve"> </w:t>
      </w:r>
      <w:r w:rsidRPr="00540842">
        <w:rPr>
          <w:rStyle w:val="FootnoteReference"/>
          <w:szCs w:val="22"/>
        </w:rPr>
        <w:footnoteReference w:id="9"/>
      </w:r>
      <w:r w:rsidRPr="00540842">
        <w:t xml:space="preserve"> and provided guidance on the types of information that would be relevant for such requests.</w:t>
      </w:r>
      <w:r w:rsidRPr="00540842">
        <w:rPr>
          <w:rStyle w:val="FootnoteReference"/>
          <w:szCs w:val="22"/>
        </w:rPr>
        <w:footnoteReference w:id="10"/>
      </w:r>
      <w:r w:rsidRPr="00540842">
        <w:t xml:space="preserve">  In the </w:t>
      </w:r>
      <w:r w:rsidRPr="00540842">
        <w:rPr>
          <w:i/>
        </w:rPr>
        <w:t>Fifth Order on Reconsideration</w:t>
      </w:r>
      <w:r w:rsidRPr="00540842">
        <w:t>, the Commission further clarified that “we envision granting relief to incumbent telephone companies only in those circumstances in which the petitioner can demonstrate that consumers served by such carriers face a significant risk of losing access to a broadband-capable network that provides both voice as well as broadband today, at reasonably comparable rates, in areas where there are no alternative providers of voice or broadband.”</w:t>
      </w:r>
      <w:r w:rsidRPr="00540842">
        <w:rPr>
          <w:rStyle w:val="FootnoteReference"/>
          <w:szCs w:val="22"/>
        </w:rPr>
        <w:footnoteReference w:id="11"/>
      </w:r>
      <w:r w:rsidRPr="00540842">
        <w:t xml:space="preserve">  </w:t>
      </w:r>
    </w:p>
    <w:p w14:paraId="667CBFCB" w14:textId="547A64B3" w:rsidR="00461A48" w:rsidRDefault="00461A48" w:rsidP="00461A48">
      <w:pPr>
        <w:pStyle w:val="ParaNum"/>
      </w:pPr>
      <w:r>
        <w:t>On July 25, 2012, the Bureau granted Allband a three-year waiver of section 54.302 of the Commission’s rules so that Allband could receive the lesser of high-cost universal service support based on its actual costs or the annualized total high-cost support that it received for the period January 1, 2012 through June 30, 2012.</w:t>
      </w:r>
      <w:r>
        <w:rPr>
          <w:rStyle w:val="FootnoteReference"/>
        </w:rPr>
        <w:footnoteReference w:id="12"/>
      </w:r>
      <w:r>
        <w:t xml:space="preserve">  In that order, the Bureau stated that if Allband determined that additional support above the $250 cap was necessary after June 30, 2015, “Allband should file with the Bureau the financial and operational information necessary for the Bureau to determine what further relief is appropriate based on the specific circumstances present at that time.”</w:t>
      </w:r>
      <w:r>
        <w:rPr>
          <w:rStyle w:val="FootnoteReference"/>
        </w:rPr>
        <w:footnoteReference w:id="13"/>
      </w:r>
    </w:p>
    <w:p w14:paraId="7B0E333B" w14:textId="6124DCDC" w:rsidR="005F08A4" w:rsidRDefault="000662E9" w:rsidP="001C0AA7">
      <w:pPr>
        <w:pStyle w:val="ParaNum"/>
        <w:widowControl/>
      </w:pPr>
      <w:r>
        <w:t>On December 31, 2014, Allband filed a petition for further waiver of section 54.302</w:t>
      </w:r>
      <w:r w:rsidR="001A14C0">
        <w:t xml:space="preserve"> and </w:t>
      </w:r>
      <w:r w:rsidR="00A64542">
        <w:t xml:space="preserve">included </w:t>
      </w:r>
      <w:r w:rsidR="001A14C0">
        <w:t>its 2012 and 2013 audited financial statements</w:t>
      </w:r>
      <w:r>
        <w:t>.</w:t>
      </w:r>
      <w:r>
        <w:rPr>
          <w:rStyle w:val="FootnoteReference"/>
        </w:rPr>
        <w:footnoteReference w:id="14"/>
      </w:r>
      <w:r w:rsidR="001C16C5">
        <w:t xml:space="preserve">  </w:t>
      </w:r>
      <w:r w:rsidR="00890ECA">
        <w:t>In this Further Waiver Petition, Allband requests that the Commission extend Allband’s current waiver for an additional 12 years.</w:t>
      </w:r>
      <w:r w:rsidR="00890ECA">
        <w:rPr>
          <w:rStyle w:val="FootnoteReference"/>
        </w:rPr>
        <w:footnoteReference w:id="15"/>
      </w:r>
      <w:r w:rsidR="00890ECA">
        <w:t xml:space="preserve">  Allband states that a waiver is necessary to allow Allband to continue to provide voice services, repay its Rural Utilities </w:t>
      </w:r>
      <w:r w:rsidR="00890ECA">
        <w:lastRenderedPageBreak/>
        <w:t>Service loan, and continue operations.</w:t>
      </w:r>
      <w:r w:rsidR="00890ECA">
        <w:rPr>
          <w:rStyle w:val="FootnoteReference"/>
        </w:rPr>
        <w:footnoteReference w:id="16"/>
      </w:r>
      <w:r w:rsidR="001A14C0">
        <w:t xml:space="preserve">  Subsequently, on </w:t>
      </w:r>
      <w:r w:rsidR="00D3790B">
        <w:t>May 18, 2015</w:t>
      </w:r>
      <w:r w:rsidR="001A14C0">
        <w:t>, Allband filed its 2014 audited financial statements.</w:t>
      </w:r>
      <w:r w:rsidR="001A14C0">
        <w:rPr>
          <w:rStyle w:val="FootnoteReference"/>
        </w:rPr>
        <w:footnoteReference w:id="17"/>
      </w:r>
    </w:p>
    <w:p w14:paraId="2A86FF2D" w14:textId="77777777" w:rsidR="00BC03BF" w:rsidRDefault="00BC03BF" w:rsidP="00890ECA">
      <w:pPr>
        <w:pStyle w:val="Heading1"/>
      </w:pPr>
      <w:r>
        <w:t>discussion</w:t>
      </w:r>
    </w:p>
    <w:p w14:paraId="17F83B6A" w14:textId="66F62745" w:rsidR="006F0AC7" w:rsidRDefault="000662E9" w:rsidP="00531E4F">
      <w:pPr>
        <w:pStyle w:val="ParaNum"/>
      </w:pPr>
      <w:r>
        <w:t xml:space="preserve">The Bureau has reviewed the materials submitted and </w:t>
      </w:r>
      <w:r w:rsidR="008D0857">
        <w:t>identified</w:t>
      </w:r>
      <w:r w:rsidR="00890ECA">
        <w:t xml:space="preserve"> </w:t>
      </w:r>
      <w:r>
        <w:t xml:space="preserve">certain accounting issues </w:t>
      </w:r>
      <w:r w:rsidR="008D0857">
        <w:t xml:space="preserve">that </w:t>
      </w:r>
      <w:r>
        <w:t xml:space="preserve">require further </w:t>
      </w:r>
      <w:r w:rsidR="007A0257">
        <w:t>review</w:t>
      </w:r>
      <w:r w:rsidR="00507C14">
        <w:rPr>
          <w:snapToGrid/>
          <w:kern w:val="0"/>
          <w:szCs w:val="22"/>
        </w:rPr>
        <w:t>.</w:t>
      </w:r>
      <w:r w:rsidRPr="00C2082F">
        <w:rPr>
          <w:rStyle w:val="FootnoteReference"/>
          <w:snapToGrid/>
          <w:kern w:val="0"/>
          <w:szCs w:val="22"/>
        </w:rPr>
        <w:footnoteReference w:id="18"/>
      </w:r>
      <w:r w:rsidRPr="00C2082F">
        <w:rPr>
          <w:snapToGrid/>
          <w:kern w:val="0"/>
          <w:szCs w:val="22"/>
        </w:rPr>
        <w:t xml:space="preserve"> </w:t>
      </w:r>
      <w:r>
        <w:rPr>
          <w:snapToGrid/>
          <w:kern w:val="0"/>
          <w:szCs w:val="22"/>
        </w:rPr>
        <w:t xml:space="preserve"> </w:t>
      </w:r>
      <w:r w:rsidR="00A64542">
        <w:t>The Bureau is unable to determine based on the information submitted the extent to whi</w:t>
      </w:r>
      <w:r w:rsidR="00203AF0">
        <w:t xml:space="preserve">ch relief may be appropriate.  </w:t>
      </w:r>
      <w:r w:rsidR="003708B9">
        <w:t>The</w:t>
      </w:r>
      <w:r>
        <w:t xml:space="preserve"> Bureau</w:t>
      </w:r>
      <w:r w:rsidR="00E65214">
        <w:t xml:space="preserve"> directs USAC</w:t>
      </w:r>
      <w:r w:rsidR="005F08A4">
        <w:t xml:space="preserve"> to</w:t>
      </w:r>
      <w:r w:rsidR="00E65214">
        <w:t xml:space="preserve"> undertake the necessary inquiry and report </w:t>
      </w:r>
      <w:r w:rsidR="00627ADB">
        <w:t xml:space="preserve">its findings to the Bureau </w:t>
      </w:r>
      <w:r w:rsidR="00E65214">
        <w:t xml:space="preserve">as outlined </w:t>
      </w:r>
      <w:r w:rsidR="006F0AC7">
        <w:t>below</w:t>
      </w:r>
      <w:r w:rsidR="00E65214">
        <w:t>.</w:t>
      </w:r>
    </w:p>
    <w:p w14:paraId="290C11B9" w14:textId="17993147" w:rsidR="006F0AC7" w:rsidRDefault="00BC03BF" w:rsidP="006F0AC7">
      <w:pPr>
        <w:pStyle w:val="ParaNum"/>
      </w:pPr>
      <w:r>
        <w:t xml:space="preserve">First, </w:t>
      </w:r>
      <w:r w:rsidR="00AF49BD">
        <w:t xml:space="preserve">the Bureau </w:t>
      </w:r>
      <w:r>
        <w:t>direct</w:t>
      </w:r>
      <w:r w:rsidR="00AF49BD">
        <w:t>s</w:t>
      </w:r>
      <w:r>
        <w:t xml:space="preserve"> USAC to review</w:t>
      </w:r>
      <w:r w:rsidRPr="00D93AE7">
        <w:t xml:space="preserve"> </w:t>
      </w:r>
      <w:r w:rsidR="002C1F55">
        <w:t xml:space="preserve">Allband’s cost allocations between regulated and non-regulated activities, with a particular focus on </w:t>
      </w:r>
      <w:r w:rsidRPr="00D93AE7">
        <w:t>the allocation of general and administrative expenses recorded in Account 6720 between regulated and non-regulated services pursuant to section</w:t>
      </w:r>
      <w:r w:rsidR="00B51B94">
        <w:t>s</w:t>
      </w:r>
      <w:r w:rsidRPr="00D93AE7">
        <w:t xml:space="preserve"> 64.901 </w:t>
      </w:r>
      <w:r w:rsidR="00B51B94">
        <w:t>- 64.903</w:t>
      </w:r>
      <w:r w:rsidRPr="00D93AE7">
        <w:t xml:space="preserve"> of the Commission’s </w:t>
      </w:r>
      <w:r w:rsidRPr="00A06AEC">
        <w:t xml:space="preserve">rules </w:t>
      </w:r>
      <w:r w:rsidR="00316F92">
        <w:t xml:space="preserve">per Allband’s financial records </w:t>
      </w:r>
      <w:r w:rsidRPr="00A06AEC">
        <w:t xml:space="preserve">for the period </w:t>
      </w:r>
      <w:r>
        <w:t>from January 1, 2012 through December 31, 2014</w:t>
      </w:r>
      <w:r w:rsidR="00B51B94">
        <w:t>, the years included within the term of the existing waiver</w:t>
      </w:r>
      <w:r w:rsidR="00EE0D8B">
        <w:t>. </w:t>
      </w:r>
      <w:r w:rsidR="006F0AC7" w:rsidRPr="00FC3342">
        <w:t xml:space="preserve"> </w:t>
      </w:r>
      <w:r>
        <w:t>T</w:t>
      </w:r>
      <w:r w:rsidR="006F0AC7">
        <w:t>he Bureau</w:t>
      </w:r>
      <w:r w:rsidR="006F0AC7" w:rsidRPr="00FC3342">
        <w:t xml:space="preserve"> </w:t>
      </w:r>
      <w:r>
        <w:t>notes</w:t>
      </w:r>
      <w:r w:rsidRPr="00FC3342">
        <w:t xml:space="preserve"> </w:t>
      </w:r>
      <w:r w:rsidR="006F0AC7" w:rsidRPr="00FC3342">
        <w:t xml:space="preserve">certain incongruities between the financial results reported by </w:t>
      </w:r>
      <w:r w:rsidR="00A05579">
        <w:t xml:space="preserve">the incumbent telephone company, </w:t>
      </w:r>
      <w:r w:rsidR="006F0AC7" w:rsidRPr="00FC3342">
        <w:t>ACC</w:t>
      </w:r>
      <w:r w:rsidR="00A05579">
        <w:t>,</w:t>
      </w:r>
      <w:r w:rsidR="006F0AC7" w:rsidRPr="00FC3342">
        <w:t xml:space="preserve"> </w:t>
      </w:r>
      <w:r w:rsidR="006F0AC7">
        <w:t>compared with</w:t>
      </w:r>
      <w:r w:rsidR="006F0AC7" w:rsidRPr="00FC3342">
        <w:t xml:space="preserve"> those reported by ACC’s wholly-owned, unregulated subsidiary Allband Multimedia (AMM).  As shown in the table below, while AMM earned </w:t>
      </w:r>
      <w:r w:rsidR="006F0AC7">
        <w:t>77</w:t>
      </w:r>
      <w:r w:rsidR="00101123">
        <w:t xml:space="preserve"> percent</w:t>
      </w:r>
      <w:r w:rsidR="00101123" w:rsidRPr="00FC3342">
        <w:t xml:space="preserve"> </w:t>
      </w:r>
      <w:r w:rsidR="006F0AC7" w:rsidRPr="00FC3342">
        <w:t xml:space="preserve">of the cooperative’s customer revenues in </w:t>
      </w:r>
      <w:r w:rsidR="006F0AC7">
        <w:t>2014 and has between 500-600 customers (in contrast to ACC’s 170 access lines),</w:t>
      </w:r>
      <w:r w:rsidR="006F0AC7">
        <w:rPr>
          <w:rStyle w:val="FootnoteReference"/>
        </w:rPr>
        <w:footnoteReference w:id="19"/>
      </w:r>
      <w:r w:rsidR="006F0AC7" w:rsidRPr="00FC3342">
        <w:t xml:space="preserve"> it was allocated only </w:t>
      </w:r>
      <w:r w:rsidR="006F0AC7">
        <w:t>32</w:t>
      </w:r>
      <w:r w:rsidR="00101123">
        <w:t xml:space="preserve"> percent</w:t>
      </w:r>
      <w:r w:rsidR="006F0AC7" w:rsidRPr="00FC3342">
        <w:t xml:space="preserve"> of the cooperative’s operating expense</w:t>
      </w:r>
      <w:r w:rsidR="006F0AC7">
        <w:t>, even when depreciation expense, which is incurred entirely by ACC, is excluded</w:t>
      </w:r>
      <w:r w:rsidR="006F0AC7" w:rsidRPr="00FC3342">
        <w:t xml:space="preserve">.  </w:t>
      </w:r>
    </w:p>
    <w:tbl>
      <w:tblPr>
        <w:tblW w:w="7768" w:type="dxa"/>
        <w:jc w:val="center"/>
        <w:tblLook w:val="04A0" w:firstRow="1" w:lastRow="0" w:firstColumn="1" w:lastColumn="0" w:noHBand="0" w:noVBand="1"/>
      </w:tblPr>
      <w:tblGrid>
        <w:gridCol w:w="3680"/>
        <w:gridCol w:w="1278"/>
        <w:gridCol w:w="730"/>
        <w:gridCol w:w="1344"/>
        <w:gridCol w:w="736"/>
      </w:tblGrid>
      <w:tr w:rsidR="006F0AC7" w:rsidRPr="00755866" w14:paraId="1D74C92A" w14:textId="77777777" w:rsidTr="001C0AA7">
        <w:trPr>
          <w:trHeight w:val="288"/>
          <w:jc w:val="center"/>
        </w:trPr>
        <w:tc>
          <w:tcPr>
            <w:tcW w:w="3680"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4F10B33C" w14:textId="77777777" w:rsidR="006F0AC7" w:rsidRPr="001C0AA7" w:rsidRDefault="006F0AC7" w:rsidP="00704DB3">
            <w:pPr>
              <w:widowControl/>
              <w:rPr>
                <w:b/>
                <w:snapToGrid/>
                <w:color w:val="000000"/>
                <w:kern w:val="0"/>
                <w:szCs w:val="22"/>
              </w:rPr>
            </w:pPr>
            <w:r w:rsidRPr="001C0AA7">
              <w:rPr>
                <w:b/>
                <w:snapToGrid/>
                <w:color w:val="000000"/>
                <w:kern w:val="0"/>
                <w:szCs w:val="22"/>
              </w:rPr>
              <w:t>Year Ending December 31, 2014</w:t>
            </w:r>
            <w:r w:rsidRPr="001C0AA7">
              <w:rPr>
                <w:rStyle w:val="FootnoteReference"/>
                <w:b/>
                <w:snapToGrid/>
                <w:kern w:val="0"/>
                <w:szCs w:val="22"/>
              </w:rPr>
              <w:footnoteReference w:id="20"/>
            </w:r>
          </w:p>
        </w:tc>
        <w:tc>
          <w:tcPr>
            <w:tcW w:w="2008" w:type="dxa"/>
            <w:gridSpan w:val="2"/>
            <w:tcBorders>
              <w:top w:val="single" w:sz="4" w:space="0" w:color="auto"/>
              <w:left w:val="nil"/>
              <w:bottom w:val="single" w:sz="4" w:space="0" w:color="auto"/>
              <w:right w:val="single" w:sz="4" w:space="0" w:color="000000"/>
            </w:tcBorders>
            <w:shd w:val="clear" w:color="000000" w:fill="D8E4BC"/>
            <w:noWrap/>
            <w:vAlign w:val="bottom"/>
          </w:tcPr>
          <w:p w14:paraId="4EB8D425" w14:textId="23AB6F93" w:rsidR="006F0AC7" w:rsidRPr="00491A7A" w:rsidRDefault="006F0AC7" w:rsidP="00704DB3">
            <w:pPr>
              <w:widowControl/>
              <w:jc w:val="center"/>
              <w:rPr>
                <w:b/>
                <w:bCs/>
                <w:snapToGrid/>
                <w:color w:val="000000"/>
                <w:kern w:val="0"/>
                <w:szCs w:val="22"/>
              </w:rPr>
            </w:pPr>
          </w:p>
        </w:tc>
        <w:tc>
          <w:tcPr>
            <w:tcW w:w="2080" w:type="dxa"/>
            <w:gridSpan w:val="2"/>
            <w:tcBorders>
              <w:top w:val="single" w:sz="4" w:space="0" w:color="auto"/>
              <w:left w:val="nil"/>
              <w:bottom w:val="single" w:sz="4" w:space="0" w:color="auto"/>
              <w:right w:val="single" w:sz="4" w:space="0" w:color="000000"/>
            </w:tcBorders>
            <w:shd w:val="clear" w:color="000000" w:fill="D8E4BC"/>
            <w:noWrap/>
            <w:vAlign w:val="bottom"/>
          </w:tcPr>
          <w:p w14:paraId="23AF76FF" w14:textId="02E4220A" w:rsidR="006F0AC7" w:rsidRPr="00491A7A" w:rsidRDefault="006F0AC7" w:rsidP="00704DB3">
            <w:pPr>
              <w:widowControl/>
              <w:jc w:val="center"/>
              <w:rPr>
                <w:b/>
                <w:bCs/>
                <w:snapToGrid/>
                <w:color w:val="000000"/>
                <w:kern w:val="0"/>
                <w:szCs w:val="22"/>
              </w:rPr>
            </w:pPr>
          </w:p>
        </w:tc>
      </w:tr>
      <w:tr w:rsidR="006F0AC7" w:rsidRPr="00755866" w14:paraId="3D05A53E"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000000" w:fill="D8E4BC"/>
            <w:noWrap/>
            <w:vAlign w:val="bottom"/>
          </w:tcPr>
          <w:p w14:paraId="24561066"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1278" w:type="dxa"/>
            <w:tcBorders>
              <w:top w:val="nil"/>
              <w:left w:val="nil"/>
              <w:bottom w:val="single" w:sz="4" w:space="0" w:color="auto"/>
              <w:right w:val="single" w:sz="4" w:space="0" w:color="auto"/>
            </w:tcBorders>
            <w:shd w:val="clear" w:color="000000" w:fill="D8E4BC"/>
            <w:noWrap/>
            <w:vAlign w:val="bottom"/>
          </w:tcPr>
          <w:p w14:paraId="14BFDF1E" w14:textId="77777777" w:rsidR="006F0AC7" w:rsidRPr="00491A7A" w:rsidRDefault="006F0AC7" w:rsidP="00704DB3">
            <w:pPr>
              <w:widowControl/>
              <w:jc w:val="center"/>
              <w:rPr>
                <w:snapToGrid/>
                <w:color w:val="000000"/>
                <w:kern w:val="0"/>
                <w:szCs w:val="22"/>
              </w:rPr>
            </w:pPr>
            <w:r w:rsidRPr="00491A7A">
              <w:rPr>
                <w:snapToGrid/>
                <w:color w:val="000000"/>
                <w:kern w:val="0"/>
                <w:szCs w:val="22"/>
              </w:rPr>
              <w:t>$</w:t>
            </w:r>
          </w:p>
        </w:tc>
        <w:tc>
          <w:tcPr>
            <w:tcW w:w="730" w:type="dxa"/>
            <w:tcBorders>
              <w:top w:val="nil"/>
              <w:left w:val="nil"/>
              <w:bottom w:val="single" w:sz="4" w:space="0" w:color="auto"/>
              <w:right w:val="single" w:sz="4" w:space="0" w:color="auto"/>
            </w:tcBorders>
            <w:shd w:val="clear" w:color="000000" w:fill="D8E4BC"/>
            <w:noWrap/>
            <w:vAlign w:val="bottom"/>
          </w:tcPr>
          <w:p w14:paraId="1FDF2F02" w14:textId="77777777" w:rsidR="006F0AC7" w:rsidRPr="00491A7A" w:rsidRDefault="006F0AC7" w:rsidP="00704DB3">
            <w:pPr>
              <w:widowControl/>
              <w:jc w:val="center"/>
              <w:rPr>
                <w:snapToGrid/>
                <w:color w:val="000000"/>
                <w:kern w:val="0"/>
                <w:szCs w:val="22"/>
              </w:rPr>
            </w:pPr>
            <w:r w:rsidRPr="00491A7A">
              <w:rPr>
                <w:snapToGrid/>
                <w:color w:val="000000"/>
                <w:kern w:val="0"/>
                <w:szCs w:val="22"/>
              </w:rPr>
              <w:t xml:space="preserve"> % </w:t>
            </w:r>
          </w:p>
        </w:tc>
        <w:tc>
          <w:tcPr>
            <w:tcW w:w="1344" w:type="dxa"/>
            <w:tcBorders>
              <w:top w:val="nil"/>
              <w:left w:val="nil"/>
              <w:bottom w:val="single" w:sz="4" w:space="0" w:color="auto"/>
              <w:right w:val="single" w:sz="4" w:space="0" w:color="auto"/>
            </w:tcBorders>
            <w:shd w:val="clear" w:color="000000" w:fill="D8E4BC"/>
            <w:noWrap/>
            <w:vAlign w:val="bottom"/>
          </w:tcPr>
          <w:p w14:paraId="501B208A" w14:textId="77777777" w:rsidR="006F0AC7" w:rsidRPr="00491A7A" w:rsidRDefault="006F0AC7" w:rsidP="00704DB3">
            <w:pPr>
              <w:widowControl/>
              <w:jc w:val="center"/>
              <w:rPr>
                <w:snapToGrid/>
                <w:color w:val="000000"/>
                <w:kern w:val="0"/>
                <w:szCs w:val="22"/>
              </w:rPr>
            </w:pPr>
            <w:r w:rsidRPr="00491A7A">
              <w:rPr>
                <w:snapToGrid/>
                <w:color w:val="000000"/>
                <w:kern w:val="0"/>
                <w:szCs w:val="22"/>
              </w:rPr>
              <w:t xml:space="preserve"> $ </w:t>
            </w:r>
          </w:p>
        </w:tc>
        <w:tc>
          <w:tcPr>
            <w:tcW w:w="736" w:type="dxa"/>
            <w:tcBorders>
              <w:top w:val="nil"/>
              <w:left w:val="nil"/>
              <w:bottom w:val="single" w:sz="4" w:space="0" w:color="auto"/>
              <w:right w:val="single" w:sz="4" w:space="0" w:color="auto"/>
            </w:tcBorders>
            <w:shd w:val="clear" w:color="000000" w:fill="D8E4BC"/>
            <w:noWrap/>
            <w:vAlign w:val="bottom"/>
          </w:tcPr>
          <w:p w14:paraId="3BBC2C8B" w14:textId="77777777" w:rsidR="006F0AC7" w:rsidRPr="00755866" w:rsidRDefault="006F0AC7" w:rsidP="00704DB3">
            <w:pPr>
              <w:widowControl/>
              <w:jc w:val="center"/>
              <w:rPr>
                <w:rFonts w:ascii="Calibri" w:hAnsi="Calibri"/>
                <w:snapToGrid/>
                <w:color w:val="000000"/>
                <w:kern w:val="0"/>
                <w:szCs w:val="22"/>
              </w:rPr>
            </w:pPr>
            <w:r w:rsidRPr="00755866">
              <w:rPr>
                <w:rFonts w:ascii="Calibri" w:hAnsi="Calibri"/>
                <w:snapToGrid/>
                <w:color w:val="000000"/>
                <w:kern w:val="0"/>
                <w:szCs w:val="22"/>
              </w:rPr>
              <w:t xml:space="preserve"> % </w:t>
            </w:r>
          </w:p>
        </w:tc>
      </w:tr>
      <w:tr w:rsidR="006F0AC7" w:rsidRPr="00755866" w14:paraId="10F18BAF"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CA0FFB6" w14:textId="77777777" w:rsidR="006F0AC7" w:rsidRPr="00491A7A" w:rsidRDefault="006F0AC7" w:rsidP="00704DB3">
            <w:pPr>
              <w:widowControl/>
              <w:rPr>
                <w:snapToGrid/>
                <w:color w:val="000000"/>
                <w:kern w:val="0"/>
                <w:szCs w:val="22"/>
              </w:rPr>
            </w:pPr>
            <w:r w:rsidRPr="00491A7A">
              <w:rPr>
                <w:snapToGrid/>
                <w:color w:val="000000"/>
                <w:kern w:val="0"/>
                <w:szCs w:val="22"/>
              </w:rPr>
              <w:t>OPERATING REVENUES</w:t>
            </w:r>
          </w:p>
        </w:tc>
        <w:tc>
          <w:tcPr>
            <w:tcW w:w="1278" w:type="dxa"/>
            <w:tcBorders>
              <w:top w:val="nil"/>
              <w:left w:val="nil"/>
              <w:bottom w:val="single" w:sz="4" w:space="0" w:color="auto"/>
              <w:right w:val="single" w:sz="4" w:space="0" w:color="auto"/>
            </w:tcBorders>
            <w:shd w:val="clear" w:color="auto" w:fill="auto"/>
            <w:noWrap/>
            <w:vAlign w:val="bottom"/>
          </w:tcPr>
          <w:p w14:paraId="677EA7D5"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730" w:type="dxa"/>
            <w:tcBorders>
              <w:top w:val="nil"/>
              <w:left w:val="nil"/>
              <w:bottom w:val="single" w:sz="4" w:space="0" w:color="auto"/>
              <w:right w:val="single" w:sz="4" w:space="0" w:color="auto"/>
            </w:tcBorders>
            <w:shd w:val="clear" w:color="auto" w:fill="auto"/>
            <w:noWrap/>
            <w:vAlign w:val="bottom"/>
          </w:tcPr>
          <w:p w14:paraId="00F9717F"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1344" w:type="dxa"/>
            <w:tcBorders>
              <w:top w:val="nil"/>
              <w:left w:val="nil"/>
              <w:bottom w:val="single" w:sz="4" w:space="0" w:color="auto"/>
              <w:right w:val="single" w:sz="4" w:space="0" w:color="auto"/>
            </w:tcBorders>
            <w:shd w:val="clear" w:color="auto" w:fill="auto"/>
            <w:noWrap/>
            <w:vAlign w:val="bottom"/>
          </w:tcPr>
          <w:p w14:paraId="7C83C3D0"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736" w:type="dxa"/>
            <w:tcBorders>
              <w:top w:val="nil"/>
              <w:left w:val="nil"/>
              <w:bottom w:val="single" w:sz="4" w:space="0" w:color="auto"/>
              <w:right w:val="single" w:sz="4" w:space="0" w:color="auto"/>
            </w:tcBorders>
            <w:shd w:val="clear" w:color="auto" w:fill="auto"/>
            <w:noWrap/>
            <w:vAlign w:val="bottom"/>
          </w:tcPr>
          <w:p w14:paraId="65FC08FC" w14:textId="77777777" w:rsidR="006F0AC7" w:rsidRPr="00755866" w:rsidRDefault="006F0AC7" w:rsidP="00704DB3">
            <w:pPr>
              <w:widowControl/>
              <w:rPr>
                <w:rFonts w:ascii="Calibri" w:hAnsi="Calibri"/>
                <w:snapToGrid/>
                <w:color w:val="000000"/>
                <w:kern w:val="0"/>
                <w:szCs w:val="22"/>
              </w:rPr>
            </w:pPr>
            <w:r w:rsidRPr="00755866">
              <w:rPr>
                <w:rFonts w:ascii="Calibri" w:hAnsi="Calibri"/>
                <w:snapToGrid/>
                <w:color w:val="000000"/>
                <w:kern w:val="0"/>
                <w:szCs w:val="22"/>
              </w:rPr>
              <w:t> </w:t>
            </w:r>
          </w:p>
        </w:tc>
      </w:tr>
      <w:tr w:rsidR="006F0AC7" w:rsidRPr="00755866" w14:paraId="23078C0A"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1D886DC7" w14:textId="77777777" w:rsidR="006F0AC7" w:rsidRPr="00491A7A" w:rsidRDefault="006F0AC7" w:rsidP="00704DB3">
            <w:pPr>
              <w:widowControl/>
              <w:rPr>
                <w:snapToGrid/>
                <w:color w:val="000000"/>
                <w:kern w:val="0"/>
                <w:szCs w:val="22"/>
              </w:rPr>
            </w:pPr>
            <w:r w:rsidRPr="00491A7A">
              <w:rPr>
                <w:snapToGrid/>
                <w:color w:val="000000"/>
                <w:kern w:val="0"/>
                <w:szCs w:val="22"/>
              </w:rPr>
              <w:t>Total operating revenues</w:t>
            </w:r>
          </w:p>
        </w:tc>
        <w:tc>
          <w:tcPr>
            <w:tcW w:w="1278" w:type="dxa"/>
            <w:tcBorders>
              <w:top w:val="nil"/>
              <w:left w:val="nil"/>
              <w:bottom w:val="single" w:sz="4" w:space="0" w:color="auto"/>
              <w:right w:val="single" w:sz="4" w:space="0" w:color="auto"/>
            </w:tcBorders>
            <w:shd w:val="clear" w:color="auto" w:fill="auto"/>
            <w:noWrap/>
            <w:vAlign w:val="bottom"/>
          </w:tcPr>
          <w:p w14:paraId="15E81D6C"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1,598,112 </w:t>
            </w:r>
          </w:p>
        </w:tc>
        <w:tc>
          <w:tcPr>
            <w:tcW w:w="730" w:type="dxa"/>
            <w:tcBorders>
              <w:top w:val="nil"/>
              <w:left w:val="nil"/>
              <w:bottom w:val="single" w:sz="4" w:space="0" w:color="auto"/>
              <w:right w:val="single" w:sz="4" w:space="0" w:color="auto"/>
            </w:tcBorders>
            <w:shd w:val="clear" w:color="auto" w:fill="auto"/>
            <w:noWrap/>
            <w:vAlign w:val="bottom"/>
          </w:tcPr>
          <w:p w14:paraId="04BD7F92"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1344" w:type="dxa"/>
            <w:tcBorders>
              <w:top w:val="nil"/>
              <w:left w:val="nil"/>
              <w:bottom w:val="single" w:sz="4" w:space="0" w:color="auto"/>
              <w:right w:val="single" w:sz="4" w:space="0" w:color="auto"/>
            </w:tcBorders>
            <w:shd w:val="clear" w:color="auto" w:fill="auto"/>
            <w:noWrap/>
            <w:vAlign w:val="bottom"/>
          </w:tcPr>
          <w:p w14:paraId="74D3B484"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509,387 </w:t>
            </w:r>
          </w:p>
        </w:tc>
        <w:tc>
          <w:tcPr>
            <w:tcW w:w="736" w:type="dxa"/>
            <w:tcBorders>
              <w:top w:val="nil"/>
              <w:left w:val="nil"/>
              <w:bottom w:val="single" w:sz="4" w:space="0" w:color="auto"/>
              <w:right w:val="single" w:sz="4" w:space="0" w:color="auto"/>
            </w:tcBorders>
            <w:shd w:val="clear" w:color="auto" w:fill="auto"/>
            <w:noWrap/>
            <w:vAlign w:val="bottom"/>
          </w:tcPr>
          <w:p w14:paraId="78C119CB" w14:textId="77777777" w:rsidR="006F0AC7" w:rsidRPr="00755866" w:rsidRDefault="006F0AC7" w:rsidP="00704DB3">
            <w:pPr>
              <w:widowControl/>
              <w:rPr>
                <w:rFonts w:ascii="Calibri" w:hAnsi="Calibri"/>
                <w:snapToGrid/>
                <w:color w:val="000000"/>
                <w:kern w:val="0"/>
                <w:szCs w:val="22"/>
              </w:rPr>
            </w:pPr>
            <w:r w:rsidRPr="00755866">
              <w:rPr>
                <w:rFonts w:ascii="Calibri" w:hAnsi="Calibri"/>
                <w:snapToGrid/>
                <w:color w:val="000000"/>
                <w:kern w:val="0"/>
                <w:szCs w:val="22"/>
              </w:rPr>
              <w:t> </w:t>
            </w:r>
          </w:p>
        </w:tc>
      </w:tr>
      <w:tr w:rsidR="006F0AC7" w:rsidRPr="00755866" w14:paraId="49910A39"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739428E2" w14:textId="77777777" w:rsidR="006F0AC7" w:rsidRPr="00491A7A" w:rsidRDefault="006F0AC7" w:rsidP="00704DB3">
            <w:pPr>
              <w:widowControl/>
              <w:rPr>
                <w:snapToGrid/>
                <w:color w:val="000000"/>
                <w:kern w:val="0"/>
                <w:szCs w:val="22"/>
              </w:rPr>
            </w:pPr>
            <w:r w:rsidRPr="00491A7A">
              <w:rPr>
                <w:snapToGrid/>
                <w:color w:val="000000"/>
                <w:kern w:val="0"/>
                <w:szCs w:val="22"/>
              </w:rPr>
              <w:t xml:space="preserve">USF revenues </w:t>
            </w:r>
          </w:p>
        </w:tc>
        <w:tc>
          <w:tcPr>
            <w:tcW w:w="1278" w:type="dxa"/>
            <w:tcBorders>
              <w:top w:val="nil"/>
              <w:left w:val="nil"/>
              <w:bottom w:val="single" w:sz="4" w:space="0" w:color="auto"/>
              <w:right w:val="single" w:sz="4" w:space="0" w:color="auto"/>
            </w:tcBorders>
            <w:shd w:val="clear" w:color="auto" w:fill="auto"/>
            <w:noWrap/>
            <w:vAlign w:val="bottom"/>
          </w:tcPr>
          <w:p w14:paraId="15F14A5C"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1,448,594 </w:t>
            </w:r>
          </w:p>
        </w:tc>
        <w:tc>
          <w:tcPr>
            <w:tcW w:w="730" w:type="dxa"/>
            <w:tcBorders>
              <w:top w:val="nil"/>
              <w:left w:val="nil"/>
              <w:bottom w:val="single" w:sz="4" w:space="0" w:color="auto"/>
              <w:right w:val="single" w:sz="4" w:space="0" w:color="auto"/>
            </w:tcBorders>
            <w:shd w:val="clear" w:color="auto" w:fill="auto"/>
            <w:noWrap/>
            <w:vAlign w:val="bottom"/>
          </w:tcPr>
          <w:p w14:paraId="64BE6065"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1344" w:type="dxa"/>
            <w:tcBorders>
              <w:top w:val="nil"/>
              <w:left w:val="nil"/>
              <w:bottom w:val="single" w:sz="4" w:space="0" w:color="auto"/>
              <w:right w:val="single" w:sz="4" w:space="0" w:color="auto"/>
            </w:tcBorders>
            <w:shd w:val="clear" w:color="auto" w:fill="auto"/>
            <w:noWrap/>
            <w:vAlign w:val="bottom"/>
          </w:tcPr>
          <w:p w14:paraId="7684ECA3"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0 </w:t>
            </w:r>
          </w:p>
        </w:tc>
        <w:tc>
          <w:tcPr>
            <w:tcW w:w="736" w:type="dxa"/>
            <w:tcBorders>
              <w:top w:val="nil"/>
              <w:left w:val="nil"/>
              <w:bottom w:val="single" w:sz="4" w:space="0" w:color="auto"/>
              <w:right w:val="single" w:sz="4" w:space="0" w:color="auto"/>
            </w:tcBorders>
            <w:shd w:val="clear" w:color="auto" w:fill="auto"/>
            <w:noWrap/>
            <w:vAlign w:val="bottom"/>
          </w:tcPr>
          <w:p w14:paraId="64772345" w14:textId="77777777" w:rsidR="006F0AC7" w:rsidRPr="00755866" w:rsidRDefault="006F0AC7" w:rsidP="00704DB3">
            <w:pPr>
              <w:widowControl/>
              <w:rPr>
                <w:rFonts w:ascii="Calibri" w:hAnsi="Calibri"/>
                <w:snapToGrid/>
                <w:color w:val="000000"/>
                <w:kern w:val="0"/>
                <w:szCs w:val="22"/>
              </w:rPr>
            </w:pPr>
            <w:r w:rsidRPr="00755866">
              <w:rPr>
                <w:rFonts w:ascii="Calibri" w:hAnsi="Calibri"/>
                <w:snapToGrid/>
                <w:color w:val="000000"/>
                <w:kern w:val="0"/>
                <w:szCs w:val="22"/>
              </w:rPr>
              <w:t> </w:t>
            </w:r>
          </w:p>
        </w:tc>
      </w:tr>
      <w:tr w:rsidR="006F0AC7" w:rsidRPr="006F0AC7" w14:paraId="029AC86E" w14:textId="77777777" w:rsidTr="001C0AA7">
        <w:trPr>
          <w:trHeight w:val="576"/>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5C4205B8" w14:textId="77777777" w:rsidR="006F0AC7" w:rsidRPr="00491A7A" w:rsidRDefault="006F0AC7" w:rsidP="00704DB3">
            <w:pPr>
              <w:widowControl/>
              <w:rPr>
                <w:b/>
                <w:bCs/>
                <w:snapToGrid/>
                <w:color w:val="000000"/>
                <w:kern w:val="0"/>
                <w:szCs w:val="22"/>
              </w:rPr>
            </w:pPr>
            <w:r w:rsidRPr="00491A7A">
              <w:rPr>
                <w:b/>
                <w:bCs/>
                <w:snapToGrid/>
                <w:color w:val="000000"/>
                <w:kern w:val="0"/>
                <w:szCs w:val="22"/>
              </w:rPr>
              <w:t>Total operating revenues</w:t>
            </w:r>
            <w:r w:rsidRPr="00491A7A">
              <w:rPr>
                <w:b/>
                <w:bCs/>
                <w:snapToGrid/>
                <w:color w:val="000000"/>
                <w:kern w:val="0"/>
                <w:szCs w:val="22"/>
              </w:rPr>
              <w:br/>
              <w:t>(excluding USF)</w:t>
            </w:r>
          </w:p>
        </w:tc>
        <w:tc>
          <w:tcPr>
            <w:tcW w:w="1278" w:type="dxa"/>
            <w:tcBorders>
              <w:top w:val="nil"/>
              <w:left w:val="nil"/>
              <w:bottom w:val="single" w:sz="4" w:space="0" w:color="auto"/>
              <w:right w:val="single" w:sz="4" w:space="0" w:color="auto"/>
            </w:tcBorders>
            <w:shd w:val="clear" w:color="auto" w:fill="auto"/>
            <w:noWrap/>
            <w:vAlign w:val="bottom"/>
          </w:tcPr>
          <w:p w14:paraId="6BE25BF4" w14:textId="77777777" w:rsidR="006F0AC7" w:rsidRPr="00491A7A" w:rsidRDefault="006F0AC7" w:rsidP="00704DB3">
            <w:pPr>
              <w:widowControl/>
              <w:jc w:val="right"/>
              <w:rPr>
                <w:b/>
                <w:bCs/>
                <w:snapToGrid/>
                <w:color w:val="000000"/>
                <w:kern w:val="0"/>
                <w:szCs w:val="22"/>
              </w:rPr>
            </w:pPr>
            <w:r w:rsidRPr="00491A7A">
              <w:rPr>
                <w:b/>
                <w:bCs/>
                <w:snapToGrid/>
                <w:color w:val="000000"/>
                <w:kern w:val="0"/>
                <w:szCs w:val="22"/>
              </w:rPr>
              <w:t xml:space="preserve">149,518 </w:t>
            </w:r>
          </w:p>
        </w:tc>
        <w:tc>
          <w:tcPr>
            <w:tcW w:w="730" w:type="dxa"/>
            <w:tcBorders>
              <w:top w:val="nil"/>
              <w:left w:val="nil"/>
              <w:bottom w:val="single" w:sz="4" w:space="0" w:color="auto"/>
              <w:right w:val="single" w:sz="4" w:space="0" w:color="auto"/>
            </w:tcBorders>
            <w:shd w:val="clear" w:color="auto" w:fill="auto"/>
            <w:noWrap/>
            <w:vAlign w:val="bottom"/>
          </w:tcPr>
          <w:p w14:paraId="65EE7FFF"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23%</w:t>
            </w:r>
          </w:p>
        </w:tc>
        <w:tc>
          <w:tcPr>
            <w:tcW w:w="1344" w:type="dxa"/>
            <w:tcBorders>
              <w:top w:val="nil"/>
              <w:left w:val="nil"/>
              <w:bottom w:val="single" w:sz="4" w:space="0" w:color="auto"/>
              <w:right w:val="single" w:sz="4" w:space="0" w:color="auto"/>
            </w:tcBorders>
            <w:shd w:val="clear" w:color="auto" w:fill="auto"/>
            <w:noWrap/>
            <w:vAlign w:val="bottom"/>
          </w:tcPr>
          <w:p w14:paraId="09B14A42"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 xml:space="preserve">509,387 </w:t>
            </w:r>
          </w:p>
        </w:tc>
        <w:tc>
          <w:tcPr>
            <w:tcW w:w="736" w:type="dxa"/>
            <w:tcBorders>
              <w:top w:val="nil"/>
              <w:left w:val="nil"/>
              <w:bottom w:val="single" w:sz="4" w:space="0" w:color="auto"/>
              <w:right w:val="single" w:sz="4" w:space="0" w:color="auto"/>
            </w:tcBorders>
            <w:shd w:val="clear" w:color="auto" w:fill="auto"/>
            <w:noWrap/>
            <w:vAlign w:val="bottom"/>
          </w:tcPr>
          <w:p w14:paraId="717A79AD"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77%</w:t>
            </w:r>
          </w:p>
        </w:tc>
      </w:tr>
      <w:tr w:rsidR="006F0AC7" w:rsidRPr="006F0AC7" w14:paraId="66CC761C"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0707CAB4" w14:textId="77777777" w:rsidR="006F0AC7" w:rsidRPr="00491A7A" w:rsidRDefault="006F0AC7" w:rsidP="00704DB3">
            <w:pPr>
              <w:widowControl/>
              <w:rPr>
                <w:snapToGrid/>
                <w:color w:val="000000"/>
                <w:kern w:val="0"/>
                <w:szCs w:val="22"/>
              </w:rPr>
            </w:pPr>
            <w:r w:rsidRPr="00491A7A">
              <w:rPr>
                <w:snapToGrid/>
                <w:color w:val="000000"/>
                <w:kern w:val="0"/>
                <w:szCs w:val="22"/>
              </w:rPr>
              <w:t>OPERATING EXPENSES</w:t>
            </w:r>
          </w:p>
        </w:tc>
        <w:tc>
          <w:tcPr>
            <w:tcW w:w="1278" w:type="dxa"/>
            <w:tcBorders>
              <w:top w:val="nil"/>
              <w:left w:val="nil"/>
              <w:bottom w:val="single" w:sz="4" w:space="0" w:color="auto"/>
              <w:right w:val="single" w:sz="4" w:space="0" w:color="auto"/>
            </w:tcBorders>
            <w:shd w:val="clear" w:color="auto" w:fill="auto"/>
            <w:noWrap/>
            <w:vAlign w:val="bottom"/>
          </w:tcPr>
          <w:p w14:paraId="50F80B59" w14:textId="77777777" w:rsidR="006F0AC7" w:rsidRPr="00491A7A" w:rsidRDefault="006F0AC7" w:rsidP="00704DB3">
            <w:pPr>
              <w:widowControl/>
              <w:rPr>
                <w:snapToGrid/>
                <w:color w:val="000000"/>
                <w:kern w:val="0"/>
                <w:szCs w:val="22"/>
              </w:rPr>
            </w:pPr>
            <w:r w:rsidRPr="00491A7A">
              <w:rPr>
                <w:snapToGrid/>
                <w:color w:val="000000"/>
                <w:kern w:val="0"/>
                <w:szCs w:val="22"/>
              </w:rPr>
              <w:t> </w:t>
            </w:r>
          </w:p>
        </w:tc>
        <w:tc>
          <w:tcPr>
            <w:tcW w:w="730" w:type="dxa"/>
            <w:tcBorders>
              <w:top w:val="nil"/>
              <w:left w:val="nil"/>
              <w:bottom w:val="single" w:sz="4" w:space="0" w:color="auto"/>
              <w:right w:val="single" w:sz="4" w:space="0" w:color="auto"/>
            </w:tcBorders>
            <w:shd w:val="clear" w:color="auto" w:fill="auto"/>
            <w:noWrap/>
            <w:vAlign w:val="bottom"/>
          </w:tcPr>
          <w:p w14:paraId="56D82964" w14:textId="77777777" w:rsidR="006F0AC7" w:rsidRPr="006F0AC7" w:rsidRDefault="006F0AC7" w:rsidP="00704DB3">
            <w:pPr>
              <w:widowControl/>
              <w:rPr>
                <w:snapToGrid/>
                <w:color w:val="000000"/>
                <w:kern w:val="0"/>
                <w:szCs w:val="22"/>
              </w:rPr>
            </w:pPr>
            <w:r w:rsidRPr="006F0AC7">
              <w:rPr>
                <w:snapToGrid/>
                <w:color w:val="000000"/>
                <w:kern w:val="0"/>
                <w:szCs w:val="22"/>
              </w:rPr>
              <w:t> </w:t>
            </w:r>
          </w:p>
        </w:tc>
        <w:tc>
          <w:tcPr>
            <w:tcW w:w="1344" w:type="dxa"/>
            <w:tcBorders>
              <w:top w:val="nil"/>
              <w:left w:val="nil"/>
              <w:bottom w:val="single" w:sz="4" w:space="0" w:color="auto"/>
              <w:right w:val="single" w:sz="4" w:space="0" w:color="auto"/>
            </w:tcBorders>
            <w:shd w:val="clear" w:color="auto" w:fill="auto"/>
            <w:noWrap/>
            <w:vAlign w:val="bottom"/>
          </w:tcPr>
          <w:p w14:paraId="3DB8CA9A" w14:textId="77777777" w:rsidR="006F0AC7" w:rsidRPr="006F0AC7" w:rsidRDefault="006F0AC7" w:rsidP="00704DB3">
            <w:pPr>
              <w:widowControl/>
              <w:rPr>
                <w:snapToGrid/>
                <w:color w:val="000000"/>
                <w:kern w:val="0"/>
                <w:szCs w:val="22"/>
              </w:rPr>
            </w:pPr>
            <w:r w:rsidRPr="006F0AC7">
              <w:rPr>
                <w:snapToGrid/>
                <w:color w:val="000000"/>
                <w:kern w:val="0"/>
                <w:szCs w:val="22"/>
              </w:rPr>
              <w:t> </w:t>
            </w:r>
          </w:p>
        </w:tc>
        <w:tc>
          <w:tcPr>
            <w:tcW w:w="736" w:type="dxa"/>
            <w:tcBorders>
              <w:top w:val="nil"/>
              <w:left w:val="nil"/>
              <w:bottom w:val="single" w:sz="4" w:space="0" w:color="auto"/>
              <w:right w:val="single" w:sz="4" w:space="0" w:color="auto"/>
            </w:tcBorders>
            <w:shd w:val="clear" w:color="auto" w:fill="auto"/>
            <w:noWrap/>
            <w:vAlign w:val="bottom"/>
          </w:tcPr>
          <w:p w14:paraId="754157A6" w14:textId="77777777" w:rsidR="006F0AC7" w:rsidRPr="006F0AC7" w:rsidRDefault="006F0AC7" w:rsidP="00704DB3">
            <w:pPr>
              <w:widowControl/>
              <w:rPr>
                <w:snapToGrid/>
                <w:color w:val="000000"/>
                <w:kern w:val="0"/>
                <w:szCs w:val="22"/>
              </w:rPr>
            </w:pPr>
            <w:r w:rsidRPr="006F0AC7">
              <w:rPr>
                <w:snapToGrid/>
                <w:color w:val="000000"/>
                <w:kern w:val="0"/>
                <w:szCs w:val="22"/>
              </w:rPr>
              <w:t> </w:t>
            </w:r>
          </w:p>
        </w:tc>
      </w:tr>
      <w:tr w:rsidR="006F0AC7" w:rsidRPr="006F0AC7" w14:paraId="473EEFBA"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4CDC0549" w14:textId="77777777" w:rsidR="006F0AC7" w:rsidRPr="00491A7A" w:rsidRDefault="006F0AC7" w:rsidP="00704DB3">
            <w:pPr>
              <w:widowControl/>
              <w:rPr>
                <w:snapToGrid/>
                <w:color w:val="000000"/>
                <w:kern w:val="0"/>
                <w:szCs w:val="22"/>
              </w:rPr>
            </w:pPr>
            <w:r w:rsidRPr="00491A7A">
              <w:rPr>
                <w:snapToGrid/>
                <w:color w:val="000000"/>
                <w:kern w:val="0"/>
                <w:szCs w:val="22"/>
              </w:rPr>
              <w:t>Plant specific operations</w:t>
            </w:r>
          </w:p>
        </w:tc>
        <w:tc>
          <w:tcPr>
            <w:tcW w:w="1278" w:type="dxa"/>
            <w:tcBorders>
              <w:top w:val="nil"/>
              <w:left w:val="nil"/>
              <w:bottom w:val="single" w:sz="4" w:space="0" w:color="auto"/>
              <w:right w:val="single" w:sz="4" w:space="0" w:color="auto"/>
            </w:tcBorders>
            <w:shd w:val="clear" w:color="auto" w:fill="auto"/>
            <w:noWrap/>
            <w:vAlign w:val="bottom"/>
          </w:tcPr>
          <w:p w14:paraId="2FC397B0"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187,016 </w:t>
            </w:r>
          </w:p>
        </w:tc>
        <w:tc>
          <w:tcPr>
            <w:tcW w:w="730" w:type="dxa"/>
            <w:tcBorders>
              <w:top w:val="nil"/>
              <w:left w:val="nil"/>
              <w:bottom w:val="single" w:sz="4" w:space="0" w:color="auto"/>
              <w:right w:val="single" w:sz="4" w:space="0" w:color="auto"/>
            </w:tcBorders>
            <w:shd w:val="clear" w:color="auto" w:fill="auto"/>
            <w:noWrap/>
            <w:vAlign w:val="bottom"/>
          </w:tcPr>
          <w:p w14:paraId="7D9F106D" w14:textId="77777777" w:rsidR="006F0AC7" w:rsidRPr="006F0AC7" w:rsidRDefault="006F0AC7" w:rsidP="00704DB3">
            <w:pPr>
              <w:widowControl/>
              <w:jc w:val="right"/>
              <w:rPr>
                <w:snapToGrid/>
                <w:color w:val="000000"/>
                <w:kern w:val="0"/>
                <w:szCs w:val="22"/>
              </w:rPr>
            </w:pPr>
            <w:r w:rsidRPr="006F0AC7">
              <w:rPr>
                <w:snapToGrid/>
                <w:color w:val="000000"/>
                <w:kern w:val="0"/>
                <w:szCs w:val="22"/>
              </w:rPr>
              <w:t>56%</w:t>
            </w:r>
          </w:p>
        </w:tc>
        <w:tc>
          <w:tcPr>
            <w:tcW w:w="1344" w:type="dxa"/>
            <w:tcBorders>
              <w:top w:val="nil"/>
              <w:left w:val="nil"/>
              <w:bottom w:val="single" w:sz="4" w:space="0" w:color="auto"/>
              <w:right w:val="single" w:sz="4" w:space="0" w:color="auto"/>
            </w:tcBorders>
            <w:shd w:val="clear" w:color="auto" w:fill="auto"/>
            <w:noWrap/>
            <w:vAlign w:val="bottom"/>
          </w:tcPr>
          <w:p w14:paraId="5A462F77" w14:textId="77777777" w:rsidR="006F0AC7" w:rsidRPr="006F0AC7" w:rsidRDefault="006F0AC7" w:rsidP="00704DB3">
            <w:pPr>
              <w:widowControl/>
              <w:jc w:val="right"/>
              <w:rPr>
                <w:snapToGrid/>
                <w:color w:val="000000"/>
                <w:kern w:val="0"/>
                <w:szCs w:val="22"/>
              </w:rPr>
            </w:pPr>
            <w:r w:rsidRPr="006F0AC7">
              <w:rPr>
                <w:snapToGrid/>
                <w:color w:val="000000"/>
                <w:kern w:val="0"/>
                <w:szCs w:val="22"/>
              </w:rPr>
              <w:t xml:space="preserve">149,103 </w:t>
            </w:r>
          </w:p>
        </w:tc>
        <w:tc>
          <w:tcPr>
            <w:tcW w:w="736" w:type="dxa"/>
            <w:tcBorders>
              <w:top w:val="nil"/>
              <w:left w:val="nil"/>
              <w:bottom w:val="single" w:sz="4" w:space="0" w:color="auto"/>
              <w:right w:val="single" w:sz="4" w:space="0" w:color="auto"/>
            </w:tcBorders>
            <w:shd w:val="clear" w:color="auto" w:fill="auto"/>
            <w:noWrap/>
            <w:vAlign w:val="bottom"/>
          </w:tcPr>
          <w:p w14:paraId="5197CA76" w14:textId="77777777" w:rsidR="006F0AC7" w:rsidRPr="006F0AC7" w:rsidRDefault="006F0AC7" w:rsidP="00704DB3">
            <w:pPr>
              <w:widowControl/>
              <w:jc w:val="right"/>
              <w:rPr>
                <w:snapToGrid/>
                <w:color w:val="000000"/>
                <w:kern w:val="0"/>
                <w:szCs w:val="22"/>
              </w:rPr>
            </w:pPr>
            <w:r w:rsidRPr="006F0AC7">
              <w:rPr>
                <w:snapToGrid/>
                <w:color w:val="000000"/>
                <w:kern w:val="0"/>
                <w:szCs w:val="22"/>
              </w:rPr>
              <w:t>44%</w:t>
            </w:r>
          </w:p>
        </w:tc>
      </w:tr>
      <w:tr w:rsidR="006F0AC7" w:rsidRPr="006F0AC7" w14:paraId="22224E46"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547F8AC3" w14:textId="77777777" w:rsidR="006F0AC7" w:rsidRPr="00491A7A" w:rsidRDefault="006F0AC7" w:rsidP="00704DB3">
            <w:pPr>
              <w:widowControl/>
              <w:rPr>
                <w:snapToGrid/>
                <w:color w:val="000000"/>
                <w:kern w:val="0"/>
                <w:szCs w:val="22"/>
              </w:rPr>
            </w:pPr>
            <w:r w:rsidRPr="00491A7A">
              <w:rPr>
                <w:snapToGrid/>
                <w:color w:val="000000"/>
                <w:kern w:val="0"/>
                <w:szCs w:val="22"/>
              </w:rPr>
              <w:t>Plant nonspec</w:t>
            </w:r>
            <w:r w:rsidR="00BC03BF">
              <w:rPr>
                <w:snapToGrid/>
                <w:color w:val="000000"/>
                <w:kern w:val="0"/>
                <w:szCs w:val="22"/>
              </w:rPr>
              <w:t>i</w:t>
            </w:r>
            <w:r w:rsidRPr="00491A7A">
              <w:rPr>
                <w:snapToGrid/>
                <w:color w:val="000000"/>
                <w:kern w:val="0"/>
                <w:szCs w:val="22"/>
              </w:rPr>
              <w:t>fic operations</w:t>
            </w:r>
          </w:p>
        </w:tc>
        <w:tc>
          <w:tcPr>
            <w:tcW w:w="1278" w:type="dxa"/>
            <w:tcBorders>
              <w:top w:val="nil"/>
              <w:left w:val="nil"/>
              <w:bottom w:val="single" w:sz="4" w:space="0" w:color="auto"/>
              <w:right w:val="single" w:sz="4" w:space="0" w:color="auto"/>
            </w:tcBorders>
            <w:shd w:val="clear" w:color="auto" w:fill="auto"/>
            <w:noWrap/>
            <w:vAlign w:val="bottom"/>
          </w:tcPr>
          <w:p w14:paraId="3BFB2CAA"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105,520 </w:t>
            </w:r>
          </w:p>
        </w:tc>
        <w:tc>
          <w:tcPr>
            <w:tcW w:w="730" w:type="dxa"/>
            <w:tcBorders>
              <w:top w:val="nil"/>
              <w:left w:val="nil"/>
              <w:bottom w:val="single" w:sz="4" w:space="0" w:color="auto"/>
              <w:right w:val="single" w:sz="4" w:space="0" w:color="auto"/>
            </w:tcBorders>
            <w:shd w:val="clear" w:color="auto" w:fill="auto"/>
            <w:noWrap/>
            <w:vAlign w:val="bottom"/>
          </w:tcPr>
          <w:p w14:paraId="2DED36B9" w14:textId="77777777" w:rsidR="006F0AC7" w:rsidRPr="006F0AC7" w:rsidRDefault="006F0AC7" w:rsidP="00704DB3">
            <w:pPr>
              <w:widowControl/>
              <w:jc w:val="right"/>
              <w:rPr>
                <w:snapToGrid/>
                <w:color w:val="000000"/>
                <w:kern w:val="0"/>
                <w:szCs w:val="22"/>
              </w:rPr>
            </w:pPr>
            <w:r w:rsidRPr="006F0AC7">
              <w:rPr>
                <w:snapToGrid/>
                <w:color w:val="000000"/>
                <w:kern w:val="0"/>
                <w:szCs w:val="22"/>
              </w:rPr>
              <w:t>56%</w:t>
            </w:r>
          </w:p>
        </w:tc>
        <w:tc>
          <w:tcPr>
            <w:tcW w:w="1344" w:type="dxa"/>
            <w:tcBorders>
              <w:top w:val="nil"/>
              <w:left w:val="nil"/>
              <w:bottom w:val="single" w:sz="4" w:space="0" w:color="auto"/>
              <w:right w:val="single" w:sz="4" w:space="0" w:color="auto"/>
            </w:tcBorders>
            <w:shd w:val="clear" w:color="auto" w:fill="auto"/>
            <w:noWrap/>
            <w:vAlign w:val="bottom"/>
          </w:tcPr>
          <w:p w14:paraId="00591D32" w14:textId="77777777" w:rsidR="006F0AC7" w:rsidRPr="006F0AC7" w:rsidRDefault="006F0AC7" w:rsidP="00704DB3">
            <w:pPr>
              <w:widowControl/>
              <w:jc w:val="right"/>
              <w:rPr>
                <w:snapToGrid/>
                <w:color w:val="000000"/>
                <w:kern w:val="0"/>
                <w:szCs w:val="22"/>
              </w:rPr>
            </w:pPr>
            <w:r w:rsidRPr="006F0AC7">
              <w:rPr>
                <w:snapToGrid/>
                <w:color w:val="000000"/>
                <w:kern w:val="0"/>
                <w:szCs w:val="22"/>
              </w:rPr>
              <w:t xml:space="preserve">82,376 </w:t>
            </w:r>
          </w:p>
        </w:tc>
        <w:tc>
          <w:tcPr>
            <w:tcW w:w="736" w:type="dxa"/>
            <w:tcBorders>
              <w:top w:val="nil"/>
              <w:left w:val="nil"/>
              <w:bottom w:val="single" w:sz="4" w:space="0" w:color="auto"/>
              <w:right w:val="single" w:sz="4" w:space="0" w:color="auto"/>
            </w:tcBorders>
            <w:shd w:val="clear" w:color="auto" w:fill="auto"/>
            <w:noWrap/>
            <w:vAlign w:val="bottom"/>
          </w:tcPr>
          <w:p w14:paraId="75C1AD4D" w14:textId="77777777" w:rsidR="006F0AC7" w:rsidRPr="006F0AC7" w:rsidRDefault="006F0AC7" w:rsidP="00704DB3">
            <w:pPr>
              <w:widowControl/>
              <w:jc w:val="right"/>
              <w:rPr>
                <w:snapToGrid/>
                <w:color w:val="000000"/>
                <w:kern w:val="0"/>
                <w:szCs w:val="22"/>
              </w:rPr>
            </w:pPr>
            <w:r w:rsidRPr="006F0AC7">
              <w:rPr>
                <w:snapToGrid/>
                <w:color w:val="000000"/>
                <w:kern w:val="0"/>
                <w:szCs w:val="22"/>
              </w:rPr>
              <w:t>44%</w:t>
            </w:r>
          </w:p>
        </w:tc>
      </w:tr>
      <w:tr w:rsidR="006F0AC7" w:rsidRPr="006F0AC7" w14:paraId="7D390A94"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1921997E" w14:textId="77777777" w:rsidR="006F0AC7" w:rsidRPr="00491A7A" w:rsidRDefault="006F0AC7" w:rsidP="00704DB3">
            <w:pPr>
              <w:widowControl/>
              <w:rPr>
                <w:snapToGrid/>
                <w:color w:val="000000"/>
                <w:kern w:val="0"/>
                <w:szCs w:val="22"/>
              </w:rPr>
            </w:pPr>
            <w:r w:rsidRPr="00491A7A">
              <w:rPr>
                <w:snapToGrid/>
                <w:color w:val="000000"/>
                <w:kern w:val="0"/>
                <w:szCs w:val="22"/>
              </w:rPr>
              <w:t>Customer operations</w:t>
            </w:r>
          </w:p>
        </w:tc>
        <w:tc>
          <w:tcPr>
            <w:tcW w:w="1278" w:type="dxa"/>
            <w:tcBorders>
              <w:top w:val="nil"/>
              <w:left w:val="nil"/>
              <w:bottom w:val="single" w:sz="4" w:space="0" w:color="auto"/>
              <w:right w:val="single" w:sz="4" w:space="0" w:color="auto"/>
            </w:tcBorders>
            <w:shd w:val="clear" w:color="auto" w:fill="auto"/>
            <w:noWrap/>
            <w:vAlign w:val="bottom"/>
          </w:tcPr>
          <w:p w14:paraId="390A23E2"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72,877 </w:t>
            </w:r>
          </w:p>
        </w:tc>
        <w:tc>
          <w:tcPr>
            <w:tcW w:w="730" w:type="dxa"/>
            <w:tcBorders>
              <w:top w:val="nil"/>
              <w:left w:val="nil"/>
              <w:bottom w:val="single" w:sz="4" w:space="0" w:color="auto"/>
              <w:right w:val="single" w:sz="4" w:space="0" w:color="auto"/>
            </w:tcBorders>
            <w:shd w:val="clear" w:color="auto" w:fill="auto"/>
            <w:noWrap/>
            <w:vAlign w:val="bottom"/>
          </w:tcPr>
          <w:p w14:paraId="550F55EA" w14:textId="77777777" w:rsidR="006F0AC7" w:rsidRPr="006F0AC7" w:rsidRDefault="006F0AC7" w:rsidP="00704DB3">
            <w:pPr>
              <w:widowControl/>
              <w:jc w:val="right"/>
              <w:rPr>
                <w:snapToGrid/>
                <w:color w:val="000000"/>
                <w:kern w:val="0"/>
                <w:szCs w:val="22"/>
              </w:rPr>
            </w:pPr>
            <w:r w:rsidRPr="006F0AC7">
              <w:rPr>
                <w:snapToGrid/>
                <w:color w:val="000000"/>
                <w:kern w:val="0"/>
                <w:szCs w:val="22"/>
              </w:rPr>
              <w:t>49%</w:t>
            </w:r>
          </w:p>
        </w:tc>
        <w:tc>
          <w:tcPr>
            <w:tcW w:w="1344" w:type="dxa"/>
            <w:tcBorders>
              <w:top w:val="nil"/>
              <w:left w:val="nil"/>
              <w:bottom w:val="single" w:sz="4" w:space="0" w:color="auto"/>
              <w:right w:val="single" w:sz="4" w:space="0" w:color="auto"/>
            </w:tcBorders>
            <w:shd w:val="clear" w:color="auto" w:fill="auto"/>
            <w:noWrap/>
            <w:vAlign w:val="bottom"/>
          </w:tcPr>
          <w:p w14:paraId="485FD06B" w14:textId="77777777" w:rsidR="006F0AC7" w:rsidRPr="006F0AC7" w:rsidRDefault="006F0AC7" w:rsidP="00704DB3">
            <w:pPr>
              <w:widowControl/>
              <w:jc w:val="right"/>
              <w:rPr>
                <w:snapToGrid/>
                <w:color w:val="000000"/>
                <w:kern w:val="0"/>
                <w:szCs w:val="22"/>
              </w:rPr>
            </w:pPr>
            <w:r w:rsidRPr="006F0AC7">
              <w:rPr>
                <w:snapToGrid/>
                <w:color w:val="000000"/>
                <w:kern w:val="0"/>
                <w:szCs w:val="22"/>
              </w:rPr>
              <w:t xml:space="preserve">77,085 </w:t>
            </w:r>
          </w:p>
        </w:tc>
        <w:tc>
          <w:tcPr>
            <w:tcW w:w="736" w:type="dxa"/>
            <w:tcBorders>
              <w:top w:val="nil"/>
              <w:left w:val="nil"/>
              <w:bottom w:val="single" w:sz="4" w:space="0" w:color="auto"/>
              <w:right w:val="single" w:sz="4" w:space="0" w:color="auto"/>
            </w:tcBorders>
            <w:shd w:val="clear" w:color="auto" w:fill="auto"/>
            <w:noWrap/>
            <w:vAlign w:val="bottom"/>
          </w:tcPr>
          <w:p w14:paraId="1ECB6D9E" w14:textId="77777777" w:rsidR="006F0AC7" w:rsidRPr="006F0AC7" w:rsidRDefault="006F0AC7" w:rsidP="00704DB3">
            <w:pPr>
              <w:widowControl/>
              <w:jc w:val="right"/>
              <w:rPr>
                <w:snapToGrid/>
                <w:color w:val="000000"/>
                <w:kern w:val="0"/>
                <w:szCs w:val="22"/>
              </w:rPr>
            </w:pPr>
            <w:r w:rsidRPr="006F0AC7">
              <w:rPr>
                <w:snapToGrid/>
                <w:color w:val="000000"/>
                <w:kern w:val="0"/>
                <w:szCs w:val="22"/>
              </w:rPr>
              <w:t>51%</w:t>
            </w:r>
          </w:p>
        </w:tc>
      </w:tr>
      <w:tr w:rsidR="006F0AC7" w:rsidRPr="006F0AC7" w14:paraId="407DA8EF"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000000" w:fill="EBF1DE"/>
            <w:vAlign w:val="bottom"/>
          </w:tcPr>
          <w:p w14:paraId="1057DB36" w14:textId="04FA7FA0" w:rsidR="006F0AC7" w:rsidRPr="002D4799" w:rsidRDefault="006F0AC7" w:rsidP="00704DB3">
            <w:pPr>
              <w:widowControl/>
              <w:rPr>
                <w:snapToGrid/>
                <w:color w:val="000000"/>
                <w:kern w:val="0"/>
                <w:szCs w:val="22"/>
              </w:rPr>
            </w:pPr>
          </w:p>
        </w:tc>
        <w:tc>
          <w:tcPr>
            <w:tcW w:w="1278" w:type="dxa"/>
            <w:tcBorders>
              <w:top w:val="nil"/>
              <w:left w:val="nil"/>
              <w:bottom w:val="single" w:sz="4" w:space="0" w:color="auto"/>
              <w:right w:val="single" w:sz="4" w:space="0" w:color="auto"/>
            </w:tcBorders>
            <w:shd w:val="clear" w:color="000000" w:fill="EBF1DE"/>
            <w:noWrap/>
            <w:vAlign w:val="bottom"/>
          </w:tcPr>
          <w:p w14:paraId="15815B72" w14:textId="18FED421" w:rsidR="006F0AC7" w:rsidRPr="00CA63EF" w:rsidRDefault="006F0AC7" w:rsidP="00704DB3">
            <w:pPr>
              <w:widowControl/>
              <w:jc w:val="right"/>
              <w:rPr>
                <w:snapToGrid/>
                <w:color w:val="000000"/>
                <w:kern w:val="0"/>
                <w:szCs w:val="22"/>
              </w:rPr>
            </w:pPr>
          </w:p>
        </w:tc>
        <w:tc>
          <w:tcPr>
            <w:tcW w:w="730" w:type="dxa"/>
            <w:tcBorders>
              <w:top w:val="nil"/>
              <w:left w:val="nil"/>
              <w:bottom w:val="single" w:sz="4" w:space="0" w:color="auto"/>
              <w:right w:val="single" w:sz="4" w:space="0" w:color="auto"/>
            </w:tcBorders>
            <w:shd w:val="clear" w:color="000000" w:fill="EBF1DE"/>
            <w:noWrap/>
            <w:vAlign w:val="bottom"/>
          </w:tcPr>
          <w:p w14:paraId="1E9DDA11" w14:textId="031CA68B" w:rsidR="006F0AC7" w:rsidRPr="009F22AE" w:rsidRDefault="006F0AC7" w:rsidP="00704DB3">
            <w:pPr>
              <w:widowControl/>
              <w:jc w:val="right"/>
              <w:rPr>
                <w:snapToGrid/>
                <w:color w:val="000000"/>
                <w:kern w:val="0"/>
                <w:szCs w:val="22"/>
              </w:rPr>
            </w:pPr>
          </w:p>
        </w:tc>
        <w:tc>
          <w:tcPr>
            <w:tcW w:w="1344" w:type="dxa"/>
            <w:tcBorders>
              <w:top w:val="nil"/>
              <w:left w:val="nil"/>
              <w:bottom w:val="single" w:sz="4" w:space="0" w:color="auto"/>
              <w:right w:val="single" w:sz="4" w:space="0" w:color="auto"/>
            </w:tcBorders>
            <w:shd w:val="clear" w:color="000000" w:fill="EBF1DE"/>
            <w:noWrap/>
            <w:vAlign w:val="bottom"/>
          </w:tcPr>
          <w:p w14:paraId="28C373C0" w14:textId="7D2DC2F5" w:rsidR="006F0AC7" w:rsidRPr="00E13816" w:rsidRDefault="006F0AC7" w:rsidP="00704DB3">
            <w:pPr>
              <w:widowControl/>
              <w:jc w:val="right"/>
              <w:rPr>
                <w:snapToGrid/>
                <w:color w:val="000000"/>
                <w:kern w:val="0"/>
                <w:szCs w:val="22"/>
              </w:rPr>
            </w:pPr>
          </w:p>
        </w:tc>
        <w:tc>
          <w:tcPr>
            <w:tcW w:w="736" w:type="dxa"/>
            <w:tcBorders>
              <w:top w:val="nil"/>
              <w:left w:val="nil"/>
              <w:bottom w:val="single" w:sz="4" w:space="0" w:color="auto"/>
              <w:right w:val="single" w:sz="4" w:space="0" w:color="auto"/>
            </w:tcBorders>
            <w:shd w:val="clear" w:color="000000" w:fill="EBF1DE"/>
            <w:noWrap/>
            <w:vAlign w:val="bottom"/>
          </w:tcPr>
          <w:p w14:paraId="6D3C61B7" w14:textId="5F9D1BF2" w:rsidR="006F0AC7" w:rsidRPr="00625C01" w:rsidRDefault="006F0AC7" w:rsidP="00704DB3">
            <w:pPr>
              <w:widowControl/>
              <w:jc w:val="right"/>
              <w:rPr>
                <w:snapToGrid/>
                <w:color w:val="000000"/>
                <w:kern w:val="0"/>
                <w:szCs w:val="22"/>
              </w:rPr>
            </w:pPr>
          </w:p>
        </w:tc>
      </w:tr>
      <w:tr w:rsidR="006F0AC7" w:rsidRPr="006F0AC7" w14:paraId="15BEF597" w14:textId="77777777" w:rsidTr="001C0AA7">
        <w:trPr>
          <w:trHeight w:val="576"/>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2FC6B19E" w14:textId="77777777" w:rsidR="006F0AC7" w:rsidRPr="00491A7A" w:rsidRDefault="006F0AC7" w:rsidP="00704DB3">
            <w:pPr>
              <w:widowControl/>
              <w:rPr>
                <w:b/>
                <w:bCs/>
                <w:snapToGrid/>
                <w:color w:val="000000"/>
                <w:kern w:val="0"/>
                <w:szCs w:val="22"/>
              </w:rPr>
            </w:pPr>
            <w:r w:rsidRPr="00491A7A">
              <w:rPr>
                <w:b/>
                <w:bCs/>
                <w:snapToGrid/>
                <w:color w:val="000000"/>
                <w:kern w:val="0"/>
                <w:szCs w:val="22"/>
              </w:rPr>
              <w:t>Total operating expenses</w:t>
            </w:r>
            <w:r w:rsidRPr="00491A7A">
              <w:rPr>
                <w:b/>
                <w:bCs/>
                <w:snapToGrid/>
                <w:color w:val="000000"/>
                <w:kern w:val="0"/>
                <w:szCs w:val="22"/>
              </w:rPr>
              <w:br/>
            </w:r>
            <w:r>
              <w:rPr>
                <w:b/>
                <w:bCs/>
                <w:snapToGrid/>
                <w:color w:val="000000"/>
                <w:kern w:val="0"/>
                <w:szCs w:val="22"/>
              </w:rPr>
              <w:t>(excluding depreciation &amp; amortization</w:t>
            </w:r>
            <w:r w:rsidRPr="00491A7A">
              <w:rPr>
                <w:b/>
                <w:bCs/>
                <w:snapToGrid/>
                <w:color w:val="000000"/>
                <w:kern w:val="0"/>
                <w:szCs w:val="22"/>
              </w:rPr>
              <w:t>)</w:t>
            </w:r>
          </w:p>
        </w:tc>
        <w:tc>
          <w:tcPr>
            <w:tcW w:w="1278" w:type="dxa"/>
            <w:tcBorders>
              <w:top w:val="nil"/>
              <w:left w:val="nil"/>
              <w:bottom w:val="single" w:sz="4" w:space="0" w:color="auto"/>
              <w:right w:val="single" w:sz="4" w:space="0" w:color="auto"/>
            </w:tcBorders>
            <w:shd w:val="clear" w:color="auto" w:fill="auto"/>
            <w:noWrap/>
            <w:vAlign w:val="bottom"/>
          </w:tcPr>
          <w:p w14:paraId="7498B73D" w14:textId="77777777" w:rsidR="006F0AC7" w:rsidRPr="00491A7A" w:rsidRDefault="006F0AC7" w:rsidP="00704DB3">
            <w:pPr>
              <w:widowControl/>
              <w:jc w:val="right"/>
              <w:rPr>
                <w:b/>
                <w:bCs/>
                <w:snapToGrid/>
                <w:color w:val="000000"/>
                <w:kern w:val="0"/>
                <w:szCs w:val="22"/>
              </w:rPr>
            </w:pPr>
            <w:r w:rsidRPr="00491A7A">
              <w:rPr>
                <w:b/>
                <w:bCs/>
                <w:snapToGrid/>
                <w:color w:val="000000"/>
                <w:kern w:val="0"/>
                <w:szCs w:val="22"/>
              </w:rPr>
              <w:t xml:space="preserve">675,837 </w:t>
            </w:r>
          </w:p>
        </w:tc>
        <w:tc>
          <w:tcPr>
            <w:tcW w:w="730" w:type="dxa"/>
            <w:tcBorders>
              <w:top w:val="nil"/>
              <w:left w:val="nil"/>
              <w:bottom w:val="single" w:sz="4" w:space="0" w:color="auto"/>
              <w:right w:val="single" w:sz="4" w:space="0" w:color="auto"/>
            </w:tcBorders>
            <w:shd w:val="clear" w:color="auto" w:fill="auto"/>
            <w:noWrap/>
            <w:vAlign w:val="bottom"/>
          </w:tcPr>
          <w:p w14:paraId="21BA8BE2"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68%</w:t>
            </w:r>
          </w:p>
        </w:tc>
        <w:tc>
          <w:tcPr>
            <w:tcW w:w="1344" w:type="dxa"/>
            <w:tcBorders>
              <w:top w:val="nil"/>
              <w:left w:val="nil"/>
              <w:bottom w:val="single" w:sz="4" w:space="0" w:color="auto"/>
              <w:right w:val="single" w:sz="4" w:space="0" w:color="auto"/>
            </w:tcBorders>
            <w:shd w:val="clear" w:color="auto" w:fill="auto"/>
            <w:noWrap/>
            <w:vAlign w:val="bottom"/>
          </w:tcPr>
          <w:p w14:paraId="0C952629"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 xml:space="preserve">316,697 </w:t>
            </w:r>
          </w:p>
        </w:tc>
        <w:tc>
          <w:tcPr>
            <w:tcW w:w="736" w:type="dxa"/>
            <w:tcBorders>
              <w:top w:val="nil"/>
              <w:left w:val="nil"/>
              <w:bottom w:val="single" w:sz="4" w:space="0" w:color="auto"/>
              <w:right w:val="single" w:sz="4" w:space="0" w:color="auto"/>
            </w:tcBorders>
            <w:shd w:val="clear" w:color="auto" w:fill="auto"/>
            <w:noWrap/>
            <w:vAlign w:val="bottom"/>
          </w:tcPr>
          <w:p w14:paraId="50E5AA31"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32%</w:t>
            </w:r>
          </w:p>
        </w:tc>
      </w:tr>
      <w:tr w:rsidR="006F0AC7" w:rsidRPr="006F0AC7" w14:paraId="35BD9747" w14:textId="77777777" w:rsidTr="001C0AA7">
        <w:trPr>
          <w:trHeight w:val="288"/>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59E068E3" w14:textId="77777777" w:rsidR="006F0AC7" w:rsidRPr="00491A7A" w:rsidRDefault="006F0AC7" w:rsidP="00704DB3">
            <w:pPr>
              <w:widowControl/>
              <w:rPr>
                <w:snapToGrid/>
                <w:color w:val="000000"/>
                <w:kern w:val="0"/>
                <w:szCs w:val="22"/>
              </w:rPr>
            </w:pPr>
            <w:r w:rsidRPr="00491A7A">
              <w:rPr>
                <w:snapToGrid/>
                <w:color w:val="000000"/>
                <w:kern w:val="0"/>
                <w:szCs w:val="22"/>
              </w:rPr>
              <w:t>Depreciation and amortization</w:t>
            </w:r>
          </w:p>
        </w:tc>
        <w:tc>
          <w:tcPr>
            <w:tcW w:w="1278" w:type="dxa"/>
            <w:tcBorders>
              <w:top w:val="nil"/>
              <w:left w:val="nil"/>
              <w:bottom w:val="single" w:sz="4" w:space="0" w:color="auto"/>
              <w:right w:val="single" w:sz="4" w:space="0" w:color="auto"/>
            </w:tcBorders>
            <w:shd w:val="clear" w:color="auto" w:fill="auto"/>
            <w:noWrap/>
            <w:vAlign w:val="bottom"/>
          </w:tcPr>
          <w:p w14:paraId="1124ADCD" w14:textId="77777777" w:rsidR="006F0AC7" w:rsidRPr="00491A7A" w:rsidRDefault="006F0AC7" w:rsidP="00704DB3">
            <w:pPr>
              <w:widowControl/>
              <w:jc w:val="right"/>
              <w:rPr>
                <w:snapToGrid/>
                <w:color w:val="000000"/>
                <w:kern w:val="0"/>
                <w:szCs w:val="22"/>
              </w:rPr>
            </w:pPr>
            <w:r w:rsidRPr="00491A7A">
              <w:rPr>
                <w:snapToGrid/>
                <w:color w:val="000000"/>
                <w:kern w:val="0"/>
                <w:szCs w:val="22"/>
              </w:rPr>
              <w:t xml:space="preserve">374,439 </w:t>
            </w:r>
          </w:p>
        </w:tc>
        <w:tc>
          <w:tcPr>
            <w:tcW w:w="730" w:type="dxa"/>
            <w:tcBorders>
              <w:top w:val="nil"/>
              <w:left w:val="nil"/>
              <w:bottom w:val="single" w:sz="4" w:space="0" w:color="auto"/>
              <w:right w:val="single" w:sz="4" w:space="0" w:color="auto"/>
            </w:tcBorders>
            <w:shd w:val="clear" w:color="auto" w:fill="auto"/>
            <w:noWrap/>
            <w:vAlign w:val="bottom"/>
          </w:tcPr>
          <w:p w14:paraId="472C4313" w14:textId="77777777" w:rsidR="006F0AC7" w:rsidRPr="006F0AC7" w:rsidRDefault="006F0AC7" w:rsidP="00704DB3">
            <w:pPr>
              <w:widowControl/>
              <w:jc w:val="right"/>
              <w:rPr>
                <w:snapToGrid/>
                <w:color w:val="000000"/>
                <w:kern w:val="0"/>
                <w:szCs w:val="22"/>
              </w:rPr>
            </w:pPr>
            <w:r w:rsidRPr="006F0AC7">
              <w:rPr>
                <w:snapToGrid/>
                <w:color w:val="000000"/>
                <w:kern w:val="0"/>
                <w:szCs w:val="22"/>
              </w:rPr>
              <w:t>100%</w:t>
            </w:r>
          </w:p>
        </w:tc>
        <w:tc>
          <w:tcPr>
            <w:tcW w:w="1344" w:type="dxa"/>
            <w:tcBorders>
              <w:top w:val="nil"/>
              <w:left w:val="nil"/>
              <w:bottom w:val="single" w:sz="4" w:space="0" w:color="auto"/>
              <w:right w:val="single" w:sz="4" w:space="0" w:color="auto"/>
            </w:tcBorders>
            <w:shd w:val="clear" w:color="auto" w:fill="auto"/>
            <w:noWrap/>
            <w:vAlign w:val="bottom"/>
          </w:tcPr>
          <w:p w14:paraId="08161330" w14:textId="77777777" w:rsidR="006F0AC7" w:rsidRPr="006F0AC7" w:rsidRDefault="006F0AC7" w:rsidP="00704DB3">
            <w:pPr>
              <w:widowControl/>
              <w:jc w:val="right"/>
              <w:rPr>
                <w:snapToGrid/>
                <w:color w:val="000000"/>
                <w:kern w:val="0"/>
                <w:szCs w:val="22"/>
              </w:rPr>
            </w:pPr>
            <w:r w:rsidRPr="006F0AC7">
              <w:rPr>
                <w:snapToGrid/>
                <w:color w:val="000000"/>
                <w:kern w:val="0"/>
                <w:szCs w:val="22"/>
              </w:rPr>
              <w:t xml:space="preserve">0 </w:t>
            </w:r>
          </w:p>
        </w:tc>
        <w:tc>
          <w:tcPr>
            <w:tcW w:w="736" w:type="dxa"/>
            <w:tcBorders>
              <w:top w:val="nil"/>
              <w:left w:val="nil"/>
              <w:bottom w:val="single" w:sz="4" w:space="0" w:color="auto"/>
              <w:right w:val="single" w:sz="4" w:space="0" w:color="auto"/>
            </w:tcBorders>
            <w:shd w:val="clear" w:color="auto" w:fill="auto"/>
            <w:noWrap/>
            <w:vAlign w:val="bottom"/>
          </w:tcPr>
          <w:p w14:paraId="51EABF66" w14:textId="77777777" w:rsidR="006F0AC7" w:rsidRPr="006F0AC7" w:rsidRDefault="006F0AC7" w:rsidP="00704DB3">
            <w:pPr>
              <w:widowControl/>
              <w:jc w:val="right"/>
              <w:rPr>
                <w:snapToGrid/>
                <w:color w:val="000000"/>
                <w:kern w:val="0"/>
                <w:szCs w:val="22"/>
              </w:rPr>
            </w:pPr>
            <w:r w:rsidRPr="006F0AC7">
              <w:rPr>
                <w:snapToGrid/>
                <w:color w:val="000000"/>
                <w:kern w:val="0"/>
                <w:szCs w:val="22"/>
              </w:rPr>
              <w:t>0%</w:t>
            </w:r>
          </w:p>
        </w:tc>
      </w:tr>
      <w:tr w:rsidR="006F0AC7" w:rsidRPr="006F0AC7" w14:paraId="7EE64F70" w14:textId="77777777" w:rsidTr="001C0AA7">
        <w:trPr>
          <w:trHeight w:val="576"/>
          <w:jc w:val="center"/>
        </w:trPr>
        <w:tc>
          <w:tcPr>
            <w:tcW w:w="3680" w:type="dxa"/>
            <w:tcBorders>
              <w:top w:val="nil"/>
              <w:left w:val="single" w:sz="4" w:space="0" w:color="auto"/>
              <w:bottom w:val="single" w:sz="4" w:space="0" w:color="auto"/>
              <w:right w:val="single" w:sz="4" w:space="0" w:color="auto"/>
            </w:tcBorders>
            <w:shd w:val="clear" w:color="auto" w:fill="auto"/>
            <w:vAlign w:val="bottom"/>
          </w:tcPr>
          <w:p w14:paraId="456155DC" w14:textId="77777777" w:rsidR="006F0AC7" w:rsidRPr="00491A7A" w:rsidRDefault="006F0AC7" w:rsidP="00704DB3">
            <w:pPr>
              <w:widowControl/>
              <w:rPr>
                <w:b/>
                <w:bCs/>
                <w:snapToGrid/>
                <w:color w:val="000000"/>
                <w:kern w:val="0"/>
                <w:szCs w:val="22"/>
              </w:rPr>
            </w:pPr>
            <w:r w:rsidRPr="00491A7A">
              <w:rPr>
                <w:b/>
                <w:bCs/>
                <w:snapToGrid/>
                <w:color w:val="000000"/>
                <w:kern w:val="0"/>
                <w:szCs w:val="22"/>
              </w:rPr>
              <w:t>Total operating expenses</w:t>
            </w:r>
            <w:r w:rsidRPr="00491A7A">
              <w:rPr>
                <w:b/>
                <w:bCs/>
                <w:snapToGrid/>
                <w:color w:val="000000"/>
                <w:kern w:val="0"/>
                <w:szCs w:val="22"/>
              </w:rPr>
              <w:br/>
            </w:r>
            <w:r>
              <w:rPr>
                <w:b/>
                <w:bCs/>
                <w:snapToGrid/>
                <w:color w:val="000000"/>
                <w:kern w:val="0"/>
                <w:szCs w:val="22"/>
              </w:rPr>
              <w:t>(including depreciation &amp; amortization</w:t>
            </w:r>
            <w:r w:rsidRPr="00491A7A">
              <w:rPr>
                <w:b/>
                <w:bCs/>
                <w:snapToGrid/>
                <w:color w:val="000000"/>
                <w:kern w:val="0"/>
                <w:szCs w:val="22"/>
              </w:rPr>
              <w:t>)</w:t>
            </w:r>
          </w:p>
        </w:tc>
        <w:tc>
          <w:tcPr>
            <w:tcW w:w="1278" w:type="dxa"/>
            <w:tcBorders>
              <w:top w:val="nil"/>
              <w:left w:val="nil"/>
              <w:bottom w:val="single" w:sz="4" w:space="0" w:color="auto"/>
              <w:right w:val="single" w:sz="4" w:space="0" w:color="auto"/>
            </w:tcBorders>
            <w:shd w:val="clear" w:color="auto" w:fill="auto"/>
            <w:noWrap/>
            <w:vAlign w:val="bottom"/>
          </w:tcPr>
          <w:p w14:paraId="4227B54F" w14:textId="77777777" w:rsidR="006F0AC7" w:rsidRPr="00491A7A" w:rsidRDefault="006F0AC7" w:rsidP="00704DB3">
            <w:pPr>
              <w:widowControl/>
              <w:jc w:val="right"/>
              <w:rPr>
                <w:b/>
                <w:bCs/>
                <w:snapToGrid/>
                <w:color w:val="000000"/>
                <w:kern w:val="0"/>
                <w:szCs w:val="22"/>
              </w:rPr>
            </w:pPr>
            <w:r w:rsidRPr="00491A7A">
              <w:rPr>
                <w:b/>
                <w:bCs/>
                <w:snapToGrid/>
                <w:color w:val="000000"/>
                <w:kern w:val="0"/>
                <w:szCs w:val="22"/>
              </w:rPr>
              <w:t xml:space="preserve">1,050,276 </w:t>
            </w:r>
          </w:p>
        </w:tc>
        <w:tc>
          <w:tcPr>
            <w:tcW w:w="730" w:type="dxa"/>
            <w:tcBorders>
              <w:top w:val="nil"/>
              <w:left w:val="nil"/>
              <w:bottom w:val="single" w:sz="4" w:space="0" w:color="auto"/>
              <w:right w:val="single" w:sz="4" w:space="0" w:color="auto"/>
            </w:tcBorders>
            <w:shd w:val="clear" w:color="auto" w:fill="auto"/>
            <w:noWrap/>
            <w:vAlign w:val="bottom"/>
          </w:tcPr>
          <w:p w14:paraId="0863701E"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77%</w:t>
            </w:r>
          </w:p>
        </w:tc>
        <w:tc>
          <w:tcPr>
            <w:tcW w:w="1344" w:type="dxa"/>
            <w:tcBorders>
              <w:top w:val="nil"/>
              <w:left w:val="nil"/>
              <w:bottom w:val="single" w:sz="4" w:space="0" w:color="auto"/>
              <w:right w:val="single" w:sz="4" w:space="0" w:color="auto"/>
            </w:tcBorders>
            <w:shd w:val="clear" w:color="auto" w:fill="auto"/>
            <w:noWrap/>
            <w:vAlign w:val="bottom"/>
          </w:tcPr>
          <w:p w14:paraId="69D0EF42"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 xml:space="preserve">316,697 </w:t>
            </w:r>
          </w:p>
        </w:tc>
        <w:tc>
          <w:tcPr>
            <w:tcW w:w="736" w:type="dxa"/>
            <w:tcBorders>
              <w:top w:val="nil"/>
              <w:left w:val="nil"/>
              <w:bottom w:val="single" w:sz="4" w:space="0" w:color="auto"/>
              <w:right w:val="single" w:sz="4" w:space="0" w:color="auto"/>
            </w:tcBorders>
            <w:shd w:val="clear" w:color="auto" w:fill="auto"/>
            <w:noWrap/>
            <w:vAlign w:val="bottom"/>
          </w:tcPr>
          <w:p w14:paraId="0F77B84E" w14:textId="77777777" w:rsidR="006F0AC7" w:rsidRPr="006F0AC7" w:rsidRDefault="006F0AC7" w:rsidP="00704DB3">
            <w:pPr>
              <w:widowControl/>
              <w:jc w:val="right"/>
              <w:rPr>
                <w:b/>
                <w:bCs/>
                <w:snapToGrid/>
                <w:color w:val="000000"/>
                <w:kern w:val="0"/>
                <w:szCs w:val="22"/>
              </w:rPr>
            </w:pPr>
            <w:r w:rsidRPr="006F0AC7">
              <w:rPr>
                <w:b/>
                <w:bCs/>
                <w:snapToGrid/>
                <w:color w:val="000000"/>
                <w:kern w:val="0"/>
                <w:szCs w:val="22"/>
              </w:rPr>
              <w:t>23%</w:t>
            </w:r>
          </w:p>
        </w:tc>
      </w:tr>
    </w:tbl>
    <w:p w14:paraId="64828A59" w14:textId="77777777" w:rsidR="006F0AC7" w:rsidRDefault="006F0AC7" w:rsidP="00203AF0">
      <w:pPr>
        <w:pStyle w:val="ParaNum"/>
        <w:numPr>
          <w:ilvl w:val="0"/>
          <w:numId w:val="0"/>
        </w:numPr>
        <w:spacing w:after="0"/>
        <w:ind w:left="720"/>
      </w:pPr>
    </w:p>
    <w:p w14:paraId="7F027289" w14:textId="6B0435BA" w:rsidR="006F0AC7" w:rsidRDefault="006F0AC7" w:rsidP="00CA63EF">
      <w:pPr>
        <w:pStyle w:val="ParaNum"/>
      </w:pPr>
      <w:r w:rsidRPr="00D93AE7">
        <w:t xml:space="preserve">USAC should </w:t>
      </w:r>
      <w:r w:rsidR="005E289A">
        <w:t>ex</w:t>
      </w:r>
      <w:r w:rsidR="00E97539">
        <w:t>amine</w:t>
      </w:r>
      <w:r w:rsidR="005E289A" w:rsidRPr="00D93AE7">
        <w:t xml:space="preserve"> </w:t>
      </w:r>
      <w:r w:rsidRPr="00D93AE7">
        <w:t xml:space="preserve">the </w:t>
      </w:r>
      <w:r w:rsidR="005E289A">
        <w:t xml:space="preserve">company’s </w:t>
      </w:r>
      <w:r w:rsidR="008D0857">
        <w:t xml:space="preserve">cost </w:t>
      </w:r>
      <w:r w:rsidR="00B958ED">
        <w:t>allocation procedures</w:t>
      </w:r>
      <w:r w:rsidR="002C1F55">
        <w:t xml:space="preserve"> </w:t>
      </w:r>
      <w:r w:rsidRPr="00D93AE7">
        <w:t xml:space="preserve">and report any instances in which the allocation procedures were not </w:t>
      </w:r>
      <w:r w:rsidR="00704DB3">
        <w:t xml:space="preserve">consistent with the carrier’s allocation methodology or </w:t>
      </w:r>
      <w:r w:rsidR="00101123">
        <w:t>Commission</w:t>
      </w:r>
      <w:r w:rsidR="00FF72D1">
        <w:t xml:space="preserve"> rules</w:t>
      </w:r>
      <w:r w:rsidR="008D0857">
        <w:t xml:space="preserve"> and the resulting </w:t>
      </w:r>
      <w:r w:rsidR="00B958ED">
        <w:t>effect</w:t>
      </w:r>
      <w:r w:rsidR="008D0857">
        <w:t xml:space="preserve"> on support calculations</w:t>
      </w:r>
      <w:r w:rsidRPr="00D93AE7">
        <w:t>. </w:t>
      </w:r>
      <w:r w:rsidR="000A268D">
        <w:t xml:space="preserve"> </w:t>
      </w:r>
      <w:r w:rsidR="00E13816">
        <w:t>For the year</w:t>
      </w:r>
      <w:r w:rsidR="000831D9">
        <w:t>s</w:t>
      </w:r>
      <w:r w:rsidR="00E13816">
        <w:t xml:space="preserve"> </w:t>
      </w:r>
      <w:r w:rsidR="000831D9">
        <w:t>2012-</w:t>
      </w:r>
      <w:r w:rsidR="00E13816">
        <w:t>2014, f</w:t>
      </w:r>
      <w:r w:rsidR="000A268D">
        <w:t xml:space="preserve">or allocations made on the basis of direct factors, such as labor hours spent on an activity, </w:t>
      </w:r>
      <w:r w:rsidR="0011744A">
        <w:t>Allband</w:t>
      </w:r>
      <w:r w:rsidR="00704DB3">
        <w:t xml:space="preserve"> </w:t>
      </w:r>
      <w:r w:rsidR="003939F9">
        <w:t>must</w:t>
      </w:r>
      <w:r w:rsidR="00704DB3">
        <w:t xml:space="preserve"> provide USAC with</w:t>
      </w:r>
      <w:r w:rsidR="000A268D">
        <w:t xml:space="preserve"> those factors and provide supporting documentation for them such as quarterly time sheet summaries</w:t>
      </w:r>
      <w:r w:rsidR="002216B8">
        <w:t xml:space="preserve"> in electronic spreadsheet format</w:t>
      </w:r>
      <w:r w:rsidR="00CA63EF">
        <w:t>.  For allocations made on the basis of indirect factors, such as those developed in Allband’s annual jurisdictional cost process</w:t>
      </w:r>
      <w:r w:rsidR="00E13816">
        <w:t xml:space="preserve"> or from vendor invoices</w:t>
      </w:r>
      <w:r w:rsidR="00CA63EF">
        <w:t xml:space="preserve">, </w:t>
      </w:r>
      <w:r w:rsidR="0011744A">
        <w:t>Allband</w:t>
      </w:r>
      <w:r w:rsidR="00704DB3">
        <w:t xml:space="preserve"> </w:t>
      </w:r>
      <w:r w:rsidR="003939F9">
        <w:t>must</w:t>
      </w:r>
      <w:r w:rsidR="00704DB3">
        <w:t xml:space="preserve"> provide USAC with</w:t>
      </w:r>
      <w:r w:rsidR="00CA63EF">
        <w:t xml:space="preserve"> those factors and provide </w:t>
      </w:r>
      <w:r w:rsidR="00DF7631">
        <w:t xml:space="preserve">appropriate summary </w:t>
      </w:r>
      <w:r w:rsidR="00CA63EF">
        <w:t>documentation</w:t>
      </w:r>
      <w:r w:rsidR="002216B8">
        <w:t xml:space="preserve"> </w:t>
      </w:r>
      <w:r w:rsidR="00CA63EF">
        <w:t>for them</w:t>
      </w:r>
      <w:r w:rsidR="002216B8">
        <w:t>, in electronic spreadsheet format when possible</w:t>
      </w:r>
      <w:r w:rsidR="00CA63EF">
        <w:t>.</w:t>
      </w:r>
      <w:r w:rsidR="00CA63EF">
        <w:rPr>
          <w:rStyle w:val="FootnoteReference"/>
        </w:rPr>
        <w:footnoteReference w:id="21"/>
      </w:r>
      <w:r w:rsidR="000A268D">
        <w:t xml:space="preserve">  </w:t>
      </w:r>
      <w:r w:rsidR="00704DB3">
        <w:t xml:space="preserve">USAC </w:t>
      </w:r>
      <w:r w:rsidR="0011744A">
        <w:t>shall provide a report with both direct and indirect factors to the Commission, as well as a summary of USAC’s conclusions regarding the appropriateness of those factors.</w:t>
      </w:r>
    </w:p>
    <w:p w14:paraId="1BF0FBCA" w14:textId="212E5F94" w:rsidR="00E04BEB" w:rsidRPr="008C0CB6" w:rsidRDefault="00E04BEB" w:rsidP="006F0AC7">
      <w:pPr>
        <w:pStyle w:val="ParaNum"/>
      </w:pPr>
      <w:r>
        <w:t xml:space="preserve">Second, </w:t>
      </w:r>
      <w:r w:rsidR="006769A1">
        <w:t>a</w:t>
      </w:r>
      <w:r w:rsidR="009555CD">
        <w:t xml:space="preserve">s the table above shows, </w:t>
      </w:r>
      <w:r w:rsidR="00AC7A7B">
        <w:t>ACC incurs 77</w:t>
      </w:r>
      <w:r w:rsidR="00101123">
        <w:t xml:space="preserve"> percent</w:t>
      </w:r>
      <w:r w:rsidR="009555CD">
        <w:t xml:space="preserve"> of total operating expenses yet</w:t>
      </w:r>
      <w:r w:rsidR="00AC7A7B">
        <w:t xml:space="preserve"> receives only 23</w:t>
      </w:r>
      <w:r w:rsidR="00101123">
        <w:t xml:space="preserve"> percent</w:t>
      </w:r>
      <w:r w:rsidR="00AC7A7B">
        <w:t xml:space="preserve"> of non-USF revenue</w:t>
      </w:r>
      <w:r w:rsidR="009555CD">
        <w:t xml:space="preserve">.  Further, ACC </w:t>
      </w:r>
      <w:r w:rsidR="009F22AE">
        <w:t>provides</w:t>
      </w:r>
      <w:r w:rsidR="009555CD">
        <w:t xml:space="preserve"> and maintain</w:t>
      </w:r>
      <w:r w:rsidR="009F22AE">
        <w:t>s</w:t>
      </w:r>
      <w:r w:rsidR="00AC7A7B">
        <w:t xml:space="preserve"> the loops</w:t>
      </w:r>
      <w:r w:rsidR="006769A1">
        <w:t xml:space="preserve">, transport network, and </w:t>
      </w:r>
      <w:r w:rsidR="00D110C6">
        <w:t>Internet Service Provider (</w:t>
      </w:r>
      <w:r w:rsidR="006769A1">
        <w:t>ISP</w:t>
      </w:r>
      <w:r w:rsidR="00D110C6">
        <w:t>)</w:t>
      </w:r>
      <w:r w:rsidR="006769A1">
        <w:t xml:space="preserve"> interconnections</w:t>
      </w:r>
      <w:r w:rsidR="00AC7A7B">
        <w:t xml:space="preserve"> that AMM use</w:t>
      </w:r>
      <w:r w:rsidR="009555CD">
        <w:t>s to service</w:t>
      </w:r>
      <w:r w:rsidR="00AC7A7B">
        <w:t xml:space="preserve"> its customers.</w:t>
      </w:r>
      <w:r w:rsidR="00E13816">
        <w:rPr>
          <w:rStyle w:val="FootnoteReference"/>
        </w:rPr>
        <w:footnoteReference w:id="22"/>
      </w:r>
      <w:r w:rsidR="00AC7A7B">
        <w:t xml:space="preserve">  </w:t>
      </w:r>
      <w:r w:rsidR="005E289A">
        <w:t xml:space="preserve">We direct USAC to </w:t>
      </w:r>
      <w:r w:rsidR="00EC5D02">
        <w:t xml:space="preserve">conduct an </w:t>
      </w:r>
      <w:r w:rsidR="006F3578">
        <w:t>inquir</w:t>
      </w:r>
      <w:r w:rsidR="00EC5D02">
        <w:t>y</w:t>
      </w:r>
      <w:r w:rsidR="006F3578">
        <w:t xml:space="preserve"> </w:t>
      </w:r>
      <w:r w:rsidR="00EC5D02">
        <w:t xml:space="preserve">and obtain supporting documentation </w:t>
      </w:r>
      <w:r w:rsidR="00101123">
        <w:t xml:space="preserve">from Allband </w:t>
      </w:r>
      <w:r w:rsidR="00EC5D02">
        <w:t xml:space="preserve">to </w:t>
      </w:r>
      <w:r w:rsidR="005E289A">
        <w:t>determine why</w:t>
      </w:r>
      <w:r w:rsidR="00AC7A7B">
        <w:t xml:space="preserve"> ACC’s share of the non-USF revenues is not greater than 23</w:t>
      </w:r>
      <w:r w:rsidR="00537E6B">
        <w:t xml:space="preserve"> percent</w:t>
      </w:r>
      <w:r w:rsidR="00AC7A7B">
        <w:t xml:space="preserve"> when ACC provides and maintains the underlying facilities </w:t>
      </w:r>
      <w:r w:rsidR="006769A1">
        <w:t xml:space="preserve">and services </w:t>
      </w:r>
      <w:r w:rsidR="00AC7A7B">
        <w:t>used by AMM</w:t>
      </w:r>
      <w:r w:rsidR="009555CD">
        <w:t xml:space="preserve">.  In particular, what </w:t>
      </w:r>
      <w:r w:rsidR="00E13816">
        <w:t xml:space="preserve">were the specific </w:t>
      </w:r>
      <w:r w:rsidR="009555CD">
        <w:t>monthly rates ACC charge</w:t>
      </w:r>
      <w:r w:rsidR="00E13816">
        <w:t>d</w:t>
      </w:r>
      <w:r w:rsidR="009555CD">
        <w:t xml:space="preserve"> for provisioning and maintaining the </w:t>
      </w:r>
      <w:r w:rsidR="009F22AE">
        <w:t>lines</w:t>
      </w:r>
      <w:r w:rsidR="009555CD">
        <w:t xml:space="preserve"> it provides to AMM?  </w:t>
      </w:r>
      <w:r w:rsidR="00625C01">
        <w:t xml:space="preserve">On average during 2014, </w:t>
      </w:r>
      <w:r w:rsidR="009F22AE">
        <w:t>what was the number of</w:t>
      </w:r>
      <w:r w:rsidR="00625C01">
        <w:t xml:space="preserve"> lines per month </w:t>
      </w:r>
      <w:r w:rsidR="009F22AE">
        <w:t>for which</w:t>
      </w:r>
      <w:r w:rsidR="00625C01">
        <w:t xml:space="preserve"> ACC invoice</w:t>
      </w:r>
      <w:r w:rsidR="009F22AE">
        <w:t>d</w:t>
      </w:r>
      <w:r w:rsidR="00625C01">
        <w:t xml:space="preserve"> AMM, and what was the average rate per line charged by ACC to AMM</w:t>
      </w:r>
      <w:r w:rsidR="00E13816">
        <w:t xml:space="preserve"> during 2014</w:t>
      </w:r>
      <w:r w:rsidR="00625C01">
        <w:t xml:space="preserve">?  </w:t>
      </w:r>
      <w:r w:rsidR="0069181C">
        <w:t>When services are provided from a carrier to an affiliate pursuant to a tariff, under the Commission’s rules those services are recorded in the appropriate revenue account at the tariffed rate.  The Commission’s rules further establish a floor, the higher of fair market value or fully distributed cost, below which a transaction may not be recorded.</w:t>
      </w:r>
      <w:r w:rsidR="0069181C" w:rsidRPr="0069181C">
        <w:rPr>
          <w:rStyle w:val="FootnoteReference"/>
        </w:rPr>
        <w:t xml:space="preserve"> </w:t>
      </w:r>
      <w:r w:rsidR="0069181C">
        <w:rPr>
          <w:rStyle w:val="FootnoteReference"/>
        </w:rPr>
        <w:footnoteReference w:id="23"/>
      </w:r>
      <w:r w:rsidR="0069181C">
        <w:t xml:space="preserve">  </w:t>
      </w:r>
      <w:r w:rsidR="00537E6B">
        <w:t>Was the floor determined consistent with the section 32.27</w:t>
      </w:r>
      <w:r w:rsidR="009555CD">
        <w:t>?</w:t>
      </w:r>
      <w:r w:rsidR="00625C01">
        <w:t xml:space="preserve">  Besides provisioning and maintenance services that ACC provided for AMM’s end-user customer lines, what other facilities and services did ACC provide to AMM </w:t>
      </w:r>
      <w:r w:rsidR="00E13816">
        <w:t>during 2014</w:t>
      </w:r>
      <w:r w:rsidR="00537E6B">
        <w:t>?  W</w:t>
      </w:r>
      <w:r w:rsidR="00625C01">
        <w:t>hat were the rates ACC charged for those services</w:t>
      </w:r>
      <w:r w:rsidR="00BA5260">
        <w:t>, and was the floor</w:t>
      </w:r>
      <w:r w:rsidR="00537E6B">
        <w:t xml:space="preserve"> determined consistent with section 32.27?  </w:t>
      </w:r>
      <w:r w:rsidR="0011744A">
        <w:t xml:space="preserve">Allband </w:t>
      </w:r>
      <w:r w:rsidR="006F3578">
        <w:t>must</w:t>
      </w:r>
      <w:r w:rsidR="0011744A">
        <w:t xml:space="preserve"> provide USAC with the documentation necessary to make these determinations. </w:t>
      </w:r>
      <w:r w:rsidR="00625C01">
        <w:t xml:space="preserve"> </w:t>
      </w:r>
    </w:p>
    <w:p w14:paraId="06F83E57" w14:textId="4C87BAE7" w:rsidR="006F0AC7" w:rsidRDefault="00E04BEB" w:rsidP="006F0AC7">
      <w:pPr>
        <w:pStyle w:val="ParaNum"/>
      </w:pPr>
      <w:r>
        <w:t>Third</w:t>
      </w:r>
      <w:r w:rsidR="00D27A7A">
        <w:t xml:space="preserve">, we note </w:t>
      </w:r>
      <w:r w:rsidR="006F0AC7" w:rsidRPr="00FC3342">
        <w:t>that the amount of money owed by AMM</w:t>
      </w:r>
      <w:r w:rsidR="00057567">
        <w:t>, the unregulated subsidiary,</w:t>
      </w:r>
      <w:r w:rsidR="006F0AC7" w:rsidRPr="00FC3342">
        <w:t xml:space="preserve"> to ACC</w:t>
      </w:r>
      <w:r w:rsidR="00057567">
        <w:t>, the regulated telephone company,</w:t>
      </w:r>
      <w:r w:rsidR="006F0AC7" w:rsidRPr="00FC3342">
        <w:t xml:space="preserve"> </w:t>
      </w:r>
      <w:r w:rsidR="00BA5260">
        <w:t>has varied significantly</w:t>
      </w:r>
      <w:r w:rsidR="006F0AC7" w:rsidRPr="00FC3342">
        <w:t xml:space="preserve"> between 2010 and 2013</w:t>
      </w:r>
      <w:r w:rsidR="00537E6B">
        <w:t>.</w:t>
      </w:r>
      <w:r w:rsidR="008605CA">
        <w:rPr>
          <w:rStyle w:val="FootnoteReference"/>
        </w:rPr>
        <w:footnoteReference w:id="24"/>
      </w:r>
      <w:r w:rsidR="006F0AC7" w:rsidRPr="00FC3342">
        <w:t xml:space="preserve"> </w:t>
      </w:r>
    </w:p>
    <w:p w14:paraId="7C7C4DCB" w14:textId="77777777" w:rsidR="006F0AC7" w:rsidRPr="00FC3342" w:rsidRDefault="006F0AC7" w:rsidP="00461A97">
      <w:pPr>
        <w:pStyle w:val="ParaNum"/>
        <w:numPr>
          <w:ilvl w:val="0"/>
          <w:numId w:val="0"/>
        </w:numPr>
        <w:ind w:left="720"/>
      </w:pPr>
    </w:p>
    <w:tbl>
      <w:tblPr>
        <w:tblW w:w="8655" w:type="dxa"/>
        <w:jc w:val="center"/>
        <w:tblLook w:val="04A0" w:firstRow="1" w:lastRow="0" w:firstColumn="1" w:lastColumn="0" w:noHBand="0" w:noVBand="1"/>
      </w:tblPr>
      <w:tblGrid>
        <w:gridCol w:w="3075"/>
        <w:gridCol w:w="1080"/>
        <w:gridCol w:w="1054"/>
        <w:gridCol w:w="1196"/>
        <w:gridCol w:w="1170"/>
        <w:gridCol w:w="1080"/>
      </w:tblGrid>
      <w:tr w:rsidR="006F0AC7" w:rsidRPr="00755866" w14:paraId="74C36DED" w14:textId="77777777" w:rsidTr="00203AF0">
        <w:trPr>
          <w:trHeight w:val="288"/>
          <w:jc w:val="center"/>
        </w:trPr>
        <w:tc>
          <w:tcPr>
            <w:tcW w:w="3075" w:type="dxa"/>
            <w:tcBorders>
              <w:top w:val="single" w:sz="4" w:space="0" w:color="auto"/>
              <w:left w:val="single" w:sz="4" w:space="0" w:color="auto"/>
              <w:bottom w:val="single" w:sz="4" w:space="0" w:color="auto"/>
              <w:right w:val="single" w:sz="4" w:space="0" w:color="auto"/>
            </w:tcBorders>
            <w:shd w:val="clear" w:color="000000" w:fill="D8E4BC"/>
            <w:noWrap/>
            <w:vAlign w:val="bottom"/>
          </w:tcPr>
          <w:p w14:paraId="47C15BCF" w14:textId="77777777" w:rsidR="006F0AC7" w:rsidRPr="00491A7A" w:rsidRDefault="006F0AC7" w:rsidP="00461A97">
            <w:pPr>
              <w:widowControl/>
              <w:rPr>
                <w:snapToGrid/>
                <w:color w:val="000000"/>
                <w:kern w:val="0"/>
                <w:szCs w:val="22"/>
              </w:rPr>
            </w:pPr>
            <w:r w:rsidRPr="00491A7A">
              <w:rPr>
                <w:snapToGrid/>
                <w:color w:val="000000"/>
                <w:kern w:val="0"/>
                <w:szCs w:val="22"/>
              </w:rPr>
              <w:t> </w:t>
            </w:r>
          </w:p>
        </w:tc>
        <w:tc>
          <w:tcPr>
            <w:tcW w:w="1080" w:type="dxa"/>
            <w:tcBorders>
              <w:top w:val="single" w:sz="4" w:space="0" w:color="auto"/>
              <w:left w:val="nil"/>
              <w:bottom w:val="single" w:sz="4" w:space="0" w:color="auto"/>
              <w:right w:val="single" w:sz="4" w:space="0" w:color="auto"/>
            </w:tcBorders>
            <w:shd w:val="clear" w:color="000000" w:fill="D8E4BC"/>
            <w:noWrap/>
            <w:vAlign w:val="bottom"/>
          </w:tcPr>
          <w:p w14:paraId="5FEBDFCD" w14:textId="67F3EE59" w:rsidR="006F0AC7" w:rsidRPr="00491A7A" w:rsidRDefault="006F0AC7" w:rsidP="007E2B9E">
            <w:pPr>
              <w:widowControl/>
              <w:jc w:val="center"/>
              <w:rPr>
                <w:b/>
                <w:bCs/>
                <w:snapToGrid/>
                <w:color w:val="000000"/>
                <w:kern w:val="0"/>
                <w:szCs w:val="22"/>
              </w:rPr>
            </w:pPr>
            <w:r w:rsidRPr="00491A7A">
              <w:rPr>
                <w:b/>
                <w:bCs/>
                <w:snapToGrid/>
                <w:color w:val="000000"/>
                <w:kern w:val="0"/>
                <w:szCs w:val="22"/>
              </w:rPr>
              <w:t>2014</w:t>
            </w:r>
            <w:r w:rsidR="007E2B9E">
              <w:rPr>
                <w:rStyle w:val="FootnoteReference"/>
                <w:b/>
                <w:bCs/>
                <w:snapToGrid/>
                <w:kern w:val="0"/>
                <w:szCs w:val="22"/>
              </w:rPr>
              <w:footnoteReference w:id="25"/>
            </w:r>
          </w:p>
        </w:tc>
        <w:tc>
          <w:tcPr>
            <w:tcW w:w="1054" w:type="dxa"/>
            <w:tcBorders>
              <w:top w:val="single" w:sz="4" w:space="0" w:color="auto"/>
              <w:left w:val="nil"/>
              <w:bottom w:val="single" w:sz="4" w:space="0" w:color="auto"/>
              <w:right w:val="single" w:sz="4" w:space="0" w:color="auto"/>
            </w:tcBorders>
            <w:shd w:val="clear" w:color="000000" w:fill="D8E4BC"/>
            <w:noWrap/>
            <w:vAlign w:val="bottom"/>
          </w:tcPr>
          <w:p w14:paraId="76F59FE0" w14:textId="50413D59" w:rsidR="006F0AC7" w:rsidRPr="00491A7A" w:rsidRDefault="006F0AC7" w:rsidP="007E2B9E">
            <w:pPr>
              <w:widowControl/>
              <w:jc w:val="center"/>
              <w:rPr>
                <w:b/>
                <w:bCs/>
                <w:snapToGrid/>
                <w:color w:val="000000"/>
                <w:kern w:val="0"/>
                <w:szCs w:val="22"/>
              </w:rPr>
            </w:pPr>
            <w:r w:rsidRPr="00491A7A">
              <w:rPr>
                <w:b/>
                <w:bCs/>
                <w:snapToGrid/>
                <w:color w:val="000000"/>
                <w:kern w:val="0"/>
                <w:szCs w:val="22"/>
              </w:rPr>
              <w:t>2013</w:t>
            </w:r>
            <w:r w:rsidR="007E2B9E">
              <w:rPr>
                <w:rStyle w:val="FootnoteReference"/>
                <w:b/>
                <w:bCs/>
                <w:snapToGrid/>
                <w:kern w:val="0"/>
                <w:szCs w:val="22"/>
              </w:rPr>
              <w:footnoteReference w:id="26"/>
            </w:r>
          </w:p>
        </w:tc>
        <w:tc>
          <w:tcPr>
            <w:tcW w:w="1196" w:type="dxa"/>
            <w:tcBorders>
              <w:top w:val="single" w:sz="4" w:space="0" w:color="auto"/>
              <w:left w:val="nil"/>
              <w:bottom w:val="single" w:sz="4" w:space="0" w:color="auto"/>
              <w:right w:val="single" w:sz="4" w:space="0" w:color="auto"/>
            </w:tcBorders>
            <w:shd w:val="clear" w:color="000000" w:fill="D8E4BC"/>
            <w:noWrap/>
            <w:vAlign w:val="bottom"/>
          </w:tcPr>
          <w:p w14:paraId="48033D80" w14:textId="215C1EAE" w:rsidR="006F0AC7" w:rsidRPr="00491A7A" w:rsidRDefault="006F0AC7" w:rsidP="007E2B9E">
            <w:pPr>
              <w:widowControl/>
              <w:jc w:val="center"/>
              <w:rPr>
                <w:b/>
                <w:bCs/>
                <w:snapToGrid/>
                <w:color w:val="000000"/>
                <w:kern w:val="0"/>
                <w:szCs w:val="22"/>
              </w:rPr>
            </w:pPr>
            <w:r w:rsidRPr="00491A7A">
              <w:rPr>
                <w:b/>
                <w:bCs/>
                <w:snapToGrid/>
                <w:color w:val="000000"/>
                <w:kern w:val="0"/>
                <w:szCs w:val="22"/>
              </w:rPr>
              <w:t>2012</w:t>
            </w:r>
            <w:r w:rsidR="007E2B9E">
              <w:rPr>
                <w:rStyle w:val="FootnoteReference"/>
                <w:b/>
                <w:bCs/>
                <w:snapToGrid/>
                <w:kern w:val="0"/>
                <w:szCs w:val="22"/>
              </w:rPr>
              <w:footnoteReference w:id="27"/>
            </w:r>
          </w:p>
        </w:tc>
        <w:tc>
          <w:tcPr>
            <w:tcW w:w="1170" w:type="dxa"/>
            <w:tcBorders>
              <w:top w:val="single" w:sz="4" w:space="0" w:color="auto"/>
              <w:left w:val="nil"/>
              <w:bottom w:val="single" w:sz="4" w:space="0" w:color="auto"/>
              <w:right w:val="single" w:sz="4" w:space="0" w:color="auto"/>
            </w:tcBorders>
            <w:shd w:val="clear" w:color="000000" w:fill="D8E4BC"/>
            <w:noWrap/>
            <w:vAlign w:val="bottom"/>
          </w:tcPr>
          <w:p w14:paraId="3F5B2B58" w14:textId="5321586F" w:rsidR="006F0AC7" w:rsidRPr="00491A7A" w:rsidRDefault="006F0AC7" w:rsidP="007E2B9E">
            <w:pPr>
              <w:widowControl/>
              <w:jc w:val="center"/>
              <w:rPr>
                <w:b/>
                <w:bCs/>
                <w:snapToGrid/>
                <w:color w:val="000000"/>
                <w:kern w:val="0"/>
                <w:szCs w:val="22"/>
              </w:rPr>
            </w:pPr>
            <w:r w:rsidRPr="00491A7A">
              <w:rPr>
                <w:b/>
                <w:bCs/>
                <w:snapToGrid/>
                <w:color w:val="000000"/>
                <w:kern w:val="0"/>
                <w:szCs w:val="22"/>
              </w:rPr>
              <w:t>2011</w:t>
            </w:r>
            <w:r w:rsidR="007E2B9E">
              <w:rPr>
                <w:rStyle w:val="FootnoteReference"/>
                <w:b/>
                <w:bCs/>
                <w:snapToGrid/>
                <w:kern w:val="0"/>
                <w:szCs w:val="22"/>
              </w:rPr>
              <w:footnoteReference w:id="28"/>
            </w:r>
          </w:p>
        </w:tc>
        <w:tc>
          <w:tcPr>
            <w:tcW w:w="1080" w:type="dxa"/>
            <w:tcBorders>
              <w:top w:val="single" w:sz="4" w:space="0" w:color="auto"/>
              <w:left w:val="nil"/>
              <w:bottom w:val="single" w:sz="4" w:space="0" w:color="auto"/>
              <w:right w:val="single" w:sz="4" w:space="0" w:color="auto"/>
            </w:tcBorders>
            <w:shd w:val="clear" w:color="000000" w:fill="D8E4BC"/>
            <w:noWrap/>
            <w:vAlign w:val="bottom"/>
          </w:tcPr>
          <w:p w14:paraId="279AB2A0" w14:textId="0753D252" w:rsidR="006F0AC7" w:rsidRPr="00491A7A" w:rsidRDefault="006F0AC7" w:rsidP="007E2B9E">
            <w:pPr>
              <w:widowControl/>
              <w:jc w:val="center"/>
              <w:rPr>
                <w:b/>
                <w:bCs/>
                <w:snapToGrid/>
                <w:color w:val="000000"/>
                <w:kern w:val="0"/>
                <w:szCs w:val="22"/>
              </w:rPr>
            </w:pPr>
            <w:r w:rsidRPr="00491A7A">
              <w:rPr>
                <w:b/>
                <w:bCs/>
                <w:snapToGrid/>
                <w:color w:val="000000"/>
                <w:kern w:val="0"/>
                <w:szCs w:val="22"/>
              </w:rPr>
              <w:t>2010</w:t>
            </w:r>
            <w:r w:rsidR="007E2B9E">
              <w:rPr>
                <w:rStyle w:val="FootnoteReference"/>
                <w:b/>
                <w:bCs/>
                <w:snapToGrid/>
                <w:kern w:val="0"/>
                <w:szCs w:val="22"/>
              </w:rPr>
              <w:footnoteReference w:id="29"/>
            </w:r>
          </w:p>
        </w:tc>
      </w:tr>
      <w:tr w:rsidR="006F0AC7" w:rsidRPr="00755866" w14:paraId="0220184B" w14:textId="77777777" w:rsidTr="00203AF0">
        <w:trPr>
          <w:trHeight w:val="648"/>
          <w:jc w:val="center"/>
        </w:trPr>
        <w:tc>
          <w:tcPr>
            <w:tcW w:w="3075" w:type="dxa"/>
            <w:tcBorders>
              <w:top w:val="nil"/>
              <w:left w:val="single" w:sz="4" w:space="0" w:color="auto"/>
              <w:bottom w:val="single" w:sz="4" w:space="0" w:color="auto"/>
              <w:right w:val="single" w:sz="4" w:space="0" w:color="auto"/>
            </w:tcBorders>
            <w:shd w:val="clear" w:color="auto" w:fill="auto"/>
            <w:vAlign w:val="bottom"/>
          </w:tcPr>
          <w:p w14:paraId="085D1A15" w14:textId="77777777" w:rsidR="006F0AC7" w:rsidRPr="00491A7A" w:rsidRDefault="006F0AC7" w:rsidP="00461A97">
            <w:pPr>
              <w:widowControl/>
              <w:rPr>
                <w:b/>
                <w:bCs/>
                <w:snapToGrid/>
                <w:color w:val="000000"/>
                <w:kern w:val="0"/>
                <w:szCs w:val="22"/>
              </w:rPr>
            </w:pPr>
            <w:r w:rsidRPr="00491A7A">
              <w:rPr>
                <w:b/>
                <w:bCs/>
                <w:snapToGrid/>
                <w:color w:val="000000"/>
                <w:kern w:val="0"/>
                <w:szCs w:val="22"/>
              </w:rPr>
              <w:t>Net Accounts Receivable</w:t>
            </w:r>
            <w:r w:rsidRPr="00491A7A">
              <w:rPr>
                <w:b/>
                <w:bCs/>
                <w:snapToGrid/>
                <w:color w:val="000000"/>
                <w:kern w:val="0"/>
                <w:szCs w:val="22"/>
              </w:rPr>
              <w:br/>
              <w:t>(Amounts owed to ACC by AMM)</w:t>
            </w:r>
          </w:p>
        </w:tc>
        <w:tc>
          <w:tcPr>
            <w:tcW w:w="1080" w:type="dxa"/>
            <w:tcBorders>
              <w:top w:val="nil"/>
              <w:left w:val="nil"/>
              <w:bottom w:val="single" w:sz="4" w:space="0" w:color="auto"/>
              <w:right w:val="single" w:sz="4" w:space="0" w:color="auto"/>
            </w:tcBorders>
            <w:shd w:val="clear" w:color="auto" w:fill="auto"/>
            <w:noWrap/>
            <w:vAlign w:val="center"/>
          </w:tcPr>
          <w:p w14:paraId="76BE4A34" w14:textId="77777777" w:rsidR="006F0AC7" w:rsidRPr="00E134C1" w:rsidRDefault="006F0AC7" w:rsidP="00461A97">
            <w:pPr>
              <w:widowControl/>
              <w:jc w:val="right"/>
              <w:rPr>
                <w:bCs/>
                <w:snapToGrid/>
                <w:color w:val="000000"/>
                <w:kern w:val="0"/>
                <w:szCs w:val="22"/>
              </w:rPr>
            </w:pPr>
            <w:r w:rsidRPr="00E134C1">
              <w:rPr>
                <w:bCs/>
                <w:snapToGrid/>
                <w:color w:val="000000"/>
                <w:kern w:val="0"/>
                <w:szCs w:val="22"/>
              </w:rPr>
              <w:t>$19,670</w:t>
            </w:r>
          </w:p>
        </w:tc>
        <w:tc>
          <w:tcPr>
            <w:tcW w:w="1054" w:type="dxa"/>
            <w:tcBorders>
              <w:top w:val="nil"/>
              <w:left w:val="nil"/>
              <w:bottom w:val="single" w:sz="4" w:space="0" w:color="auto"/>
              <w:right w:val="single" w:sz="4" w:space="0" w:color="auto"/>
            </w:tcBorders>
            <w:shd w:val="clear" w:color="auto" w:fill="auto"/>
            <w:noWrap/>
            <w:vAlign w:val="center"/>
          </w:tcPr>
          <w:p w14:paraId="7D319E07" w14:textId="77777777" w:rsidR="006F0AC7" w:rsidRPr="00E134C1" w:rsidRDefault="006F0AC7" w:rsidP="00461A97">
            <w:pPr>
              <w:widowControl/>
              <w:jc w:val="right"/>
              <w:rPr>
                <w:bCs/>
                <w:snapToGrid/>
                <w:color w:val="000000"/>
                <w:kern w:val="0"/>
                <w:szCs w:val="22"/>
              </w:rPr>
            </w:pPr>
            <w:r w:rsidRPr="00E134C1">
              <w:rPr>
                <w:bCs/>
                <w:snapToGrid/>
                <w:color w:val="000000"/>
                <w:kern w:val="0"/>
                <w:szCs w:val="22"/>
              </w:rPr>
              <w:t>$146,449</w:t>
            </w:r>
          </w:p>
        </w:tc>
        <w:tc>
          <w:tcPr>
            <w:tcW w:w="1196" w:type="dxa"/>
            <w:tcBorders>
              <w:top w:val="nil"/>
              <w:left w:val="nil"/>
              <w:bottom w:val="single" w:sz="4" w:space="0" w:color="auto"/>
              <w:right w:val="single" w:sz="4" w:space="0" w:color="auto"/>
            </w:tcBorders>
            <w:shd w:val="clear" w:color="auto" w:fill="auto"/>
            <w:noWrap/>
            <w:vAlign w:val="center"/>
          </w:tcPr>
          <w:p w14:paraId="73887D88" w14:textId="77777777" w:rsidR="006F0AC7" w:rsidRPr="00E134C1" w:rsidRDefault="006F0AC7" w:rsidP="00461A97">
            <w:pPr>
              <w:widowControl/>
              <w:jc w:val="right"/>
              <w:rPr>
                <w:bCs/>
                <w:snapToGrid/>
                <w:color w:val="000000"/>
                <w:kern w:val="0"/>
                <w:szCs w:val="22"/>
              </w:rPr>
            </w:pPr>
            <w:r w:rsidRPr="00E134C1">
              <w:rPr>
                <w:bCs/>
                <w:snapToGrid/>
                <w:color w:val="000000"/>
                <w:kern w:val="0"/>
                <w:szCs w:val="22"/>
              </w:rPr>
              <w:t>$132,800</w:t>
            </w:r>
          </w:p>
        </w:tc>
        <w:tc>
          <w:tcPr>
            <w:tcW w:w="1170" w:type="dxa"/>
            <w:tcBorders>
              <w:top w:val="nil"/>
              <w:left w:val="nil"/>
              <w:bottom w:val="single" w:sz="4" w:space="0" w:color="auto"/>
              <w:right w:val="single" w:sz="4" w:space="0" w:color="auto"/>
            </w:tcBorders>
            <w:shd w:val="clear" w:color="auto" w:fill="auto"/>
            <w:noWrap/>
            <w:vAlign w:val="center"/>
          </w:tcPr>
          <w:p w14:paraId="5644C882" w14:textId="77777777" w:rsidR="006F0AC7" w:rsidRPr="00E134C1" w:rsidRDefault="006F0AC7" w:rsidP="00461A97">
            <w:pPr>
              <w:widowControl/>
              <w:jc w:val="right"/>
              <w:rPr>
                <w:bCs/>
                <w:snapToGrid/>
                <w:color w:val="000000"/>
                <w:kern w:val="0"/>
                <w:szCs w:val="22"/>
              </w:rPr>
            </w:pPr>
            <w:r w:rsidRPr="00E134C1">
              <w:rPr>
                <w:bCs/>
                <w:snapToGrid/>
                <w:color w:val="000000"/>
                <w:kern w:val="0"/>
                <w:szCs w:val="22"/>
              </w:rPr>
              <w:t>$67,402</w:t>
            </w:r>
          </w:p>
        </w:tc>
        <w:tc>
          <w:tcPr>
            <w:tcW w:w="1080" w:type="dxa"/>
            <w:tcBorders>
              <w:top w:val="nil"/>
              <w:left w:val="nil"/>
              <w:bottom w:val="single" w:sz="4" w:space="0" w:color="auto"/>
              <w:right w:val="single" w:sz="4" w:space="0" w:color="auto"/>
            </w:tcBorders>
            <w:shd w:val="clear" w:color="auto" w:fill="auto"/>
            <w:noWrap/>
            <w:vAlign w:val="center"/>
          </w:tcPr>
          <w:p w14:paraId="27CD180B" w14:textId="77777777" w:rsidR="006F0AC7" w:rsidRPr="00E134C1" w:rsidRDefault="006F0AC7" w:rsidP="00461A97">
            <w:pPr>
              <w:widowControl/>
              <w:jc w:val="right"/>
              <w:rPr>
                <w:bCs/>
                <w:snapToGrid/>
                <w:color w:val="000000"/>
                <w:kern w:val="0"/>
                <w:szCs w:val="22"/>
              </w:rPr>
            </w:pPr>
            <w:r w:rsidRPr="00E134C1">
              <w:rPr>
                <w:bCs/>
                <w:snapToGrid/>
                <w:color w:val="000000"/>
                <w:kern w:val="0"/>
                <w:szCs w:val="22"/>
              </w:rPr>
              <w:t>$19,815</w:t>
            </w:r>
          </w:p>
        </w:tc>
      </w:tr>
    </w:tbl>
    <w:p w14:paraId="2450B4DD" w14:textId="77777777" w:rsidR="006F0AC7" w:rsidRPr="00FC3342" w:rsidRDefault="006F0AC7" w:rsidP="001C0AA7">
      <w:pPr>
        <w:pStyle w:val="ParaNum"/>
        <w:numPr>
          <w:ilvl w:val="0"/>
          <w:numId w:val="0"/>
        </w:numPr>
        <w:spacing w:after="0"/>
      </w:pPr>
    </w:p>
    <w:p w14:paraId="47373DEE" w14:textId="77777777" w:rsidR="006F0AC7" w:rsidRDefault="006F0AC7" w:rsidP="00255654">
      <w:pPr>
        <w:pStyle w:val="ParaNum"/>
        <w:numPr>
          <w:ilvl w:val="0"/>
          <w:numId w:val="0"/>
        </w:numPr>
      </w:pPr>
      <w:r w:rsidRPr="00FC3342">
        <w:t>In 2010, AMM owed ACC just under $20</w:t>
      </w:r>
      <w:r>
        <w:t>,000</w:t>
      </w:r>
      <w:r w:rsidRPr="00FC3342">
        <w:t>, whereas by 2013 that amount had grown to over $145</w:t>
      </w:r>
      <w:r>
        <w:t>,000</w:t>
      </w:r>
      <w:r w:rsidRPr="00FC3342">
        <w:t xml:space="preserve">.  </w:t>
      </w:r>
      <w:r w:rsidR="00D27A7A">
        <w:t>T</w:t>
      </w:r>
      <w:r>
        <w:t>he amount AMM owed to ACC decrease</w:t>
      </w:r>
      <w:r w:rsidR="00D27A7A">
        <w:t>d</w:t>
      </w:r>
      <w:r>
        <w:t xml:space="preserve"> again to just under $20,000 in 2014.   USAC </w:t>
      </w:r>
      <w:r w:rsidR="00057567">
        <w:t xml:space="preserve">should </w:t>
      </w:r>
      <w:r w:rsidR="00EC5D02">
        <w:t xml:space="preserve">conduct an inquiry and obtain Allband’s supporting documentation to </w:t>
      </w:r>
      <w:r>
        <w:t xml:space="preserve">determine </w:t>
      </w:r>
      <w:r w:rsidR="006051ED">
        <w:t xml:space="preserve">why </w:t>
      </w:r>
      <w:r>
        <w:t>the amount owed to the regulated affiliate increased from 2010 to 2013, and the age of those accounts payable owed by AMM to ACC</w:t>
      </w:r>
      <w:r w:rsidRPr="00FC3342">
        <w:t xml:space="preserve">.  </w:t>
      </w:r>
      <w:r w:rsidR="00057567">
        <w:t xml:space="preserve">USAC also should examine </w:t>
      </w:r>
      <w:r>
        <w:t>the amounts owed from December 31, 2010 through December 31, 2014</w:t>
      </w:r>
      <w:r w:rsidR="00057567">
        <w:t>, and report the extent to which amounts were more than 30 days past due.</w:t>
      </w:r>
      <w:r w:rsidR="0011744A">
        <w:t xml:space="preserve">  Allband </w:t>
      </w:r>
      <w:r w:rsidR="003939F9">
        <w:t>must</w:t>
      </w:r>
      <w:r w:rsidR="0011744A">
        <w:t xml:space="preserve"> provide USAC with the documentation necessary to make these determinations.</w:t>
      </w:r>
    </w:p>
    <w:p w14:paraId="2D4FB46B" w14:textId="10986449" w:rsidR="00B30E61" w:rsidRPr="00FC3342" w:rsidRDefault="00E04BEB" w:rsidP="006F0AC7">
      <w:pPr>
        <w:pStyle w:val="ParaNum"/>
      </w:pPr>
      <w:r>
        <w:t>Fourth</w:t>
      </w:r>
      <w:r w:rsidR="00B30E61">
        <w:t xml:space="preserve">, </w:t>
      </w:r>
      <w:r w:rsidR="009F22AE">
        <w:t xml:space="preserve">Allband’s 2014 financials show that ACC borrowed $300,000 from the company’s founder and President, John Reigle, at an </w:t>
      </w:r>
      <w:r w:rsidR="00C11813">
        <w:t xml:space="preserve">annual </w:t>
      </w:r>
      <w:r w:rsidR="009F22AE">
        <w:t>interest rate of 12</w:t>
      </w:r>
      <w:r w:rsidR="006C5B8D">
        <w:t xml:space="preserve"> percent.</w:t>
      </w:r>
      <w:r w:rsidR="006C5B8D">
        <w:rPr>
          <w:rStyle w:val="FootnoteReference"/>
        </w:rPr>
        <w:footnoteReference w:id="30"/>
      </w:r>
      <w:r w:rsidR="006C5B8D">
        <w:t xml:space="preserve">  </w:t>
      </w:r>
      <w:r w:rsidR="00E236EF">
        <w:t xml:space="preserve">We direct </w:t>
      </w:r>
      <w:r w:rsidR="00C11813">
        <w:t xml:space="preserve">USAC </w:t>
      </w:r>
      <w:r w:rsidR="00E236EF">
        <w:t>to</w:t>
      </w:r>
      <w:r w:rsidR="00EC5D02" w:rsidRPr="00EC5D02">
        <w:t xml:space="preserve"> </w:t>
      </w:r>
      <w:r w:rsidR="00EC5D02">
        <w:t>conduct an inquiry and obtain Allband’s supporting documentation to</w:t>
      </w:r>
      <w:r w:rsidR="00C11813">
        <w:t xml:space="preserve"> determine </w:t>
      </w:r>
      <w:r w:rsidR="00E236EF">
        <w:t xml:space="preserve">how the ceiling for the interest rate </w:t>
      </w:r>
      <w:r w:rsidR="00C11813">
        <w:t>for this loan</w:t>
      </w:r>
      <w:r w:rsidR="00E236EF">
        <w:t xml:space="preserve">, as defined in 47 C.F.R. § 32.27(c)(2), was </w:t>
      </w:r>
      <w:r w:rsidR="003939F9">
        <w:t>calculated</w:t>
      </w:r>
      <w:r w:rsidR="00E236EF">
        <w:t>.</w:t>
      </w:r>
      <w:r w:rsidR="00E236EF" w:rsidDel="00E236EF">
        <w:t xml:space="preserve">  </w:t>
      </w:r>
      <w:r w:rsidR="006D6C17">
        <w:t xml:space="preserve">Further, </w:t>
      </w:r>
      <w:r w:rsidR="00E13816">
        <w:t>USAC shall report on the specific uses the $300,000 in loan funds were put by ACC</w:t>
      </w:r>
      <w:r w:rsidR="00DF7631">
        <w:t xml:space="preserve">. </w:t>
      </w:r>
      <w:r w:rsidR="0011744A">
        <w:t xml:space="preserve"> Allband </w:t>
      </w:r>
      <w:r w:rsidR="003939F9">
        <w:t>must</w:t>
      </w:r>
      <w:r w:rsidR="0011744A">
        <w:t xml:space="preserve"> provide USAC with the documentation necessary to make these determinations.  </w:t>
      </w:r>
      <w:r w:rsidR="00E13816">
        <w:t xml:space="preserve">  </w:t>
      </w:r>
    </w:p>
    <w:p w14:paraId="65C9485B" w14:textId="1E0D99ED" w:rsidR="006F0AC7" w:rsidRPr="00C2082F" w:rsidRDefault="00E04BEB" w:rsidP="006F0AC7">
      <w:pPr>
        <w:pStyle w:val="ParaNum"/>
      </w:pPr>
      <w:r>
        <w:t>Fifth</w:t>
      </w:r>
      <w:r w:rsidR="00166D4C">
        <w:t xml:space="preserve">, USAC should </w:t>
      </w:r>
      <w:r w:rsidR="00EC5D02">
        <w:t xml:space="preserve">conduct an inquiry and obtain Allband’s supporting documentation to </w:t>
      </w:r>
      <w:r w:rsidR="00166D4C">
        <w:t xml:space="preserve">to determine </w:t>
      </w:r>
      <w:r w:rsidR="00166D4C" w:rsidRPr="00FC3342">
        <w:t xml:space="preserve">if Allband </w:t>
      </w:r>
      <w:r w:rsidR="00166D4C">
        <w:t xml:space="preserve">currently or in the past </w:t>
      </w:r>
      <w:r w:rsidR="00166D4C" w:rsidRPr="00FC3342">
        <w:t>own</w:t>
      </w:r>
      <w:r w:rsidR="00166D4C">
        <w:t>ed</w:t>
      </w:r>
      <w:r w:rsidR="00166D4C" w:rsidRPr="00FC3342">
        <w:t xml:space="preserve"> a residential rental property, and if so, how Allband </w:t>
      </w:r>
      <w:r w:rsidR="00057567">
        <w:t xml:space="preserve">has </w:t>
      </w:r>
      <w:r w:rsidR="00166D4C" w:rsidRPr="00FC3342">
        <w:t>account</w:t>
      </w:r>
      <w:r w:rsidR="00166D4C">
        <w:t>ed</w:t>
      </w:r>
      <w:r w:rsidR="00166D4C" w:rsidRPr="00FC3342">
        <w:t xml:space="preserve"> for the costs and rental revenues for the property.  </w:t>
      </w:r>
      <w:r w:rsidR="006F0AC7" w:rsidRPr="00FC3342">
        <w:t>On line 19(h) of its 2010 IRS Form 990 (the latest year this form is publically available for Allband), the cooperative list</w:t>
      </w:r>
      <w:r w:rsidR="00166D4C">
        <w:t>ed</w:t>
      </w:r>
      <w:r w:rsidR="006F0AC7" w:rsidRPr="00FC3342">
        <w:t xml:space="preserve"> a depreciation recovery period of 27.5 years for a “Residential Rental Property.”  However, there has been no mention of a “residential rental property” in the other materials Allband has submitted with its waiver petitions.</w:t>
      </w:r>
      <w:r w:rsidR="006F0AC7">
        <w:t xml:space="preserve"> </w:t>
      </w:r>
      <w:r w:rsidR="0011744A">
        <w:t xml:space="preserve"> Allband </w:t>
      </w:r>
      <w:r w:rsidR="003939F9">
        <w:t>must</w:t>
      </w:r>
      <w:r w:rsidR="0011744A">
        <w:t xml:space="preserve"> provide USAC with the documentation necessary to make these determinations.  </w:t>
      </w:r>
      <w:r w:rsidR="00057567">
        <w:t xml:space="preserve">  </w:t>
      </w:r>
    </w:p>
    <w:p w14:paraId="75E9C2F1" w14:textId="77777777" w:rsidR="000662E9" w:rsidRDefault="00E65214" w:rsidP="00531E4F">
      <w:pPr>
        <w:pStyle w:val="ParaNum"/>
      </w:pPr>
      <w:r>
        <w:t xml:space="preserve">We </w:t>
      </w:r>
      <w:r w:rsidR="00A55CB7">
        <w:t xml:space="preserve">direct USAC to </w:t>
      </w:r>
      <w:r w:rsidR="00166D4C">
        <w:t xml:space="preserve">submit </w:t>
      </w:r>
      <w:r w:rsidR="00A55CB7">
        <w:t xml:space="preserve">the results of its inquiry </w:t>
      </w:r>
      <w:r w:rsidR="003939F9">
        <w:t xml:space="preserve">in a memorandum </w:t>
      </w:r>
      <w:r w:rsidR="00627ADB">
        <w:t xml:space="preserve">to the Bureau </w:t>
      </w:r>
      <w:r w:rsidR="00A55CB7">
        <w:t>by September 30, 2015</w:t>
      </w:r>
      <w:r>
        <w:t>.</w:t>
      </w:r>
      <w:r w:rsidR="00A536F9">
        <w:rPr>
          <w:rStyle w:val="FootnoteReference"/>
        </w:rPr>
        <w:footnoteReference w:id="31"/>
      </w:r>
      <w:r>
        <w:t xml:space="preserve">  However, if USAC anticipates that it needs additional time to complete its work, it should inform the Bureau of how much longer it requires no later than September 1, 2015.</w:t>
      </w:r>
      <w:r w:rsidR="00C06403">
        <w:t xml:space="preserve">  </w:t>
      </w:r>
      <w:r w:rsidR="001201F5">
        <w:t xml:space="preserve"> </w:t>
      </w:r>
    </w:p>
    <w:p w14:paraId="23E8895E" w14:textId="0AD6E41B" w:rsidR="00E65214" w:rsidRDefault="00FD717F" w:rsidP="00531E4F">
      <w:pPr>
        <w:pStyle w:val="ParaNum"/>
      </w:pPr>
      <w:r>
        <w:t xml:space="preserve">As the Bureau is unable to make a determination as to the necessity of the waiver filed by Allband, we extend Allband’s current waiver until the earlier of either December 31, 2015 or the date on which </w:t>
      </w:r>
      <w:r w:rsidR="00166D4C">
        <w:t>further action is taken on the pending waiver request.</w:t>
      </w:r>
      <w:r w:rsidR="00565AA1">
        <w:t xml:space="preserve">  As such, USAC can continue to provide to Allband of the lesser of high-cost universal service support based on Allband’s actual costs or the annualized total high-cost support that it received for the period January 1, 2012 through June 30, 2012. </w:t>
      </w:r>
      <w:r w:rsidR="00166D4C">
        <w:t xml:space="preserve">  </w:t>
      </w:r>
      <w:r w:rsidR="00A536F9">
        <w:t xml:space="preserve">  This will </w:t>
      </w:r>
      <w:r w:rsidR="00166D4C">
        <w:t>maintain the status quo</w:t>
      </w:r>
      <w:r w:rsidR="00A536F9">
        <w:t xml:space="preserve"> while USAC </w:t>
      </w:r>
      <w:r w:rsidR="00EC5D02">
        <w:t>conducts its review</w:t>
      </w:r>
      <w:r w:rsidR="002E6B3A">
        <w:t xml:space="preserve"> and reports back to the </w:t>
      </w:r>
      <w:r w:rsidR="00D3790B">
        <w:t>Bureau</w:t>
      </w:r>
      <w:r w:rsidR="00166D4C">
        <w:t>, without prejudging whether Allband is in compliance with the Commission’s rules</w:t>
      </w:r>
      <w:r w:rsidR="00C43EA9">
        <w:t>.</w:t>
      </w:r>
      <w:r w:rsidR="00C43EA9">
        <w:rPr>
          <w:rStyle w:val="FootnoteReference"/>
        </w:rPr>
        <w:footnoteReference w:id="32"/>
      </w:r>
      <w:r w:rsidR="00166D4C">
        <w:t xml:space="preserve">   </w:t>
      </w:r>
    </w:p>
    <w:p w14:paraId="2AEAB1B1" w14:textId="77777777" w:rsidR="000662E9" w:rsidRPr="00FC3342" w:rsidRDefault="000662E9" w:rsidP="000662E9"/>
    <w:p w14:paraId="08AFA547" w14:textId="77777777" w:rsidR="00B4282D" w:rsidRDefault="00B4282D" w:rsidP="006B3D29">
      <w:pPr>
        <w:pStyle w:val="Heading1"/>
        <w:widowControl/>
      </w:pPr>
      <w:r w:rsidRPr="00540842">
        <w:t>ORDERING CLAUSES</w:t>
      </w:r>
    </w:p>
    <w:p w14:paraId="55643D54" w14:textId="77777777" w:rsidR="000244C2" w:rsidRDefault="00A44E9C" w:rsidP="00A44E9C">
      <w:pPr>
        <w:pStyle w:val="ParaNum"/>
      </w:pPr>
      <w:r>
        <w:t>IT IS</w:t>
      </w:r>
      <w:r w:rsidRPr="00C23D02">
        <w:t xml:space="preserve"> ORDERED</w:t>
      </w:r>
      <w:r>
        <w:t>,</w:t>
      </w:r>
      <w:r w:rsidRPr="00C23D02">
        <w:t xml:space="preserve"> pursuant to </w:t>
      </w:r>
      <w:r>
        <w:t xml:space="preserve">the </w:t>
      </w:r>
      <w:r w:rsidRPr="00C23D02">
        <w:t>authority contained in sections 4(i), 4(j) and 254 of the Communications Act of 1934, as amended, 47 U.S.</w:t>
      </w:r>
      <w:r w:rsidRPr="00C23D02">
        <w:rPr>
          <w:spacing w:val="-2"/>
        </w:rPr>
        <w:t xml:space="preserve">C. </w:t>
      </w:r>
      <w:r w:rsidRPr="00C23D02">
        <w:t>§§</w:t>
      </w:r>
      <w:r w:rsidRPr="00C23D02">
        <w:rPr>
          <w:spacing w:val="-2"/>
        </w:rPr>
        <w:t xml:space="preserve"> 154(i), 154(j), and 254, sections 0.91, 0.131, 0.291, 0.331, and 1.3 of the Commission</w:t>
      </w:r>
      <w:r>
        <w:rPr>
          <w:spacing w:val="-2"/>
        </w:rPr>
        <w:t>’</w:t>
      </w:r>
      <w:r w:rsidRPr="00C23D02">
        <w:rPr>
          <w:spacing w:val="-2"/>
        </w:rPr>
        <w:t xml:space="preserve">s rules, 47 C.F.R. </w:t>
      </w:r>
      <w:r w:rsidRPr="00C23D02">
        <w:t>§§</w:t>
      </w:r>
      <w:r w:rsidRPr="00C23D02">
        <w:rPr>
          <w:spacing w:val="-2"/>
        </w:rPr>
        <w:t xml:space="preserve"> 0.91, 0.131, 0.291, 0.331, and 1.3,</w:t>
      </w:r>
      <w:r w:rsidRPr="00C23D02">
        <w:t xml:space="preserve"> and paragraph 544 of the </w:t>
      </w:r>
      <w:r w:rsidRPr="00C23D02">
        <w:rPr>
          <w:i/>
        </w:rPr>
        <w:t>USF/ICC Transformation Order</w:t>
      </w:r>
      <w:r>
        <w:t>,</w:t>
      </w:r>
      <w:r>
        <w:rPr>
          <w:rStyle w:val="FootnoteReference"/>
        </w:rPr>
        <w:footnoteReference w:id="33"/>
      </w:r>
      <w:r w:rsidRPr="00C23D02">
        <w:t xml:space="preserve"> </w:t>
      </w:r>
      <w:r>
        <w:t xml:space="preserve">FCC 11-161, </w:t>
      </w:r>
      <w:r w:rsidRPr="00C23D02">
        <w:t xml:space="preserve">that </w:t>
      </w:r>
      <w:r>
        <w:t xml:space="preserve">the </w:t>
      </w:r>
      <w:r w:rsidRPr="00C23D02">
        <w:t>Universal Service Administrative Company SHALL MAKE payment to A</w:t>
      </w:r>
      <w:r w:rsidR="00A953F8">
        <w:t>llband Communications Cooperative</w:t>
      </w:r>
      <w:r w:rsidRPr="00C23D02">
        <w:t xml:space="preserve"> in accordance with the amount, terms</w:t>
      </w:r>
      <w:r>
        <w:t>,</w:t>
      </w:r>
      <w:r w:rsidRPr="00C23D02">
        <w:t xml:space="preserve"> and conditions described herein</w:t>
      </w:r>
      <w:r w:rsidR="00A953F8">
        <w:t xml:space="preserve"> and CONDUCT </w:t>
      </w:r>
      <w:r w:rsidR="003059DE">
        <w:t>the inquiries outlined herein</w:t>
      </w:r>
      <w:r w:rsidRPr="00C23D02">
        <w:t>.</w:t>
      </w:r>
    </w:p>
    <w:p w14:paraId="0191A3A0" w14:textId="77777777" w:rsidR="000244C2" w:rsidRDefault="00A44E9C" w:rsidP="00A44E9C">
      <w:pPr>
        <w:pStyle w:val="ParaNum"/>
      </w:pPr>
      <w:r>
        <w:t>IT IS</w:t>
      </w:r>
      <w:r w:rsidRPr="00C23D02">
        <w:t xml:space="preserve"> FURTHER ORDERED that, pursuant to section 1.10</w:t>
      </w:r>
      <w:r>
        <w:t>2</w:t>
      </w:r>
      <w:r w:rsidRPr="00C23D02">
        <w:t>(</w:t>
      </w:r>
      <w:r>
        <w:t>b</w:t>
      </w:r>
      <w:r w:rsidRPr="00C23D02">
        <w:t>)</w:t>
      </w:r>
      <w:r>
        <w:t>(1)</w:t>
      </w:r>
      <w:r w:rsidRPr="00C23D02">
        <w:t xml:space="preserve"> of the Commission</w:t>
      </w:r>
      <w:r>
        <w:t>’</w:t>
      </w:r>
      <w:r w:rsidRPr="00C23D02">
        <w:t>s rules, 47 C.F.R. § 1.10</w:t>
      </w:r>
      <w:r>
        <w:t>2</w:t>
      </w:r>
      <w:r w:rsidRPr="00C23D02">
        <w:t>(</w:t>
      </w:r>
      <w:r>
        <w:t>b</w:t>
      </w:r>
      <w:r w:rsidRPr="00C23D02">
        <w:t>)</w:t>
      </w:r>
      <w:r>
        <w:t>(1)</w:t>
      </w:r>
      <w:r w:rsidRPr="00C23D02">
        <w:t xml:space="preserve">, this </w:t>
      </w:r>
      <w:r>
        <w:t>O</w:t>
      </w:r>
      <w:r w:rsidRPr="00C23D02">
        <w:t xml:space="preserve">rder SHALL BE </w:t>
      </w:r>
      <w:r>
        <w:t>EFFECTIVE</w:t>
      </w:r>
      <w:r w:rsidRPr="00C23D02">
        <w:t xml:space="preserve"> upon release.</w:t>
      </w:r>
    </w:p>
    <w:p w14:paraId="4B3ED803" w14:textId="77777777" w:rsidR="00A44E9C" w:rsidRPr="00C23D02" w:rsidRDefault="00A44E9C" w:rsidP="00A44E9C">
      <w:pPr>
        <w:pStyle w:val="ParaNum"/>
        <w:numPr>
          <w:ilvl w:val="0"/>
          <w:numId w:val="0"/>
        </w:numPr>
        <w:tabs>
          <w:tab w:val="left" w:pos="1440"/>
        </w:tabs>
        <w:ind w:left="720"/>
      </w:pPr>
    </w:p>
    <w:p w14:paraId="44F1CF58" w14:textId="77777777" w:rsidR="0007481E" w:rsidRDefault="00B118ED" w:rsidP="00704DB3">
      <w:r w:rsidRPr="00540842">
        <w:tab/>
      </w:r>
      <w:r w:rsidRPr="00540842">
        <w:tab/>
      </w:r>
      <w:r w:rsidRPr="00540842">
        <w:tab/>
      </w:r>
      <w:r w:rsidRPr="00540842">
        <w:tab/>
      </w:r>
      <w:r w:rsidRPr="00540842">
        <w:tab/>
      </w:r>
      <w:r w:rsidR="0007481E">
        <w:tab/>
        <w:t>FEDERAL COMMUNICATIONS COMMISSION</w:t>
      </w:r>
    </w:p>
    <w:p w14:paraId="0BAC49A0" w14:textId="77777777" w:rsidR="0007481E" w:rsidRDefault="0007481E" w:rsidP="00704DB3"/>
    <w:p w14:paraId="6B912CC1" w14:textId="77777777" w:rsidR="0007481E" w:rsidRDefault="0007481E" w:rsidP="00704DB3"/>
    <w:p w14:paraId="3B6ED9B5" w14:textId="77777777" w:rsidR="0007481E" w:rsidRDefault="0007481E" w:rsidP="00704DB3"/>
    <w:p w14:paraId="26A2B651" w14:textId="77777777" w:rsidR="0007481E" w:rsidRDefault="0007481E" w:rsidP="00704DB3"/>
    <w:p w14:paraId="4B3918CB" w14:textId="77777777" w:rsidR="000244C2" w:rsidRPr="00C23D02" w:rsidRDefault="000244C2" w:rsidP="000244C2">
      <w:pPr>
        <w:pStyle w:val="ParaNum"/>
        <w:numPr>
          <w:ilvl w:val="0"/>
          <w:numId w:val="0"/>
        </w:numPr>
        <w:spacing w:after="0"/>
        <w:ind w:firstLine="720"/>
      </w:pPr>
      <w:r w:rsidRPr="00C23D02">
        <w:tab/>
      </w:r>
      <w:r w:rsidRPr="00C23D02">
        <w:tab/>
      </w:r>
      <w:r w:rsidRPr="00C23D02">
        <w:tab/>
      </w:r>
      <w:r w:rsidRPr="00C23D02">
        <w:tab/>
      </w:r>
      <w:r w:rsidRPr="00C23D02">
        <w:tab/>
      </w:r>
      <w:r w:rsidR="006B3A12">
        <w:t>Matthew DelNero</w:t>
      </w:r>
    </w:p>
    <w:p w14:paraId="6878F5A4" w14:textId="77777777" w:rsidR="000244C2" w:rsidRDefault="000244C2" w:rsidP="000244C2">
      <w:pPr>
        <w:pStyle w:val="ParaNum"/>
        <w:numPr>
          <w:ilvl w:val="0"/>
          <w:numId w:val="0"/>
        </w:numPr>
        <w:spacing w:after="0"/>
        <w:ind w:firstLine="720"/>
      </w:pPr>
      <w:r w:rsidRPr="00C23D02">
        <w:tab/>
      </w:r>
      <w:r w:rsidRPr="00C23D02">
        <w:tab/>
      </w:r>
      <w:r w:rsidRPr="00C23D02">
        <w:tab/>
      </w:r>
      <w:r w:rsidRPr="00C23D02">
        <w:tab/>
      </w:r>
      <w:r w:rsidRPr="00C23D02">
        <w:tab/>
        <w:t>Chief</w:t>
      </w:r>
    </w:p>
    <w:p w14:paraId="037482E0" w14:textId="77777777" w:rsidR="001F040F" w:rsidRPr="000244C2" w:rsidRDefault="000244C2" w:rsidP="000244C2">
      <w:pPr>
        <w:widowControl/>
        <w:rPr>
          <w:b/>
        </w:rPr>
      </w:pPr>
      <w:r>
        <w:tab/>
      </w:r>
      <w:r>
        <w:tab/>
      </w:r>
      <w:r>
        <w:tab/>
      </w:r>
      <w:r>
        <w:tab/>
      </w:r>
      <w:r>
        <w:tab/>
      </w:r>
      <w:r w:rsidR="006B3A12">
        <w:tab/>
      </w:r>
      <w:r w:rsidRPr="00C23D02">
        <w:t>Wireline Competition Bureau</w:t>
      </w:r>
      <w:r>
        <w:t xml:space="preserve"> </w:t>
      </w:r>
    </w:p>
    <w:sectPr w:rsidR="001F040F" w:rsidRPr="000244C2" w:rsidSect="003301B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88CFB" w14:textId="77777777" w:rsidR="008B76A4" w:rsidRDefault="008B76A4">
      <w:r>
        <w:separator/>
      </w:r>
    </w:p>
  </w:endnote>
  <w:endnote w:type="continuationSeparator" w:id="0">
    <w:p w14:paraId="4EF43718" w14:textId="77777777" w:rsidR="008B76A4" w:rsidRDefault="008B76A4">
      <w:r>
        <w:continuationSeparator/>
      </w:r>
    </w:p>
  </w:endnote>
  <w:endnote w:type="continuationNotice" w:id="1">
    <w:p w14:paraId="34DD7310" w14:textId="77777777" w:rsidR="008B76A4" w:rsidRDefault="008B7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07BD5" w14:textId="77777777" w:rsidR="007C6A51" w:rsidRDefault="007C6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C774" w14:textId="77777777" w:rsidR="00704DB3" w:rsidRDefault="00704DB3">
    <w:pPr>
      <w:pStyle w:val="Footer"/>
      <w:jc w:val="center"/>
    </w:pPr>
    <w:r>
      <w:rPr>
        <w:rStyle w:val="PageNumber"/>
      </w:rPr>
      <w:fldChar w:fldCharType="begin"/>
    </w:r>
    <w:r>
      <w:rPr>
        <w:rStyle w:val="PageNumber"/>
      </w:rPr>
      <w:instrText xml:space="preserve"> PAGE </w:instrText>
    </w:r>
    <w:r>
      <w:rPr>
        <w:rStyle w:val="PageNumber"/>
      </w:rPr>
      <w:fldChar w:fldCharType="separate"/>
    </w:r>
    <w:r w:rsidR="009E322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4B1BD" w14:textId="77777777" w:rsidR="00704DB3" w:rsidRDefault="00704D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69B50" w14:textId="77777777" w:rsidR="008B76A4" w:rsidRPr="00730428" w:rsidRDefault="008B76A4">
      <w:pPr>
        <w:rPr>
          <w:sz w:val="20"/>
        </w:rPr>
      </w:pPr>
      <w:r w:rsidRPr="00730428">
        <w:rPr>
          <w:sz w:val="20"/>
        </w:rPr>
        <w:separator/>
      </w:r>
    </w:p>
  </w:footnote>
  <w:footnote w:type="continuationSeparator" w:id="0">
    <w:p w14:paraId="24E56225" w14:textId="77777777" w:rsidR="008B76A4" w:rsidRDefault="008B76A4" w:rsidP="00730428">
      <w:r>
        <w:rPr>
          <w:sz w:val="20"/>
        </w:rPr>
        <w:t xml:space="preserve">(Continued from previous page) </w:t>
      </w:r>
      <w:r>
        <w:separator/>
      </w:r>
    </w:p>
  </w:footnote>
  <w:footnote w:type="continuationNotice" w:id="1">
    <w:p w14:paraId="1710AEAE" w14:textId="77777777" w:rsidR="008B76A4" w:rsidRPr="00730428" w:rsidRDefault="008B76A4" w:rsidP="00730428">
      <w:pPr>
        <w:jc w:val="right"/>
        <w:rPr>
          <w:sz w:val="20"/>
        </w:rPr>
      </w:pPr>
      <w:r>
        <w:rPr>
          <w:sz w:val="20"/>
        </w:rPr>
        <w:t>(continued…)</w:t>
      </w:r>
    </w:p>
  </w:footnote>
  <w:footnote w:id="2">
    <w:p w14:paraId="09916CB0" w14:textId="5CCDDC96" w:rsidR="00461A48" w:rsidRDefault="00461A48" w:rsidP="00461A48">
      <w:pPr>
        <w:pStyle w:val="FootnoteText"/>
      </w:pPr>
      <w:r>
        <w:rPr>
          <w:rStyle w:val="FootnoteReference"/>
        </w:rPr>
        <w:footnoteRef/>
      </w:r>
      <w:r>
        <w:t xml:space="preserve"> </w:t>
      </w:r>
      <w:r w:rsidRPr="00BE3F36">
        <w:rPr>
          <w:i/>
          <w:iCs/>
        </w:rPr>
        <w:t>Connect America Fund</w:t>
      </w:r>
      <w:r w:rsidR="001C0AA7">
        <w:rPr>
          <w:i/>
          <w:iCs/>
        </w:rPr>
        <w:t xml:space="preserve"> et al.</w:t>
      </w:r>
      <w:r>
        <w:t>,</w:t>
      </w:r>
      <w:r w:rsidRPr="00BE3F36">
        <w:t xml:space="preserve"> WC Docket No. 10-90</w:t>
      </w:r>
      <w:r w:rsidR="001C0AA7">
        <w:t xml:space="preserve"> et al.</w:t>
      </w:r>
      <w:r w:rsidRPr="00BE3F36">
        <w:t>, Report and Order and Further Notice of Proposed Rulemaking, 26 FCC 17663 (2011)</w:t>
      </w:r>
      <w:r>
        <w:t xml:space="preserve"> </w:t>
      </w:r>
      <w:r w:rsidRPr="00BE3F36">
        <w:t>(</w:t>
      </w:r>
      <w:r w:rsidRPr="00BE3F36">
        <w:rPr>
          <w:i/>
          <w:iCs/>
        </w:rPr>
        <w:t>USF/ICC Transformation Order</w:t>
      </w:r>
      <w:r w:rsidRPr="00BE3F36">
        <w:t>)</w:t>
      </w:r>
      <w:r>
        <w:t>,</w:t>
      </w:r>
      <w:r w:rsidRPr="00BE3F36">
        <w:t xml:space="preserve"> </w:t>
      </w:r>
      <w:r w:rsidRPr="00BE3F36">
        <w:rPr>
          <w:i/>
          <w:iCs/>
        </w:rPr>
        <w:t xml:space="preserve">aff’d </w:t>
      </w:r>
      <w:r w:rsidRPr="00BE1A18">
        <w:rPr>
          <w:i/>
          <w:color w:val="010101"/>
        </w:rPr>
        <w:t xml:space="preserve"> </w:t>
      </w:r>
      <w:r>
        <w:rPr>
          <w:i/>
          <w:color w:val="010101"/>
        </w:rPr>
        <w:t xml:space="preserve">sub nom </w:t>
      </w:r>
      <w:r w:rsidRPr="00BE1A18">
        <w:rPr>
          <w:i/>
          <w:color w:val="010101"/>
        </w:rPr>
        <w:t>In re: FCC 11-161</w:t>
      </w:r>
      <w:r w:rsidRPr="00BE1A18">
        <w:rPr>
          <w:color w:val="010101"/>
        </w:rPr>
        <w:t>, 753 F.3d 1015 (10th Cir. 2014)</w:t>
      </w:r>
      <w:r w:rsidRPr="00BE3F36">
        <w:t>.</w:t>
      </w:r>
    </w:p>
  </w:footnote>
  <w:footnote w:id="3">
    <w:p w14:paraId="2B0347B2" w14:textId="77777777" w:rsidR="00461A48" w:rsidRPr="00594CEA" w:rsidRDefault="00461A48" w:rsidP="00461A48">
      <w:pPr>
        <w:pStyle w:val="FootnoteText"/>
      </w:pPr>
      <w:r w:rsidRPr="00594CEA">
        <w:rPr>
          <w:rStyle w:val="FootnoteReference"/>
        </w:rPr>
        <w:footnoteRef/>
      </w:r>
      <w:r w:rsidRPr="00594CEA">
        <w:t xml:space="preserve"> </w:t>
      </w:r>
      <w:r w:rsidRPr="00594CEA">
        <w:rPr>
          <w:i/>
        </w:rPr>
        <w:t xml:space="preserve">See </w:t>
      </w:r>
      <w:r>
        <w:rPr>
          <w:i/>
        </w:rPr>
        <w:t>id</w:t>
      </w:r>
      <w:r>
        <w:t>.</w:t>
      </w:r>
      <w:r w:rsidRPr="00594CEA">
        <w:rPr>
          <w:i/>
        </w:rPr>
        <w:t xml:space="preserve"> </w:t>
      </w:r>
      <w:r w:rsidRPr="00594CEA">
        <w:t>at 17670, para. 11</w:t>
      </w:r>
      <w:r w:rsidRPr="00594CEA">
        <w:rPr>
          <w:i/>
          <w:iCs/>
        </w:rPr>
        <w:t>.</w:t>
      </w:r>
    </w:p>
  </w:footnote>
  <w:footnote w:id="4">
    <w:p w14:paraId="5BF253C9" w14:textId="77777777" w:rsidR="00461A48" w:rsidRPr="00594CEA" w:rsidRDefault="00461A48" w:rsidP="00461A48">
      <w:pPr>
        <w:pStyle w:val="FootnoteText"/>
      </w:pPr>
      <w:r w:rsidRPr="00594CEA">
        <w:rPr>
          <w:rStyle w:val="FootnoteReference"/>
        </w:rPr>
        <w:footnoteRef/>
      </w:r>
      <w:r w:rsidRPr="00594CEA">
        <w:t xml:space="preserve"> 47 C.F.R. § 54.302</w:t>
      </w:r>
      <w:r>
        <w:t xml:space="preserve">. </w:t>
      </w:r>
    </w:p>
  </w:footnote>
  <w:footnote w:id="5">
    <w:p w14:paraId="7A85233A" w14:textId="77777777" w:rsidR="00461A48" w:rsidRPr="00594CEA" w:rsidRDefault="00461A48" w:rsidP="00461A48">
      <w:pPr>
        <w:pStyle w:val="FootnoteText"/>
      </w:pPr>
      <w:r w:rsidRPr="00594CEA">
        <w:rPr>
          <w:rStyle w:val="FootnoteReference"/>
        </w:rPr>
        <w:footnoteRef/>
      </w:r>
      <w:r w:rsidRPr="00594CEA">
        <w:t xml:space="preserve"> </w:t>
      </w:r>
      <w:r w:rsidRPr="00594CEA">
        <w:rPr>
          <w:i/>
        </w:rPr>
        <w:t>USF/ICC Transformation Order</w:t>
      </w:r>
      <w:r w:rsidRPr="00594CEA">
        <w:t>, 26 FCC Rcd at 17765, para. 274</w:t>
      </w:r>
      <w:r w:rsidRPr="00594CEA">
        <w:rPr>
          <w:i/>
          <w:iCs/>
        </w:rPr>
        <w:t>.</w:t>
      </w:r>
    </w:p>
  </w:footnote>
  <w:footnote w:id="6">
    <w:p w14:paraId="60A5723D" w14:textId="77777777" w:rsidR="00461A48" w:rsidRDefault="00461A48" w:rsidP="00461A48">
      <w:pPr>
        <w:pStyle w:val="FootnoteText"/>
      </w:pPr>
      <w:r>
        <w:rPr>
          <w:rStyle w:val="FootnoteReference"/>
        </w:rPr>
        <w:footnoteRef/>
      </w:r>
      <w:r>
        <w:t xml:space="preserve"> </w:t>
      </w:r>
      <w:r w:rsidRPr="00594CEA">
        <w:rPr>
          <w:i/>
        </w:rPr>
        <w:t>Id</w:t>
      </w:r>
      <w:r>
        <w:t xml:space="preserve">. at 17839-40, paras. 539-40.  </w:t>
      </w:r>
      <w:r w:rsidRPr="00591658">
        <w:t xml:space="preserve">The Commission’s intent in discussing waivers relating to reductions in federal universal service fund (USF) support was not to replace the ordinary standard for granting waivers under section 1.3 of the Commission’s rules, but rather to provide guidance in advance to potential applicants of the circumstances that would be persuasive and compelling grounds for grant of a waiver under that waiver standard to assist potential applicants in effectively formulating their waiver petitions.  </w:t>
      </w:r>
      <w:r w:rsidRPr="00591658">
        <w:rPr>
          <w:i/>
        </w:rPr>
        <w:t>See Connect America Fund</w:t>
      </w:r>
      <w:r w:rsidRPr="00591658">
        <w:t xml:space="preserve"> </w:t>
      </w:r>
      <w:r w:rsidRPr="00591658">
        <w:rPr>
          <w:i/>
        </w:rPr>
        <w:t>et al</w:t>
      </w:r>
      <w:r w:rsidRPr="00591658">
        <w:t>., WC Docket No 10-90 et al., Fifth Order on Reconsideration, 27 FCC Rcd 14549, 14556-57, para. 19 (2012) (</w:t>
      </w:r>
      <w:r w:rsidRPr="00591658">
        <w:rPr>
          <w:i/>
        </w:rPr>
        <w:t>Fifth Order on Reconsideration</w:t>
      </w:r>
      <w:r w:rsidRPr="00591658">
        <w:t>).</w:t>
      </w:r>
      <w:r w:rsidRPr="00594CEA">
        <w:t xml:space="preserve">  Generally, the Commission’s rules may be waived if good cause is shown.  47 C.F.R. § 1.3. </w:t>
      </w:r>
      <w:r>
        <w:t xml:space="preserve"> </w:t>
      </w:r>
      <w:r w:rsidRPr="00594CEA">
        <w:t xml:space="preserve">The Commission may exercise its discretion to waive a rule where the particular facts make strict compliance inconsistent with the public interest.  </w:t>
      </w:r>
      <w:r>
        <w:rPr>
          <w:i/>
        </w:rPr>
        <w:t xml:space="preserve">Northeast </w:t>
      </w:r>
      <w:r w:rsidRPr="00594CEA">
        <w:rPr>
          <w:i/>
        </w:rPr>
        <w:t>Cellular Telephone Co. v. FCC</w:t>
      </w:r>
      <w:r w:rsidRPr="00594CEA">
        <w:t>, 897 F.2d 1164, 1166 (D.C. Cir. 1990) (</w:t>
      </w:r>
      <w:r w:rsidRPr="00594CEA">
        <w:rPr>
          <w:i/>
        </w:rPr>
        <w:t>Northeast Cellular</w:t>
      </w:r>
      <w:r w:rsidRPr="00594CEA">
        <w:t>).  In addition, the Commission may take into account considerations of hardship, equity, or more effective implementation of overall policy on an individual basis.</w:t>
      </w:r>
      <w:r w:rsidRPr="00594CEA">
        <w:rPr>
          <w:i/>
        </w:rPr>
        <w:t xml:space="preserve">  WAIT Radio v. FCC</w:t>
      </w:r>
      <w:r w:rsidRPr="00594CEA">
        <w:t xml:space="preserve">, 418 F.2d 1153, 1159 (D.C. Cir. 1969); </w:t>
      </w:r>
      <w:r w:rsidRPr="00594CEA">
        <w:rPr>
          <w:i/>
        </w:rPr>
        <w:t>Northeast Cellular</w:t>
      </w:r>
      <w:r w:rsidRPr="00594CEA">
        <w:t xml:space="preserve">, 897 F.2d at 1166.  Waiver of the Commission’s rules is appropriate only if both (i) special circumstances warrant a deviation from the general rule and (ii) such deviation will serve the public interest. </w:t>
      </w:r>
      <w:r w:rsidRPr="00594CEA">
        <w:rPr>
          <w:i/>
        </w:rPr>
        <w:t xml:space="preserve"> Northeast Cellular</w:t>
      </w:r>
      <w:r w:rsidRPr="00594CEA">
        <w:t>, 897 F.2d at 1166.</w:t>
      </w:r>
    </w:p>
  </w:footnote>
  <w:footnote w:id="7">
    <w:p w14:paraId="461C65E7" w14:textId="77777777" w:rsidR="00461A48" w:rsidRPr="00594CEA" w:rsidRDefault="00461A48" w:rsidP="00461A48">
      <w:pPr>
        <w:pStyle w:val="FootnoteText"/>
      </w:pPr>
      <w:r w:rsidRPr="00594CEA">
        <w:rPr>
          <w:rStyle w:val="FootnoteReference"/>
        </w:rPr>
        <w:footnoteRef/>
      </w:r>
      <w:r w:rsidRPr="00594CEA">
        <w:t xml:space="preserve"> </w:t>
      </w:r>
      <w:r w:rsidRPr="00594CEA">
        <w:rPr>
          <w:i/>
        </w:rPr>
        <w:t>USF/ICC Transformation Order</w:t>
      </w:r>
      <w:r w:rsidRPr="00594CEA">
        <w:t>, 26 FCC Rcd</w:t>
      </w:r>
      <w:r w:rsidRPr="00594CEA" w:rsidDel="00040687">
        <w:rPr>
          <w:i/>
        </w:rPr>
        <w:t xml:space="preserve"> </w:t>
      </w:r>
      <w:r w:rsidRPr="00594CEA">
        <w:t>at 17840, para. 540.</w:t>
      </w:r>
    </w:p>
  </w:footnote>
  <w:footnote w:id="8">
    <w:p w14:paraId="4A7E1D4B" w14:textId="77777777" w:rsidR="00461A48" w:rsidRPr="00594CEA" w:rsidRDefault="00461A48" w:rsidP="00461A48">
      <w:pPr>
        <w:pStyle w:val="FootnoteText"/>
      </w:pPr>
      <w:r w:rsidRPr="00594CEA">
        <w:rPr>
          <w:rStyle w:val="FootnoteReference"/>
        </w:rPr>
        <w:footnoteRef/>
      </w:r>
      <w:r w:rsidRPr="00594CEA">
        <w:t xml:space="preserve"> </w:t>
      </w:r>
      <w:r>
        <w:rPr>
          <w:i/>
        </w:rPr>
        <w:t>Id.</w:t>
      </w:r>
      <w:r w:rsidRPr="00594CEA" w:rsidDel="00040687">
        <w:rPr>
          <w:i/>
        </w:rPr>
        <w:t xml:space="preserve"> </w:t>
      </w:r>
      <w:r w:rsidRPr="00594CEA">
        <w:t>at 1784</w:t>
      </w:r>
      <w:r>
        <w:t>0</w:t>
      </w:r>
      <w:r w:rsidRPr="00594CEA">
        <w:t>, 1784</w:t>
      </w:r>
      <w:r>
        <w:t>2</w:t>
      </w:r>
      <w:r w:rsidRPr="00594CEA">
        <w:t>, paras. 54</w:t>
      </w:r>
      <w:r>
        <w:t>0</w:t>
      </w:r>
      <w:r w:rsidRPr="00594CEA">
        <w:t>, 54</w:t>
      </w:r>
      <w:r>
        <w:t>4</w:t>
      </w:r>
      <w:r w:rsidRPr="00594CEA">
        <w:t>.</w:t>
      </w:r>
    </w:p>
  </w:footnote>
  <w:footnote w:id="9">
    <w:p w14:paraId="63369FEF" w14:textId="77777777" w:rsidR="00461A48" w:rsidRPr="00594CEA" w:rsidRDefault="00461A48" w:rsidP="00461A48">
      <w:pPr>
        <w:pStyle w:val="FootnoteText"/>
      </w:pPr>
      <w:r w:rsidRPr="00594CEA">
        <w:rPr>
          <w:rStyle w:val="FootnoteReference"/>
        </w:rPr>
        <w:footnoteRef/>
      </w:r>
      <w:r w:rsidRPr="00594CEA">
        <w:t xml:space="preserve"> </w:t>
      </w:r>
      <w:r w:rsidRPr="00594CEA">
        <w:rPr>
          <w:i/>
        </w:rPr>
        <w:t>Id</w:t>
      </w:r>
      <w:r w:rsidRPr="00594CEA">
        <w:t>. at 17766, para. 278.</w:t>
      </w:r>
    </w:p>
  </w:footnote>
  <w:footnote w:id="10">
    <w:p w14:paraId="41A27DEC" w14:textId="77777777" w:rsidR="00461A48" w:rsidRPr="00594CEA" w:rsidRDefault="00461A48" w:rsidP="00461A48">
      <w:pPr>
        <w:pStyle w:val="FootnoteText"/>
      </w:pPr>
      <w:r w:rsidRPr="00594CEA">
        <w:rPr>
          <w:rStyle w:val="FootnoteReference"/>
        </w:rPr>
        <w:footnoteRef/>
      </w:r>
      <w:r w:rsidRPr="00594CEA">
        <w:rPr>
          <w:i/>
        </w:rPr>
        <w:t xml:space="preserve"> Id.</w:t>
      </w:r>
      <w:r w:rsidRPr="00594CEA">
        <w:t xml:space="preserve"> at 17840-42, paras. 542, 544.</w:t>
      </w:r>
    </w:p>
  </w:footnote>
  <w:footnote w:id="11">
    <w:p w14:paraId="11C5A85E" w14:textId="77777777" w:rsidR="00461A48" w:rsidRPr="00594CEA" w:rsidRDefault="00461A48" w:rsidP="00461A48">
      <w:pPr>
        <w:pStyle w:val="FootnoteText"/>
      </w:pPr>
      <w:r w:rsidRPr="00594CEA">
        <w:rPr>
          <w:rStyle w:val="FootnoteReference"/>
        </w:rPr>
        <w:footnoteRef/>
      </w:r>
      <w:r w:rsidRPr="00594CEA">
        <w:t xml:space="preserve"> </w:t>
      </w:r>
      <w:r w:rsidRPr="00594CEA">
        <w:rPr>
          <w:i/>
        </w:rPr>
        <w:t>Fifth Order on Reconsideration</w:t>
      </w:r>
      <w:r>
        <w:t>, 27 FCC Rcd</w:t>
      </w:r>
      <w:r w:rsidRPr="00594CEA" w:rsidDel="00040687">
        <w:rPr>
          <w:i/>
        </w:rPr>
        <w:t xml:space="preserve"> </w:t>
      </w:r>
      <w:r w:rsidRPr="00594CEA">
        <w:t>at 1</w:t>
      </w:r>
      <w:r>
        <w:t>4557</w:t>
      </w:r>
      <w:r w:rsidRPr="00594CEA">
        <w:t>, para. 21.</w:t>
      </w:r>
    </w:p>
  </w:footnote>
  <w:footnote w:id="12">
    <w:p w14:paraId="5AD6AD4E" w14:textId="77777777" w:rsidR="00461A48" w:rsidRDefault="00461A48" w:rsidP="00461A48">
      <w:pPr>
        <w:pStyle w:val="FootnoteText"/>
      </w:pPr>
      <w:r>
        <w:rPr>
          <w:rStyle w:val="FootnoteReference"/>
        </w:rPr>
        <w:footnoteRef/>
      </w:r>
      <w:r>
        <w:t xml:space="preserve"> </w:t>
      </w:r>
      <w:r w:rsidRPr="000C798A">
        <w:rPr>
          <w:i/>
        </w:rPr>
        <w:t>See</w:t>
      </w:r>
      <w:r>
        <w:t xml:space="preserve"> </w:t>
      </w:r>
      <w:r w:rsidRPr="007872C1">
        <w:rPr>
          <w:i/>
        </w:rPr>
        <w:t xml:space="preserve">Allband Communications Cooperative Petition for Waiver of Certain </w:t>
      </w:r>
      <w:r>
        <w:rPr>
          <w:i/>
        </w:rPr>
        <w:t>H</w:t>
      </w:r>
      <w:r w:rsidRPr="007872C1">
        <w:rPr>
          <w:i/>
        </w:rPr>
        <w:t xml:space="preserve">igh-Cost Universal Service Rules, </w:t>
      </w:r>
      <w:r>
        <w:t xml:space="preserve">WC Docket No. 10-90, </w:t>
      </w:r>
      <w:r w:rsidRPr="00930F55">
        <w:t>Order</w:t>
      </w:r>
      <w:r>
        <w:t xml:space="preserve">, </w:t>
      </w:r>
      <w:r w:rsidRPr="007872C1">
        <w:rPr>
          <w:iCs/>
          <w:shd w:val="clear" w:color="auto" w:fill="FFFFFF"/>
        </w:rPr>
        <w:t>27 FCC Rcd 8310</w:t>
      </w:r>
      <w:r w:rsidRPr="007872C1">
        <w:t xml:space="preserve"> </w:t>
      </w:r>
      <w:r>
        <w:t>(Wireline Comp. Bur. 2012).</w:t>
      </w:r>
    </w:p>
  </w:footnote>
  <w:footnote w:id="13">
    <w:p w14:paraId="78C36C03" w14:textId="77777777" w:rsidR="00461A48" w:rsidRDefault="00461A48" w:rsidP="00461A48">
      <w:pPr>
        <w:pStyle w:val="FootnoteText"/>
      </w:pPr>
      <w:r>
        <w:rPr>
          <w:rStyle w:val="FootnoteReference"/>
        </w:rPr>
        <w:footnoteRef/>
      </w:r>
      <w:r>
        <w:t xml:space="preserve"> </w:t>
      </w:r>
      <w:r w:rsidRPr="006F0AC7">
        <w:rPr>
          <w:i/>
        </w:rPr>
        <w:t>Id</w:t>
      </w:r>
      <w:r>
        <w:t>. at 8315, para. 16.</w:t>
      </w:r>
    </w:p>
  </w:footnote>
  <w:footnote w:id="14">
    <w:p w14:paraId="36F3722E" w14:textId="70F98C77" w:rsidR="00704DB3" w:rsidRDefault="00704DB3" w:rsidP="000662E9">
      <w:pPr>
        <w:pStyle w:val="FootnoteText"/>
      </w:pPr>
      <w:r>
        <w:rPr>
          <w:rStyle w:val="FootnoteReference"/>
        </w:rPr>
        <w:footnoteRef/>
      </w:r>
      <w:r>
        <w:t xml:space="preserve"> Petition of Allband Communications Cooperative (Allband) for Further Waiver of Part 54.302, WC Docket No. 10-90, et al. (filed Dec. 31, 2014) (Further Waiver Petition).</w:t>
      </w:r>
    </w:p>
  </w:footnote>
  <w:footnote w:id="15">
    <w:p w14:paraId="34701FB6" w14:textId="77777777" w:rsidR="00704DB3" w:rsidRDefault="00704DB3">
      <w:pPr>
        <w:pStyle w:val="FootnoteText"/>
      </w:pPr>
      <w:r>
        <w:rPr>
          <w:rStyle w:val="FootnoteReference"/>
        </w:rPr>
        <w:footnoteRef/>
      </w:r>
      <w:r>
        <w:t xml:space="preserve"> </w:t>
      </w:r>
      <w:r w:rsidRPr="00890ECA">
        <w:rPr>
          <w:i/>
        </w:rPr>
        <w:t>Id</w:t>
      </w:r>
      <w:r>
        <w:t>. at 1.</w:t>
      </w:r>
    </w:p>
  </w:footnote>
  <w:footnote w:id="16">
    <w:p w14:paraId="4C7D4A28" w14:textId="77777777" w:rsidR="00704DB3" w:rsidRDefault="00704DB3">
      <w:pPr>
        <w:pStyle w:val="FootnoteText"/>
      </w:pPr>
      <w:r>
        <w:rPr>
          <w:rStyle w:val="FootnoteReference"/>
        </w:rPr>
        <w:footnoteRef/>
      </w:r>
      <w:r>
        <w:t xml:space="preserve"> </w:t>
      </w:r>
      <w:r w:rsidRPr="00890ECA">
        <w:rPr>
          <w:i/>
        </w:rPr>
        <w:t>Id</w:t>
      </w:r>
      <w:r>
        <w:t>.</w:t>
      </w:r>
    </w:p>
  </w:footnote>
  <w:footnote w:id="17">
    <w:p w14:paraId="7D92AD7B" w14:textId="2E91AAB7" w:rsidR="00704DB3" w:rsidRDefault="00704DB3">
      <w:pPr>
        <w:pStyle w:val="FootnoteText"/>
      </w:pPr>
      <w:r>
        <w:rPr>
          <w:rStyle w:val="FootnoteReference"/>
        </w:rPr>
        <w:footnoteRef/>
      </w:r>
      <w:r>
        <w:t xml:space="preserve"> </w:t>
      </w:r>
      <w:r w:rsidRPr="005E289A">
        <w:rPr>
          <w:i/>
        </w:rPr>
        <w:t>See</w:t>
      </w:r>
      <w:r>
        <w:t xml:space="preserve"> Letter from Don L. Keskey, Counsel for Allband Communications Cooperative, to Marlene H. Dortch, Federal Communications Commission Secretary, Attach</w:t>
      </w:r>
      <w:r w:rsidR="00203AF0">
        <w:t>.</w:t>
      </w:r>
      <w:r>
        <w:t xml:space="preserve"> B (filed May 18, </w:t>
      </w:r>
      <w:r w:rsidR="001E6D1D">
        <w:t>2015</w:t>
      </w:r>
      <w:r>
        <w:t xml:space="preserve">) (May 18, 2015 Ex Parte).  </w:t>
      </w:r>
    </w:p>
  </w:footnote>
  <w:footnote w:id="18">
    <w:p w14:paraId="7F16366D" w14:textId="3A55FADA" w:rsidR="00704DB3" w:rsidRDefault="00704DB3" w:rsidP="000662E9">
      <w:pPr>
        <w:pStyle w:val="FootnoteText"/>
      </w:pPr>
      <w:r>
        <w:rPr>
          <w:rStyle w:val="FootnoteReference"/>
        </w:rPr>
        <w:footnoteRef/>
      </w:r>
      <w:r>
        <w:t xml:space="preserve"> In 2011, the Commission concluded that “any company that seeks additional funding will be subject to a thorough total earnings review.”  </w:t>
      </w:r>
      <w:r w:rsidR="001C0AA7" w:rsidRPr="00594CEA">
        <w:rPr>
          <w:i/>
        </w:rPr>
        <w:t>USF/ICC Transformation Order</w:t>
      </w:r>
      <w:r w:rsidR="001C0AA7" w:rsidRPr="00594CEA">
        <w:t>, 26 FCC Rcd at</w:t>
      </w:r>
      <w:r>
        <w:t xml:space="preserve"> 17739, para. 202.</w:t>
      </w:r>
    </w:p>
  </w:footnote>
  <w:footnote w:id="19">
    <w:p w14:paraId="1232DF6C" w14:textId="4D82047D" w:rsidR="00704DB3" w:rsidRPr="00D93AE7" w:rsidRDefault="00704DB3" w:rsidP="006F0AC7">
      <w:pPr>
        <w:pStyle w:val="FootnoteText"/>
      </w:pPr>
      <w:r w:rsidRPr="008C0CB6">
        <w:rPr>
          <w:rStyle w:val="FootnoteReference"/>
        </w:rPr>
        <w:footnoteRef/>
      </w:r>
      <w:r w:rsidRPr="008C0CB6">
        <w:t xml:space="preserve"> ASR Analytics Broadband Technology Opportunities Program Evaluation Study, Case Study Report Merit Network, Inc., National Telecommunications and Information Administration, Order No. D10P</w:t>
      </w:r>
      <w:r w:rsidR="00203AF0">
        <w:t xml:space="preserve">D18645 (submitted Mar. 4, 1014), </w:t>
      </w:r>
      <w:hyperlink r:id="rId1" w:history="1">
        <w:r w:rsidRPr="008C0CB6">
          <w:rPr>
            <w:rStyle w:val="Hyperlink"/>
          </w:rPr>
          <w:t>http://www2.ntia.doc.gov/files/merit_case_study_report_order_number_d10pd18645.pdf</w:t>
        </w:r>
      </w:hyperlink>
      <w:r w:rsidRPr="008C0CB6">
        <w:t xml:space="preserve"> (stating AMM has between 500 and 600 subscribers); Further Waiver Petition at 14</w:t>
      </w:r>
      <w:r>
        <w:t xml:space="preserve"> (stating that ACC has a total of 170 access lines)</w:t>
      </w:r>
      <w:r w:rsidRPr="008C0CB6">
        <w:t>.</w:t>
      </w:r>
    </w:p>
  </w:footnote>
  <w:footnote w:id="20">
    <w:p w14:paraId="79F9AF70" w14:textId="65CEAA85" w:rsidR="00704DB3" w:rsidRDefault="00704DB3" w:rsidP="006F0AC7">
      <w:pPr>
        <w:pStyle w:val="FootnoteText"/>
      </w:pPr>
      <w:r>
        <w:rPr>
          <w:rStyle w:val="FootnoteReference"/>
        </w:rPr>
        <w:footnoteRef/>
      </w:r>
      <w:r>
        <w:t xml:space="preserve"> May 18, 2015 Ex Parte, Attach</w:t>
      </w:r>
      <w:r w:rsidR="001C0AA7">
        <w:t>.</w:t>
      </w:r>
      <w:r>
        <w:t xml:space="preserve"> B.</w:t>
      </w:r>
    </w:p>
  </w:footnote>
  <w:footnote w:id="21">
    <w:p w14:paraId="7ACC5957" w14:textId="36BF3BD0" w:rsidR="00704DB3" w:rsidRPr="006769A1" w:rsidRDefault="00704DB3">
      <w:pPr>
        <w:pStyle w:val="FootnoteText"/>
      </w:pPr>
      <w:r>
        <w:rPr>
          <w:rStyle w:val="FootnoteReference"/>
        </w:rPr>
        <w:footnoteRef/>
      </w:r>
      <w:r>
        <w:t xml:space="preserve"> </w:t>
      </w:r>
      <w:r w:rsidR="001E6D1D">
        <w:t>Allband describes its</w:t>
      </w:r>
      <w:r>
        <w:t xml:space="preserve"> cost allocation processes</w:t>
      </w:r>
      <w:r w:rsidR="001E6D1D">
        <w:t xml:space="preserve"> in its recent ex parte.  </w:t>
      </w:r>
      <w:r w:rsidR="001E6D1D" w:rsidRPr="00255654">
        <w:rPr>
          <w:i/>
        </w:rPr>
        <w:t>S</w:t>
      </w:r>
      <w:r w:rsidRPr="00255654">
        <w:rPr>
          <w:i/>
        </w:rPr>
        <w:t>ee</w:t>
      </w:r>
      <w:r>
        <w:t xml:space="preserve"> May 18, 2015 Ex Parte, Attach</w:t>
      </w:r>
      <w:r w:rsidR="001C0AA7">
        <w:t>.</w:t>
      </w:r>
      <w:r>
        <w:t xml:space="preserve"> C</w:t>
      </w:r>
      <w:r w:rsidR="001E6D1D">
        <w:t xml:space="preserve">.  </w:t>
      </w:r>
      <w:r w:rsidR="001E6D1D" w:rsidRPr="00255654">
        <w:rPr>
          <w:i/>
        </w:rPr>
        <w:t>See also</w:t>
      </w:r>
      <w:r w:rsidR="001E6D1D">
        <w:t xml:space="preserve"> </w:t>
      </w:r>
      <w:r>
        <w:t>Allband Communications Cooperative Petition for Waiver of Part 54.302 and the Framework to Limit Reimbursable Capital and Operating Costs, WC Docket No. 10-90</w:t>
      </w:r>
      <w:r w:rsidR="001C0AA7">
        <w:t>, WT Docket No. 10-208, App</w:t>
      </w:r>
      <w:r w:rsidR="00203AF0">
        <w:t>x</w:t>
      </w:r>
      <w:r w:rsidR="001C0AA7">
        <w:t>.</w:t>
      </w:r>
      <w:r>
        <w:t xml:space="preserve"> 2, Attach</w:t>
      </w:r>
      <w:r w:rsidR="001C0AA7">
        <w:t>.</w:t>
      </w:r>
      <w:r>
        <w:t xml:space="preserve"> 1 (filed Feb. 3, 2012) (Allband 2012 Waiver Petition).</w:t>
      </w:r>
    </w:p>
  </w:footnote>
  <w:footnote w:id="22">
    <w:p w14:paraId="0C8C4FFA" w14:textId="616671A1" w:rsidR="00704DB3" w:rsidRDefault="00704DB3">
      <w:pPr>
        <w:pStyle w:val="FootnoteText"/>
      </w:pPr>
      <w:r>
        <w:rPr>
          <w:rStyle w:val="FootnoteReference"/>
        </w:rPr>
        <w:footnoteRef/>
      </w:r>
      <w:r>
        <w:t xml:space="preserve"> Allband 2012 Waiver Petition </w:t>
      </w:r>
      <w:r w:rsidR="001E6D1D">
        <w:t xml:space="preserve">at </w:t>
      </w:r>
      <w:r>
        <w:t>App</w:t>
      </w:r>
      <w:r w:rsidR="00203AF0">
        <w:t>x</w:t>
      </w:r>
      <w:r w:rsidR="001C0AA7">
        <w:t>.</w:t>
      </w:r>
      <w:r>
        <w:t xml:space="preserve"> 2, Attac</w:t>
      </w:r>
      <w:r w:rsidR="001C0AA7">
        <w:t>h.</w:t>
      </w:r>
      <w:r>
        <w:t xml:space="preserve"> 1, Exh</w:t>
      </w:r>
      <w:r w:rsidR="001C0AA7">
        <w:t>.</w:t>
      </w:r>
      <w:r>
        <w:t xml:space="preserve"> 1.</w:t>
      </w:r>
    </w:p>
  </w:footnote>
  <w:footnote w:id="23">
    <w:p w14:paraId="305ECDBE" w14:textId="77777777" w:rsidR="0069181C" w:rsidRDefault="0069181C" w:rsidP="0069181C">
      <w:pPr>
        <w:pStyle w:val="FootnoteText"/>
      </w:pPr>
      <w:r>
        <w:rPr>
          <w:rStyle w:val="FootnoteReference"/>
        </w:rPr>
        <w:footnoteRef/>
      </w:r>
      <w:r>
        <w:t xml:space="preserve"> </w:t>
      </w:r>
      <w:r w:rsidRPr="00255654">
        <w:rPr>
          <w:i/>
        </w:rPr>
        <w:t>See</w:t>
      </w:r>
      <w:r>
        <w:t xml:space="preserve"> 47 C.F.R. § 32.27(c)(1).</w:t>
      </w:r>
    </w:p>
  </w:footnote>
  <w:footnote w:id="24">
    <w:p w14:paraId="78DA2F62" w14:textId="77777777" w:rsidR="00704DB3" w:rsidRDefault="00704DB3">
      <w:pPr>
        <w:pStyle w:val="FootnoteText"/>
      </w:pPr>
      <w:r>
        <w:rPr>
          <w:rStyle w:val="FootnoteReference"/>
        </w:rPr>
        <w:footnoteRef/>
      </w:r>
      <w:r>
        <w:t xml:space="preserve"> The Commission recently stated that unpaid balances among regulated and unregulated affiliates are inconsistent with section 32.27 of the Commission’s rules.  </w:t>
      </w:r>
      <w:r w:rsidRPr="00307DC4">
        <w:rPr>
          <w:i/>
        </w:rPr>
        <w:t>See</w:t>
      </w:r>
      <w:r>
        <w:t xml:space="preserve"> Adak Eagle Enterprises, LLC and Windy City Cellular, LLC Petitions for Waiver of Certain High-Cost Universal Service Rules, WC Docket No. 10-90, WT Docket No. 10-208, FCC 15-51, para. 9 (rel. May 7, 2015).</w:t>
      </w:r>
    </w:p>
  </w:footnote>
  <w:footnote w:id="25">
    <w:p w14:paraId="140BC738" w14:textId="08F403E2" w:rsidR="007E2B9E" w:rsidRDefault="007E2B9E">
      <w:pPr>
        <w:pStyle w:val="FootnoteText"/>
      </w:pPr>
      <w:r>
        <w:rPr>
          <w:rStyle w:val="FootnoteReference"/>
        </w:rPr>
        <w:footnoteRef/>
      </w:r>
      <w:r>
        <w:t xml:space="preserve"> </w:t>
      </w:r>
      <w:r w:rsidRPr="007E2B9E">
        <w:rPr>
          <w:i/>
        </w:rPr>
        <w:t>Id</w:t>
      </w:r>
      <w:r>
        <w:t xml:space="preserve">.  </w:t>
      </w:r>
    </w:p>
  </w:footnote>
  <w:footnote w:id="26">
    <w:p w14:paraId="71DB708C" w14:textId="322209E0" w:rsidR="007E2B9E" w:rsidRDefault="007E2B9E">
      <w:pPr>
        <w:pStyle w:val="FootnoteText"/>
      </w:pPr>
      <w:r>
        <w:rPr>
          <w:rStyle w:val="FootnoteReference"/>
        </w:rPr>
        <w:footnoteRef/>
      </w:r>
      <w:r>
        <w:t xml:space="preserve"> Allband Petition for Further Waiver, App</w:t>
      </w:r>
      <w:r w:rsidR="00203AF0">
        <w:t>x</w:t>
      </w:r>
      <w:r w:rsidR="001C0AA7">
        <w:t>.</w:t>
      </w:r>
      <w:r>
        <w:t xml:space="preserve"> 2, Schedule 3 – 2013 Audited Financial Statements.</w:t>
      </w:r>
    </w:p>
  </w:footnote>
  <w:footnote w:id="27">
    <w:p w14:paraId="6611BDB2" w14:textId="5EE1AECA" w:rsidR="007E2B9E" w:rsidRDefault="007E2B9E">
      <w:pPr>
        <w:pStyle w:val="FootnoteText"/>
      </w:pPr>
      <w:r>
        <w:rPr>
          <w:rStyle w:val="FootnoteReference"/>
        </w:rPr>
        <w:footnoteRef/>
      </w:r>
      <w:r>
        <w:t xml:space="preserve"> </w:t>
      </w:r>
      <w:r w:rsidRPr="00491A7A">
        <w:rPr>
          <w:i/>
        </w:rPr>
        <w:t>Id</w:t>
      </w:r>
      <w:r>
        <w:t xml:space="preserve">. </w:t>
      </w:r>
      <w:r w:rsidR="001C0AA7">
        <w:t xml:space="preserve">at </w:t>
      </w:r>
      <w:r>
        <w:t>App</w:t>
      </w:r>
      <w:r w:rsidR="00203AF0">
        <w:t>x</w:t>
      </w:r>
      <w:r w:rsidR="001C0AA7">
        <w:t>.</w:t>
      </w:r>
      <w:r>
        <w:t xml:space="preserve"> 2, Schedule 2.</w:t>
      </w:r>
    </w:p>
  </w:footnote>
  <w:footnote w:id="28">
    <w:p w14:paraId="414A79A2" w14:textId="03956606" w:rsidR="007E2B9E" w:rsidRDefault="007E2B9E">
      <w:pPr>
        <w:pStyle w:val="FootnoteText"/>
      </w:pPr>
      <w:r>
        <w:rPr>
          <w:rStyle w:val="FootnoteReference"/>
        </w:rPr>
        <w:footnoteRef/>
      </w:r>
      <w:r>
        <w:t xml:space="preserve"> </w:t>
      </w:r>
      <w:r w:rsidRPr="007E2B9E">
        <w:rPr>
          <w:i/>
        </w:rPr>
        <w:t>Id</w:t>
      </w:r>
      <w:r>
        <w:t>.</w:t>
      </w:r>
    </w:p>
  </w:footnote>
  <w:footnote w:id="29">
    <w:p w14:paraId="35B8568D" w14:textId="12FB621D" w:rsidR="007E2B9E" w:rsidRDefault="007E2B9E">
      <w:pPr>
        <w:pStyle w:val="FootnoteText"/>
      </w:pPr>
      <w:r>
        <w:rPr>
          <w:rStyle w:val="FootnoteReference"/>
        </w:rPr>
        <w:footnoteRef/>
      </w:r>
      <w:r>
        <w:t xml:space="preserve"> Allband 2012 Waiver Petition, App</w:t>
      </w:r>
      <w:r w:rsidR="00203AF0">
        <w:t>x</w:t>
      </w:r>
      <w:r w:rsidR="001C0AA7">
        <w:t>. 2, Attach.</w:t>
      </w:r>
      <w:r>
        <w:t xml:space="preserve"> 2C – 2010 Audited Financial Statements.</w:t>
      </w:r>
    </w:p>
  </w:footnote>
  <w:footnote w:id="30">
    <w:p w14:paraId="670E25CF" w14:textId="37F0D11E" w:rsidR="006C5B8D" w:rsidRDefault="006C5B8D">
      <w:pPr>
        <w:pStyle w:val="FootnoteText"/>
      </w:pPr>
      <w:r>
        <w:rPr>
          <w:rStyle w:val="FootnoteReference"/>
        </w:rPr>
        <w:footnoteRef/>
      </w:r>
      <w:r>
        <w:t xml:space="preserve"> M</w:t>
      </w:r>
      <w:r w:rsidR="001C0AA7">
        <w:t>ay 18, 2015 Ex Parte, Attach.</w:t>
      </w:r>
      <w:r>
        <w:t xml:space="preserve"> B.</w:t>
      </w:r>
    </w:p>
  </w:footnote>
  <w:footnote w:id="31">
    <w:p w14:paraId="24CD68C4" w14:textId="77777777" w:rsidR="00704DB3" w:rsidRDefault="00704DB3">
      <w:pPr>
        <w:pStyle w:val="FootnoteText"/>
      </w:pPr>
      <w:r>
        <w:rPr>
          <w:rStyle w:val="FootnoteReference"/>
        </w:rPr>
        <w:footnoteRef/>
      </w:r>
      <w:r>
        <w:t xml:space="preserve"> We note that such results will likely contain confidential information and will need to be filed in accordance with the Commission’s procedures to protect such information.</w:t>
      </w:r>
    </w:p>
  </w:footnote>
  <w:footnote w:id="32">
    <w:p w14:paraId="7738F6A0" w14:textId="77777777" w:rsidR="00704DB3" w:rsidRDefault="00704DB3">
      <w:pPr>
        <w:pStyle w:val="FootnoteText"/>
      </w:pPr>
      <w:r>
        <w:rPr>
          <w:rStyle w:val="FootnoteReference"/>
        </w:rPr>
        <w:footnoteRef/>
      </w:r>
      <w:r>
        <w:t xml:space="preserve"> We note that universal service support amounts may be adjusted retroactively, if it is determined that Allband has received support amounts in the past to which it was not entitled.  Universal service support may be used “only for the provision, maintenance and upgrading of facilities and services for which the support is intended.”  </w:t>
      </w:r>
      <w:r w:rsidRPr="00C23D02">
        <w:t>47 C.F.R. §</w:t>
      </w:r>
      <w:r>
        <w:t> 54.7.</w:t>
      </w:r>
    </w:p>
  </w:footnote>
  <w:footnote w:id="33">
    <w:p w14:paraId="5F5A46A5" w14:textId="77777777" w:rsidR="00704DB3" w:rsidRDefault="00704DB3" w:rsidP="00A44E9C">
      <w:pPr>
        <w:pStyle w:val="FootnoteText"/>
      </w:pPr>
      <w:r>
        <w:rPr>
          <w:rStyle w:val="FootnoteReference"/>
        </w:rPr>
        <w:footnoteRef/>
      </w:r>
      <w:r>
        <w:t xml:space="preserve"> </w:t>
      </w:r>
      <w:r>
        <w:rPr>
          <w:i/>
        </w:rPr>
        <w:t xml:space="preserve">USF/ICC Transformation Order, </w:t>
      </w:r>
      <w:r>
        <w:t>26 FCC Rcd at 17842, para. 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31C1" w14:textId="77777777" w:rsidR="007C6A51" w:rsidRDefault="007C6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0A3F" w14:textId="5F8391A4" w:rsidR="00704DB3" w:rsidRDefault="00704DB3">
    <w:pPr>
      <w:pStyle w:val="Header"/>
      <w:ind w:right="372"/>
      <w:rPr>
        <w:b w:val="0"/>
      </w:rPr>
    </w:pPr>
    <w:r w:rsidRPr="006F3D17">
      <w:rPr>
        <w:rStyle w:val="PageNumber"/>
      </w:rPr>
      <w:tab/>
      <w:t>Federal Communications Commission</w:t>
    </w:r>
    <w:r w:rsidRPr="006F3D17">
      <w:rPr>
        <w:rStyle w:val="PageNumber"/>
      </w:rPr>
      <w:tab/>
    </w:r>
    <w:r w:rsidR="00862853">
      <w:rPr>
        <w:spacing w:val="-2"/>
      </w:rPr>
      <w:t>DA 15-766</w:t>
    </w:r>
  </w:p>
  <w:p w14:paraId="2E83D92C" w14:textId="77777777" w:rsidR="00704DB3" w:rsidRDefault="003939F9">
    <w:pPr>
      <w:pStyle w:val="Header"/>
    </w:pPr>
    <w:r>
      <w:rPr>
        <w:b w:val="0"/>
        <w:noProof/>
        <w:snapToGrid/>
      </w:rPr>
      <mc:AlternateContent>
        <mc:Choice Requires="wps">
          <w:drawing>
            <wp:anchor distT="4294967293" distB="4294967293" distL="114300" distR="114300" simplePos="0" relativeHeight="251658240" behindDoc="0" locked="0" layoutInCell="0" allowOverlap="1" wp14:anchorId="378A3E23" wp14:editId="4D7E9C6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491D13"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D53E" w14:textId="7B147501" w:rsidR="00704DB3" w:rsidRDefault="00704DB3" w:rsidP="00CF1D03">
    <w:pPr>
      <w:pStyle w:val="Header"/>
      <w:rPr>
        <w:b w:val="0"/>
      </w:rPr>
    </w:pPr>
    <w:r>
      <w:tab/>
      <w:t>Federal Communications Commission</w:t>
    </w:r>
    <w:r>
      <w:tab/>
    </w:r>
    <w:r>
      <w:rPr>
        <w:spacing w:val="-2"/>
      </w:rPr>
      <w:t>DA 15-</w:t>
    </w:r>
    <w:r w:rsidR="00862853">
      <w:rPr>
        <w:spacing w:val="-2"/>
      </w:rPr>
      <w:t>766</w:t>
    </w:r>
  </w:p>
  <w:p w14:paraId="1F807E9F" w14:textId="77777777" w:rsidR="00704DB3" w:rsidRDefault="003939F9" w:rsidP="003301B8">
    <w:pPr>
      <w:pStyle w:val="Header"/>
    </w:pPr>
    <w:r>
      <w:rPr>
        <w:noProof/>
        <w:snapToGrid/>
      </w:rPr>
      <mc:AlternateContent>
        <mc:Choice Requires="wps">
          <w:drawing>
            <wp:anchor distT="4294967293" distB="4294967293" distL="114300" distR="114300" simplePos="0" relativeHeight="251660288" behindDoc="0" locked="0" layoutInCell="0" allowOverlap="1" wp14:anchorId="0D422303" wp14:editId="3D45E18A">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F392B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7BF0452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b/>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6FA2B00"/>
    <w:multiLevelType w:val="multilevel"/>
    <w:tmpl w:val="66C40B32"/>
    <w:lvl w:ilvl="0">
      <w:start w:val="1"/>
      <w:numFmt w:val="lowerLetter"/>
      <w:pStyle w:val="paranum0"/>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6"/>
  </w:num>
  <w:num w:numId="2">
    <w:abstractNumId w:val="4"/>
  </w:num>
  <w:num w:numId="3">
    <w:abstractNumId w:val="4"/>
    <w:lvlOverride w:ilvl="0">
      <w:startOverride w:val="1"/>
    </w:lvlOverride>
  </w:num>
  <w:num w:numId="4">
    <w:abstractNumId w:val="8"/>
  </w:num>
  <w:num w:numId="5">
    <w:abstractNumId w:val="7"/>
  </w:num>
  <w:num w:numId="6">
    <w:abstractNumId w:val="1"/>
  </w:num>
  <w:num w:numId="7">
    <w:abstractNumId w:val="3"/>
  </w:num>
  <w:num w:numId="8">
    <w:abstractNumId w:val="5"/>
  </w:num>
  <w:num w:numId="9">
    <w:abstractNumId w:val="2"/>
  </w:num>
  <w:num w:numId="10">
    <w:abstractNumId w:val="0"/>
  </w:num>
  <w:num w:numId="11">
    <w:abstractNumId w:val="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8E"/>
    <w:rsid w:val="00000ADC"/>
    <w:rsid w:val="0000108E"/>
    <w:rsid w:val="00001C70"/>
    <w:rsid w:val="000044E5"/>
    <w:rsid w:val="00005018"/>
    <w:rsid w:val="000052D9"/>
    <w:rsid w:val="00005301"/>
    <w:rsid w:val="00007987"/>
    <w:rsid w:val="00007BE4"/>
    <w:rsid w:val="00015CB4"/>
    <w:rsid w:val="000164EA"/>
    <w:rsid w:val="0002358E"/>
    <w:rsid w:val="00023CE1"/>
    <w:rsid w:val="000244C2"/>
    <w:rsid w:val="00027FA7"/>
    <w:rsid w:val="000312E0"/>
    <w:rsid w:val="000318C5"/>
    <w:rsid w:val="00031E6E"/>
    <w:rsid w:val="000374FA"/>
    <w:rsid w:val="0003772B"/>
    <w:rsid w:val="000416D6"/>
    <w:rsid w:val="0004293C"/>
    <w:rsid w:val="00044A91"/>
    <w:rsid w:val="00051A3F"/>
    <w:rsid w:val="0005243D"/>
    <w:rsid w:val="0005280C"/>
    <w:rsid w:val="000534B5"/>
    <w:rsid w:val="00053706"/>
    <w:rsid w:val="000539BA"/>
    <w:rsid w:val="00055438"/>
    <w:rsid w:val="00055582"/>
    <w:rsid w:val="00057567"/>
    <w:rsid w:val="00057C54"/>
    <w:rsid w:val="00057DFB"/>
    <w:rsid w:val="00061FBC"/>
    <w:rsid w:val="000647AE"/>
    <w:rsid w:val="000662E9"/>
    <w:rsid w:val="000703D4"/>
    <w:rsid w:val="000708F5"/>
    <w:rsid w:val="0007187D"/>
    <w:rsid w:val="00073399"/>
    <w:rsid w:val="0007481E"/>
    <w:rsid w:val="0007536E"/>
    <w:rsid w:val="00075570"/>
    <w:rsid w:val="000759B7"/>
    <w:rsid w:val="0008078B"/>
    <w:rsid w:val="000831D9"/>
    <w:rsid w:val="00083D96"/>
    <w:rsid w:val="00083E48"/>
    <w:rsid w:val="00084DF9"/>
    <w:rsid w:val="00085F17"/>
    <w:rsid w:val="00086B42"/>
    <w:rsid w:val="00092561"/>
    <w:rsid w:val="0009362D"/>
    <w:rsid w:val="000940F0"/>
    <w:rsid w:val="0009513D"/>
    <w:rsid w:val="000975F5"/>
    <w:rsid w:val="000A268D"/>
    <w:rsid w:val="000A433E"/>
    <w:rsid w:val="000A4771"/>
    <w:rsid w:val="000A4AAB"/>
    <w:rsid w:val="000A511F"/>
    <w:rsid w:val="000A5332"/>
    <w:rsid w:val="000B134F"/>
    <w:rsid w:val="000B363A"/>
    <w:rsid w:val="000B4EF1"/>
    <w:rsid w:val="000B6023"/>
    <w:rsid w:val="000B71A5"/>
    <w:rsid w:val="000B7219"/>
    <w:rsid w:val="000C0BB9"/>
    <w:rsid w:val="000C798A"/>
    <w:rsid w:val="000D0248"/>
    <w:rsid w:val="000D0A57"/>
    <w:rsid w:val="000D137C"/>
    <w:rsid w:val="000D164B"/>
    <w:rsid w:val="000D1757"/>
    <w:rsid w:val="000D1CB7"/>
    <w:rsid w:val="000D49A9"/>
    <w:rsid w:val="000D6114"/>
    <w:rsid w:val="000D643E"/>
    <w:rsid w:val="000E13E7"/>
    <w:rsid w:val="000E29FE"/>
    <w:rsid w:val="000E31D2"/>
    <w:rsid w:val="000E4BC0"/>
    <w:rsid w:val="000E4BDD"/>
    <w:rsid w:val="000E6031"/>
    <w:rsid w:val="000E6E1F"/>
    <w:rsid w:val="000E73BE"/>
    <w:rsid w:val="000F055A"/>
    <w:rsid w:val="000F0940"/>
    <w:rsid w:val="000F0CCE"/>
    <w:rsid w:val="000F0E16"/>
    <w:rsid w:val="000F17A8"/>
    <w:rsid w:val="000F457E"/>
    <w:rsid w:val="000F516A"/>
    <w:rsid w:val="000F558C"/>
    <w:rsid w:val="000F5861"/>
    <w:rsid w:val="000F62AA"/>
    <w:rsid w:val="00101123"/>
    <w:rsid w:val="0010216C"/>
    <w:rsid w:val="00103AD0"/>
    <w:rsid w:val="001101E0"/>
    <w:rsid w:val="0011061B"/>
    <w:rsid w:val="0011159B"/>
    <w:rsid w:val="00112A93"/>
    <w:rsid w:val="0011372E"/>
    <w:rsid w:val="00114CDE"/>
    <w:rsid w:val="00117019"/>
    <w:rsid w:val="0011744A"/>
    <w:rsid w:val="00117981"/>
    <w:rsid w:val="001201F5"/>
    <w:rsid w:val="0012163C"/>
    <w:rsid w:val="00121A5D"/>
    <w:rsid w:val="00125CBC"/>
    <w:rsid w:val="00125CED"/>
    <w:rsid w:val="00130767"/>
    <w:rsid w:val="001311CE"/>
    <w:rsid w:val="00135051"/>
    <w:rsid w:val="00135F02"/>
    <w:rsid w:val="001367B5"/>
    <w:rsid w:val="00137DCF"/>
    <w:rsid w:val="00140229"/>
    <w:rsid w:val="00140DF9"/>
    <w:rsid w:val="001413FE"/>
    <w:rsid w:val="00143489"/>
    <w:rsid w:val="00144834"/>
    <w:rsid w:val="00145E94"/>
    <w:rsid w:val="00146F77"/>
    <w:rsid w:val="00147016"/>
    <w:rsid w:val="00147FEF"/>
    <w:rsid w:val="001548A3"/>
    <w:rsid w:val="00160047"/>
    <w:rsid w:val="001606A4"/>
    <w:rsid w:val="001607CF"/>
    <w:rsid w:val="0016081B"/>
    <w:rsid w:val="00160987"/>
    <w:rsid w:val="00160BDC"/>
    <w:rsid w:val="00160E27"/>
    <w:rsid w:val="00161E46"/>
    <w:rsid w:val="001647E0"/>
    <w:rsid w:val="00164DCE"/>
    <w:rsid w:val="001655E2"/>
    <w:rsid w:val="00166D4C"/>
    <w:rsid w:val="00167F22"/>
    <w:rsid w:val="00172C15"/>
    <w:rsid w:val="00172F82"/>
    <w:rsid w:val="001749B9"/>
    <w:rsid w:val="001761FD"/>
    <w:rsid w:val="00176DD9"/>
    <w:rsid w:val="0018051E"/>
    <w:rsid w:val="00183CE0"/>
    <w:rsid w:val="00184DAE"/>
    <w:rsid w:val="00187446"/>
    <w:rsid w:val="00187B13"/>
    <w:rsid w:val="001900D0"/>
    <w:rsid w:val="00191721"/>
    <w:rsid w:val="00195D0E"/>
    <w:rsid w:val="001969E6"/>
    <w:rsid w:val="001A13D6"/>
    <w:rsid w:val="001A14C0"/>
    <w:rsid w:val="001A1EE2"/>
    <w:rsid w:val="001A25C0"/>
    <w:rsid w:val="001A3868"/>
    <w:rsid w:val="001B085C"/>
    <w:rsid w:val="001B1041"/>
    <w:rsid w:val="001B11D6"/>
    <w:rsid w:val="001B5E9E"/>
    <w:rsid w:val="001B622E"/>
    <w:rsid w:val="001B67D7"/>
    <w:rsid w:val="001B7895"/>
    <w:rsid w:val="001C0AA7"/>
    <w:rsid w:val="001C16C5"/>
    <w:rsid w:val="001C1EE0"/>
    <w:rsid w:val="001C3ACB"/>
    <w:rsid w:val="001C3F9A"/>
    <w:rsid w:val="001C5767"/>
    <w:rsid w:val="001D0671"/>
    <w:rsid w:val="001D0E10"/>
    <w:rsid w:val="001D2052"/>
    <w:rsid w:val="001D4257"/>
    <w:rsid w:val="001D4748"/>
    <w:rsid w:val="001D482F"/>
    <w:rsid w:val="001D4D3E"/>
    <w:rsid w:val="001D5869"/>
    <w:rsid w:val="001E049C"/>
    <w:rsid w:val="001E2486"/>
    <w:rsid w:val="001E31B7"/>
    <w:rsid w:val="001E59CD"/>
    <w:rsid w:val="001E6D1D"/>
    <w:rsid w:val="001F040F"/>
    <w:rsid w:val="001F071D"/>
    <w:rsid w:val="001F437C"/>
    <w:rsid w:val="001F5BF9"/>
    <w:rsid w:val="001F5C38"/>
    <w:rsid w:val="001F694D"/>
    <w:rsid w:val="002001E5"/>
    <w:rsid w:val="0020028C"/>
    <w:rsid w:val="00203694"/>
    <w:rsid w:val="0020388C"/>
    <w:rsid w:val="00203908"/>
    <w:rsid w:val="00203AF0"/>
    <w:rsid w:val="00203F26"/>
    <w:rsid w:val="002072D4"/>
    <w:rsid w:val="002104AC"/>
    <w:rsid w:val="0021061B"/>
    <w:rsid w:val="00210B9D"/>
    <w:rsid w:val="00211038"/>
    <w:rsid w:val="00212328"/>
    <w:rsid w:val="00212824"/>
    <w:rsid w:val="00212BE7"/>
    <w:rsid w:val="00214B2B"/>
    <w:rsid w:val="00214DDB"/>
    <w:rsid w:val="00214E8E"/>
    <w:rsid w:val="002216B8"/>
    <w:rsid w:val="002217D3"/>
    <w:rsid w:val="0022367C"/>
    <w:rsid w:val="002257FB"/>
    <w:rsid w:val="00226CDC"/>
    <w:rsid w:val="00227976"/>
    <w:rsid w:val="00230432"/>
    <w:rsid w:val="00231D9C"/>
    <w:rsid w:val="002403AD"/>
    <w:rsid w:val="0024054A"/>
    <w:rsid w:val="00241468"/>
    <w:rsid w:val="002430F8"/>
    <w:rsid w:val="00243A5C"/>
    <w:rsid w:val="002459F0"/>
    <w:rsid w:val="00246919"/>
    <w:rsid w:val="00250A95"/>
    <w:rsid w:val="00251DC8"/>
    <w:rsid w:val="00252E86"/>
    <w:rsid w:val="00252E9A"/>
    <w:rsid w:val="00255654"/>
    <w:rsid w:val="002623A0"/>
    <w:rsid w:val="002624C9"/>
    <w:rsid w:val="002642D7"/>
    <w:rsid w:val="00264CE1"/>
    <w:rsid w:val="00267202"/>
    <w:rsid w:val="00270477"/>
    <w:rsid w:val="0027068B"/>
    <w:rsid w:val="00272177"/>
    <w:rsid w:val="00272E5C"/>
    <w:rsid w:val="002749CB"/>
    <w:rsid w:val="00275223"/>
    <w:rsid w:val="0027654F"/>
    <w:rsid w:val="0028087D"/>
    <w:rsid w:val="00281751"/>
    <w:rsid w:val="00281E98"/>
    <w:rsid w:val="002829BC"/>
    <w:rsid w:val="00283DE3"/>
    <w:rsid w:val="00286356"/>
    <w:rsid w:val="00286A6B"/>
    <w:rsid w:val="00287574"/>
    <w:rsid w:val="00287D5F"/>
    <w:rsid w:val="00291399"/>
    <w:rsid w:val="00291B34"/>
    <w:rsid w:val="00292972"/>
    <w:rsid w:val="00293861"/>
    <w:rsid w:val="00295081"/>
    <w:rsid w:val="00295CA8"/>
    <w:rsid w:val="0029676C"/>
    <w:rsid w:val="002A22E6"/>
    <w:rsid w:val="002A3AE6"/>
    <w:rsid w:val="002A4BE1"/>
    <w:rsid w:val="002A6236"/>
    <w:rsid w:val="002A6336"/>
    <w:rsid w:val="002A6B1F"/>
    <w:rsid w:val="002B0A60"/>
    <w:rsid w:val="002B0DB4"/>
    <w:rsid w:val="002B18F8"/>
    <w:rsid w:val="002B195D"/>
    <w:rsid w:val="002B23D5"/>
    <w:rsid w:val="002B2E72"/>
    <w:rsid w:val="002B4F27"/>
    <w:rsid w:val="002B6277"/>
    <w:rsid w:val="002B6EE7"/>
    <w:rsid w:val="002B7255"/>
    <w:rsid w:val="002C0EAE"/>
    <w:rsid w:val="002C11B6"/>
    <w:rsid w:val="002C120F"/>
    <w:rsid w:val="002C1F55"/>
    <w:rsid w:val="002C2589"/>
    <w:rsid w:val="002C4877"/>
    <w:rsid w:val="002C4963"/>
    <w:rsid w:val="002C514A"/>
    <w:rsid w:val="002C58E3"/>
    <w:rsid w:val="002C5A54"/>
    <w:rsid w:val="002C6F53"/>
    <w:rsid w:val="002D0381"/>
    <w:rsid w:val="002D062C"/>
    <w:rsid w:val="002D0F8A"/>
    <w:rsid w:val="002D26A8"/>
    <w:rsid w:val="002D2EB7"/>
    <w:rsid w:val="002D4799"/>
    <w:rsid w:val="002E2AFD"/>
    <w:rsid w:val="002E3786"/>
    <w:rsid w:val="002E590A"/>
    <w:rsid w:val="002E6844"/>
    <w:rsid w:val="002E6B12"/>
    <w:rsid w:val="002E6B3A"/>
    <w:rsid w:val="002E72B2"/>
    <w:rsid w:val="002E72C9"/>
    <w:rsid w:val="002E7B31"/>
    <w:rsid w:val="002E7DF7"/>
    <w:rsid w:val="002F0647"/>
    <w:rsid w:val="002F195C"/>
    <w:rsid w:val="002F36BA"/>
    <w:rsid w:val="002F3ABA"/>
    <w:rsid w:val="002F4ED2"/>
    <w:rsid w:val="002F555D"/>
    <w:rsid w:val="002F5A0F"/>
    <w:rsid w:val="002F6426"/>
    <w:rsid w:val="002F6C60"/>
    <w:rsid w:val="00300AD2"/>
    <w:rsid w:val="00300FD9"/>
    <w:rsid w:val="00301BB1"/>
    <w:rsid w:val="003028CB"/>
    <w:rsid w:val="00302952"/>
    <w:rsid w:val="00303CFC"/>
    <w:rsid w:val="0030482D"/>
    <w:rsid w:val="003059DE"/>
    <w:rsid w:val="003063D5"/>
    <w:rsid w:val="00307DC4"/>
    <w:rsid w:val="00310296"/>
    <w:rsid w:val="0031109C"/>
    <w:rsid w:val="00312222"/>
    <w:rsid w:val="00313691"/>
    <w:rsid w:val="00316F92"/>
    <w:rsid w:val="00317923"/>
    <w:rsid w:val="00320C33"/>
    <w:rsid w:val="0032593F"/>
    <w:rsid w:val="00326886"/>
    <w:rsid w:val="003271EB"/>
    <w:rsid w:val="00327798"/>
    <w:rsid w:val="00327B1E"/>
    <w:rsid w:val="003301B8"/>
    <w:rsid w:val="00331D0A"/>
    <w:rsid w:val="00333757"/>
    <w:rsid w:val="00336FDB"/>
    <w:rsid w:val="003375E4"/>
    <w:rsid w:val="0033798E"/>
    <w:rsid w:val="00340627"/>
    <w:rsid w:val="00344EBB"/>
    <w:rsid w:val="00345104"/>
    <w:rsid w:val="00347DF9"/>
    <w:rsid w:val="00347F2C"/>
    <w:rsid w:val="00352C9E"/>
    <w:rsid w:val="0035310D"/>
    <w:rsid w:val="00353EBD"/>
    <w:rsid w:val="00354885"/>
    <w:rsid w:val="0035536D"/>
    <w:rsid w:val="00356291"/>
    <w:rsid w:val="00357FCD"/>
    <w:rsid w:val="00362595"/>
    <w:rsid w:val="003674EF"/>
    <w:rsid w:val="003708B9"/>
    <w:rsid w:val="00371732"/>
    <w:rsid w:val="003718A3"/>
    <w:rsid w:val="0037204D"/>
    <w:rsid w:val="0037226C"/>
    <w:rsid w:val="00372896"/>
    <w:rsid w:val="00372AED"/>
    <w:rsid w:val="003732F2"/>
    <w:rsid w:val="00373D7C"/>
    <w:rsid w:val="0037479A"/>
    <w:rsid w:val="00376E57"/>
    <w:rsid w:val="0038082B"/>
    <w:rsid w:val="0038374B"/>
    <w:rsid w:val="003847C0"/>
    <w:rsid w:val="003854E6"/>
    <w:rsid w:val="003854F4"/>
    <w:rsid w:val="0038604C"/>
    <w:rsid w:val="00387C4D"/>
    <w:rsid w:val="00390787"/>
    <w:rsid w:val="00393863"/>
    <w:rsid w:val="003939F9"/>
    <w:rsid w:val="0039411E"/>
    <w:rsid w:val="00395DEC"/>
    <w:rsid w:val="003961D4"/>
    <w:rsid w:val="003966ED"/>
    <w:rsid w:val="0039744D"/>
    <w:rsid w:val="003A00A0"/>
    <w:rsid w:val="003A0DF5"/>
    <w:rsid w:val="003A1195"/>
    <w:rsid w:val="003A36DE"/>
    <w:rsid w:val="003A3B3C"/>
    <w:rsid w:val="003A42D7"/>
    <w:rsid w:val="003A528D"/>
    <w:rsid w:val="003A556D"/>
    <w:rsid w:val="003A610B"/>
    <w:rsid w:val="003A772F"/>
    <w:rsid w:val="003B12C7"/>
    <w:rsid w:val="003B2224"/>
    <w:rsid w:val="003B3408"/>
    <w:rsid w:val="003B6DE0"/>
    <w:rsid w:val="003C0847"/>
    <w:rsid w:val="003C1862"/>
    <w:rsid w:val="003C1E2D"/>
    <w:rsid w:val="003C2A6F"/>
    <w:rsid w:val="003C4956"/>
    <w:rsid w:val="003C4B26"/>
    <w:rsid w:val="003D0C58"/>
    <w:rsid w:val="003D10EF"/>
    <w:rsid w:val="003D2CC3"/>
    <w:rsid w:val="003D3EE7"/>
    <w:rsid w:val="003D51C8"/>
    <w:rsid w:val="003D5496"/>
    <w:rsid w:val="003D676E"/>
    <w:rsid w:val="003E0DF0"/>
    <w:rsid w:val="003E1780"/>
    <w:rsid w:val="003E331B"/>
    <w:rsid w:val="003E38F3"/>
    <w:rsid w:val="003E5C6E"/>
    <w:rsid w:val="003F0E4D"/>
    <w:rsid w:val="003F1ABC"/>
    <w:rsid w:val="003F38DC"/>
    <w:rsid w:val="003F575D"/>
    <w:rsid w:val="003F633A"/>
    <w:rsid w:val="00404C76"/>
    <w:rsid w:val="00406557"/>
    <w:rsid w:val="00406E55"/>
    <w:rsid w:val="00407E13"/>
    <w:rsid w:val="00412D00"/>
    <w:rsid w:val="00413D3B"/>
    <w:rsid w:val="00414ABE"/>
    <w:rsid w:val="00414B8E"/>
    <w:rsid w:val="0041527A"/>
    <w:rsid w:val="00424AF8"/>
    <w:rsid w:val="00430F84"/>
    <w:rsid w:val="0043184A"/>
    <w:rsid w:val="004330B0"/>
    <w:rsid w:val="004334B9"/>
    <w:rsid w:val="00433814"/>
    <w:rsid w:val="00433B48"/>
    <w:rsid w:val="00433FD8"/>
    <w:rsid w:val="004350C3"/>
    <w:rsid w:val="00435978"/>
    <w:rsid w:val="00437301"/>
    <w:rsid w:val="00441128"/>
    <w:rsid w:val="0044148A"/>
    <w:rsid w:val="004430C9"/>
    <w:rsid w:val="00444249"/>
    <w:rsid w:val="00445057"/>
    <w:rsid w:val="00445463"/>
    <w:rsid w:val="00445CDC"/>
    <w:rsid w:val="004461F1"/>
    <w:rsid w:val="00446F03"/>
    <w:rsid w:val="00456B9C"/>
    <w:rsid w:val="00457797"/>
    <w:rsid w:val="004606FD"/>
    <w:rsid w:val="00461A48"/>
    <w:rsid w:val="00461A97"/>
    <w:rsid w:val="00462B47"/>
    <w:rsid w:val="00464D6B"/>
    <w:rsid w:val="00466310"/>
    <w:rsid w:val="0046780C"/>
    <w:rsid w:val="00467EF1"/>
    <w:rsid w:val="00471414"/>
    <w:rsid w:val="00472592"/>
    <w:rsid w:val="004737DB"/>
    <w:rsid w:val="00473BAC"/>
    <w:rsid w:val="00475F36"/>
    <w:rsid w:val="004769DB"/>
    <w:rsid w:val="00477964"/>
    <w:rsid w:val="0048727D"/>
    <w:rsid w:val="00487E19"/>
    <w:rsid w:val="004907C3"/>
    <w:rsid w:val="00491A7A"/>
    <w:rsid w:val="00491EBC"/>
    <w:rsid w:val="00492C6D"/>
    <w:rsid w:val="0049497F"/>
    <w:rsid w:val="00496ABF"/>
    <w:rsid w:val="0049707A"/>
    <w:rsid w:val="00497104"/>
    <w:rsid w:val="00497804"/>
    <w:rsid w:val="00497A7C"/>
    <w:rsid w:val="004A0FBD"/>
    <w:rsid w:val="004A2264"/>
    <w:rsid w:val="004A3429"/>
    <w:rsid w:val="004A40C8"/>
    <w:rsid w:val="004A49B1"/>
    <w:rsid w:val="004A4E85"/>
    <w:rsid w:val="004A502D"/>
    <w:rsid w:val="004A647C"/>
    <w:rsid w:val="004A68DD"/>
    <w:rsid w:val="004A6F56"/>
    <w:rsid w:val="004B0D9D"/>
    <w:rsid w:val="004B2A92"/>
    <w:rsid w:val="004B2BA8"/>
    <w:rsid w:val="004B327E"/>
    <w:rsid w:val="004B3488"/>
    <w:rsid w:val="004B3630"/>
    <w:rsid w:val="004B3FB6"/>
    <w:rsid w:val="004B5E28"/>
    <w:rsid w:val="004B6107"/>
    <w:rsid w:val="004B6596"/>
    <w:rsid w:val="004B65B1"/>
    <w:rsid w:val="004C002D"/>
    <w:rsid w:val="004C1A66"/>
    <w:rsid w:val="004C1F53"/>
    <w:rsid w:val="004C40BC"/>
    <w:rsid w:val="004D0098"/>
    <w:rsid w:val="004D4759"/>
    <w:rsid w:val="004E1168"/>
    <w:rsid w:val="004E1A8F"/>
    <w:rsid w:val="004E2543"/>
    <w:rsid w:val="004E736E"/>
    <w:rsid w:val="004F24B5"/>
    <w:rsid w:val="004F2515"/>
    <w:rsid w:val="004F29F4"/>
    <w:rsid w:val="004F3F03"/>
    <w:rsid w:val="004F4E7E"/>
    <w:rsid w:val="004F6939"/>
    <w:rsid w:val="004F7169"/>
    <w:rsid w:val="004F7779"/>
    <w:rsid w:val="00500CE0"/>
    <w:rsid w:val="005039E0"/>
    <w:rsid w:val="0050659B"/>
    <w:rsid w:val="00506DB8"/>
    <w:rsid w:val="00507C14"/>
    <w:rsid w:val="005104F4"/>
    <w:rsid w:val="005110EF"/>
    <w:rsid w:val="00513027"/>
    <w:rsid w:val="00514459"/>
    <w:rsid w:val="00514C10"/>
    <w:rsid w:val="00514CC4"/>
    <w:rsid w:val="00517633"/>
    <w:rsid w:val="00520413"/>
    <w:rsid w:val="005237FF"/>
    <w:rsid w:val="005242E6"/>
    <w:rsid w:val="005254FB"/>
    <w:rsid w:val="005259F3"/>
    <w:rsid w:val="00526CEF"/>
    <w:rsid w:val="005302D5"/>
    <w:rsid w:val="00530E6A"/>
    <w:rsid w:val="00531E4F"/>
    <w:rsid w:val="00533BE4"/>
    <w:rsid w:val="005348FB"/>
    <w:rsid w:val="00537627"/>
    <w:rsid w:val="00537E6B"/>
    <w:rsid w:val="00540842"/>
    <w:rsid w:val="00541C16"/>
    <w:rsid w:val="005461A4"/>
    <w:rsid w:val="005465A2"/>
    <w:rsid w:val="0054775D"/>
    <w:rsid w:val="0055030B"/>
    <w:rsid w:val="00551BBD"/>
    <w:rsid w:val="00551E74"/>
    <w:rsid w:val="00552024"/>
    <w:rsid w:val="00552A63"/>
    <w:rsid w:val="005549A7"/>
    <w:rsid w:val="00555EF9"/>
    <w:rsid w:val="00560AB8"/>
    <w:rsid w:val="00561502"/>
    <w:rsid w:val="00563720"/>
    <w:rsid w:val="00563DF4"/>
    <w:rsid w:val="00565AA1"/>
    <w:rsid w:val="0056693B"/>
    <w:rsid w:val="0057039C"/>
    <w:rsid w:val="00570768"/>
    <w:rsid w:val="0057236A"/>
    <w:rsid w:val="005744DA"/>
    <w:rsid w:val="005747A7"/>
    <w:rsid w:val="005753D7"/>
    <w:rsid w:val="00575DE0"/>
    <w:rsid w:val="00577BBF"/>
    <w:rsid w:val="005803BE"/>
    <w:rsid w:val="00580B24"/>
    <w:rsid w:val="00581FE2"/>
    <w:rsid w:val="00582876"/>
    <w:rsid w:val="00583BD3"/>
    <w:rsid w:val="00586E26"/>
    <w:rsid w:val="00591658"/>
    <w:rsid w:val="00592AB0"/>
    <w:rsid w:val="005932EB"/>
    <w:rsid w:val="00594CEA"/>
    <w:rsid w:val="00595F6E"/>
    <w:rsid w:val="005A064E"/>
    <w:rsid w:val="005A3260"/>
    <w:rsid w:val="005A33F5"/>
    <w:rsid w:val="005A388E"/>
    <w:rsid w:val="005A3AE9"/>
    <w:rsid w:val="005A5619"/>
    <w:rsid w:val="005A5A35"/>
    <w:rsid w:val="005A5F90"/>
    <w:rsid w:val="005B025A"/>
    <w:rsid w:val="005B0561"/>
    <w:rsid w:val="005B0A31"/>
    <w:rsid w:val="005B24EE"/>
    <w:rsid w:val="005B2D50"/>
    <w:rsid w:val="005B3923"/>
    <w:rsid w:val="005B4C94"/>
    <w:rsid w:val="005B4F09"/>
    <w:rsid w:val="005B695E"/>
    <w:rsid w:val="005B7426"/>
    <w:rsid w:val="005C08E5"/>
    <w:rsid w:val="005C10BF"/>
    <w:rsid w:val="005C29B5"/>
    <w:rsid w:val="005C35C9"/>
    <w:rsid w:val="005C4073"/>
    <w:rsid w:val="005C64A4"/>
    <w:rsid w:val="005C6E70"/>
    <w:rsid w:val="005D0B05"/>
    <w:rsid w:val="005D0CAD"/>
    <w:rsid w:val="005D17D8"/>
    <w:rsid w:val="005D1C1D"/>
    <w:rsid w:val="005D4FE0"/>
    <w:rsid w:val="005D623F"/>
    <w:rsid w:val="005D65CB"/>
    <w:rsid w:val="005E1078"/>
    <w:rsid w:val="005E1D3B"/>
    <w:rsid w:val="005E248D"/>
    <w:rsid w:val="005E289A"/>
    <w:rsid w:val="005E376F"/>
    <w:rsid w:val="005E58B6"/>
    <w:rsid w:val="005E5973"/>
    <w:rsid w:val="005E5C8D"/>
    <w:rsid w:val="005E655B"/>
    <w:rsid w:val="005E663E"/>
    <w:rsid w:val="005E7DE2"/>
    <w:rsid w:val="005E7E58"/>
    <w:rsid w:val="005F0313"/>
    <w:rsid w:val="005F08A4"/>
    <w:rsid w:val="005F1026"/>
    <w:rsid w:val="005F15E1"/>
    <w:rsid w:val="005F2BF1"/>
    <w:rsid w:val="005F626F"/>
    <w:rsid w:val="005F645F"/>
    <w:rsid w:val="005F700A"/>
    <w:rsid w:val="006000F5"/>
    <w:rsid w:val="00601762"/>
    <w:rsid w:val="006025A9"/>
    <w:rsid w:val="006051ED"/>
    <w:rsid w:val="006057A9"/>
    <w:rsid w:val="00605C7D"/>
    <w:rsid w:val="00607E84"/>
    <w:rsid w:val="006116D6"/>
    <w:rsid w:val="006133AD"/>
    <w:rsid w:val="00614CB2"/>
    <w:rsid w:val="00615CF2"/>
    <w:rsid w:val="006177ED"/>
    <w:rsid w:val="00620C6C"/>
    <w:rsid w:val="00620F87"/>
    <w:rsid w:val="006223E9"/>
    <w:rsid w:val="00623678"/>
    <w:rsid w:val="00624B3E"/>
    <w:rsid w:val="00625BB6"/>
    <w:rsid w:val="00625C01"/>
    <w:rsid w:val="00625D64"/>
    <w:rsid w:val="00625F1E"/>
    <w:rsid w:val="006263DB"/>
    <w:rsid w:val="006276F3"/>
    <w:rsid w:val="00627ADB"/>
    <w:rsid w:val="006307E2"/>
    <w:rsid w:val="00630C0A"/>
    <w:rsid w:val="00633CBA"/>
    <w:rsid w:val="006350EF"/>
    <w:rsid w:val="0063517A"/>
    <w:rsid w:val="006353D1"/>
    <w:rsid w:val="0063792E"/>
    <w:rsid w:val="00641A29"/>
    <w:rsid w:val="00642238"/>
    <w:rsid w:val="0064281C"/>
    <w:rsid w:val="00644947"/>
    <w:rsid w:val="00645248"/>
    <w:rsid w:val="00650263"/>
    <w:rsid w:val="006526D2"/>
    <w:rsid w:val="00652DB1"/>
    <w:rsid w:val="00652F14"/>
    <w:rsid w:val="0065301B"/>
    <w:rsid w:val="00656511"/>
    <w:rsid w:val="00657657"/>
    <w:rsid w:val="00661637"/>
    <w:rsid w:val="0066578A"/>
    <w:rsid w:val="0066638D"/>
    <w:rsid w:val="006672AA"/>
    <w:rsid w:val="006678B8"/>
    <w:rsid w:val="006704CC"/>
    <w:rsid w:val="00670ECD"/>
    <w:rsid w:val="00671DA8"/>
    <w:rsid w:val="00671EC2"/>
    <w:rsid w:val="00673C50"/>
    <w:rsid w:val="00674797"/>
    <w:rsid w:val="006769A1"/>
    <w:rsid w:val="00682966"/>
    <w:rsid w:val="006832ED"/>
    <w:rsid w:val="00684A9C"/>
    <w:rsid w:val="00684B89"/>
    <w:rsid w:val="006851D9"/>
    <w:rsid w:val="0068699B"/>
    <w:rsid w:val="00686E8D"/>
    <w:rsid w:val="00687F96"/>
    <w:rsid w:val="00690D2E"/>
    <w:rsid w:val="0069181C"/>
    <w:rsid w:val="00692555"/>
    <w:rsid w:val="006928DB"/>
    <w:rsid w:val="00694DA2"/>
    <w:rsid w:val="00695061"/>
    <w:rsid w:val="006973E3"/>
    <w:rsid w:val="0069787C"/>
    <w:rsid w:val="006A069C"/>
    <w:rsid w:val="006A0ED4"/>
    <w:rsid w:val="006A1E52"/>
    <w:rsid w:val="006A2577"/>
    <w:rsid w:val="006A3664"/>
    <w:rsid w:val="006A39FB"/>
    <w:rsid w:val="006A474B"/>
    <w:rsid w:val="006A5FA6"/>
    <w:rsid w:val="006B2BDA"/>
    <w:rsid w:val="006B3A12"/>
    <w:rsid w:val="006B3D29"/>
    <w:rsid w:val="006B3FA3"/>
    <w:rsid w:val="006B4B57"/>
    <w:rsid w:val="006B604B"/>
    <w:rsid w:val="006B7445"/>
    <w:rsid w:val="006C2361"/>
    <w:rsid w:val="006C40F6"/>
    <w:rsid w:val="006C5B8D"/>
    <w:rsid w:val="006C76EE"/>
    <w:rsid w:val="006D3DBD"/>
    <w:rsid w:val="006D46D6"/>
    <w:rsid w:val="006D4AA8"/>
    <w:rsid w:val="006D4B2B"/>
    <w:rsid w:val="006D4DD8"/>
    <w:rsid w:val="006D52FD"/>
    <w:rsid w:val="006D62AB"/>
    <w:rsid w:val="006D6C17"/>
    <w:rsid w:val="006D725B"/>
    <w:rsid w:val="006E0484"/>
    <w:rsid w:val="006E145C"/>
    <w:rsid w:val="006E28F6"/>
    <w:rsid w:val="006E470D"/>
    <w:rsid w:val="006E531B"/>
    <w:rsid w:val="006E5A38"/>
    <w:rsid w:val="006E5DB2"/>
    <w:rsid w:val="006E7454"/>
    <w:rsid w:val="006E76EF"/>
    <w:rsid w:val="006F0AC7"/>
    <w:rsid w:val="006F3578"/>
    <w:rsid w:val="006F3D17"/>
    <w:rsid w:val="006F453D"/>
    <w:rsid w:val="006F58FC"/>
    <w:rsid w:val="006F68EB"/>
    <w:rsid w:val="006F719C"/>
    <w:rsid w:val="00700E33"/>
    <w:rsid w:val="0070215A"/>
    <w:rsid w:val="00702D76"/>
    <w:rsid w:val="007048C9"/>
    <w:rsid w:val="00704DB3"/>
    <w:rsid w:val="007053B4"/>
    <w:rsid w:val="0070554F"/>
    <w:rsid w:val="00705699"/>
    <w:rsid w:val="00705CD9"/>
    <w:rsid w:val="007066B3"/>
    <w:rsid w:val="007072CF"/>
    <w:rsid w:val="00711A99"/>
    <w:rsid w:val="0071378D"/>
    <w:rsid w:val="00713909"/>
    <w:rsid w:val="00716184"/>
    <w:rsid w:val="0071650C"/>
    <w:rsid w:val="00720DDC"/>
    <w:rsid w:val="00721BCC"/>
    <w:rsid w:val="00721F43"/>
    <w:rsid w:val="007228DE"/>
    <w:rsid w:val="007232CA"/>
    <w:rsid w:val="007268D4"/>
    <w:rsid w:val="00730428"/>
    <w:rsid w:val="00730EF3"/>
    <w:rsid w:val="00733E6F"/>
    <w:rsid w:val="007341AF"/>
    <w:rsid w:val="0073563F"/>
    <w:rsid w:val="007361A1"/>
    <w:rsid w:val="007367F9"/>
    <w:rsid w:val="0074145E"/>
    <w:rsid w:val="00741658"/>
    <w:rsid w:val="00744CA7"/>
    <w:rsid w:val="007452D7"/>
    <w:rsid w:val="00745DFB"/>
    <w:rsid w:val="00747426"/>
    <w:rsid w:val="00750FE6"/>
    <w:rsid w:val="007526C8"/>
    <w:rsid w:val="0075405A"/>
    <w:rsid w:val="00755866"/>
    <w:rsid w:val="00760B2B"/>
    <w:rsid w:val="00760EEB"/>
    <w:rsid w:val="00761D78"/>
    <w:rsid w:val="007633AC"/>
    <w:rsid w:val="00763A4C"/>
    <w:rsid w:val="00765B55"/>
    <w:rsid w:val="00765E25"/>
    <w:rsid w:val="00766B87"/>
    <w:rsid w:val="00767033"/>
    <w:rsid w:val="007709B3"/>
    <w:rsid w:val="00774D61"/>
    <w:rsid w:val="0077511E"/>
    <w:rsid w:val="007769CC"/>
    <w:rsid w:val="00776AF3"/>
    <w:rsid w:val="007772B9"/>
    <w:rsid w:val="00783C43"/>
    <w:rsid w:val="00784827"/>
    <w:rsid w:val="00785862"/>
    <w:rsid w:val="007872C1"/>
    <w:rsid w:val="00787919"/>
    <w:rsid w:val="007919F4"/>
    <w:rsid w:val="00792404"/>
    <w:rsid w:val="0079270D"/>
    <w:rsid w:val="00795137"/>
    <w:rsid w:val="007957C8"/>
    <w:rsid w:val="00796F71"/>
    <w:rsid w:val="007A0257"/>
    <w:rsid w:val="007A080F"/>
    <w:rsid w:val="007A1CAE"/>
    <w:rsid w:val="007A2818"/>
    <w:rsid w:val="007A4438"/>
    <w:rsid w:val="007A4853"/>
    <w:rsid w:val="007A5533"/>
    <w:rsid w:val="007A60C0"/>
    <w:rsid w:val="007B0320"/>
    <w:rsid w:val="007B05E2"/>
    <w:rsid w:val="007B1C63"/>
    <w:rsid w:val="007B3134"/>
    <w:rsid w:val="007B3AE8"/>
    <w:rsid w:val="007B4607"/>
    <w:rsid w:val="007B4A73"/>
    <w:rsid w:val="007B5768"/>
    <w:rsid w:val="007B58D6"/>
    <w:rsid w:val="007B6CAF"/>
    <w:rsid w:val="007B754C"/>
    <w:rsid w:val="007B782E"/>
    <w:rsid w:val="007C02A1"/>
    <w:rsid w:val="007C0687"/>
    <w:rsid w:val="007C1B79"/>
    <w:rsid w:val="007C2E3F"/>
    <w:rsid w:val="007C35D5"/>
    <w:rsid w:val="007C4090"/>
    <w:rsid w:val="007C5127"/>
    <w:rsid w:val="007C5A74"/>
    <w:rsid w:val="007C6A51"/>
    <w:rsid w:val="007C7027"/>
    <w:rsid w:val="007C7697"/>
    <w:rsid w:val="007C7747"/>
    <w:rsid w:val="007D0747"/>
    <w:rsid w:val="007D137D"/>
    <w:rsid w:val="007D2436"/>
    <w:rsid w:val="007D2471"/>
    <w:rsid w:val="007D28FC"/>
    <w:rsid w:val="007D2A41"/>
    <w:rsid w:val="007D3484"/>
    <w:rsid w:val="007D4FA4"/>
    <w:rsid w:val="007D5B04"/>
    <w:rsid w:val="007E1202"/>
    <w:rsid w:val="007E12B5"/>
    <w:rsid w:val="007E2B9E"/>
    <w:rsid w:val="007E3A20"/>
    <w:rsid w:val="007E6DB7"/>
    <w:rsid w:val="007F0E1F"/>
    <w:rsid w:val="007F0E99"/>
    <w:rsid w:val="007F1A84"/>
    <w:rsid w:val="007F20F2"/>
    <w:rsid w:val="007F2DFB"/>
    <w:rsid w:val="007F5612"/>
    <w:rsid w:val="007F5B82"/>
    <w:rsid w:val="007F68E8"/>
    <w:rsid w:val="007F6C79"/>
    <w:rsid w:val="007F74A8"/>
    <w:rsid w:val="007F79D5"/>
    <w:rsid w:val="00802432"/>
    <w:rsid w:val="00802689"/>
    <w:rsid w:val="008040F9"/>
    <w:rsid w:val="00805AA2"/>
    <w:rsid w:val="008062B4"/>
    <w:rsid w:val="0080737F"/>
    <w:rsid w:val="00812680"/>
    <w:rsid w:val="00814F8B"/>
    <w:rsid w:val="00815B46"/>
    <w:rsid w:val="00817909"/>
    <w:rsid w:val="00821B5D"/>
    <w:rsid w:val="00822C97"/>
    <w:rsid w:val="008237D6"/>
    <w:rsid w:val="00824FC0"/>
    <w:rsid w:val="0082622E"/>
    <w:rsid w:val="00831491"/>
    <w:rsid w:val="00833D9C"/>
    <w:rsid w:val="00836133"/>
    <w:rsid w:val="0084051D"/>
    <w:rsid w:val="00843395"/>
    <w:rsid w:val="008438F3"/>
    <w:rsid w:val="00845093"/>
    <w:rsid w:val="00845276"/>
    <w:rsid w:val="008461E0"/>
    <w:rsid w:val="00847557"/>
    <w:rsid w:val="0085062D"/>
    <w:rsid w:val="00850C3B"/>
    <w:rsid w:val="00852F5F"/>
    <w:rsid w:val="0085340C"/>
    <w:rsid w:val="0085381E"/>
    <w:rsid w:val="008558C6"/>
    <w:rsid w:val="008558E9"/>
    <w:rsid w:val="0085677E"/>
    <w:rsid w:val="00857B7E"/>
    <w:rsid w:val="00860005"/>
    <w:rsid w:val="008601DE"/>
    <w:rsid w:val="008605CA"/>
    <w:rsid w:val="00860A33"/>
    <w:rsid w:val="00862853"/>
    <w:rsid w:val="00863995"/>
    <w:rsid w:val="00863AB9"/>
    <w:rsid w:val="00866C11"/>
    <w:rsid w:val="00867C86"/>
    <w:rsid w:val="00867F74"/>
    <w:rsid w:val="00870DF5"/>
    <w:rsid w:val="008736EC"/>
    <w:rsid w:val="00874683"/>
    <w:rsid w:val="00876613"/>
    <w:rsid w:val="00877A5D"/>
    <w:rsid w:val="008807D4"/>
    <w:rsid w:val="00880E1C"/>
    <w:rsid w:val="00881639"/>
    <w:rsid w:val="00881A70"/>
    <w:rsid w:val="00884C87"/>
    <w:rsid w:val="008855B7"/>
    <w:rsid w:val="00887847"/>
    <w:rsid w:val="00890096"/>
    <w:rsid w:val="00890D6B"/>
    <w:rsid w:val="00890DB9"/>
    <w:rsid w:val="00890ECA"/>
    <w:rsid w:val="008921EA"/>
    <w:rsid w:val="0089233B"/>
    <w:rsid w:val="00893D94"/>
    <w:rsid w:val="00894B4F"/>
    <w:rsid w:val="00895B75"/>
    <w:rsid w:val="00897CA7"/>
    <w:rsid w:val="00897DEE"/>
    <w:rsid w:val="008A05F7"/>
    <w:rsid w:val="008A1F12"/>
    <w:rsid w:val="008A4E60"/>
    <w:rsid w:val="008A5307"/>
    <w:rsid w:val="008A6464"/>
    <w:rsid w:val="008A651E"/>
    <w:rsid w:val="008A6A02"/>
    <w:rsid w:val="008A6F14"/>
    <w:rsid w:val="008B0478"/>
    <w:rsid w:val="008B13C4"/>
    <w:rsid w:val="008B41D1"/>
    <w:rsid w:val="008B41F3"/>
    <w:rsid w:val="008B43BD"/>
    <w:rsid w:val="008B4F80"/>
    <w:rsid w:val="008B4FD7"/>
    <w:rsid w:val="008B63E3"/>
    <w:rsid w:val="008B6AFB"/>
    <w:rsid w:val="008B76A4"/>
    <w:rsid w:val="008B7BC3"/>
    <w:rsid w:val="008C10FF"/>
    <w:rsid w:val="008D0857"/>
    <w:rsid w:val="008D13C0"/>
    <w:rsid w:val="008D2970"/>
    <w:rsid w:val="008D4259"/>
    <w:rsid w:val="008D609E"/>
    <w:rsid w:val="008D6844"/>
    <w:rsid w:val="008E0FD2"/>
    <w:rsid w:val="008E36BE"/>
    <w:rsid w:val="008F009A"/>
    <w:rsid w:val="008F493D"/>
    <w:rsid w:val="008F6011"/>
    <w:rsid w:val="008F664D"/>
    <w:rsid w:val="008F790B"/>
    <w:rsid w:val="00901F20"/>
    <w:rsid w:val="00902CB7"/>
    <w:rsid w:val="0090344E"/>
    <w:rsid w:val="009045D0"/>
    <w:rsid w:val="00911D08"/>
    <w:rsid w:val="009135F8"/>
    <w:rsid w:val="0091390E"/>
    <w:rsid w:val="009154E3"/>
    <w:rsid w:val="00916227"/>
    <w:rsid w:val="009163E4"/>
    <w:rsid w:val="00917808"/>
    <w:rsid w:val="00920403"/>
    <w:rsid w:val="00920EEB"/>
    <w:rsid w:val="00921D87"/>
    <w:rsid w:val="009226DE"/>
    <w:rsid w:val="009258A2"/>
    <w:rsid w:val="00927053"/>
    <w:rsid w:val="00927D67"/>
    <w:rsid w:val="009306F6"/>
    <w:rsid w:val="009309A7"/>
    <w:rsid w:val="00930F55"/>
    <w:rsid w:val="00930FBB"/>
    <w:rsid w:val="00932072"/>
    <w:rsid w:val="00932414"/>
    <w:rsid w:val="00932538"/>
    <w:rsid w:val="00934342"/>
    <w:rsid w:val="009352B5"/>
    <w:rsid w:val="00935D8E"/>
    <w:rsid w:val="0093611F"/>
    <w:rsid w:val="00936DAB"/>
    <w:rsid w:val="00937C3B"/>
    <w:rsid w:val="00943D36"/>
    <w:rsid w:val="009444AA"/>
    <w:rsid w:val="009452F3"/>
    <w:rsid w:val="00945898"/>
    <w:rsid w:val="0094721E"/>
    <w:rsid w:val="0095073E"/>
    <w:rsid w:val="00950B2F"/>
    <w:rsid w:val="009530DC"/>
    <w:rsid w:val="00953A78"/>
    <w:rsid w:val="0095447B"/>
    <w:rsid w:val="00954569"/>
    <w:rsid w:val="00954FB7"/>
    <w:rsid w:val="009555CD"/>
    <w:rsid w:val="00955C4F"/>
    <w:rsid w:val="00956E99"/>
    <w:rsid w:val="00960000"/>
    <w:rsid w:val="00961950"/>
    <w:rsid w:val="0096278C"/>
    <w:rsid w:val="0096312B"/>
    <w:rsid w:val="00964454"/>
    <w:rsid w:val="009654F3"/>
    <w:rsid w:val="00965CA6"/>
    <w:rsid w:val="0096643F"/>
    <w:rsid w:val="00966BC7"/>
    <w:rsid w:val="00970167"/>
    <w:rsid w:val="009730F2"/>
    <w:rsid w:val="009737B6"/>
    <w:rsid w:val="009754A5"/>
    <w:rsid w:val="0097570E"/>
    <w:rsid w:val="00976088"/>
    <w:rsid w:val="009817DC"/>
    <w:rsid w:val="00981A46"/>
    <w:rsid w:val="0098210B"/>
    <w:rsid w:val="00985575"/>
    <w:rsid w:val="00987D5D"/>
    <w:rsid w:val="00993BF2"/>
    <w:rsid w:val="00996E9A"/>
    <w:rsid w:val="00997447"/>
    <w:rsid w:val="009A01AA"/>
    <w:rsid w:val="009A318B"/>
    <w:rsid w:val="009A5931"/>
    <w:rsid w:val="009A5B22"/>
    <w:rsid w:val="009A7036"/>
    <w:rsid w:val="009A71DA"/>
    <w:rsid w:val="009A7B02"/>
    <w:rsid w:val="009A7C74"/>
    <w:rsid w:val="009B0326"/>
    <w:rsid w:val="009B28E9"/>
    <w:rsid w:val="009B38D0"/>
    <w:rsid w:val="009B6B3E"/>
    <w:rsid w:val="009B7B0E"/>
    <w:rsid w:val="009C3CAB"/>
    <w:rsid w:val="009C6C05"/>
    <w:rsid w:val="009C6D94"/>
    <w:rsid w:val="009C711D"/>
    <w:rsid w:val="009C7326"/>
    <w:rsid w:val="009D0DE6"/>
    <w:rsid w:val="009D1D80"/>
    <w:rsid w:val="009D238E"/>
    <w:rsid w:val="009D2F6F"/>
    <w:rsid w:val="009D38CF"/>
    <w:rsid w:val="009D3ABA"/>
    <w:rsid w:val="009D5024"/>
    <w:rsid w:val="009D63BA"/>
    <w:rsid w:val="009E0BB7"/>
    <w:rsid w:val="009E2503"/>
    <w:rsid w:val="009E322C"/>
    <w:rsid w:val="009E3EE2"/>
    <w:rsid w:val="009F22AE"/>
    <w:rsid w:val="009F26B1"/>
    <w:rsid w:val="009F3723"/>
    <w:rsid w:val="009F4AA5"/>
    <w:rsid w:val="009F7891"/>
    <w:rsid w:val="009F7D5C"/>
    <w:rsid w:val="00A01569"/>
    <w:rsid w:val="00A016BA"/>
    <w:rsid w:val="00A02CFC"/>
    <w:rsid w:val="00A02EB3"/>
    <w:rsid w:val="00A05579"/>
    <w:rsid w:val="00A06CE6"/>
    <w:rsid w:val="00A073C8"/>
    <w:rsid w:val="00A077C3"/>
    <w:rsid w:val="00A11180"/>
    <w:rsid w:val="00A125A7"/>
    <w:rsid w:val="00A12BE2"/>
    <w:rsid w:val="00A12DF6"/>
    <w:rsid w:val="00A175EC"/>
    <w:rsid w:val="00A20F74"/>
    <w:rsid w:val="00A20F78"/>
    <w:rsid w:val="00A23442"/>
    <w:rsid w:val="00A23965"/>
    <w:rsid w:val="00A24B2B"/>
    <w:rsid w:val="00A261D0"/>
    <w:rsid w:val="00A2795D"/>
    <w:rsid w:val="00A30322"/>
    <w:rsid w:val="00A30619"/>
    <w:rsid w:val="00A3098C"/>
    <w:rsid w:val="00A31549"/>
    <w:rsid w:val="00A329DA"/>
    <w:rsid w:val="00A336D2"/>
    <w:rsid w:val="00A34028"/>
    <w:rsid w:val="00A34FD8"/>
    <w:rsid w:val="00A363BC"/>
    <w:rsid w:val="00A36DB7"/>
    <w:rsid w:val="00A400B3"/>
    <w:rsid w:val="00A41766"/>
    <w:rsid w:val="00A43762"/>
    <w:rsid w:val="00A44E9C"/>
    <w:rsid w:val="00A45AC8"/>
    <w:rsid w:val="00A45DAB"/>
    <w:rsid w:val="00A463E2"/>
    <w:rsid w:val="00A4709E"/>
    <w:rsid w:val="00A518C4"/>
    <w:rsid w:val="00A536F9"/>
    <w:rsid w:val="00A548E0"/>
    <w:rsid w:val="00A54E98"/>
    <w:rsid w:val="00A559A1"/>
    <w:rsid w:val="00A55CB7"/>
    <w:rsid w:val="00A56809"/>
    <w:rsid w:val="00A57981"/>
    <w:rsid w:val="00A61576"/>
    <w:rsid w:val="00A6316B"/>
    <w:rsid w:val="00A63A39"/>
    <w:rsid w:val="00A643D3"/>
    <w:rsid w:val="00A64542"/>
    <w:rsid w:val="00A64B7C"/>
    <w:rsid w:val="00A67C78"/>
    <w:rsid w:val="00A73CCD"/>
    <w:rsid w:val="00A75ABE"/>
    <w:rsid w:val="00A76473"/>
    <w:rsid w:val="00A8767C"/>
    <w:rsid w:val="00A90496"/>
    <w:rsid w:val="00A92430"/>
    <w:rsid w:val="00A926E7"/>
    <w:rsid w:val="00A941CB"/>
    <w:rsid w:val="00A953F8"/>
    <w:rsid w:val="00A9785C"/>
    <w:rsid w:val="00AA0CC1"/>
    <w:rsid w:val="00AA1170"/>
    <w:rsid w:val="00AA16C5"/>
    <w:rsid w:val="00AA389A"/>
    <w:rsid w:val="00AA40DA"/>
    <w:rsid w:val="00AA47D1"/>
    <w:rsid w:val="00AA4F8D"/>
    <w:rsid w:val="00AA6F3C"/>
    <w:rsid w:val="00AA79B3"/>
    <w:rsid w:val="00AB0871"/>
    <w:rsid w:val="00AB1980"/>
    <w:rsid w:val="00AB268B"/>
    <w:rsid w:val="00AB2890"/>
    <w:rsid w:val="00AB307E"/>
    <w:rsid w:val="00AB3D6E"/>
    <w:rsid w:val="00AB42F0"/>
    <w:rsid w:val="00AB52BB"/>
    <w:rsid w:val="00AB54F3"/>
    <w:rsid w:val="00AB616F"/>
    <w:rsid w:val="00AB7A63"/>
    <w:rsid w:val="00AC14FE"/>
    <w:rsid w:val="00AC2207"/>
    <w:rsid w:val="00AC2754"/>
    <w:rsid w:val="00AC28E3"/>
    <w:rsid w:val="00AC5DB3"/>
    <w:rsid w:val="00AC7A7B"/>
    <w:rsid w:val="00AC7EAC"/>
    <w:rsid w:val="00AD1F0E"/>
    <w:rsid w:val="00AD6A41"/>
    <w:rsid w:val="00AD75F6"/>
    <w:rsid w:val="00AE11AE"/>
    <w:rsid w:val="00AE30D5"/>
    <w:rsid w:val="00AE4E52"/>
    <w:rsid w:val="00AE6406"/>
    <w:rsid w:val="00AE6FD3"/>
    <w:rsid w:val="00AF0B38"/>
    <w:rsid w:val="00AF13CE"/>
    <w:rsid w:val="00AF231B"/>
    <w:rsid w:val="00AF2440"/>
    <w:rsid w:val="00AF361A"/>
    <w:rsid w:val="00AF4921"/>
    <w:rsid w:val="00AF49BD"/>
    <w:rsid w:val="00AF6752"/>
    <w:rsid w:val="00B03218"/>
    <w:rsid w:val="00B03B39"/>
    <w:rsid w:val="00B05E87"/>
    <w:rsid w:val="00B06070"/>
    <w:rsid w:val="00B06954"/>
    <w:rsid w:val="00B075AC"/>
    <w:rsid w:val="00B118ED"/>
    <w:rsid w:val="00B11E74"/>
    <w:rsid w:val="00B13D66"/>
    <w:rsid w:val="00B14439"/>
    <w:rsid w:val="00B1550E"/>
    <w:rsid w:val="00B1556C"/>
    <w:rsid w:val="00B21491"/>
    <w:rsid w:val="00B215E9"/>
    <w:rsid w:val="00B245BE"/>
    <w:rsid w:val="00B274B1"/>
    <w:rsid w:val="00B2793B"/>
    <w:rsid w:val="00B30E61"/>
    <w:rsid w:val="00B3190E"/>
    <w:rsid w:val="00B334D9"/>
    <w:rsid w:val="00B341A2"/>
    <w:rsid w:val="00B35596"/>
    <w:rsid w:val="00B3570F"/>
    <w:rsid w:val="00B360C8"/>
    <w:rsid w:val="00B36856"/>
    <w:rsid w:val="00B37DD1"/>
    <w:rsid w:val="00B40212"/>
    <w:rsid w:val="00B41702"/>
    <w:rsid w:val="00B42708"/>
    <w:rsid w:val="00B4282D"/>
    <w:rsid w:val="00B43455"/>
    <w:rsid w:val="00B46247"/>
    <w:rsid w:val="00B4721F"/>
    <w:rsid w:val="00B51294"/>
    <w:rsid w:val="00B51B94"/>
    <w:rsid w:val="00B528E7"/>
    <w:rsid w:val="00B52909"/>
    <w:rsid w:val="00B52CFE"/>
    <w:rsid w:val="00B5377C"/>
    <w:rsid w:val="00B54C86"/>
    <w:rsid w:val="00B55C97"/>
    <w:rsid w:val="00B56588"/>
    <w:rsid w:val="00B60715"/>
    <w:rsid w:val="00B6219C"/>
    <w:rsid w:val="00B62355"/>
    <w:rsid w:val="00B62F16"/>
    <w:rsid w:val="00B63049"/>
    <w:rsid w:val="00B64048"/>
    <w:rsid w:val="00B67B05"/>
    <w:rsid w:val="00B71DE9"/>
    <w:rsid w:val="00B72616"/>
    <w:rsid w:val="00B728E4"/>
    <w:rsid w:val="00B72E7E"/>
    <w:rsid w:val="00B7412F"/>
    <w:rsid w:val="00B7591E"/>
    <w:rsid w:val="00B81F4A"/>
    <w:rsid w:val="00B839AD"/>
    <w:rsid w:val="00B85C0F"/>
    <w:rsid w:val="00B86526"/>
    <w:rsid w:val="00B86A49"/>
    <w:rsid w:val="00B9365E"/>
    <w:rsid w:val="00B93FD1"/>
    <w:rsid w:val="00B9409E"/>
    <w:rsid w:val="00B9583E"/>
    <w:rsid w:val="00B958ED"/>
    <w:rsid w:val="00B96396"/>
    <w:rsid w:val="00B977BC"/>
    <w:rsid w:val="00BA04EC"/>
    <w:rsid w:val="00BA08AE"/>
    <w:rsid w:val="00BA2A85"/>
    <w:rsid w:val="00BA2CD7"/>
    <w:rsid w:val="00BA5260"/>
    <w:rsid w:val="00BA5CAC"/>
    <w:rsid w:val="00BA5F22"/>
    <w:rsid w:val="00BB183F"/>
    <w:rsid w:val="00BB205A"/>
    <w:rsid w:val="00BB2472"/>
    <w:rsid w:val="00BB5E71"/>
    <w:rsid w:val="00BB6732"/>
    <w:rsid w:val="00BC03BF"/>
    <w:rsid w:val="00BC147E"/>
    <w:rsid w:val="00BC3F2E"/>
    <w:rsid w:val="00BC42C0"/>
    <w:rsid w:val="00BC49E3"/>
    <w:rsid w:val="00BC603C"/>
    <w:rsid w:val="00BC7774"/>
    <w:rsid w:val="00BC7BFC"/>
    <w:rsid w:val="00BD3CE6"/>
    <w:rsid w:val="00BD4A86"/>
    <w:rsid w:val="00BD4E54"/>
    <w:rsid w:val="00BD53AB"/>
    <w:rsid w:val="00BE0AEA"/>
    <w:rsid w:val="00BE131C"/>
    <w:rsid w:val="00BE1AC9"/>
    <w:rsid w:val="00BE39D3"/>
    <w:rsid w:val="00BE3F36"/>
    <w:rsid w:val="00BE4A4C"/>
    <w:rsid w:val="00BE563F"/>
    <w:rsid w:val="00BE6197"/>
    <w:rsid w:val="00BF184F"/>
    <w:rsid w:val="00BF3DB1"/>
    <w:rsid w:val="00BF5F9F"/>
    <w:rsid w:val="00BF5FB9"/>
    <w:rsid w:val="00BF7BC8"/>
    <w:rsid w:val="00C00367"/>
    <w:rsid w:val="00C008F7"/>
    <w:rsid w:val="00C013CC"/>
    <w:rsid w:val="00C01F6A"/>
    <w:rsid w:val="00C02C60"/>
    <w:rsid w:val="00C02EBA"/>
    <w:rsid w:val="00C03CD7"/>
    <w:rsid w:val="00C06403"/>
    <w:rsid w:val="00C1013D"/>
    <w:rsid w:val="00C10440"/>
    <w:rsid w:val="00C11813"/>
    <w:rsid w:val="00C11D1F"/>
    <w:rsid w:val="00C13EE1"/>
    <w:rsid w:val="00C14716"/>
    <w:rsid w:val="00C14AAC"/>
    <w:rsid w:val="00C17B2A"/>
    <w:rsid w:val="00C2082F"/>
    <w:rsid w:val="00C219CB"/>
    <w:rsid w:val="00C23477"/>
    <w:rsid w:val="00C23B27"/>
    <w:rsid w:val="00C32802"/>
    <w:rsid w:val="00C329EA"/>
    <w:rsid w:val="00C34216"/>
    <w:rsid w:val="00C352E0"/>
    <w:rsid w:val="00C3597B"/>
    <w:rsid w:val="00C42AB1"/>
    <w:rsid w:val="00C43EA9"/>
    <w:rsid w:val="00C4448B"/>
    <w:rsid w:val="00C4623D"/>
    <w:rsid w:val="00C47AD4"/>
    <w:rsid w:val="00C50715"/>
    <w:rsid w:val="00C541C0"/>
    <w:rsid w:val="00C55C64"/>
    <w:rsid w:val="00C571B0"/>
    <w:rsid w:val="00C577A1"/>
    <w:rsid w:val="00C61965"/>
    <w:rsid w:val="00C627B9"/>
    <w:rsid w:val="00C63374"/>
    <w:rsid w:val="00C64FC0"/>
    <w:rsid w:val="00C65888"/>
    <w:rsid w:val="00C65D61"/>
    <w:rsid w:val="00C65D8C"/>
    <w:rsid w:val="00C711DF"/>
    <w:rsid w:val="00C74752"/>
    <w:rsid w:val="00C75CD8"/>
    <w:rsid w:val="00C76C41"/>
    <w:rsid w:val="00C8118C"/>
    <w:rsid w:val="00C8248F"/>
    <w:rsid w:val="00C8348F"/>
    <w:rsid w:val="00C85039"/>
    <w:rsid w:val="00C93F23"/>
    <w:rsid w:val="00C9433D"/>
    <w:rsid w:val="00C97A72"/>
    <w:rsid w:val="00CA11E2"/>
    <w:rsid w:val="00CA2779"/>
    <w:rsid w:val="00CA63EF"/>
    <w:rsid w:val="00CB29F6"/>
    <w:rsid w:val="00CB5A11"/>
    <w:rsid w:val="00CB60B1"/>
    <w:rsid w:val="00CB7C35"/>
    <w:rsid w:val="00CC306C"/>
    <w:rsid w:val="00CC346C"/>
    <w:rsid w:val="00CC5946"/>
    <w:rsid w:val="00CC5CA6"/>
    <w:rsid w:val="00CD01DF"/>
    <w:rsid w:val="00CD0B41"/>
    <w:rsid w:val="00CD6D73"/>
    <w:rsid w:val="00CD737A"/>
    <w:rsid w:val="00CD75F2"/>
    <w:rsid w:val="00CD7630"/>
    <w:rsid w:val="00CD7747"/>
    <w:rsid w:val="00CE0107"/>
    <w:rsid w:val="00CE038F"/>
    <w:rsid w:val="00CE0510"/>
    <w:rsid w:val="00CE07CF"/>
    <w:rsid w:val="00CE38DB"/>
    <w:rsid w:val="00CE3AA1"/>
    <w:rsid w:val="00CE4ED6"/>
    <w:rsid w:val="00CE5867"/>
    <w:rsid w:val="00CF12DD"/>
    <w:rsid w:val="00CF1D03"/>
    <w:rsid w:val="00CF5372"/>
    <w:rsid w:val="00CF5F86"/>
    <w:rsid w:val="00CF6BDC"/>
    <w:rsid w:val="00CF6DDB"/>
    <w:rsid w:val="00CF75AE"/>
    <w:rsid w:val="00CF7A29"/>
    <w:rsid w:val="00D001D0"/>
    <w:rsid w:val="00D01282"/>
    <w:rsid w:val="00D01BB1"/>
    <w:rsid w:val="00D110C6"/>
    <w:rsid w:val="00D11946"/>
    <w:rsid w:val="00D1295D"/>
    <w:rsid w:val="00D12CDD"/>
    <w:rsid w:val="00D138A3"/>
    <w:rsid w:val="00D171BF"/>
    <w:rsid w:val="00D17F0D"/>
    <w:rsid w:val="00D20DDB"/>
    <w:rsid w:val="00D21154"/>
    <w:rsid w:val="00D211EA"/>
    <w:rsid w:val="00D21C52"/>
    <w:rsid w:val="00D2421C"/>
    <w:rsid w:val="00D25878"/>
    <w:rsid w:val="00D27A7A"/>
    <w:rsid w:val="00D3097B"/>
    <w:rsid w:val="00D32F27"/>
    <w:rsid w:val="00D35278"/>
    <w:rsid w:val="00D35672"/>
    <w:rsid w:val="00D35895"/>
    <w:rsid w:val="00D35E2F"/>
    <w:rsid w:val="00D36376"/>
    <w:rsid w:val="00D372C1"/>
    <w:rsid w:val="00D3790B"/>
    <w:rsid w:val="00D419C9"/>
    <w:rsid w:val="00D4557D"/>
    <w:rsid w:val="00D45A85"/>
    <w:rsid w:val="00D467F7"/>
    <w:rsid w:val="00D470B2"/>
    <w:rsid w:val="00D4769E"/>
    <w:rsid w:val="00D507AD"/>
    <w:rsid w:val="00D50F9C"/>
    <w:rsid w:val="00D5160C"/>
    <w:rsid w:val="00D51D31"/>
    <w:rsid w:val="00D5309E"/>
    <w:rsid w:val="00D55EEE"/>
    <w:rsid w:val="00D56413"/>
    <w:rsid w:val="00D602EC"/>
    <w:rsid w:val="00D61685"/>
    <w:rsid w:val="00D67B11"/>
    <w:rsid w:val="00D71A93"/>
    <w:rsid w:val="00D71B67"/>
    <w:rsid w:val="00D72AFD"/>
    <w:rsid w:val="00D72D35"/>
    <w:rsid w:val="00D72D49"/>
    <w:rsid w:val="00D73287"/>
    <w:rsid w:val="00D73CBB"/>
    <w:rsid w:val="00D73DAF"/>
    <w:rsid w:val="00D744C4"/>
    <w:rsid w:val="00D748C7"/>
    <w:rsid w:val="00D769BC"/>
    <w:rsid w:val="00D77C41"/>
    <w:rsid w:val="00D82485"/>
    <w:rsid w:val="00D824F9"/>
    <w:rsid w:val="00D85CC8"/>
    <w:rsid w:val="00D86AC2"/>
    <w:rsid w:val="00D87E9E"/>
    <w:rsid w:val="00D87F76"/>
    <w:rsid w:val="00D91EFD"/>
    <w:rsid w:val="00D92C50"/>
    <w:rsid w:val="00DA028F"/>
    <w:rsid w:val="00DA09F0"/>
    <w:rsid w:val="00DA0F34"/>
    <w:rsid w:val="00DA1917"/>
    <w:rsid w:val="00DA1A45"/>
    <w:rsid w:val="00DA21C4"/>
    <w:rsid w:val="00DA29AB"/>
    <w:rsid w:val="00DA3BC0"/>
    <w:rsid w:val="00DA5CA9"/>
    <w:rsid w:val="00DB00EF"/>
    <w:rsid w:val="00DB20C4"/>
    <w:rsid w:val="00DB3387"/>
    <w:rsid w:val="00DB4824"/>
    <w:rsid w:val="00DB6632"/>
    <w:rsid w:val="00DB74B2"/>
    <w:rsid w:val="00DB7630"/>
    <w:rsid w:val="00DC06B7"/>
    <w:rsid w:val="00DC0C23"/>
    <w:rsid w:val="00DC1E69"/>
    <w:rsid w:val="00DC5C71"/>
    <w:rsid w:val="00DC6514"/>
    <w:rsid w:val="00DC7031"/>
    <w:rsid w:val="00DD034A"/>
    <w:rsid w:val="00DD2D51"/>
    <w:rsid w:val="00DD3085"/>
    <w:rsid w:val="00DD3120"/>
    <w:rsid w:val="00DD34C7"/>
    <w:rsid w:val="00DD55DE"/>
    <w:rsid w:val="00DD59B5"/>
    <w:rsid w:val="00DD638B"/>
    <w:rsid w:val="00DE258F"/>
    <w:rsid w:val="00DE7155"/>
    <w:rsid w:val="00DE7929"/>
    <w:rsid w:val="00DF08AB"/>
    <w:rsid w:val="00DF0A70"/>
    <w:rsid w:val="00DF183C"/>
    <w:rsid w:val="00DF1EA2"/>
    <w:rsid w:val="00DF1EE4"/>
    <w:rsid w:val="00DF25E5"/>
    <w:rsid w:val="00DF334B"/>
    <w:rsid w:val="00DF3663"/>
    <w:rsid w:val="00DF6FB3"/>
    <w:rsid w:val="00DF7631"/>
    <w:rsid w:val="00DF7C93"/>
    <w:rsid w:val="00E00915"/>
    <w:rsid w:val="00E00D2C"/>
    <w:rsid w:val="00E01B79"/>
    <w:rsid w:val="00E03738"/>
    <w:rsid w:val="00E03FE0"/>
    <w:rsid w:val="00E04206"/>
    <w:rsid w:val="00E04BEB"/>
    <w:rsid w:val="00E063E4"/>
    <w:rsid w:val="00E0769B"/>
    <w:rsid w:val="00E12251"/>
    <w:rsid w:val="00E12355"/>
    <w:rsid w:val="00E134C1"/>
    <w:rsid w:val="00E13816"/>
    <w:rsid w:val="00E13E82"/>
    <w:rsid w:val="00E13FCD"/>
    <w:rsid w:val="00E16EBB"/>
    <w:rsid w:val="00E175DD"/>
    <w:rsid w:val="00E236EF"/>
    <w:rsid w:val="00E249F9"/>
    <w:rsid w:val="00E31875"/>
    <w:rsid w:val="00E31EF4"/>
    <w:rsid w:val="00E322D3"/>
    <w:rsid w:val="00E334EA"/>
    <w:rsid w:val="00E3389D"/>
    <w:rsid w:val="00E33E77"/>
    <w:rsid w:val="00E34A4D"/>
    <w:rsid w:val="00E34AF2"/>
    <w:rsid w:val="00E35DA5"/>
    <w:rsid w:val="00E41051"/>
    <w:rsid w:val="00E44647"/>
    <w:rsid w:val="00E4554B"/>
    <w:rsid w:val="00E458AD"/>
    <w:rsid w:val="00E45ABE"/>
    <w:rsid w:val="00E46E53"/>
    <w:rsid w:val="00E46ED4"/>
    <w:rsid w:val="00E46EEF"/>
    <w:rsid w:val="00E47387"/>
    <w:rsid w:val="00E5135E"/>
    <w:rsid w:val="00E55029"/>
    <w:rsid w:val="00E55B53"/>
    <w:rsid w:val="00E56872"/>
    <w:rsid w:val="00E569E1"/>
    <w:rsid w:val="00E57465"/>
    <w:rsid w:val="00E60227"/>
    <w:rsid w:val="00E606C0"/>
    <w:rsid w:val="00E60BAA"/>
    <w:rsid w:val="00E60E04"/>
    <w:rsid w:val="00E60FB3"/>
    <w:rsid w:val="00E62E14"/>
    <w:rsid w:val="00E637FF"/>
    <w:rsid w:val="00E64B03"/>
    <w:rsid w:val="00E64BDD"/>
    <w:rsid w:val="00E650BD"/>
    <w:rsid w:val="00E65214"/>
    <w:rsid w:val="00E6564F"/>
    <w:rsid w:val="00E66E6C"/>
    <w:rsid w:val="00E72E27"/>
    <w:rsid w:val="00E73D2D"/>
    <w:rsid w:val="00E8018C"/>
    <w:rsid w:val="00E807D1"/>
    <w:rsid w:val="00E86297"/>
    <w:rsid w:val="00E87B69"/>
    <w:rsid w:val="00E915F3"/>
    <w:rsid w:val="00E922AF"/>
    <w:rsid w:val="00E95893"/>
    <w:rsid w:val="00E963D0"/>
    <w:rsid w:val="00E97539"/>
    <w:rsid w:val="00E97F48"/>
    <w:rsid w:val="00EA1C55"/>
    <w:rsid w:val="00EA2683"/>
    <w:rsid w:val="00EA3213"/>
    <w:rsid w:val="00EA639F"/>
    <w:rsid w:val="00EA64DA"/>
    <w:rsid w:val="00EB18BD"/>
    <w:rsid w:val="00EB219D"/>
    <w:rsid w:val="00EB29D5"/>
    <w:rsid w:val="00EB596F"/>
    <w:rsid w:val="00EB617F"/>
    <w:rsid w:val="00EB73AB"/>
    <w:rsid w:val="00EC25BF"/>
    <w:rsid w:val="00EC3272"/>
    <w:rsid w:val="00EC3A39"/>
    <w:rsid w:val="00EC40E9"/>
    <w:rsid w:val="00EC446F"/>
    <w:rsid w:val="00EC5421"/>
    <w:rsid w:val="00EC5C79"/>
    <w:rsid w:val="00EC5CE1"/>
    <w:rsid w:val="00EC5D02"/>
    <w:rsid w:val="00EC70EA"/>
    <w:rsid w:val="00ED035E"/>
    <w:rsid w:val="00ED0BB3"/>
    <w:rsid w:val="00ED0EE1"/>
    <w:rsid w:val="00ED1214"/>
    <w:rsid w:val="00ED18BF"/>
    <w:rsid w:val="00ED3623"/>
    <w:rsid w:val="00ED5044"/>
    <w:rsid w:val="00ED65BC"/>
    <w:rsid w:val="00ED7E03"/>
    <w:rsid w:val="00ED7F24"/>
    <w:rsid w:val="00EE0D8B"/>
    <w:rsid w:val="00EE100B"/>
    <w:rsid w:val="00EE363F"/>
    <w:rsid w:val="00EE3E11"/>
    <w:rsid w:val="00EE41B9"/>
    <w:rsid w:val="00EE7974"/>
    <w:rsid w:val="00EE7EB7"/>
    <w:rsid w:val="00EF6AA6"/>
    <w:rsid w:val="00F00127"/>
    <w:rsid w:val="00F0329D"/>
    <w:rsid w:val="00F046DB"/>
    <w:rsid w:val="00F05272"/>
    <w:rsid w:val="00F06132"/>
    <w:rsid w:val="00F065E8"/>
    <w:rsid w:val="00F0707E"/>
    <w:rsid w:val="00F10799"/>
    <w:rsid w:val="00F12ABD"/>
    <w:rsid w:val="00F17D93"/>
    <w:rsid w:val="00F22DE8"/>
    <w:rsid w:val="00F23DA7"/>
    <w:rsid w:val="00F246DF"/>
    <w:rsid w:val="00F26116"/>
    <w:rsid w:val="00F2662F"/>
    <w:rsid w:val="00F26B00"/>
    <w:rsid w:val="00F278E1"/>
    <w:rsid w:val="00F30AC8"/>
    <w:rsid w:val="00F3137E"/>
    <w:rsid w:val="00F3272C"/>
    <w:rsid w:val="00F333E2"/>
    <w:rsid w:val="00F3392A"/>
    <w:rsid w:val="00F33D07"/>
    <w:rsid w:val="00F3410B"/>
    <w:rsid w:val="00F36996"/>
    <w:rsid w:val="00F40A2F"/>
    <w:rsid w:val="00F40AEF"/>
    <w:rsid w:val="00F41C5D"/>
    <w:rsid w:val="00F47833"/>
    <w:rsid w:val="00F47BC3"/>
    <w:rsid w:val="00F526F4"/>
    <w:rsid w:val="00F534E6"/>
    <w:rsid w:val="00F53D10"/>
    <w:rsid w:val="00F541CA"/>
    <w:rsid w:val="00F60488"/>
    <w:rsid w:val="00F60522"/>
    <w:rsid w:val="00F61477"/>
    <w:rsid w:val="00F621FD"/>
    <w:rsid w:val="00F636A7"/>
    <w:rsid w:val="00F6761D"/>
    <w:rsid w:val="00F70E0E"/>
    <w:rsid w:val="00F70F2F"/>
    <w:rsid w:val="00F71688"/>
    <w:rsid w:val="00F72381"/>
    <w:rsid w:val="00F72536"/>
    <w:rsid w:val="00F801EA"/>
    <w:rsid w:val="00F82A86"/>
    <w:rsid w:val="00F8358D"/>
    <w:rsid w:val="00F83D89"/>
    <w:rsid w:val="00F845C3"/>
    <w:rsid w:val="00F8495F"/>
    <w:rsid w:val="00F8660B"/>
    <w:rsid w:val="00F8699E"/>
    <w:rsid w:val="00F87992"/>
    <w:rsid w:val="00F9046A"/>
    <w:rsid w:val="00F91A16"/>
    <w:rsid w:val="00F91DDB"/>
    <w:rsid w:val="00F93952"/>
    <w:rsid w:val="00F93D22"/>
    <w:rsid w:val="00F961E0"/>
    <w:rsid w:val="00F97610"/>
    <w:rsid w:val="00FA12BB"/>
    <w:rsid w:val="00FA19D7"/>
    <w:rsid w:val="00FA2847"/>
    <w:rsid w:val="00FA3B7B"/>
    <w:rsid w:val="00FA3FAA"/>
    <w:rsid w:val="00FA5719"/>
    <w:rsid w:val="00FB1157"/>
    <w:rsid w:val="00FB2392"/>
    <w:rsid w:val="00FB24DE"/>
    <w:rsid w:val="00FB2E52"/>
    <w:rsid w:val="00FB3966"/>
    <w:rsid w:val="00FB3F34"/>
    <w:rsid w:val="00FB5D10"/>
    <w:rsid w:val="00FB5D96"/>
    <w:rsid w:val="00FB61E1"/>
    <w:rsid w:val="00FC3006"/>
    <w:rsid w:val="00FC3135"/>
    <w:rsid w:val="00FC3F0B"/>
    <w:rsid w:val="00FC54D2"/>
    <w:rsid w:val="00FC6315"/>
    <w:rsid w:val="00FD004F"/>
    <w:rsid w:val="00FD0463"/>
    <w:rsid w:val="00FD0F74"/>
    <w:rsid w:val="00FD1067"/>
    <w:rsid w:val="00FD258B"/>
    <w:rsid w:val="00FD2B26"/>
    <w:rsid w:val="00FD322B"/>
    <w:rsid w:val="00FD3514"/>
    <w:rsid w:val="00FD717F"/>
    <w:rsid w:val="00FE0587"/>
    <w:rsid w:val="00FE1D4D"/>
    <w:rsid w:val="00FE49BE"/>
    <w:rsid w:val="00FE5144"/>
    <w:rsid w:val="00FE67A2"/>
    <w:rsid w:val="00FE6B72"/>
    <w:rsid w:val="00FE7D78"/>
    <w:rsid w:val="00FF05AB"/>
    <w:rsid w:val="00FF229B"/>
    <w:rsid w:val="00FF25FA"/>
    <w:rsid w:val="00FF2EDC"/>
    <w:rsid w:val="00FF5AE1"/>
    <w:rsid w:val="00FF6793"/>
    <w:rsid w:val="00FF72D1"/>
    <w:rsid w:val="00FF7A6E"/>
    <w:rsid w:val="00FF7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F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D9"/>
    <w:pPr>
      <w:widowControl w:val="0"/>
    </w:pPr>
    <w:rPr>
      <w:snapToGrid w:val="0"/>
      <w:kern w:val="28"/>
      <w:sz w:val="22"/>
    </w:rPr>
  </w:style>
  <w:style w:type="paragraph" w:styleId="Heading1">
    <w:name w:val="heading 1"/>
    <w:basedOn w:val="Normal"/>
    <w:next w:val="ParaNum"/>
    <w:link w:val="Heading1Char"/>
    <w:qFormat/>
    <w:rsid w:val="000831D9"/>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31D9"/>
    <w:pPr>
      <w:keepNext/>
      <w:numPr>
        <w:ilvl w:val="1"/>
        <w:numId w:val="7"/>
      </w:numPr>
      <w:spacing w:after="120"/>
      <w:outlineLvl w:val="1"/>
    </w:pPr>
    <w:rPr>
      <w:b/>
    </w:rPr>
  </w:style>
  <w:style w:type="paragraph" w:styleId="Heading3">
    <w:name w:val="heading 3"/>
    <w:basedOn w:val="Normal"/>
    <w:next w:val="ParaNum"/>
    <w:qFormat/>
    <w:rsid w:val="000831D9"/>
    <w:pPr>
      <w:keepNext/>
      <w:numPr>
        <w:ilvl w:val="2"/>
        <w:numId w:val="7"/>
      </w:numPr>
      <w:tabs>
        <w:tab w:val="left" w:pos="2160"/>
      </w:tabs>
      <w:spacing w:after="120"/>
      <w:outlineLvl w:val="2"/>
    </w:pPr>
    <w:rPr>
      <w:b/>
    </w:rPr>
  </w:style>
  <w:style w:type="paragraph" w:styleId="Heading4">
    <w:name w:val="heading 4"/>
    <w:basedOn w:val="Normal"/>
    <w:next w:val="ParaNum"/>
    <w:qFormat/>
    <w:rsid w:val="000831D9"/>
    <w:pPr>
      <w:keepNext/>
      <w:numPr>
        <w:ilvl w:val="3"/>
        <w:numId w:val="7"/>
      </w:numPr>
      <w:tabs>
        <w:tab w:val="left" w:pos="2880"/>
      </w:tabs>
      <w:spacing w:after="120"/>
      <w:outlineLvl w:val="3"/>
    </w:pPr>
    <w:rPr>
      <w:b/>
    </w:rPr>
  </w:style>
  <w:style w:type="paragraph" w:styleId="Heading5">
    <w:name w:val="heading 5"/>
    <w:basedOn w:val="Normal"/>
    <w:next w:val="ParaNum"/>
    <w:qFormat/>
    <w:rsid w:val="000831D9"/>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831D9"/>
    <w:pPr>
      <w:numPr>
        <w:ilvl w:val="5"/>
        <w:numId w:val="7"/>
      </w:numPr>
      <w:tabs>
        <w:tab w:val="left" w:pos="4320"/>
      </w:tabs>
      <w:spacing w:after="120"/>
      <w:outlineLvl w:val="5"/>
    </w:pPr>
    <w:rPr>
      <w:b/>
    </w:rPr>
  </w:style>
  <w:style w:type="paragraph" w:styleId="Heading7">
    <w:name w:val="heading 7"/>
    <w:basedOn w:val="Normal"/>
    <w:next w:val="ParaNum"/>
    <w:qFormat/>
    <w:rsid w:val="000831D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0831D9"/>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0831D9"/>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0831D9"/>
    <w:pPr>
      <w:numPr>
        <w:numId w:val="5"/>
      </w:numPr>
      <w:tabs>
        <w:tab w:val="clear" w:pos="1080"/>
        <w:tab w:val="num" w:pos="1440"/>
      </w:tabs>
      <w:spacing w:after="120"/>
    </w:p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1 Ch"/>
    <w:link w:val="FootnoteTextChar1"/>
    <w:rsid w:val="000831D9"/>
    <w:pPr>
      <w:spacing w:after="120"/>
    </w:pPr>
  </w:style>
  <w:style w:type="character" w:styleId="FootnoteReference">
    <w:name w:val="footnote reference"/>
    <w:aliases w:val="Style 12,(NECG) Footnote Reference,Style 13,Appel note de bas de p,Style 124,fr,o,Style 3,FR,Style 17,Footnote Reference/,Style 6,Style 7"/>
    <w:rsid w:val="000831D9"/>
    <w:rPr>
      <w:rFonts w:ascii="Times New Roman" w:hAnsi="Times New Roman"/>
      <w:dstrike w:val="0"/>
      <w:color w:val="auto"/>
      <w:sz w:val="20"/>
      <w:vertAlign w:val="superscript"/>
    </w:rPr>
  </w:style>
  <w:style w:type="paragraph" w:styleId="Header">
    <w:name w:val="header"/>
    <w:basedOn w:val="Normal"/>
    <w:link w:val="HeaderChar"/>
    <w:autoRedefine/>
    <w:rsid w:val="000831D9"/>
    <w:pPr>
      <w:tabs>
        <w:tab w:val="center" w:pos="4680"/>
        <w:tab w:val="right" w:pos="9360"/>
      </w:tabs>
    </w:pPr>
    <w:rPr>
      <w:b/>
    </w:rPr>
  </w:style>
  <w:style w:type="paragraph" w:styleId="Footer">
    <w:name w:val="footer"/>
    <w:basedOn w:val="Normal"/>
    <w:link w:val="FooterChar"/>
    <w:rsid w:val="000831D9"/>
    <w:pPr>
      <w:tabs>
        <w:tab w:val="center" w:pos="4320"/>
        <w:tab w:val="right" w:pos="8640"/>
      </w:tabs>
    </w:pPr>
  </w:style>
  <w:style w:type="character" w:styleId="PageNumber">
    <w:name w:val="page number"/>
    <w:basedOn w:val="DefaultParagraphFont"/>
    <w:rsid w:val="000831D9"/>
  </w:style>
  <w:style w:type="paragraph" w:styleId="BalloonText">
    <w:name w:val="Balloon Text"/>
    <w:basedOn w:val="Normal"/>
    <w:semiHidden/>
    <w:rPr>
      <w:rFonts w:ascii="Tahoma" w:hAnsi="Tahoma" w:cs="Tahoma"/>
      <w:sz w:val="16"/>
      <w:szCs w:val="16"/>
    </w:rPr>
  </w:style>
  <w:style w:type="character" w:styleId="Hyperlink">
    <w:name w:val="Hyperlink"/>
    <w:rsid w:val="000831D9"/>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shd w:val="clear" w:color="auto" w:fill="FFFFFF"/>
    </w:rPr>
  </w:style>
  <w:style w:type="paragraph" w:customStyle="1" w:styleId="FootnoteText1">
    <w:name w:val="Footnote Text1"/>
    <w:basedOn w:val="Footer"/>
    <w:link w:val="FootnoteText1Char"/>
  </w:style>
  <w:style w:type="character" w:customStyle="1" w:styleId="FooterChar">
    <w:name w:val="Footer Char"/>
    <w:link w:val="Footer"/>
    <w:rPr>
      <w:snapToGrid w:val="0"/>
      <w:kern w:val="28"/>
      <w:sz w:val="22"/>
    </w:rPr>
  </w:style>
  <w:style w:type="character" w:customStyle="1" w:styleId="FootnoteText1Char">
    <w:name w:val="Footnote Text1 Char"/>
    <w:link w:val="FootnoteText1"/>
    <w:rPr>
      <w:sz w:val="22"/>
      <w:lang w:val="en-US" w:eastAsia="en-US" w:bidi="ar-SA"/>
    </w:rPr>
  </w:style>
  <w:style w:type="character" w:customStyle="1" w:styleId="FootnoteTextChar1CharChar1">
    <w:name w:val="Footnote Text Char1 Char Char1"/>
    <w:aliases w:val="ALTS FOOTNOTE Char1 Char Char1,fn Char1 Char Char1,Footnote Text Char Char Char Char1,ALTS FOOTNOTE Char Char Char Char1,fn Char Char Char Char1,Footnote Text Char1 Char Char Char Char,fn Char Char,ALTS FOOTNOTE Char Char"/>
    <w:locked/>
    <w:rPr>
      <w:rFonts w:cs="Times New Roman"/>
      <w:lang w:val="en-US" w:eastAsia="en-US" w:bidi="ar-SA"/>
    </w:rPr>
  </w:style>
  <w:style w:type="character" w:customStyle="1" w:styleId="ParaNumCharChar1">
    <w:name w:val="ParaNum Char Char1"/>
    <w:link w:val="ParaNum"/>
    <w:locked/>
    <w:rPr>
      <w:snapToGrid w:val="0"/>
      <w:kern w:val="28"/>
      <w:sz w:val="22"/>
    </w:rPr>
  </w:style>
  <w:style w:type="paragraph" w:styleId="NormalWeb">
    <w:name w:val="Normal (Web)"/>
    <w:basedOn w:val="Normal"/>
    <w:rsid w:val="00253BAE"/>
    <w:rPr>
      <w:sz w:val="24"/>
      <w:szCs w:val="24"/>
    </w:rPr>
  </w:style>
  <w:style w:type="character" w:styleId="FollowedHyperlink">
    <w:name w:val="FollowedHyperlink"/>
    <w:rsid w:val="00DB4F4A"/>
    <w:rPr>
      <w:color w:val="800080"/>
      <w:u w:val="single"/>
    </w:rPr>
  </w:style>
  <w:style w:type="character" w:styleId="Emphasis">
    <w:name w:val="Emphasis"/>
    <w:uiPriority w:val="99"/>
    <w:qFormat/>
    <w:rsid w:val="00A47717"/>
    <w:rPr>
      <w:i/>
      <w:iCs/>
    </w:rPr>
  </w:style>
  <w:style w:type="character" w:customStyle="1" w:styleId="Heading1Char">
    <w:name w:val="Heading 1 Char"/>
    <w:link w:val="Heading1"/>
    <w:rsid w:val="00C77544"/>
    <w:rPr>
      <w:rFonts w:ascii="Times New Roman Bold" w:hAnsi="Times New Roman Bold"/>
      <w:b/>
      <w:caps/>
      <w:snapToGrid w:val="0"/>
      <w:kern w:val="28"/>
      <w:sz w:val="22"/>
    </w:rPr>
  </w:style>
  <w:style w:type="character" w:customStyle="1" w:styleId="highlight">
    <w:name w:val="highlight"/>
    <w:rsid w:val="000513D1"/>
  </w:style>
  <w:style w:type="paragraph" w:customStyle="1" w:styleId="ColorfulShading-Accent11">
    <w:name w:val="Colorful Shading - Accent 11"/>
    <w:hidden/>
    <w:uiPriority w:val="99"/>
    <w:semiHidden/>
    <w:rsid w:val="00747168"/>
    <w:rPr>
      <w:sz w:val="22"/>
    </w:rPr>
  </w:style>
  <w:style w:type="paragraph" w:styleId="PlainText">
    <w:name w:val="Plain Text"/>
    <w:basedOn w:val="Normal"/>
    <w:link w:val="PlainTextChar"/>
    <w:rsid w:val="0068247D"/>
    <w:rPr>
      <w:rFonts w:ascii="Courier New" w:hAnsi="Courier New"/>
      <w:sz w:val="20"/>
      <w:lang w:val="x-none" w:eastAsia="x-none"/>
    </w:rPr>
  </w:style>
  <w:style w:type="character" w:customStyle="1" w:styleId="PlainTextChar">
    <w:name w:val="Plain Text Char"/>
    <w:link w:val="PlainText"/>
    <w:rsid w:val="0068247D"/>
    <w:rPr>
      <w:rFonts w:ascii="Courier New" w:hAnsi="Courier New" w:cs="Courier New"/>
    </w:rPr>
  </w:style>
  <w:style w:type="paragraph" w:customStyle="1" w:styleId="ColorfulList-Accent11">
    <w:name w:val="Colorful List - Accent 11"/>
    <w:basedOn w:val="Normal"/>
    <w:uiPriority w:val="34"/>
    <w:qFormat/>
    <w:rsid w:val="00B25393"/>
    <w:pPr>
      <w:ind w:left="720"/>
      <w:contextualSpacing/>
    </w:pPr>
    <w:rPr>
      <w:rFonts w:ascii="Cambria" w:eastAsia="Cambria" w:hAnsi="Cambria"/>
      <w:sz w:val="24"/>
      <w:szCs w:val="24"/>
    </w:rPr>
  </w:style>
  <w:style w:type="character" w:customStyle="1" w:styleId="CommentTextChar">
    <w:name w:val="Comment Text Char"/>
    <w:basedOn w:val="DefaultParagraphFont"/>
    <w:link w:val="CommentText"/>
    <w:uiPriority w:val="99"/>
    <w:semiHidden/>
    <w:rsid w:val="00CD75F2"/>
  </w:style>
  <w:style w:type="paragraph" w:styleId="ListParagraph">
    <w:name w:val="List Paragraph"/>
    <w:basedOn w:val="Normal"/>
    <w:qFormat/>
    <w:rsid w:val="00DA1917"/>
    <w:pPr>
      <w:ind w:left="720"/>
      <w:contextualSpacing/>
    </w:pPr>
  </w:style>
  <w:style w:type="paragraph" w:styleId="Revision">
    <w:name w:val="Revision"/>
    <w:hidden/>
    <w:rsid w:val="006307E2"/>
    <w:rPr>
      <w:sz w:val="22"/>
    </w:rPr>
  </w:style>
  <w:style w:type="paragraph" w:customStyle="1" w:styleId="paranum0">
    <w:name w:val="paranum"/>
    <w:basedOn w:val="Normal"/>
    <w:uiPriority w:val="99"/>
    <w:rsid w:val="00FD2B26"/>
    <w:pPr>
      <w:numPr>
        <w:numId w:val="4"/>
      </w:numPr>
      <w:spacing w:after="220"/>
      <w:ind w:firstLine="720"/>
      <w:jc w:val="both"/>
    </w:pPr>
    <w:rPr>
      <w:szCs w:val="22"/>
    </w:rPr>
  </w:style>
  <w:style w:type="character" w:customStyle="1" w:styleId="apple-converted-space">
    <w:name w:val="apple-converted-space"/>
    <w:uiPriority w:val="99"/>
    <w:rsid w:val="00BE1AC9"/>
  </w:style>
  <w:style w:type="character" w:customStyle="1" w:styleId="FootnoteTextChar3Char1">
    <w:name w:val="Footnote Text Char3 Char1"/>
    <w:aliases w:val="Footnote Text Char Char3 Char1,Footnote Text Char1 Char Char3 Char1,Footnote Text Char Char Char Char3 Char1,Footnote Text Char1 Char Char3 Char Char Char1,Footnote Text Char Char Char Char3 Char Char Char1"/>
    <w:uiPriority w:val="99"/>
    <w:rsid w:val="00DD34C7"/>
  </w:style>
  <w:style w:type="character" w:customStyle="1" w:styleId="HeaderChar">
    <w:name w:val="Header Char"/>
    <w:link w:val="Header"/>
    <w:locked/>
    <w:rsid w:val="00902CB7"/>
    <w:rPr>
      <w:b/>
      <w:snapToGrid w:val="0"/>
      <w:kern w:val="28"/>
      <w:sz w:val="22"/>
    </w:rPr>
  </w:style>
  <w:style w:type="paragraph" w:styleId="EndnoteText">
    <w:name w:val="endnote text"/>
    <w:basedOn w:val="Normal"/>
    <w:link w:val="EndnoteTextChar"/>
    <w:rsid w:val="000831D9"/>
    <w:rPr>
      <w:sz w:val="20"/>
    </w:rPr>
  </w:style>
  <w:style w:type="character" w:customStyle="1" w:styleId="EndnoteTextChar">
    <w:name w:val="Endnote Text Char"/>
    <w:basedOn w:val="DefaultParagraphFont"/>
    <w:link w:val="EndnoteText"/>
    <w:rsid w:val="0007481E"/>
    <w:rPr>
      <w:snapToGrid w:val="0"/>
      <w:kern w:val="28"/>
    </w:rPr>
  </w:style>
  <w:style w:type="character" w:styleId="EndnoteReference">
    <w:name w:val="endnote reference"/>
    <w:rsid w:val="000831D9"/>
    <w:rPr>
      <w:vertAlign w:val="superscript"/>
    </w:rPr>
  </w:style>
  <w:style w:type="paragraph" w:styleId="TOC1">
    <w:name w:val="toc 1"/>
    <w:basedOn w:val="Normal"/>
    <w:next w:val="Normal"/>
    <w:rsid w:val="000831D9"/>
    <w:pPr>
      <w:tabs>
        <w:tab w:val="left" w:pos="360"/>
        <w:tab w:val="right" w:leader="dot" w:pos="9360"/>
      </w:tabs>
      <w:suppressAutoHyphens/>
      <w:ind w:left="360" w:right="720" w:hanging="360"/>
    </w:pPr>
    <w:rPr>
      <w:caps/>
      <w:noProof/>
    </w:rPr>
  </w:style>
  <w:style w:type="paragraph" w:styleId="TOC2">
    <w:name w:val="toc 2"/>
    <w:basedOn w:val="Normal"/>
    <w:next w:val="Normal"/>
    <w:rsid w:val="000831D9"/>
    <w:pPr>
      <w:tabs>
        <w:tab w:val="left" w:pos="720"/>
        <w:tab w:val="right" w:leader="dot" w:pos="9360"/>
      </w:tabs>
      <w:suppressAutoHyphens/>
      <w:ind w:left="720" w:right="720" w:hanging="360"/>
    </w:pPr>
    <w:rPr>
      <w:noProof/>
    </w:rPr>
  </w:style>
  <w:style w:type="paragraph" w:styleId="TOC3">
    <w:name w:val="toc 3"/>
    <w:basedOn w:val="Normal"/>
    <w:next w:val="Normal"/>
    <w:rsid w:val="000831D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831D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831D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831D9"/>
    <w:pPr>
      <w:tabs>
        <w:tab w:val="left" w:pos="2160"/>
        <w:tab w:val="right" w:leader="dot" w:pos="9360"/>
      </w:tabs>
      <w:suppressAutoHyphens/>
      <w:ind w:left="2160" w:hanging="360"/>
    </w:pPr>
    <w:rPr>
      <w:noProof/>
    </w:rPr>
  </w:style>
  <w:style w:type="paragraph" w:styleId="TOC7">
    <w:name w:val="toc 7"/>
    <w:basedOn w:val="Normal"/>
    <w:next w:val="Normal"/>
    <w:autoRedefine/>
    <w:rsid w:val="000831D9"/>
    <w:pPr>
      <w:tabs>
        <w:tab w:val="left" w:pos="2520"/>
        <w:tab w:val="right" w:leader="dot" w:pos="9360"/>
      </w:tabs>
      <w:suppressAutoHyphens/>
      <w:ind w:left="2520" w:hanging="360"/>
    </w:pPr>
    <w:rPr>
      <w:noProof/>
    </w:rPr>
  </w:style>
  <w:style w:type="paragraph" w:styleId="TOC8">
    <w:name w:val="toc 8"/>
    <w:basedOn w:val="Normal"/>
    <w:next w:val="Normal"/>
    <w:autoRedefine/>
    <w:rsid w:val="000831D9"/>
    <w:pPr>
      <w:tabs>
        <w:tab w:val="left" w:pos="2880"/>
        <w:tab w:val="right" w:leader="dot" w:pos="9360"/>
      </w:tabs>
      <w:suppressAutoHyphens/>
      <w:ind w:left="2880" w:hanging="360"/>
    </w:pPr>
    <w:rPr>
      <w:noProof/>
    </w:rPr>
  </w:style>
  <w:style w:type="paragraph" w:styleId="TOC9">
    <w:name w:val="toc 9"/>
    <w:basedOn w:val="Normal"/>
    <w:next w:val="Normal"/>
    <w:autoRedefine/>
    <w:rsid w:val="000831D9"/>
    <w:pPr>
      <w:tabs>
        <w:tab w:val="left" w:pos="3240"/>
        <w:tab w:val="right" w:leader="dot" w:pos="9360"/>
      </w:tabs>
      <w:suppressAutoHyphens/>
      <w:ind w:left="3240" w:hanging="360"/>
    </w:pPr>
    <w:rPr>
      <w:noProof/>
    </w:rPr>
  </w:style>
  <w:style w:type="paragraph" w:styleId="TOAHeading">
    <w:name w:val="toa heading"/>
    <w:basedOn w:val="Normal"/>
    <w:next w:val="Normal"/>
    <w:rsid w:val="000831D9"/>
    <w:pPr>
      <w:tabs>
        <w:tab w:val="right" w:pos="9360"/>
      </w:tabs>
      <w:suppressAutoHyphens/>
    </w:pPr>
  </w:style>
  <w:style w:type="character" w:customStyle="1" w:styleId="EquationCaption">
    <w:name w:val="_Equation Caption"/>
    <w:rsid w:val="000831D9"/>
  </w:style>
  <w:style w:type="paragraph" w:styleId="BlockText">
    <w:name w:val="Block Text"/>
    <w:basedOn w:val="Normal"/>
    <w:rsid w:val="000831D9"/>
    <w:pPr>
      <w:spacing w:after="240"/>
      <w:ind w:left="1440" w:right="1440"/>
    </w:pPr>
  </w:style>
  <w:style w:type="paragraph" w:customStyle="1" w:styleId="Paratitle">
    <w:name w:val="Para title"/>
    <w:basedOn w:val="Normal"/>
    <w:rsid w:val="000831D9"/>
    <w:pPr>
      <w:tabs>
        <w:tab w:val="center" w:pos="9270"/>
      </w:tabs>
      <w:spacing w:after="240"/>
    </w:pPr>
    <w:rPr>
      <w:spacing w:val="-2"/>
    </w:rPr>
  </w:style>
  <w:style w:type="paragraph" w:customStyle="1" w:styleId="Bullet">
    <w:name w:val="Bullet"/>
    <w:basedOn w:val="Normal"/>
    <w:rsid w:val="000831D9"/>
    <w:pPr>
      <w:tabs>
        <w:tab w:val="left" w:pos="2160"/>
      </w:tabs>
      <w:spacing w:after="220"/>
      <w:ind w:left="2160" w:hanging="720"/>
    </w:pPr>
  </w:style>
  <w:style w:type="paragraph" w:customStyle="1" w:styleId="TableFormat">
    <w:name w:val="TableFormat"/>
    <w:basedOn w:val="Bullet"/>
    <w:rsid w:val="000831D9"/>
    <w:pPr>
      <w:tabs>
        <w:tab w:val="clear" w:pos="2160"/>
        <w:tab w:val="left" w:pos="5040"/>
      </w:tabs>
      <w:ind w:left="5040" w:hanging="3600"/>
    </w:pPr>
  </w:style>
  <w:style w:type="paragraph" w:customStyle="1" w:styleId="TOCTitle">
    <w:name w:val="TOC Title"/>
    <w:basedOn w:val="Normal"/>
    <w:rsid w:val="000831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31D9"/>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D9"/>
    <w:pPr>
      <w:widowControl w:val="0"/>
    </w:pPr>
    <w:rPr>
      <w:snapToGrid w:val="0"/>
      <w:kern w:val="28"/>
      <w:sz w:val="22"/>
    </w:rPr>
  </w:style>
  <w:style w:type="paragraph" w:styleId="Heading1">
    <w:name w:val="heading 1"/>
    <w:basedOn w:val="Normal"/>
    <w:next w:val="ParaNum"/>
    <w:link w:val="Heading1Char"/>
    <w:qFormat/>
    <w:rsid w:val="000831D9"/>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31D9"/>
    <w:pPr>
      <w:keepNext/>
      <w:numPr>
        <w:ilvl w:val="1"/>
        <w:numId w:val="7"/>
      </w:numPr>
      <w:spacing w:after="120"/>
      <w:outlineLvl w:val="1"/>
    </w:pPr>
    <w:rPr>
      <w:b/>
    </w:rPr>
  </w:style>
  <w:style w:type="paragraph" w:styleId="Heading3">
    <w:name w:val="heading 3"/>
    <w:basedOn w:val="Normal"/>
    <w:next w:val="ParaNum"/>
    <w:qFormat/>
    <w:rsid w:val="000831D9"/>
    <w:pPr>
      <w:keepNext/>
      <w:numPr>
        <w:ilvl w:val="2"/>
        <w:numId w:val="7"/>
      </w:numPr>
      <w:tabs>
        <w:tab w:val="left" w:pos="2160"/>
      </w:tabs>
      <w:spacing w:after="120"/>
      <w:outlineLvl w:val="2"/>
    </w:pPr>
    <w:rPr>
      <w:b/>
    </w:rPr>
  </w:style>
  <w:style w:type="paragraph" w:styleId="Heading4">
    <w:name w:val="heading 4"/>
    <w:basedOn w:val="Normal"/>
    <w:next w:val="ParaNum"/>
    <w:qFormat/>
    <w:rsid w:val="000831D9"/>
    <w:pPr>
      <w:keepNext/>
      <w:numPr>
        <w:ilvl w:val="3"/>
        <w:numId w:val="7"/>
      </w:numPr>
      <w:tabs>
        <w:tab w:val="left" w:pos="2880"/>
      </w:tabs>
      <w:spacing w:after="120"/>
      <w:outlineLvl w:val="3"/>
    </w:pPr>
    <w:rPr>
      <w:b/>
    </w:rPr>
  </w:style>
  <w:style w:type="paragraph" w:styleId="Heading5">
    <w:name w:val="heading 5"/>
    <w:basedOn w:val="Normal"/>
    <w:next w:val="ParaNum"/>
    <w:qFormat/>
    <w:rsid w:val="000831D9"/>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831D9"/>
    <w:pPr>
      <w:numPr>
        <w:ilvl w:val="5"/>
        <w:numId w:val="7"/>
      </w:numPr>
      <w:tabs>
        <w:tab w:val="left" w:pos="4320"/>
      </w:tabs>
      <w:spacing w:after="120"/>
      <w:outlineLvl w:val="5"/>
    </w:pPr>
    <w:rPr>
      <w:b/>
    </w:rPr>
  </w:style>
  <w:style w:type="paragraph" w:styleId="Heading7">
    <w:name w:val="heading 7"/>
    <w:basedOn w:val="Normal"/>
    <w:next w:val="ParaNum"/>
    <w:qFormat/>
    <w:rsid w:val="000831D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0831D9"/>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0831D9"/>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0831D9"/>
    <w:pPr>
      <w:numPr>
        <w:numId w:val="5"/>
      </w:numPr>
      <w:tabs>
        <w:tab w:val="clear" w:pos="1080"/>
        <w:tab w:val="num" w:pos="1440"/>
      </w:tabs>
      <w:spacing w:after="120"/>
    </w:p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1 Ch"/>
    <w:link w:val="FootnoteTextChar1"/>
    <w:rsid w:val="000831D9"/>
    <w:pPr>
      <w:spacing w:after="120"/>
    </w:pPr>
  </w:style>
  <w:style w:type="character" w:styleId="FootnoteReference">
    <w:name w:val="footnote reference"/>
    <w:aliases w:val="Style 12,(NECG) Footnote Reference,Style 13,Appel note de bas de p,Style 124,fr,o,Style 3,FR,Style 17,Footnote Reference/,Style 6,Style 7"/>
    <w:rsid w:val="000831D9"/>
    <w:rPr>
      <w:rFonts w:ascii="Times New Roman" w:hAnsi="Times New Roman"/>
      <w:dstrike w:val="0"/>
      <w:color w:val="auto"/>
      <w:sz w:val="20"/>
      <w:vertAlign w:val="superscript"/>
    </w:rPr>
  </w:style>
  <w:style w:type="paragraph" w:styleId="Header">
    <w:name w:val="header"/>
    <w:basedOn w:val="Normal"/>
    <w:link w:val="HeaderChar"/>
    <w:autoRedefine/>
    <w:rsid w:val="000831D9"/>
    <w:pPr>
      <w:tabs>
        <w:tab w:val="center" w:pos="4680"/>
        <w:tab w:val="right" w:pos="9360"/>
      </w:tabs>
    </w:pPr>
    <w:rPr>
      <w:b/>
    </w:rPr>
  </w:style>
  <w:style w:type="paragraph" w:styleId="Footer">
    <w:name w:val="footer"/>
    <w:basedOn w:val="Normal"/>
    <w:link w:val="FooterChar"/>
    <w:rsid w:val="000831D9"/>
    <w:pPr>
      <w:tabs>
        <w:tab w:val="center" w:pos="4320"/>
        <w:tab w:val="right" w:pos="8640"/>
      </w:tabs>
    </w:pPr>
  </w:style>
  <w:style w:type="character" w:styleId="PageNumber">
    <w:name w:val="page number"/>
    <w:basedOn w:val="DefaultParagraphFont"/>
    <w:rsid w:val="000831D9"/>
  </w:style>
  <w:style w:type="paragraph" w:styleId="BalloonText">
    <w:name w:val="Balloon Text"/>
    <w:basedOn w:val="Normal"/>
    <w:semiHidden/>
    <w:rPr>
      <w:rFonts w:ascii="Tahoma" w:hAnsi="Tahoma" w:cs="Tahoma"/>
      <w:sz w:val="16"/>
      <w:szCs w:val="16"/>
    </w:rPr>
  </w:style>
  <w:style w:type="character" w:styleId="Hyperlink">
    <w:name w:val="Hyperlink"/>
    <w:rsid w:val="000831D9"/>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shd w:val="clear" w:color="auto" w:fill="FFFFFF"/>
    </w:rPr>
  </w:style>
  <w:style w:type="paragraph" w:customStyle="1" w:styleId="FootnoteText1">
    <w:name w:val="Footnote Text1"/>
    <w:basedOn w:val="Footer"/>
    <w:link w:val="FootnoteText1Char"/>
  </w:style>
  <w:style w:type="character" w:customStyle="1" w:styleId="FooterChar">
    <w:name w:val="Footer Char"/>
    <w:link w:val="Footer"/>
    <w:rPr>
      <w:snapToGrid w:val="0"/>
      <w:kern w:val="28"/>
      <w:sz w:val="22"/>
    </w:rPr>
  </w:style>
  <w:style w:type="character" w:customStyle="1" w:styleId="FootnoteText1Char">
    <w:name w:val="Footnote Text1 Char"/>
    <w:link w:val="FootnoteText1"/>
    <w:rPr>
      <w:sz w:val="22"/>
      <w:lang w:val="en-US" w:eastAsia="en-US" w:bidi="ar-SA"/>
    </w:rPr>
  </w:style>
  <w:style w:type="character" w:customStyle="1" w:styleId="FootnoteTextChar1CharChar1">
    <w:name w:val="Footnote Text Char1 Char Char1"/>
    <w:aliases w:val="ALTS FOOTNOTE Char1 Char Char1,fn Char1 Char Char1,Footnote Text Char Char Char Char1,ALTS FOOTNOTE Char Char Char Char1,fn Char Char Char Char1,Footnote Text Char1 Char Char Char Char,fn Char Char,ALTS FOOTNOTE Char Char"/>
    <w:locked/>
    <w:rPr>
      <w:rFonts w:cs="Times New Roman"/>
      <w:lang w:val="en-US" w:eastAsia="en-US" w:bidi="ar-SA"/>
    </w:rPr>
  </w:style>
  <w:style w:type="character" w:customStyle="1" w:styleId="ParaNumCharChar1">
    <w:name w:val="ParaNum Char Char1"/>
    <w:link w:val="ParaNum"/>
    <w:locked/>
    <w:rPr>
      <w:snapToGrid w:val="0"/>
      <w:kern w:val="28"/>
      <w:sz w:val="22"/>
    </w:rPr>
  </w:style>
  <w:style w:type="paragraph" w:styleId="NormalWeb">
    <w:name w:val="Normal (Web)"/>
    <w:basedOn w:val="Normal"/>
    <w:rsid w:val="00253BAE"/>
    <w:rPr>
      <w:sz w:val="24"/>
      <w:szCs w:val="24"/>
    </w:rPr>
  </w:style>
  <w:style w:type="character" w:styleId="FollowedHyperlink">
    <w:name w:val="FollowedHyperlink"/>
    <w:rsid w:val="00DB4F4A"/>
    <w:rPr>
      <w:color w:val="800080"/>
      <w:u w:val="single"/>
    </w:rPr>
  </w:style>
  <w:style w:type="character" w:styleId="Emphasis">
    <w:name w:val="Emphasis"/>
    <w:uiPriority w:val="99"/>
    <w:qFormat/>
    <w:rsid w:val="00A47717"/>
    <w:rPr>
      <w:i/>
      <w:iCs/>
    </w:rPr>
  </w:style>
  <w:style w:type="character" w:customStyle="1" w:styleId="Heading1Char">
    <w:name w:val="Heading 1 Char"/>
    <w:link w:val="Heading1"/>
    <w:rsid w:val="00C77544"/>
    <w:rPr>
      <w:rFonts w:ascii="Times New Roman Bold" w:hAnsi="Times New Roman Bold"/>
      <w:b/>
      <w:caps/>
      <w:snapToGrid w:val="0"/>
      <w:kern w:val="28"/>
      <w:sz w:val="22"/>
    </w:rPr>
  </w:style>
  <w:style w:type="character" w:customStyle="1" w:styleId="highlight">
    <w:name w:val="highlight"/>
    <w:rsid w:val="000513D1"/>
  </w:style>
  <w:style w:type="paragraph" w:customStyle="1" w:styleId="ColorfulShading-Accent11">
    <w:name w:val="Colorful Shading - Accent 11"/>
    <w:hidden/>
    <w:uiPriority w:val="99"/>
    <w:semiHidden/>
    <w:rsid w:val="00747168"/>
    <w:rPr>
      <w:sz w:val="22"/>
    </w:rPr>
  </w:style>
  <w:style w:type="paragraph" w:styleId="PlainText">
    <w:name w:val="Plain Text"/>
    <w:basedOn w:val="Normal"/>
    <w:link w:val="PlainTextChar"/>
    <w:rsid w:val="0068247D"/>
    <w:rPr>
      <w:rFonts w:ascii="Courier New" w:hAnsi="Courier New"/>
      <w:sz w:val="20"/>
      <w:lang w:val="x-none" w:eastAsia="x-none"/>
    </w:rPr>
  </w:style>
  <w:style w:type="character" w:customStyle="1" w:styleId="PlainTextChar">
    <w:name w:val="Plain Text Char"/>
    <w:link w:val="PlainText"/>
    <w:rsid w:val="0068247D"/>
    <w:rPr>
      <w:rFonts w:ascii="Courier New" w:hAnsi="Courier New" w:cs="Courier New"/>
    </w:rPr>
  </w:style>
  <w:style w:type="paragraph" w:customStyle="1" w:styleId="ColorfulList-Accent11">
    <w:name w:val="Colorful List - Accent 11"/>
    <w:basedOn w:val="Normal"/>
    <w:uiPriority w:val="34"/>
    <w:qFormat/>
    <w:rsid w:val="00B25393"/>
    <w:pPr>
      <w:ind w:left="720"/>
      <w:contextualSpacing/>
    </w:pPr>
    <w:rPr>
      <w:rFonts w:ascii="Cambria" w:eastAsia="Cambria" w:hAnsi="Cambria"/>
      <w:sz w:val="24"/>
      <w:szCs w:val="24"/>
    </w:rPr>
  </w:style>
  <w:style w:type="character" w:customStyle="1" w:styleId="CommentTextChar">
    <w:name w:val="Comment Text Char"/>
    <w:basedOn w:val="DefaultParagraphFont"/>
    <w:link w:val="CommentText"/>
    <w:uiPriority w:val="99"/>
    <w:semiHidden/>
    <w:rsid w:val="00CD75F2"/>
  </w:style>
  <w:style w:type="paragraph" w:styleId="ListParagraph">
    <w:name w:val="List Paragraph"/>
    <w:basedOn w:val="Normal"/>
    <w:qFormat/>
    <w:rsid w:val="00DA1917"/>
    <w:pPr>
      <w:ind w:left="720"/>
      <w:contextualSpacing/>
    </w:pPr>
  </w:style>
  <w:style w:type="paragraph" w:styleId="Revision">
    <w:name w:val="Revision"/>
    <w:hidden/>
    <w:rsid w:val="006307E2"/>
    <w:rPr>
      <w:sz w:val="22"/>
    </w:rPr>
  </w:style>
  <w:style w:type="paragraph" w:customStyle="1" w:styleId="paranum0">
    <w:name w:val="paranum"/>
    <w:basedOn w:val="Normal"/>
    <w:uiPriority w:val="99"/>
    <w:rsid w:val="00FD2B26"/>
    <w:pPr>
      <w:numPr>
        <w:numId w:val="4"/>
      </w:numPr>
      <w:spacing w:after="220"/>
      <w:ind w:firstLine="720"/>
      <w:jc w:val="both"/>
    </w:pPr>
    <w:rPr>
      <w:szCs w:val="22"/>
    </w:rPr>
  </w:style>
  <w:style w:type="character" w:customStyle="1" w:styleId="apple-converted-space">
    <w:name w:val="apple-converted-space"/>
    <w:uiPriority w:val="99"/>
    <w:rsid w:val="00BE1AC9"/>
  </w:style>
  <w:style w:type="character" w:customStyle="1" w:styleId="FootnoteTextChar3Char1">
    <w:name w:val="Footnote Text Char3 Char1"/>
    <w:aliases w:val="Footnote Text Char Char3 Char1,Footnote Text Char1 Char Char3 Char1,Footnote Text Char Char Char Char3 Char1,Footnote Text Char1 Char Char3 Char Char Char1,Footnote Text Char Char Char Char3 Char Char Char1"/>
    <w:uiPriority w:val="99"/>
    <w:rsid w:val="00DD34C7"/>
  </w:style>
  <w:style w:type="character" w:customStyle="1" w:styleId="HeaderChar">
    <w:name w:val="Header Char"/>
    <w:link w:val="Header"/>
    <w:locked/>
    <w:rsid w:val="00902CB7"/>
    <w:rPr>
      <w:b/>
      <w:snapToGrid w:val="0"/>
      <w:kern w:val="28"/>
      <w:sz w:val="22"/>
    </w:rPr>
  </w:style>
  <w:style w:type="paragraph" w:styleId="EndnoteText">
    <w:name w:val="endnote text"/>
    <w:basedOn w:val="Normal"/>
    <w:link w:val="EndnoteTextChar"/>
    <w:rsid w:val="000831D9"/>
    <w:rPr>
      <w:sz w:val="20"/>
    </w:rPr>
  </w:style>
  <w:style w:type="character" w:customStyle="1" w:styleId="EndnoteTextChar">
    <w:name w:val="Endnote Text Char"/>
    <w:basedOn w:val="DefaultParagraphFont"/>
    <w:link w:val="EndnoteText"/>
    <w:rsid w:val="0007481E"/>
    <w:rPr>
      <w:snapToGrid w:val="0"/>
      <w:kern w:val="28"/>
    </w:rPr>
  </w:style>
  <w:style w:type="character" w:styleId="EndnoteReference">
    <w:name w:val="endnote reference"/>
    <w:rsid w:val="000831D9"/>
    <w:rPr>
      <w:vertAlign w:val="superscript"/>
    </w:rPr>
  </w:style>
  <w:style w:type="paragraph" w:styleId="TOC1">
    <w:name w:val="toc 1"/>
    <w:basedOn w:val="Normal"/>
    <w:next w:val="Normal"/>
    <w:rsid w:val="000831D9"/>
    <w:pPr>
      <w:tabs>
        <w:tab w:val="left" w:pos="360"/>
        <w:tab w:val="right" w:leader="dot" w:pos="9360"/>
      </w:tabs>
      <w:suppressAutoHyphens/>
      <w:ind w:left="360" w:right="720" w:hanging="360"/>
    </w:pPr>
    <w:rPr>
      <w:caps/>
      <w:noProof/>
    </w:rPr>
  </w:style>
  <w:style w:type="paragraph" w:styleId="TOC2">
    <w:name w:val="toc 2"/>
    <w:basedOn w:val="Normal"/>
    <w:next w:val="Normal"/>
    <w:rsid w:val="000831D9"/>
    <w:pPr>
      <w:tabs>
        <w:tab w:val="left" w:pos="720"/>
        <w:tab w:val="right" w:leader="dot" w:pos="9360"/>
      </w:tabs>
      <w:suppressAutoHyphens/>
      <w:ind w:left="720" w:right="720" w:hanging="360"/>
    </w:pPr>
    <w:rPr>
      <w:noProof/>
    </w:rPr>
  </w:style>
  <w:style w:type="paragraph" w:styleId="TOC3">
    <w:name w:val="toc 3"/>
    <w:basedOn w:val="Normal"/>
    <w:next w:val="Normal"/>
    <w:rsid w:val="000831D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831D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831D9"/>
    <w:pPr>
      <w:tabs>
        <w:tab w:val="left" w:pos="1800"/>
        <w:tab w:val="right" w:leader="dot" w:pos="9360"/>
      </w:tabs>
      <w:suppressAutoHyphens/>
      <w:ind w:left="1800" w:right="720" w:hanging="360"/>
    </w:pPr>
    <w:rPr>
      <w:noProof/>
    </w:rPr>
  </w:style>
  <w:style w:type="paragraph" w:styleId="TOC6">
    <w:name w:val="toc 6"/>
    <w:basedOn w:val="Normal"/>
    <w:next w:val="Normal"/>
    <w:autoRedefine/>
    <w:rsid w:val="000831D9"/>
    <w:pPr>
      <w:tabs>
        <w:tab w:val="left" w:pos="2160"/>
        <w:tab w:val="right" w:leader="dot" w:pos="9360"/>
      </w:tabs>
      <w:suppressAutoHyphens/>
      <w:ind w:left="2160" w:hanging="360"/>
    </w:pPr>
    <w:rPr>
      <w:noProof/>
    </w:rPr>
  </w:style>
  <w:style w:type="paragraph" w:styleId="TOC7">
    <w:name w:val="toc 7"/>
    <w:basedOn w:val="Normal"/>
    <w:next w:val="Normal"/>
    <w:autoRedefine/>
    <w:rsid w:val="000831D9"/>
    <w:pPr>
      <w:tabs>
        <w:tab w:val="left" w:pos="2520"/>
        <w:tab w:val="right" w:leader="dot" w:pos="9360"/>
      </w:tabs>
      <w:suppressAutoHyphens/>
      <w:ind w:left="2520" w:hanging="360"/>
    </w:pPr>
    <w:rPr>
      <w:noProof/>
    </w:rPr>
  </w:style>
  <w:style w:type="paragraph" w:styleId="TOC8">
    <w:name w:val="toc 8"/>
    <w:basedOn w:val="Normal"/>
    <w:next w:val="Normal"/>
    <w:autoRedefine/>
    <w:rsid w:val="000831D9"/>
    <w:pPr>
      <w:tabs>
        <w:tab w:val="left" w:pos="2880"/>
        <w:tab w:val="right" w:leader="dot" w:pos="9360"/>
      </w:tabs>
      <w:suppressAutoHyphens/>
      <w:ind w:left="2880" w:hanging="360"/>
    </w:pPr>
    <w:rPr>
      <w:noProof/>
    </w:rPr>
  </w:style>
  <w:style w:type="paragraph" w:styleId="TOC9">
    <w:name w:val="toc 9"/>
    <w:basedOn w:val="Normal"/>
    <w:next w:val="Normal"/>
    <w:autoRedefine/>
    <w:rsid w:val="000831D9"/>
    <w:pPr>
      <w:tabs>
        <w:tab w:val="left" w:pos="3240"/>
        <w:tab w:val="right" w:leader="dot" w:pos="9360"/>
      </w:tabs>
      <w:suppressAutoHyphens/>
      <w:ind w:left="3240" w:hanging="360"/>
    </w:pPr>
    <w:rPr>
      <w:noProof/>
    </w:rPr>
  </w:style>
  <w:style w:type="paragraph" w:styleId="TOAHeading">
    <w:name w:val="toa heading"/>
    <w:basedOn w:val="Normal"/>
    <w:next w:val="Normal"/>
    <w:rsid w:val="000831D9"/>
    <w:pPr>
      <w:tabs>
        <w:tab w:val="right" w:pos="9360"/>
      </w:tabs>
      <w:suppressAutoHyphens/>
    </w:pPr>
  </w:style>
  <w:style w:type="character" w:customStyle="1" w:styleId="EquationCaption">
    <w:name w:val="_Equation Caption"/>
    <w:rsid w:val="000831D9"/>
  </w:style>
  <w:style w:type="paragraph" w:styleId="BlockText">
    <w:name w:val="Block Text"/>
    <w:basedOn w:val="Normal"/>
    <w:rsid w:val="000831D9"/>
    <w:pPr>
      <w:spacing w:after="240"/>
      <w:ind w:left="1440" w:right="1440"/>
    </w:pPr>
  </w:style>
  <w:style w:type="paragraph" w:customStyle="1" w:styleId="Paratitle">
    <w:name w:val="Para title"/>
    <w:basedOn w:val="Normal"/>
    <w:rsid w:val="000831D9"/>
    <w:pPr>
      <w:tabs>
        <w:tab w:val="center" w:pos="9270"/>
      </w:tabs>
      <w:spacing w:after="240"/>
    </w:pPr>
    <w:rPr>
      <w:spacing w:val="-2"/>
    </w:rPr>
  </w:style>
  <w:style w:type="paragraph" w:customStyle="1" w:styleId="Bullet">
    <w:name w:val="Bullet"/>
    <w:basedOn w:val="Normal"/>
    <w:rsid w:val="000831D9"/>
    <w:pPr>
      <w:tabs>
        <w:tab w:val="left" w:pos="2160"/>
      </w:tabs>
      <w:spacing w:after="220"/>
      <w:ind w:left="2160" w:hanging="720"/>
    </w:pPr>
  </w:style>
  <w:style w:type="paragraph" w:customStyle="1" w:styleId="TableFormat">
    <w:name w:val="TableFormat"/>
    <w:basedOn w:val="Bullet"/>
    <w:rsid w:val="000831D9"/>
    <w:pPr>
      <w:tabs>
        <w:tab w:val="clear" w:pos="2160"/>
        <w:tab w:val="left" w:pos="5040"/>
      </w:tabs>
      <w:ind w:left="5040" w:hanging="3600"/>
    </w:pPr>
  </w:style>
  <w:style w:type="paragraph" w:customStyle="1" w:styleId="TOCTitle">
    <w:name w:val="TOC Title"/>
    <w:basedOn w:val="Normal"/>
    <w:rsid w:val="000831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31D9"/>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328">
      <w:bodyDiv w:val="1"/>
      <w:marLeft w:val="0"/>
      <w:marRight w:val="0"/>
      <w:marTop w:val="0"/>
      <w:marBottom w:val="0"/>
      <w:divBdr>
        <w:top w:val="none" w:sz="0" w:space="0" w:color="auto"/>
        <w:left w:val="none" w:sz="0" w:space="0" w:color="auto"/>
        <w:bottom w:val="none" w:sz="0" w:space="0" w:color="auto"/>
        <w:right w:val="none" w:sz="0" w:space="0" w:color="auto"/>
      </w:divBdr>
    </w:div>
    <w:div w:id="83692653">
      <w:bodyDiv w:val="1"/>
      <w:marLeft w:val="0"/>
      <w:marRight w:val="0"/>
      <w:marTop w:val="0"/>
      <w:marBottom w:val="0"/>
      <w:divBdr>
        <w:top w:val="none" w:sz="0" w:space="0" w:color="auto"/>
        <w:left w:val="none" w:sz="0" w:space="0" w:color="auto"/>
        <w:bottom w:val="none" w:sz="0" w:space="0" w:color="auto"/>
        <w:right w:val="none" w:sz="0" w:space="0" w:color="auto"/>
      </w:divBdr>
    </w:div>
    <w:div w:id="278803110">
      <w:bodyDiv w:val="1"/>
      <w:marLeft w:val="0"/>
      <w:marRight w:val="0"/>
      <w:marTop w:val="0"/>
      <w:marBottom w:val="0"/>
      <w:divBdr>
        <w:top w:val="none" w:sz="0" w:space="0" w:color="auto"/>
        <w:left w:val="none" w:sz="0" w:space="0" w:color="auto"/>
        <w:bottom w:val="none" w:sz="0" w:space="0" w:color="auto"/>
        <w:right w:val="none" w:sz="0" w:space="0" w:color="auto"/>
      </w:divBdr>
    </w:div>
    <w:div w:id="340548028">
      <w:bodyDiv w:val="1"/>
      <w:marLeft w:val="0"/>
      <w:marRight w:val="0"/>
      <w:marTop w:val="0"/>
      <w:marBottom w:val="0"/>
      <w:divBdr>
        <w:top w:val="none" w:sz="0" w:space="0" w:color="auto"/>
        <w:left w:val="none" w:sz="0" w:space="0" w:color="auto"/>
        <w:bottom w:val="none" w:sz="0" w:space="0" w:color="auto"/>
        <w:right w:val="none" w:sz="0" w:space="0" w:color="auto"/>
      </w:divBdr>
    </w:div>
    <w:div w:id="437334741">
      <w:bodyDiv w:val="1"/>
      <w:marLeft w:val="0"/>
      <w:marRight w:val="0"/>
      <w:marTop w:val="0"/>
      <w:marBottom w:val="0"/>
      <w:divBdr>
        <w:top w:val="none" w:sz="0" w:space="0" w:color="auto"/>
        <w:left w:val="none" w:sz="0" w:space="0" w:color="auto"/>
        <w:bottom w:val="none" w:sz="0" w:space="0" w:color="auto"/>
        <w:right w:val="none" w:sz="0" w:space="0" w:color="auto"/>
      </w:divBdr>
    </w:div>
    <w:div w:id="493304144">
      <w:bodyDiv w:val="1"/>
      <w:marLeft w:val="0"/>
      <w:marRight w:val="0"/>
      <w:marTop w:val="0"/>
      <w:marBottom w:val="0"/>
      <w:divBdr>
        <w:top w:val="none" w:sz="0" w:space="0" w:color="auto"/>
        <w:left w:val="none" w:sz="0" w:space="0" w:color="auto"/>
        <w:bottom w:val="none" w:sz="0" w:space="0" w:color="auto"/>
        <w:right w:val="none" w:sz="0" w:space="0" w:color="auto"/>
      </w:divBdr>
    </w:div>
    <w:div w:id="501748500">
      <w:bodyDiv w:val="1"/>
      <w:marLeft w:val="0"/>
      <w:marRight w:val="0"/>
      <w:marTop w:val="0"/>
      <w:marBottom w:val="0"/>
      <w:divBdr>
        <w:top w:val="none" w:sz="0" w:space="0" w:color="auto"/>
        <w:left w:val="none" w:sz="0" w:space="0" w:color="auto"/>
        <w:bottom w:val="none" w:sz="0" w:space="0" w:color="auto"/>
        <w:right w:val="none" w:sz="0" w:space="0" w:color="auto"/>
      </w:divBdr>
    </w:div>
    <w:div w:id="534586433">
      <w:bodyDiv w:val="1"/>
      <w:marLeft w:val="0"/>
      <w:marRight w:val="0"/>
      <w:marTop w:val="0"/>
      <w:marBottom w:val="0"/>
      <w:divBdr>
        <w:top w:val="none" w:sz="0" w:space="0" w:color="auto"/>
        <w:left w:val="none" w:sz="0" w:space="0" w:color="auto"/>
        <w:bottom w:val="none" w:sz="0" w:space="0" w:color="auto"/>
        <w:right w:val="none" w:sz="0" w:space="0" w:color="auto"/>
      </w:divBdr>
    </w:div>
    <w:div w:id="572161850">
      <w:bodyDiv w:val="1"/>
      <w:marLeft w:val="0"/>
      <w:marRight w:val="0"/>
      <w:marTop w:val="0"/>
      <w:marBottom w:val="0"/>
      <w:divBdr>
        <w:top w:val="none" w:sz="0" w:space="0" w:color="auto"/>
        <w:left w:val="none" w:sz="0" w:space="0" w:color="auto"/>
        <w:bottom w:val="none" w:sz="0" w:space="0" w:color="auto"/>
        <w:right w:val="none" w:sz="0" w:space="0" w:color="auto"/>
      </w:divBdr>
    </w:div>
    <w:div w:id="606502460">
      <w:bodyDiv w:val="1"/>
      <w:marLeft w:val="0"/>
      <w:marRight w:val="0"/>
      <w:marTop w:val="0"/>
      <w:marBottom w:val="0"/>
      <w:divBdr>
        <w:top w:val="none" w:sz="0" w:space="0" w:color="auto"/>
        <w:left w:val="none" w:sz="0" w:space="0" w:color="auto"/>
        <w:bottom w:val="none" w:sz="0" w:space="0" w:color="auto"/>
        <w:right w:val="none" w:sz="0" w:space="0" w:color="auto"/>
      </w:divBdr>
    </w:div>
    <w:div w:id="623272138">
      <w:bodyDiv w:val="1"/>
      <w:marLeft w:val="0"/>
      <w:marRight w:val="0"/>
      <w:marTop w:val="0"/>
      <w:marBottom w:val="0"/>
      <w:divBdr>
        <w:top w:val="none" w:sz="0" w:space="0" w:color="auto"/>
        <w:left w:val="none" w:sz="0" w:space="0" w:color="auto"/>
        <w:bottom w:val="none" w:sz="0" w:space="0" w:color="auto"/>
        <w:right w:val="none" w:sz="0" w:space="0" w:color="auto"/>
      </w:divBdr>
    </w:div>
    <w:div w:id="624165689">
      <w:bodyDiv w:val="1"/>
      <w:marLeft w:val="0"/>
      <w:marRight w:val="0"/>
      <w:marTop w:val="0"/>
      <w:marBottom w:val="0"/>
      <w:divBdr>
        <w:top w:val="none" w:sz="0" w:space="0" w:color="auto"/>
        <w:left w:val="none" w:sz="0" w:space="0" w:color="auto"/>
        <w:bottom w:val="none" w:sz="0" w:space="0" w:color="auto"/>
        <w:right w:val="none" w:sz="0" w:space="0" w:color="auto"/>
      </w:divBdr>
    </w:div>
    <w:div w:id="664893551">
      <w:bodyDiv w:val="1"/>
      <w:marLeft w:val="0"/>
      <w:marRight w:val="0"/>
      <w:marTop w:val="0"/>
      <w:marBottom w:val="0"/>
      <w:divBdr>
        <w:top w:val="none" w:sz="0" w:space="0" w:color="auto"/>
        <w:left w:val="none" w:sz="0" w:space="0" w:color="auto"/>
        <w:bottom w:val="none" w:sz="0" w:space="0" w:color="auto"/>
        <w:right w:val="none" w:sz="0" w:space="0" w:color="auto"/>
      </w:divBdr>
    </w:div>
    <w:div w:id="690499470">
      <w:bodyDiv w:val="1"/>
      <w:marLeft w:val="0"/>
      <w:marRight w:val="0"/>
      <w:marTop w:val="0"/>
      <w:marBottom w:val="0"/>
      <w:divBdr>
        <w:top w:val="none" w:sz="0" w:space="0" w:color="auto"/>
        <w:left w:val="none" w:sz="0" w:space="0" w:color="auto"/>
        <w:bottom w:val="none" w:sz="0" w:space="0" w:color="auto"/>
        <w:right w:val="none" w:sz="0" w:space="0" w:color="auto"/>
      </w:divBdr>
    </w:div>
    <w:div w:id="715618506">
      <w:bodyDiv w:val="1"/>
      <w:marLeft w:val="0"/>
      <w:marRight w:val="0"/>
      <w:marTop w:val="0"/>
      <w:marBottom w:val="0"/>
      <w:divBdr>
        <w:top w:val="none" w:sz="0" w:space="0" w:color="auto"/>
        <w:left w:val="none" w:sz="0" w:space="0" w:color="auto"/>
        <w:bottom w:val="none" w:sz="0" w:space="0" w:color="auto"/>
        <w:right w:val="none" w:sz="0" w:space="0" w:color="auto"/>
      </w:divBdr>
    </w:div>
    <w:div w:id="730079344">
      <w:bodyDiv w:val="1"/>
      <w:marLeft w:val="0"/>
      <w:marRight w:val="0"/>
      <w:marTop w:val="0"/>
      <w:marBottom w:val="0"/>
      <w:divBdr>
        <w:top w:val="none" w:sz="0" w:space="0" w:color="auto"/>
        <w:left w:val="none" w:sz="0" w:space="0" w:color="auto"/>
        <w:bottom w:val="none" w:sz="0" w:space="0" w:color="auto"/>
        <w:right w:val="none" w:sz="0" w:space="0" w:color="auto"/>
      </w:divBdr>
    </w:div>
    <w:div w:id="778649222">
      <w:bodyDiv w:val="1"/>
      <w:marLeft w:val="0"/>
      <w:marRight w:val="0"/>
      <w:marTop w:val="0"/>
      <w:marBottom w:val="0"/>
      <w:divBdr>
        <w:top w:val="none" w:sz="0" w:space="0" w:color="auto"/>
        <w:left w:val="none" w:sz="0" w:space="0" w:color="auto"/>
        <w:bottom w:val="none" w:sz="0" w:space="0" w:color="auto"/>
        <w:right w:val="none" w:sz="0" w:space="0" w:color="auto"/>
      </w:divBdr>
    </w:div>
    <w:div w:id="845483140">
      <w:bodyDiv w:val="1"/>
      <w:marLeft w:val="0"/>
      <w:marRight w:val="0"/>
      <w:marTop w:val="0"/>
      <w:marBottom w:val="0"/>
      <w:divBdr>
        <w:top w:val="none" w:sz="0" w:space="0" w:color="auto"/>
        <w:left w:val="none" w:sz="0" w:space="0" w:color="auto"/>
        <w:bottom w:val="none" w:sz="0" w:space="0" w:color="auto"/>
        <w:right w:val="none" w:sz="0" w:space="0" w:color="auto"/>
      </w:divBdr>
      <w:divsChild>
        <w:div w:id="186333690">
          <w:marLeft w:val="0"/>
          <w:marRight w:val="0"/>
          <w:marTop w:val="0"/>
          <w:marBottom w:val="0"/>
          <w:divBdr>
            <w:top w:val="none" w:sz="0" w:space="0" w:color="auto"/>
            <w:left w:val="none" w:sz="0" w:space="0" w:color="auto"/>
            <w:bottom w:val="none" w:sz="0" w:space="0" w:color="auto"/>
            <w:right w:val="none" w:sz="0" w:space="0" w:color="auto"/>
          </w:divBdr>
        </w:div>
        <w:div w:id="1466268175">
          <w:marLeft w:val="0"/>
          <w:marRight w:val="0"/>
          <w:marTop w:val="0"/>
          <w:marBottom w:val="0"/>
          <w:divBdr>
            <w:top w:val="none" w:sz="0" w:space="0" w:color="auto"/>
            <w:left w:val="none" w:sz="0" w:space="0" w:color="auto"/>
            <w:bottom w:val="none" w:sz="0" w:space="0" w:color="auto"/>
            <w:right w:val="none" w:sz="0" w:space="0" w:color="auto"/>
          </w:divBdr>
        </w:div>
      </w:divsChild>
    </w:div>
    <w:div w:id="920601491">
      <w:bodyDiv w:val="1"/>
      <w:marLeft w:val="0"/>
      <w:marRight w:val="0"/>
      <w:marTop w:val="0"/>
      <w:marBottom w:val="0"/>
      <w:divBdr>
        <w:top w:val="none" w:sz="0" w:space="0" w:color="auto"/>
        <w:left w:val="none" w:sz="0" w:space="0" w:color="auto"/>
        <w:bottom w:val="none" w:sz="0" w:space="0" w:color="auto"/>
        <w:right w:val="none" w:sz="0" w:space="0" w:color="auto"/>
      </w:divBdr>
      <w:divsChild>
        <w:div w:id="480344688">
          <w:marLeft w:val="0"/>
          <w:marRight w:val="0"/>
          <w:marTop w:val="0"/>
          <w:marBottom w:val="0"/>
          <w:divBdr>
            <w:top w:val="none" w:sz="0" w:space="0" w:color="auto"/>
            <w:left w:val="none" w:sz="0" w:space="0" w:color="auto"/>
            <w:bottom w:val="none" w:sz="0" w:space="0" w:color="auto"/>
            <w:right w:val="none" w:sz="0" w:space="0" w:color="auto"/>
          </w:divBdr>
        </w:div>
        <w:div w:id="1806386101">
          <w:marLeft w:val="0"/>
          <w:marRight w:val="0"/>
          <w:marTop w:val="0"/>
          <w:marBottom w:val="0"/>
          <w:divBdr>
            <w:top w:val="none" w:sz="0" w:space="0" w:color="auto"/>
            <w:left w:val="none" w:sz="0" w:space="0" w:color="auto"/>
            <w:bottom w:val="none" w:sz="0" w:space="0" w:color="auto"/>
            <w:right w:val="none" w:sz="0" w:space="0" w:color="auto"/>
          </w:divBdr>
        </w:div>
      </w:divsChild>
    </w:div>
    <w:div w:id="922907892">
      <w:bodyDiv w:val="1"/>
      <w:marLeft w:val="0"/>
      <w:marRight w:val="0"/>
      <w:marTop w:val="0"/>
      <w:marBottom w:val="0"/>
      <w:divBdr>
        <w:top w:val="none" w:sz="0" w:space="0" w:color="auto"/>
        <w:left w:val="none" w:sz="0" w:space="0" w:color="auto"/>
        <w:bottom w:val="none" w:sz="0" w:space="0" w:color="auto"/>
        <w:right w:val="none" w:sz="0" w:space="0" w:color="auto"/>
      </w:divBdr>
    </w:div>
    <w:div w:id="952635958">
      <w:bodyDiv w:val="1"/>
      <w:marLeft w:val="0"/>
      <w:marRight w:val="0"/>
      <w:marTop w:val="0"/>
      <w:marBottom w:val="0"/>
      <w:divBdr>
        <w:top w:val="none" w:sz="0" w:space="0" w:color="auto"/>
        <w:left w:val="none" w:sz="0" w:space="0" w:color="auto"/>
        <w:bottom w:val="none" w:sz="0" w:space="0" w:color="auto"/>
        <w:right w:val="none" w:sz="0" w:space="0" w:color="auto"/>
      </w:divBdr>
    </w:div>
    <w:div w:id="995643765">
      <w:bodyDiv w:val="1"/>
      <w:marLeft w:val="0"/>
      <w:marRight w:val="0"/>
      <w:marTop w:val="0"/>
      <w:marBottom w:val="0"/>
      <w:divBdr>
        <w:top w:val="none" w:sz="0" w:space="0" w:color="auto"/>
        <w:left w:val="none" w:sz="0" w:space="0" w:color="auto"/>
        <w:bottom w:val="none" w:sz="0" w:space="0" w:color="auto"/>
        <w:right w:val="none" w:sz="0" w:space="0" w:color="auto"/>
      </w:divBdr>
    </w:div>
    <w:div w:id="1021469994">
      <w:bodyDiv w:val="1"/>
      <w:marLeft w:val="0"/>
      <w:marRight w:val="0"/>
      <w:marTop w:val="0"/>
      <w:marBottom w:val="0"/>
      <w:divBdr>
        <w:top w:val="none" w:sz="0" w:space="0" w:color="auto"/>
        <w:left w:val="none" w:sz="0" w:space="0" w:color="auto"/>
        <w:bottom w:val="none" w:sz="0" w:space="0" w:color="auto"/>
        <w:right w:val="none" w:sz="0" w:space="0" w:color="auto"/>
      </w:divBdr>
    </w:div>
    <w:div w:id="1033114355">
      <w:bodyDiv w:val="1"/>
      <w:marLeft w:val="0"/>
      <w:marRight w:val="0"/>
      <w:marTop w:val="0"/>
      <w:marBottom w:val="0"/>
      <w:divBdr>
        <w:top w:val="none" w:sz="0" w:space="0" w:color="auto"/>
        <w:left w:val="none" w:sz="0" w:space="0" w:color="auto"/>
        <w:bottom w:val="none" w:sz="0" w:space="0" w:color="auto"/>
        <w:right w:val="none" w:sz="0" w:space="0" w:color="auto"/>
      </w:divBdr>
    </w:div>
    <w:div w:id="1040013921">
      <w:bodyDiv w:val="1"/>
      <w:marLeft w:val="0"/>
      <w:marRight w:val="0"/>
      <w:marTop w:val="0"/>
      <w:marBottom w:val="0"/>
      <w:divBdr>
        <w:top w:val="none" w:sz="0" w:space="0" w:color="auto"/>
        <w:left w:val="none" w:sz="0" w:space="0" w:color="auto"/>
        <w:bottom w:val="none" w:sz="0" w:space="0" w:color="auto"/>
        <w:right w:val="none" w:sz="0" w:space="0" w:color="auto"/>
      </w:divBdr>
    </w:div>
    <w:div w:id="1060641605">
      <w:bodyDiv w:val="1"/>
      <w:marLeft w:val="0"/>
      <w:marRight w:val="0"/>
      <w:marTop w:val="0"/>
      <w:marBottom w:val="0"/>
      <w:divBdr>
        <w:top w:val="none" w:sz="0" w:space="0" w:color="auto"/>
        <w:left w:val="none" w:sz="0" w:space="0" w:color="auto"/>
        <w:bottom w:val="none" w:sz="0" w:space="0" w:color="auto"/>
        <w:right w:val="none" w:sz="0" w:space="0" w:color="auto"/>
      </w:divBdr>
    </w:div>
    <w:div w:id="1072776401">
      <w:bodyDiv w:val="1"/>
      <w:marLeft w:val="0"/>
      <w:marRight w:val="0"/>
      <w:marTop w:val="0"/>
      <w:marBottom w:val="0"/>
      <w:divBdr>
        <w:top w:val="none" w:sz="0" w:space="0" w:color="auto"/>
        <w:left w:val="none" w:sz="0" w:space="0" w:color="auto"/>
        <w:bottom w:val="none" w:sz="0" w:space="0" w:color="auto"/>
        <w:right w:val="none" w:sz="0" w:space="0" w:color="auto"/>
      </w:divBdr>
    </w:div>
    <w:div w:id="1077748922">
      <w:bodyDiv w:val="1"/>
      <w:marLeft w:val="0"/>
      <w:marRight w:val="0"/>
      <w:marTop w:val="0"/>
      <w:marBottom w:val="0"/>
      <w:divBdr>
        <w:top w:val="none" w:sz="0" w:space="0" w:color="auto"/>
        <w:left w:val="none" w:sz="0" w:space="0" w:color="auto"/>
        <w:bottom w:val="none" w:sz="0" w:space="0" w:color="auto"/>
        <w:right w:val="none" w:sz="0" w:space="0" w:color="auto"/>
      </w:divBdr>
    </w:div>
    <w:div w:id="1096973417">
      <w:bodyDiv w:val="1"/>
      <w:marLeft w:val="0"/>
      <w:marRight w:val="0"/>
      <w:marTop w:val="0"/>
      <w:marBottom w:val="0"/>
      <w:divBdr>
        <w:top w:val="none" w:sz="0" w:space="0" w:color="auto"/>
        <w:left w:val="none" w:sz="0" w:space="0" w:color="auto"/>
        <w:bottom w:val="none" w:sz="0" w:space="0" w:color="auto"/>
        <w:right w:val="none" w:sz="0" w:space="0" w:color="auto"/>
      </w:divBdr>
    </w:div>
    <w:div w:id="1144007864">
      <w:bodyDiv w:val="1"/>
      <w:marLeft w:val="0"/>
      <w:marRight w:val="0"/>
      <w:marTop w:val="0"/>
      <w:marBottom w:val="0"/>
      <w:divBdr>
        <w:top w:val="none" w:sz="0" w:space="0" w:color="auto"/>
        <w:left w:val="none" w:sz="0" w:space="0" w:color="auto"/>
        <w:bottom w:val="none" w:sz="0" w:space="0" w:color="auto"/>
        <w:right w:val="none" w:sz="0" w:space="0" w:color="auto"/>
      </w:divBdr>
    </w:div>
    <w:div w:id="1180967898">
      <w:bodyDiv w:val="1"/>
      <w:marLeft w:val="0"/>
      <w:marRight w:val="0"/>
      <w:marTop w:val="0"/>
      <w:marBottom w:val="0"/>
      <w:divBdr>
        <w:top w:val="none" w:sz="0" w:space="0" w:color="auto"/>
        <w:left w:val="none" w:sz="0" w:space="0" w:color="auto"/>
        <w:bottom w:val="none" w:sz="0" w:space="0" w:color="auto"/>
        <w:right w:val="none" w:sz="0" w:space="0" w:color="auto"/>
      </w:divBdr>
    </w:div>
    <w:div w:id="1187254042">
      <w:bodyDiv w:val="1"/>
      <w:marLeft w:val="0"/>
      <w:marRight w:val="0"/>
      <w:marTop w:val="0"/>
      <w:marBottom w:val="0"/>
      <w:divBdr>
        <w:top w:val="none" w:sz="0" w:space="0" w:color="auto"/>
        <w:left w:val="none" w:sz="0" w:space="0" w:color="auto"/>
        <w:bottom w:val="none" w:sz="0" w:space="0" w:color="auto"/>
        <w:right w:val="none" w:sz="0" w:space="0" w:color="auto"/>
      </w:divBdr>
      <w:divsChild>
        <w:div w:id="128206074">
          <w:marLeft w:val="0"/>
          <w:marRight w:val="0"/>
          <w:marTop w:val="0"/>
          <w:marBottom w:val="0"/>
          <w:divBdr>
            <w:top w:val="none" w:sz="0" w:space="0" w:color="auto"/>
            <w:left w:val="none" w:sz="0" w:space="0" w:color="auto"/>
            <w:bottom w:val="none" w:sz="0" w:space="0" w:color="auto"/>
            <w:right w:val="none" w:sz="0" w:space="0" w:color="auto"/>
          </w:divBdr>
        </w:div>
        <w:div w:id="1410999394">
          <w:marLeft w:val="0"/>
          <w:marRight w:val="0"/>
          <w:marTop w:val="0"/>
          <w:marBottom w:val="0"/>
          <w:divBdr>
            <w:top w:val="none" w:sz="0" w:space="0" w:color="auto"/>
            <w:left w:val="none" w:sz="0" w:space="0" w:color="auto"/>
            <w:bottom w:val="none" w:sz="0" w:space="0" w:color="auto"/>
            <w:right w:val="none" w:sz="0" w:space="0" w:color="auto"/>
          </w:divBdr>
        </w:div>
      </w:divsChild>
    </w:div>
    <w:div w:id="1307583371">
      <w:bodyDiv w:val="1"/>
      <w:marLeft w:val="0"/>
      <w:marRight w:val="0"/>
      <w:marTop w:val="0"/>
      <w:marBottom w:val="0"/>
      <w:divBdr>
        <w:top w:val="none" w:sz="0" w:space="0" w:color="auto"/>
        <w:left w:val="none" w:sz="0" w:space="0" w:color="auto"/>
        <w:bottom w:val="none" w:sz="0" w:space="0" w:color="auto"/>
        <w:right w:val="none" w:sz="0" w:space="0" w:color="auto"/>
      </w:divBdr>
    </w:div>
    <w:div w:id="1379403759">
      <w:bodyDiv w:val="1"/>
      <w:marLeft w:val="0"/>
      <w:marRight w:val="0"/>
      <w:marTop w:val="0"/>
      <w:marBottom w:val="0"/>
      <w:divBdr>
        <w:top w:val="none" w:sz="0" w:space="0" w:color="auto"/>
        <w:left w:val="none" w:sz="0" w:space="0" w:color="auto"/>
        <w:bottom w:val="none" w:sz="0" w:space="0" w:color="auto"/>
        <w:right w:val="none" w:sz="0" w:space="0" w:color="auto"/>
      </w:divBdr>
    </w:div>
    <w:div w:id="1391537349">
      <w:bodyDiv w:val="1"/>
      <w:marLeft w:val="0"/>
      <w:marRight w:val="0"/>
      <w:marTop w:val="0"/>
      <w:marBottom w:val="0"/>
      <w:divBdr>
        <w:top w:val="none" w:sz="0" w:space="0" w:color="auto"/>
        <w:left w:val="none" w:sz="0" w:space="0" w:color="auto"/>
        <w:bottom w:val="none" w:sz="0" w:space="0" w:color="auto"/>
        <w:right w:val="none" w:sz="0" w:space="0" w:color="auto"/>
      </w:divBdr>
    </w:div>
    <w:div w:id="1518814695">
      <w:bodyDiv w:val="1"/>
      <w:marLeft w:val="0"/>
      <w:marRight w:val="0"/>
      <w:marTop w:val="0"/>
      <w:marBottom w:val="0"/>
      <w:divBdr>
        <w:top w:val="none" w:sz="0" w:space="0" w:color="auto"/>
        <w:left w:val="none" w:sz="0" w:space="0" w:color="auto"/>
        <w:bottom w:val="none" w:sz="0" w:space="0" w:color="auto"/>
        <w:right w:val="none" w:sz="0" w:space="0" w:color="auto"/>
      </w:divBdr>
    </w:div>
    <w:div w:id="1588806659">
      <w:bodyDiv w:val="1"/>
      <w:marLeft w:val="0"/>
      <w:marRight w:val="0"/>
      <w:marTop w:val="0"/>
      <w:marBottom w:val="0"/>
      <w:divBdr>
        <w:top w:val="none" w:sz="0" w:space="0" w:color="auto"/>
        <w:left w:val="none" w:sz="0" w:space="0" w:color="auto"/>
        <w:bottom w:val="none" w:sz="0" w:space="0" w:color="auto"/>
        <w:right w:val="none" w:sz="0" w:space="0" w:color="auto"/>
      </w:divBdr>
    </w:div>
    <w:div w:id="1606110878">
      <w:bodyDiv w:val="1"/>
      <w:marLeft w:val="0"/>
      <w:marRight w:val="0"/>
      <w:marTop w:val="0"/>
      <w:marBottom w:val="0"/>
      <w:divBdr>
        <w:top w:val="none" w:sz="0" w:space="0" w:color="auto"/>
        <w:left w:val="none" w:sz="0" w:space="0" w:color="auto"/>
        <w:bottom w:val="none" w:sz="0" w:space="0" w:color="auto"/>
        <w:right w:val="none" w:sz="0" w:space="0" w:color="auto"/>
      </w:divBdr>
      <w:divsChild>
        <w:div w:id="910389233">
          <w:marLeft w:val="240"/>
          <w:marRight w:val="0"/>
          <w:marTop w:val="0"/>
          <w:marBottom w:val="0"/>
          <w:divBdr>
            <w:top w:val="none" w:sz="0" w:space="0" w:color="auto"/>
            <w:left w:val="none" w:sz="0" w:space="0" w:color="auto"/>
            <w:bottom w:val="none" w:sz="0" w:space="0" w:color="auto"/>
            <w:right w:val="none" w:sz="0" w:space="0" w:color="auto"/>
          </w:divBdr>
          <w:divsChild>
            <w:div w:id="402794747">
              <w:marLeft w:val="0"/>
              <w:marRight w:val="0"/>
              <w:marTop w:val="0"/>
              <w:marBottom w:val="48"/>
              <w:divBdr>
                <w:top w:val="none" w:sz="0" w:space="0" w:color="auto"/>
                <w:left w:val="none" w:sz="0" w:space="0" w:color="auto"/>
                <w:bottom w:val="none" w:sz="0" w:space="0" w:color="auto"/>
                <w:right w:val="none" w:sz="0" w:space="0" w:color="auto"/>
              </w:divBdr>
            </w:div>
            <w:div w:id="801046709">
              <w:marLeft w:val="0"/>
              <w:marRight w:val="0"/>
              <w:marTop w:val="0"/>
              <w:marBottom w:val="48"/>
              <w:divBdr>
                <w:top w:val="none" w:sz="0" w:space="0" w:color="auto"/>
                <w:left w:val="none" w:sz="0" w:space="0" w:color="auto"/>
                <w:bottom w:val="none" w:sz="0" w:space="0" w:color="auto"/>
                <w:right w:val="none" w:sz="0" w:space="0" w:color="auto"/>
              </w:divBdr>
            </w:div>
          </w:divsChild>
        </w:div>
        <w:div w:id="1017463905">
          <w:marLeft w:val="240"/>
          <w:marRight w:val="0"/>
          <w:marTop w:val="0"/>
          <w:marBottom w:val="0"/>
          <w:divBdr>
            <w:top w:val="none" w:sz="0" w:space="0" w:color="auto"/>
            <w:left w:val="none" w:sz="0" w:space="0" w:color="auto"/>
            <w:bottom w:val="none" w:sz="0" w:space="0" w:color="auto"/>
            <w:right w:val="none" w:sz="0" w:space="0" w:color="auto"/>
          </w:divBdr>
          <w:divsChild>
            <w:div w:id="524102420">
              <w:marLeft w:val="0"/>
              <w:marRight w:val="0"/>
              <w:marTop w:val="0"/>
              <w:marBottom w:val="48"/>
              <w:divBdr>
                <w:top w:val="none" w:sz="0" w:space="0" w:color="auto"/>
                <w:left w:val="none" w:sz="0" w:space="0" w:color="auto"/>
                <w:bottom w:val="none" w:sz="0" w:space="0" w:color="auto"/>
                <w:right w:val="none" w:sz="0" w:space="0" w:color="auto"/>
              </w:divBdr>
            </w:div>
            <w:div w:id="1168398925">
              <w:marLeft w:val="0"/>
              <w:marRight w:val="0"/>
              <w:marTop w:val="0"/>
              <w:marBottom w:val="48"/>
              <w:divBdr>
                <w:top w:val="none" w:sz="0" w:space="0" w:color="auto"/>
                <w:left w:val="none" w:sz="0" w:space="0" w:color="auto"/>
                <w:bottom w:val="none" w:sz="0" w:space="0" w:color="auto"/>
                <w:right w:val="none" w:sz="0" w:space="0" w:color="auto"/>
              </w:divBdr>
            </w:div>
            <w:div w:id="179629122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23945614">
      <w:bodyDiv w:val="1"/>
      <w:marLeft w:val="0"/>
      <w:marRight w:val="0"/>
      <w:marTop w:val="0"/>
      <w:marBottom w:val="0"/>
      <w:divBdr>
        <w:top w:val="none" w:sz="0" w:space="0" w:color="auto"/>
        <w:left w:val="none" w:sz="0" w:space="0" w:color="auto"/>
        <w:bottom w:val="none" w:sz="0" w:space="0" w:color="auto"/>
        <w:right w:val="none" w:sz="0" w:space="0" w:color="auto"/>
      </w:divBdr>
    </w:div>
    <w:div w:id="1806971832">
      <w:bodyDiv w:val="1"/>
      <w:marLeft w:val="0"/>
      <w:marRight w:val="0"/>
      <w:marTop w:val="0"/>
      <w:marBottom w:val="0"/>
      <w:divBdr>
        <w:top w:val="none" w:sz="0" w:space="0" w:color="auto"/>
        <w:left w:val="none" w:sz="0" w:space="0" w:color="auto"/>
        <w:bottom w:val="none" w:sz="0" w:space="0" w:color="auto"/>
        <w:right w:val="none" w:sz="0" w:space="0" w:color="auto"/>
      </w:divBdr>
    </w:div>
    <w:div w:id="1885097852">
      <w:bodyDiv w:val="1"/>
      <w:marLeft w:val="0"/>
      <w:marRight w:val="0"/>
      <w:marTop w:val="0"/>
      <w:marBottom w:val="0"/>
      <w:divBdr>
        <w:top w:val="none" w:sz="0" w:space="0" w:color="auto"/>
        <w:left w:val="none" w:sz="0" w:space="0" w:color="auto"/>
        <w:bottom w:val="none" w:sz="0" w:space="0" w:color="auto"/>
        <w:right w:val="none" w:sz="0" w:space="0" w:color="auto"/>
      </w:divBdr>
    </w:div>
    <w:div w:id="1894777573">
      <w:bodyDiv w:val="1"/>
      <w:marLeft w:val="0"/>
      <w:marRight w:val="0"/>
      <w:marTop w:val="0"/>
      <w:marBottom w:val="0"/>
      <w:divBdr>
        <w:top w:val="none" w:sz="0" w:space="0" w:color="auto"/>
        <w:left w:val="none" w:sz="0" w:space="0" w:color="auto"/>
        <w:bottom w:val="none" w:sz="0" w:space="0" w:color="auto"/>
        <w:right w:val="none" w:sz="0" w:space="0" w:color="auto"/>
      </w:divBdr>
    </w:div>
    <w:div w:id="20253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ntia.doc.gov/files/merit_case_study_report_order_number_d10pd186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oseph.Sorresso\AppData\Local\Microsoft\Windows\Temporary%20Internet%20Files\Content.MSO\3CB8D1CC.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3CB8D1CC.tmp</Template>
  <TotalTime>0</TotalTime>
  <Pages>3</Pages>
  <Words>1998</Words>
  <Characters>10975</Characters>
  <Application>Microsoft Office Word</Application>
  <DocSecurity>0</DocSecurity>
  <Lines>262</Lines>
  <Paragraphs>103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2012-10-22T18:51:00Z</cp:lastPrinted>
  <dcterms:created xsi:type="dcterms:W3CDTF">2015-06-29T18:48:00Z</dcterms:created>
  <dcterms:modified xsi:type="dcterms:W3CDTF">2015-06-29T18:48:00Z</dcterms:modified>
  <cp:category> </cp:category>
  <cp:contentStatus> </cp:contentStatus>
</cp:coreProperties>
</file>