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E3" w:rsidRPr="00E960F1" w:rsidRDefault="00E273E3" w:rsidP="00E960F1">
      <w:pPr>
        <w:widowControl/>
        <w:jc w:val="center"/>
        <w:rPr>
          <w:b/>
          <w:szCs w:val="22"/>
        </w:rPr>
      </w:pPr>
      <w:bookmarkStart w:id="0" w:name="_GoBack"/>
      <w:bookmarkEnd w:id="0"/>
      <w:r w:rsidRPr="00E960F1">
        <w:rPr>
          <w:b/>
          <w:kern w:val="0"/>
          <w:szCs w:val="22"/>
        </w:rPr>
        <w:t>Before</w:t>
      </w:r>
      <w:r w:rsidRPr="00E960F1">
        <w:rPr>
          <w:b/>
          <w:szCs w:val="22"/>
        </w:rPr>
        <w:t xml:space="preserve"> the</w:t>
      </w:r>
    </w:p>
    <w:p w:rsidR="00E273E3" w:rsidRPr="00E960F1" w:rsidRDefault="00E273E3" w:rsidP="00E960F1">
      <w:pPr>
        <w:pStyle w:val="StyleBoldCentered"/>
        <w:widowControl/>
        <w:rPr>
          <w:rFonts w:ascii="Times New Roman" w:hAnsi="Times New Roman"/>
        </w:rPr>
      </w:pPr>
      <w:r w:rsidRPr="00E960F1">
        <w:rPr>
          <w:rFonts w:ascii="Times New Roman" w:hAnsi="Times New Roman"/>
        </w:rPr>
        <w:t>F</w:t>
      </w:r>
      <w:r w:rsidRPr="00E960F1">
        <w:rPr>
          <w:rFonts w:ascii="Times New Roman" w:hAnsi="Times New Roman"/>
          <w:caps w:val="0"/>
        </w:rPr>
        <w:t>ederal Communications Commission</w:t>
      </w:r>
    </w:p>
    <w:p w:rsidR="00E273E3" w:rsidRPr="00E960F1" w:rsidRDefault="00E273E3" w:rsidP="00E960F1">
      <w:pPr>
        <w:pStyle w:val="StyleBoldCentered"/>
        <w:widowControl/>
        <w:rPr>
          <w:rFonts w:ascii="Times New Roman" w:hAnsi="Times New Roman"/>
        </w:rPr>
      </w:pPr>
      <w:r w:rsidRPr="00E960F1">
        <w:rPr>
          <w:rFonts w:ascii="Times New Roman" w:hAnsi="Times New Roman"/>
          <w:caps w:val="0"/>
        </w:rPr>
        <w:t>Washington</w:t>
      </w:r>
      <w:r w:rsidRPr="00E960F1">
        <w:rPr>
          <w:rFonts w:ascii="Times New Roman" w:hAnsi="Times New Roman"/>
        </w:rPr>
        <w:t>, DC 20554</w:t>
      </w:r>
    </w:p>
    <w:p w:rsidR="00E273E3" w:rsidRPr="00E960F1" w:rsidRDefault="00E273E3" w:rsidP="00E960F1">
      <w:pPr>
        <w:widowControl/>
        <w:rPr>
          <w:szCs w:val="22"/>
        </w:rPr>
      </w:pPr>
    </w:p>
    <w:tbl>
      <w:tblPr>
        <w:tblW w:w="0" w:type="auto"/>
        <w:tblLayout w:type="fixed"/>
        <w:tblLook w:val="0000" w:firstRow="0" w:lastRow="0" w:firstColumn="0" w:lastColumn="0" w:noHBand="0" w:noVBand="0"/>
      </w:tblPr>
      <w:tblGrid>
        <w:gridCol w:w="4698"/>
        <w:gridCol w:w="630"/>
        <w:gridCol w:w="4248"/>
      </w:tblGrid>
      <w:tr w:rsidR="00E273E3" w:rsidRPr="00E960F1">
        <w:tc>
          <w:tcPr>
            <w:tcW w:w="4698" w:type="dxa"/>
          </w:tcPr>
          <w:p w:rsidR="00E273E3" w:rsidRPr="00E960F1" w:rsidRDefault="00E273E3" w:rsidP="00E960F1">
            <w:pPr>
              <w:widowControl/>
              <w:suppressAutoHyphens/>
              <w:rPr>
                <w:spacing w:val="-2"/>
                <w:szCs w:val="22"/>
              </w:rPr>
            </w:pPr>
            <w:r w:rsidRPr="00E960F1">
              <w:rPr>
                <w:spacing w:val="-2"/>
                <w:szCs w:val="22"/>
              </w:rPr>
              <w:t>In the Matter of</w:t>
            </w:r>
          </w:p>
          <w:p w:rsidR="00E273E3" w:rsidRPr="00E960F1" w:rsidRDefault="00E273E3" w:rsidP="00E960F1">
            <w:pPr>
              <w:widowControl/>
              <w:suppressAutoHyphens/>
              <w:rPr>
                <w:spacing w:val="-2"/>
                <w:szCs w:val="22"/>
              </w:rPr>
            </w:pPr>
          </w:p>
          <w:p w:rsidR="00E706B8" w:rsidRPr="00E960F1" w:rsidRDefault="00E706B8" w:rsidP="00E960F1">
            <w:pPr>
              <w:widowControl/>
              <w:suppressAutoHyphens/>
              <w:rPr>
                <w:spacing w:val="-2"/>
                <w:szCs w:val="22"/>
              </w:rPr>
            </w:pPr>
            <w:r w:rsidRPr="00E960F1">
              <w:rPr>
                <w:spacing w:val="-2"/>
                <w:szCs w:val="22"/>
              </w:rPr>
              <w:t>Custom Computers d.b.a. Winchester Wireless</w:t>
            </w:r>
          </w:p>
          <w:p w:rsidR="00E706B8" w:rsidRPr="00E960F1" w:rsidRDefault="00E706B8" w:rsidP="00E960F1">
            <w:pPr>
              <w:widowControl/>
              <w:suppressAutoHyphens/>
              <w:rPr>
                <w:spacing w:val="-2"/>
                <w:szCs w:val="22"/>
              </w:rPr>
            </w:pPr>
          </w:p>
          <w:p w:rsidR="00E706B8" w:rsidRPr="00E960F1" w:rsidRDefault="00E706B8" w:rsidP="00E960F1">
            <w:pPr>
              <w:widowControl/>
              <w:suppressAutoHyphens/>
              <w:rPr>
                <w:spacing w:val="-2"/>
                <w:szCs w:val="22"/>
              </w:rPr>
            </w:pPr>
            <w:r w:rsidRPr="00E960F1">
              <w:rPr>
                <w:spacing w:val="-2"/>
                <w:szCs w:val="22"/>
              </w:rPr>
              <w:t>Operator of Wireless Internet Service Provider</w:t>
            </w:r>
          </w:p>
          <w:p w:rsidR="00E273E3" w:rsidRPr="00E960F1" w:rsidRDefault="00E706B8" w:rsidP="00E960F1">
            <w:pPr>
              <w:widowControl/>
              <w:suppressAutoHyphens/>
              <w:rPr>
                <w:spacing w:val="-2"/>
                <w:szCs w:val="22"/>
              </w:rPr>
            </w:pPr>
            <w:r w:rsidRPr="00E960F1">
              <w:rPr>
                <w:spacing w:val="-2"/>
                <w:szCs w:val="22"/>
              </w:rPr>
              <w:t>Winchester, VA</w:t>
            </w:r>
            <w:r w:rsidR="00E273E3" w:rsidRPr="00E960F1">
              <w:rPr>
                <w:spacing w:val="-2"/>
                <w:szCs w:val="22"/>
              </w:rPr>
              <w:t xml:space="preserve"> </w:t>
            </w:r>
          </w:p>
        </w:tc>
        <w:tc>
          <w:tcPr>
            <w:tcW w:w="630" w:type="dxa"/>
          </w:tcPr>
          <w:p w:rsidR="00E273E3" w:rsidRPr="00E960F1" w:rsidRDefault="00E273E3" w:rsidP="00E960F1">
            <w:pPr>
              <w:widowControl/>
              <w:suppressAutoHyphens/>
              <w:rPr>
                <w:spacing w:val="-2"/>
                <w:szCs w:val="22"/>
              </w:rPr>
            </w:pPr>
            <w:r w:rsidRPr="00E960F1">
              <w:rPr>
                <w:spacing w:val="-2"/>
                <w:szCs w:val="22"/>
              </w:rPr>
              <w:t>)</w:t>
            </w:r>
          </w:p>
          <w:p w:rsidR="00E273E3" w:rsidRPr="00E960F1" w:rsidRDefault="00E273E3" w:rsidP="00E960F1">
            <w:pPr>
              <w:widowControl/>
              <w:suppressAutoHyphens/>
              <w:rPr>
                <w:spacing w:val="-2"/>
                <w:szCs w:val="22"/>
              </w:rPr>
            </w:pPr>
            <w:r w:rsidRPr="00E960F1">
              <w:rPr>
                <w:spacing w:val="-2"/>
                <w:szCs w:val="22"/>
              </w:rPr>
              <w:t>)</w:t>
            </w:r>
          </w:p>
          <w:p w:rsidR="00E273E3" w:rsidRPr="00E960F1" w:rsidRDefault="00E273E3" w:rsidP="00E960F1">
            <w:pPr>
              <w:widowControl/>
              <w:suppressAutoHyphens/>
              <w:rPr>
                <w:spacing w:val="-2"/>
                <w:szCs w:val="22"/>
              </w:rPr>
            </w:pPr>
            <w:r w:rsidRPr="00E960F1">
              <w:rPr>
                <w:spacing w:val="-2"/>
                <w:szCs w:val="22"/>
              </w:rPr>
              <w:t>)</w:t>
            </w:r>
          </w:p>
          <w:p w:rsidR="00E273E3" w:rsidRPr="00E960F1" w:rsidRDefault="00E273E3" w:rsidP="00E960F1">
            <w:pPr>
              <w:widowControl/>
              <w:suppressAutoHyphens/>
              <w:rPr>
                <w:spacing w:val="-2"/>
                <w:szCs w:val="22"/>
              </w:rPr>
            </w:pPr>
            <w:r w:rsidRPr="00E960F1">
              <w:rPr>
                <w:spacing w:val="-2"/>
                <w:szCs w:val="22"/>
              </w:rPr>
              <w:t>)</w:t>
            </w:r>
          </w:p>
          <w:p w:rsidR="00E273E3" w:rsidRPr="00E960F1" w:rsidRDefault="00E273E3" w:rsidP="00E960F1">
            <w:pPr>
              <w:widowControl/>
              <w:suppressAutoHyphens/>
              <w:rPr>
                <w:spacing w:val="-2"/>
                <w:szCs w:val="22"/>
              </w:rPr>
            </w:pPr>
            <w:r w:rsidRPr="00E960F1">
              <w:rPr>
                <w:spacing w:val="-2"/>
                <w:szCs w:val="22"/>
              </w:rPr>
              <w:t>)</w:t>
            </w:r>
          </w:p>
          <w:p w:rsidR="00E706B8" w:rsidRPr="00E960F1" w:rsidRDefault="00E706B8" w:rsidP="00E960F1">
            <w:pPr>
              <w:widowControl/>
              <w:suppressAutoHyphens/>
              <w:rPr>
                <w:spacing w:val="-2"/>
                <w:szCs w:val="22"/>
              </w:rPr>
            </w:pPr>
            <w:r w:rsidRPr="00E960F1">
              <w:rPr>
                <w:spacing w:val="-2"/>
                <w:szCs w:val="22"/>
              </w:rPr>
              <w:t>)</w:t>
            </w:r>
          </w:p>
        </w:tc>
        <w:tc>
          <w:tcPr>
            <w:tcW w:w="4248" w:type="dxa"/>
          </w:tcPr>
          <w:p w:rsidR="00E273E3" w:rsidRPr="00E960F1" w:rsidRDefault="00E273E3" w:rsidP="00E960F1">
            <w:pPr>
              <w:widowControl/>
              <w:suppressAutoHyphens/>
              <w:rPr>
                <w:spacing w:val="-2"/>
                <w:szCs w:val="22"/>
              </w:rPr>
            </w:pPr>
          </w:p>
          <w:p w:rsidR="00E273E3" w:rsidRPr="00E960F1" w:rsidRDefault="00E273E3" w:rsidP="00E960F1">
            <w:pPr>
              <w:widowControl/>
              <w:suppressAutoHyphens/>
              <w:rPr>
                <w:spacing w:val="-2"/>
                <w:szCs w:val="22"/>
              </w:rPr>
            </w:pPr>
          </w:p>
          <w:p w:rsidR="00E273E3" w:rsidRPr="00E960F1" w:rsidRDefault="00E273E3" w:rsidP="00E960F1">
            <w:pPr>
              <w:widowControl/>
              <w:suppressAutoHyphens/>
              <w:ind w:left="432"/>
              <w:rPr>
                <w:spacing w:val="-2"/>
                <w:szCs w:val="22"/>
              </w:rPr>
            </w:pPr>
            <w:r w:rsidRPr="00E960F1">
              <w:rPr>
                <w:spacing w:val="-2"/>
                <w:szCs w:val="22"/>
              </w:rPr>
              <w:t>File No.:  EB-</w:t>
            </w:r>
            <w:r w:rsidR="00E706B8" w:rsidRPr="00E960F1">
              <w:rPr>
                <w:spacing w:val="-2"/>
                <w:szCs w:val="22"/>
              </w:rPr>
              <w:t>FIELDNER-13-000</w:t>
            </w:r>
            <w:r w:rsidR="00337C20" w:rsidRPr="00E960F1">
              <w:rPr>
                <w:spacing w:val="-2"/>
                <w:szCs w:val="22"/>
              </w:rPr>
              <w:t>0</w:t>
            </w:r>
            <w:r w:rsidR="00E706B8" w:rsidRPr="00E960F1">
              <w:rPr>
                <w:spacing w:val="-2"/>
                <w:szCs w:val="22"/>
              </w:rPr>
              <w:t>9170</w:t>
            </w:r>
          </w:p>
          <w:p w:rsidR="00E273E3" w:rsidRPr="00E960F1" w:rsidRDefault="00E273E3" w:rsidP="00E960F1">
            <w:pPr>
              <w:widowControl/>
              <w:suppressAutoHyphens/>
              <w:ind w:left="432"/>
              <w:rPr>
                <w:spacing w:val="-2"/>
                <w:szCs w:val="22"/>
              </w:rPr>
            </w:pPr>
            <w:r w:rsidRPr="00E960F1">
              <w:rPr>
                <w:spacing w:val="-2"/>
                <w:szCs w:val="22"/>
              </w:rPr>
              <w:t xml:space="preserve">NAL/Acct. No.:  </w:t>
            </w:r>
            <w:r w:rsidR="00435002" w:rsidRPr="00E960F1">
              <w:rPr>
                <w:spacing w:val="-2"/>
                <w:szCs w:val="22"/>
              </w:rPr>
              <w:t>20143234000</w:t>
            </w:r>
            <w:r w:rsidR="00E706B8" w:rsidRPr="00E960F1">
              <w:rPr>
                <w:spacing w:val="-2"/>
                <w:szCs w:val="22"/>
              </w:rPr>
              <w:t>1</w:t>
            </w:r>
          </w:p>
          <w:p w:rsidR="00E273E3" w:rsidRPr="00E960F1" w:rsidRDefault="00E273E3" w:rsidP="00E960F1">
            <w:pPr>
              <w:widowControl/>
              <w:suppressAutoHyphens/>
              <w:ind w:left="432"/>
              <w:rPr>
                <w:spacing w:val="-2"/>
                <w:szCs w:val="22"/>
              </w:rPr>
            </w:pPr>
            <w:r w:rsidRPr="00E960F1">
              <w:rPr>
                <w:spacing w:val="-2"/>
                <w:szCs w:val="22"/>
              </w:rPr>
              <w:t xml:space="preserve">FRN:  </w:t>
            </w:r>
            <w:r w:rsidR="00E706B8" w:rsidRPr="00E960F1">
              <w:rPr>
                <w:spacing w:val="-2"/>
                <w:szCs w:val="22"/>
              </w:rPr>
              <w:t>0023200199</w:t>
            </w:r>
          </w:p>
        </w:tc>
      </w:tr>
    </w:tbl>
    <w:p w:rsidR="00E273E3" w:rsidRPr="00E960F1" w:rsidRDefault="00E273E3" w:rsidP="00E960F1">
      <w:pPr>
        <w:widowControl/>
        <w:rPr>
          <w:szCs w:val="22"/>
        </w:rPr>
      </w:pPr>
    </w:p>
    <w:p w:rsidR="00E273E3" w:rsidRDefault="00E273E3" w:rsidP="00E960F1">
      <w:pPr>
        <w:pStyle w:val="StyleBoldCentered"/>
        <w:widowControl/>
        <w:rPr>
          <w:rFonts w:ascii="Times New Roman" w:hAnsi="Times New Roman"/>
        </w:rPr>
      </w:pPr>
      <w:r w:rsidRPr="00E960F1">
        <w:rPr>
          <w:rFonts w:ascii="Times New Roman" w:hAnsi="Times New Roman"/>
        </w:rPr>
        <w:t>forfeiture ORDER</w:t>
      </w:r>
    </w:p>
    <w:p w:rsidR="00257502" w:rsidRPr="00E960F1" w:rsidRDefault="00257502" w:rsidP="00E960F1">
      <w:pPr>
        <w:pStyle w:val="StyleBoldCentered"/>
        <w:widowControl/>
        <w:rPr>
          <w:rFonts w:ascii="Times New Roman" w:hAnsi="Times New Roman"/>
        </w:rPr>
      </w:pPr>
    </w:p>
    <w:p w:rsidR="00E273E3" w:rsidRPr="00E960F1" w:rsidRDefault="00E273E3" w:rsidP="00E960F1">
      <w:pPr>
        <w:widowControl/>
        <w:tabs>
          <w:tab w:val="right" w:pos="9360"/>
        </w:tabs>
        <w:suppressAutoHyphens/>
        <w:rPr>
          <w:spacing w:val="-2"/>
          <w:szCs w:val="22"/>
        </w:rPr>
      </w:pPr>
      <w:r w:rsidRPr="00E960F1">
        <w:rPr>
          <w:b/>
          <w:spacing w:val="-2"/>
          <w:szCs w:val="22"/>
        </w:rPr>
        <w:t xml:space="preserve">Adopted:  </w:t>
      </w:r>
      <w:r w:rsidR="004663E9">
        <w:rPr>
          <w:b/>
          <w:spacing w:val="-2"/>
          <w:szCs w:val="22"/>
        </w:rPr>
        <w:t>June 30, 2015</w:t>
      </w:r>
      <w:r w:rsidR="006D2212" w:rsidRPr="00E960F1">
        <w:rPr>
          <w:b/>
          <w:spacing w:val="-2"/>
          <w:szCs w:val="22"/>
        </w:rPr>
        <w:tab/>
        <w:t xml:space="preserve">Released:  </w:t>
      </w:r>
      <w:r w:rsidR="004663E9">
        <w:rPr>
          <w:b/>
          <w:spacing w:val="-2"/>
          <w:szCs w:val="22"/>
        </w:rPr>
        <w:t>June 30, 2015</w:t>
      </w:r>
    </w:p>
    <w:p w:rsidR="00E273E3" w:rsidRPr="00E960F1" w:rsidRDefault="00E273E3" w:rsidP="00E960F1">
      <w:pPr>
        <w:widowControl/>
        <w:jc w:val="center"/>
        <w:rPr>
          <w:szCs w:val="22"/>
        </w:rPr>
      </w:pPr>
    </w:p>
    <w:p w:rsidR="00E273E3" w:rsidRPr="00E960F1" w:rsidRDefault="00E273E3" w:rsidP="00E960F1">
      <w:pPr>
        <w:widowControl/>
        <w:rPr>
          <w:spacing w:val="-2"/>
          <w:szCs w:val="22"/>
        </w:rPr>
      </w:pPr>
      <w:r w:rsidRPr="00E960F1">
        <w:rPr>
          <w:szCs w:val="22"/>
        </w:rPr>
        <w:t>By the Chief, Enforcement Bureau</w:t>
      </w:r>
      <w:r w:rsidRPr="00E960F1">
        <w:rPr>
          <w:spacing w:val="-2"/>
          <w:szCs w:val="22"/>
        </w:rPr>
        <w:t>:</w:t>
      </w:r>
    </w:p>
    <w:p w:rsidR="00E273E3" w:rsidRPr="00E960F1" w:rsidRDefault="00E273E3" w:rsidP="00E960F1">
      <w:pPr>
        <w:widowControl/>
        <w:rPr>
          <w:spacing w:val="-2"/>
          <w:szCs w:val="22"/>
        </w:rPr>
      </w:pPr>
    </w:p>
    <w:p w:rsidR="00E273E3" w:rsidRPr="00E960F1" w:rsidRDefault="00E273E3" w:rsidP="00E960F1">
      <w:pPr>
        <w:pStyle w:val="Heading1"/>
        <w:rPr>
          <w:rFonts w:ascii="Times New Roman" w:hAnsi="Times New Roman"/>
          <w:szCs w:val="22"/>
        </w:rPr>
      </w:pPr>
      <w:bookmarkStart w:id="1" w:name="_Toc379288998"/>
      <w:bookmarkStart w:id="2" w:name="_Toc379365499"/>
      <w:r w:rsidRPr="00E960F1">
        <w:rPr>
          <w:rFonts w:ascii="Times New Roman" w:hAnsi="Times New Roman"/>
          <w:szCs w:val="22"/>
        </w:rPr>
        <w:t>INTRODUCTION</w:t>
      </w:r>
      <w:bookmarkEnd w:id="1"/>
      <w:bookmarkEnd w:id="2"/>
    </w:p>
    <w:p w:rsidR="00E273E3" w:rsidRPr="00E960F1" w:rsidRDefault="00E273E3" w:rsidP="00E960F1">
      <w:pPr>
        <w:pStyle w:val="ParaNum"/>
        <w:rPr>
          <w:szCs w:val="22"/>
        </w:rPr>
      </w:pPr>
      <w:r w:rsidRPr="00E960F1">
        <w:rPr>
          <w:szCs w:val="22"/>
        </w:rPr>
        <w:t>We impose a penalty of $</w:t>
      </w:r>
      <w:r w:rsidR="005C2A35" w:rsidRPr="00E960F1">
        <w:rPr>
          <w:szCs w:val="22"/>
        </w:rPr>
        <w:t>4,8</w:t>
      </w:r>
      <w:r w:rsidR="003D4ADD" w:rsidRPr="00E960F1">
        <w:rPr>
          <w:szCs w:val="22"/>
        </w:rPr>
        <w:t>00</w:t>
      </w:r>
      <w:r w:rsidRPr="00E960F1">
        <w:rPr>
          <w:szCs w:val="22"/>
        </w:rPr>
        <w:t xml:space="preserve"> against </w:t>
      </w:r>
      <w:r w:rsidR="00974AAE" w:rsidRPr="00E960F1">
        <w:rPr>
          <w:szCs w:val="22"/>
        </w:rPr>
        <w:t>Custom Computers d.b.a</w:t>
      </w:r>
      <w:r w:rsidR="00543291" w:rsidRPr="00E960F1">
        <w:rPr>
          <w:szCs w:val="22"/>
        </w:rPr>
        <w:t>.</w:t>
      </w:r>
      <w:r w:rsidR="00974AAE" w:rsidRPr="00E960F1">
        <w:rPr>
          <w:szCs w:val="22"/>
        </w:rPr>
        <w:t xml:space="preserve"> Winchester Wireless (Winchester Wireless) </w:t>
      </w:r>
      <w:r w:rsidR="00852739" w:rsidRPr="00E960F1">
        <w:rPr>
          <w:szCs w:val="22"/>
        </w:rPr>
        <w:t xml:space="preserve">for </w:t>
      </w:r>
      <w:r w:rsidR="005C2A35" w:rsidRPr="00E960F1">
        <w:rPr>
          <w:szCs w:val="22"/>
        </w:rPr>
        <w:t xml:space="preserve">unauthorized use of external amplifiers </w:t>
      </w:r>
      <w:r w:rsidR="00EF3C85" w:rsidRPr="00E960F1">
        <w:rPr>
          <w:szCs w:val="22"/>
        </w:rPr>
        <w:t>at its transmitter sites.  U</w:t>
      </w:r>
      <w:r w:rsidR="00B066BF" w:rsidRPr="00E960F1">
        <w:rPr>
          <w:szCs w:val="22"/>
        </w:rPr>
        <w:t>nauthorized operations can</w:t>
      </w:r>
      <w:r w:rsidR="00EF3C85" w:rsidRPr="00E960F1">
        <w:rPr>
          <w:szCs w:val="22"/>
        </w:rPr>
        <w:t xml:space="preserve"> result in harmful interference to </w:t>
      </w:r>
      <w:r w:rsidR="00B066BF" w:rsidRPr="00E960F1">
        <w:rPr>
          <w:szCs w:val="22"/>
        </w:rPr>
        <w:t xml:space="preserve">licensed </w:t>
      </w:r>
      <w:r w:rsidR="005F1982">
        <w:rPr>
          <w:szCs w:val="22"/>
        </w:rPr>
        <w:t>spectrum users and void the</w:t>
      </w:r>
      <w:r w:rsidR="00194F25" w:rsidRPr="00E960F1">
        <w:rPr>
          <w:szCs w:val="22"/>
        </w:rPr>
        <w:t xml:space="preserve"> authority to </w:t>
      </w:r>
      <w:r w:rsidR="005F1982">
        <w:rPr>
          <w:szCs w:val="22"/>
        </w:rPr>
        <w:t xml:space="preserve">operate </w:t>
      </w:r>
      <w:r w:rsidR="00B066BF" w:rsidRPr="00E960F1">
        <w:rPr>
          <w:szCs w:val="22"/>
        </w:rPr>
        <w:t>without a license</w:t>
      </w:r>
      <w:r w:rsidR="00EF3C85" w:rsidRPr="00E960F1">
        <w:rPr>
          <w:szCs w:val="22"/>
        </w:rPr>
        <w:t>.</w:t>
      </w:r>
      <w:r w:rsidR="00B066BF" w:rsidRPr="00E960F1">
        <w:rPr>
          <w:szCs w:val="22"/>
        </w:rPr>
        <w:t xml:space="preserve">  Winchester Wireless does not deny that its transmitters were connected to external </w:t>
      </w:r>
      <w:r w:rsidR="00F93AE9" w:rsidRPr="00E960F1">
        <w:rPr>
          <w:szCs w:val="22"/>
        </w:rPr>
        <w:t xml:space="preserve">amplifiers </w:t>
      </w:r>
      <w:r w:rsidR="000D5916" w:rsidRPr="00E960F1">
        <w:rPr>
          <w:szCs w:val="22"/>
        </w:rPr>
        <w:t>or that its transmitters are</w:t>
      </w:r>
      <w:r w:rsidR="00B066BF" w:rsidRPr="00E960F1">
        <w:rPr>
          <w:szCs w:val="22"/>
        </w:rPr>
        <w:t xml:space="preserve"> not certified for use with external amplifiers.  However, Winchester Wireless requests cancellation of the penalty proposed against it</w:t>
      </w:r>
      <w:r w:rsidR="00194F25" w:rsidRPr="00E960F1">
        <w:rPr>
          <w:szCs w:val="22"/>
        </w:rPr>
        <w:t>, claiming</w:t>
      </w:r>
      <w:r w:rsidR="003928D6" w:rsidRPr="00E960F1">
        <w:rPr>
          <w:szCs w:val="22"/>
        </w:rPr>
        <w:t xml:space="preserve"> </w:t>
      </w:r>
      <w:r w:rsidR="00B066BF" w:rsidRPr="00E960F1">
        <w:rPr>
          <w:szCs w:val="22"/>
        </w:rPr>
        <w:t>the Enforcement Bureau (Bure</w:t>
      </w:r>
      <w:r w:rsidR="00194F25" w:rsidRPr="00E960F1">
        <w:rPr>
          <w:szCs w:val="22"/>
        </w:rPr>
        <w:t>au) failed to</w:t>
      </w:r>
      <w:r w:rsidR="00B066BF" w:rsidRPr="00E960F1">
        <w:rPr>
          <w:szCs w:val="22"/>
        </w:rPr>
        <w:t xml:space="preserve"> establish that </w:t>
      </w:r>
      <w:r w:rsidR="005F1982">
        <w:rPr>
          <w:szCs w:val="22"/>
        </w:rPr>
        <w:t xml:space="preserve">its transmitting equipment </w:t>
      </w:r>
      <w:r w:rsidR="00362FDA" w:rsidRPr="00E960F1">
        <w:rPr>
          <w:szCs w:val="22"/>
        </w:rPr>
        <w:t>was in</w:t>
      </w:r>
      <w:r w:rsidR="00F93AE9" w:rsidRPr="00E960F1">
        <w:rPr>
          <w:szCs w:val="22"/>
        </w:rPr>
        <w:t xml:space="preserve"> operation at the time of inspection</w:t>
      </w:r>
      <w:r w:rsidR="00362FDA" w:rsidRPr="00E960F1">
        <w:rPr>
          <w:szCs w:val="22"/>
        </w:rPr>
        <w:t xml:space="preserve"> or that it exercised </w:t>
      </w:r>
      <w:r w:rsidR="0082092A" w:rsidRPr="00E960F1">
        <w:rPr>
          <w:szCs w:val="22"/>
        </w:rPr>
        <w:t xml:space="preserve">control </w:t>
      </w:r>
      <w:r w:rsidR="00362FDA" w:rsidRPr="00E960F1">
        <w:rPr>
          <w:szCs w:val="22"/>
        </w:rPr>
        <w:t>over the</w:t>
      </w:r>
      <w:r w:rsidR="005F1982">
        <w:rPr>
          <w:szCs w:val="22"/>
        </w:rPr>
        <w:t xml:space="preserve"> transmitting</w:t>
      </w:r>
      <w:r w:rsidR="00362FDA" w:rsidRPr="00E960F1">
        <w:rPr>
          <w:szCs w:val="22"/>
        </w:rPr>
        <w:t xml:space="preserve"> equipment</w:t>
      </w:r>
      <w:r w:rsidR="00194F25" w:rsidRPr="00E960F1">
        <w:rPr>
          <w:szCs w:val="22"/>
        </w:rPr>
        <w:t xml:space="preserve">.  </w:t>
      </w:r>
      <w:r w:rsidR="003928D6" w:rsidRPr="00E960F1">
        <w:rPr>
          <w:szCs w:val="22"/>
        </w:rPr>
        <w:t xml:space="preserve">Winchester Wireless </w:t>
      </w:r>
      <w:r w:rsidR="005F1982">
        <w:rPr>
          <w:szCs w:val="22"/>
        </w:rPr>
        <w:t xml:space="preserve">also </w:t>
      </w:r>
      <w:r w:rsidR="003928D6" w:rsidRPr="00E960F1">
        <w:rPr>
          <w:szCs w:val="22"/>
        </w:rPr>
        <w:t xml:space="preserve">requests a </w:t>
      </w:r>
      <w:r w:rsidR="00194F25" w:rsidRPr="00E960F1">
        <w:rPr>
          <w:szCs w:val="22"/>
        </w:rPr>
        <w:t xml:space="preserve">forfeiture </w:t>
      </w:r>
      <w:r w:rsidR="003928D6" w:rsidRPr="00E960F1">
        <w:rPr>
          <w:szCs w:val="22"/>
        </w:rPr>
        <w:t xml:space="preserve">reduction based on its inability to pay.  </w:t>
      </w:r>
      <w:r w:rsidR="00194F25" w:rsidRPr="00E960F1">
        <w:rPr>
          <w:szCs w:val="22"/>
        </w:rPr>
        <w:t>W</w:t>
      </w:r>
      <w:r w:rsidR="009204E4" w:rsidRPr="00E960F1">
        <w:rPr>
          <w:szCs w:val="22"/>
        </w:rPr>
        <w:t xml:space="preserve">e </w:t>
      </w:r>
      <w:r w:rsidR="003928D6" w:rsidRPr="00E960F1">
        <w:rPr>
          <w:szCs w:val="22"/>
        </w:rPr>
        <w:t>find that Winchester Wireless</w:t>
      </w:r>
      <w:r w:rsidR="00362FDA" w:rsidRPr="00E960F1">
        <w:rPr>
          <w:szCs w:val="22"/>
        </w:rPr>
        <w:t>’s equipment was in operation during the inspection and that it</w:t>
      </w:r>
      <w:r w:rsidR="003928D6" w:rsidRPr="00E960F1">
        <w:rPr>
          <w:szCs w:val="22"/>
        </w:rPr>
        <w:t xml:space="preserve"> </w:t>
      </w:r>
      <w:r w:rsidR="005F1982">
        <w:rPr>
          <w:szCs w:val="22"/>
        </w:rPr>
        <w:t xml:space="preserve">exercised sufficient </w:t>
      </w:r>
      <w:r w:rsidR="0082092A" w:rsidRPr="00E960F1">
        <w:rPr>
          <w:szCs w:val="22"/>
        </w:rPr>
        <w:t>co</w:t>
      </w:r>
      <w:r w:rsidR="005F1982">
        <w:rPr>
          <w:szCs w:val="22"/>
        </w:rPr>
        <w:t>ntrol over the equipment to hold</w:t>
      </w:r>
      <w:r w:rsidR="0082092A" w:rsidRPr="00E960F1">
        <w:rPr>
          <w:szCs w:val="22"/>
        </w:rPr>
        <w:t xml:space="preserve"> it liable for</w:t>
      </w:r>
      <w:r w:rsidR="005F1982">
        <w:rPr>
          <w:szCs w:val="22"/>
        </w:rPr>
        <w:t xml:space="preserve"> the unauthorized operation violations</w:t>
      </w:r>
      <w:r w:rsidR="003928D6" w:rsidRPr="00E960F1">
        <w:rPr>
          <w:szCs w:val="22"/>
        </w:rPr>
        <w:t xml:space="preserve">.  We therefore </w:t>
      </w:r>
      <w:r w:rsidR="009204E4" w:rsidRPr="00E960F1">
        <w:rPr>
          <w:szCs w:val="22"/>
        </w:rPr>
        <w:t xml:space="preserve">find insufficient basis to cancel the forfeiture, but </w:t>
      </w:r>
      <w:r w:rsidR="000D5916" w:rsidRPr="00E960F1">
        <w:rPr>
          <w:szCs w:val="22"/>
        </w:rPr>
        <w:t>conclude that reducing the forfeiture to $4,800 is appropriate based on Winchester Wireless’s demonstrated inability to pay.</w:t>
      </w:r>
    </w:p>
    <w:p w:rsidR="00E273E3" w:rsidRPr="00E960F1" w:rsidRDefault="00E273E3" w:rsidP="00E960F1">
      <w:pPr>
        <w:pStyle w:val="Heading1"/>
        <w:rPr>
          <w:rFonts w:ascii="Times New Roman" w:hAnsi="Times New Roman"/>
          <w:szCs w:val="22"/>
        </w:rPr>
      </w:pPr>
      <w:bookmarkStart w:id="3" w:name="_Toc379288999"/>
      <w:bookmarkStart w:id="4" w:name="_Toc379365500"/>
      <w:r w:rsidRPr="00E960F1">
        <w:rPr>
          <w:rFonts w:ascii="Times New Roman" w:hAnsi="Times New Roman"/>
          <w:szCs w:val="22"/>
        </w:rPr>
        <w:t>BACKGROUND</w:t>
      </w:r>
      <w:bookmarkEnd w:id="3"/>
      <w:bookmarkEnd w:id="4"/>
    </w:p>
    <w:p w:rsidR="00435002" w:rsidRPr="00E960F1" w:rsidRDefault="00AD2D12" w:rsidP="00E960F1">
      <w:pPr>
        <w:pStyle w:val="ParaNum"/>
        <w:rPr>
          <w:szCs w:val="22"/>
        </w:rPr>
      </w:pPr>
      <w:r w:rsidRPr="00E960F1">
        <w:rPr>
          <w:spacing w:val="-2"/>
          <w:szCs w:val="22"/>
        </w:rPr>
        <w:t>On May 10, 2011, in response to a complaint</w:t>
      </w:r>
      <w:r w:rsidR="00463042" w:rsidRPr="00E960F1">
        <w:rPr>
          <w:spacing w:val="-2"/>
          <w:szCs w:val="22"/>
        </w:rPr>
        <w:t xml:space="preserve">, an agent from the </w:t>
      </w:r>
      <w:r w:rsidRPr="00E960F1">
        <w:rPr>
          <w:spacing w:val="-2"/>
          <w:szCs w:val="22"/>
        </w:rPr>
        <w:t>Bureau’s Co</w:t>
      </w:r>
      <w:r w:rsidR="00463042" w:rsidRPr="00E960F1">
        <w:rPr>
          <w:spacing w:val="-2"/>
          <w:szCs w:val="22"/>
        </w:rPr>
        <w:t xml:space="preserve">lumbia Office </w:t>
      </w:r>
      <w:r w:rsidRPr="00E960F1">
        <w:rPr>
          <w:spacing w:val="-2"/>
          <w:szCs w:val="22"/>
        </w:rPr>
        <w:t xml:space="preserve">inspected a </w:t>
      </w:r>
      <w:r w:rsidR="005F1982">
        <w:rPr>
          <w:spacing w:val="-2"/>
          <w:szCs w:val="22"/>
        </w:rPr>
        <w:t xml:space="preserve">transmitter </w:t>
      </w:r>
      <w:r w:rsidRPr="00E960F1">
        <w:rPr>
          <w:spacing w:val="-2"/>
          <w:szCs w:val="22"/>
        </w:rPr>
        <w:t>operated by Winch</w:t>
      </w:r>
      <w:r w:rsidR="000021C1" w:rsidRPr="00E960F1">
        <w:rPr>
          <w:spacing w:val="-2"/>
          <w:szCs w:val="22"/>
        </w:rPr>
        <w:t xml:space="preserve">ester Wireless </w:t>
      </w:r>
      <w:r w:rsidR="000C616C" w:rsidRPr="00E960F1">
        <w:rPr>
          <w:spacing w:val="-2"/>
          <w:szCs w:val="22"/>
        </w:rPr>
        <w:t>at Wardensville Grade in</w:t>
      </w:r>
      <w:r w:rsidRPr="00E960F1">
        <w:rPr>
          <w:spacing w:val="-2"/>
          <w:szCs w:val="22"/>
        </w:rPr>
        <w:t xml:space="preserve"> Winchester, Virginia.</w:t>
      </w:r>
      <w:r w:rsidRPr="00E960F1">
        <w:rPr>
          <w:rStyle w:val="FootnoteReference"/>
          <w:sz w:val="22"/>
          <w:szCs w:val="22"/>
        </w:rPr>
        <w:footnoteReference w:id="2"/>
      </w:r>
      <w:r w:rsidRPr="00E960F1">
        <w:rPr>
          <w:spacing w:val="-2"/>
          <w:szCs w:val="22"/>
        </w:rPr>
        <w:t xml:space="preserve">  During the inspection, the </w:t>
      </w:r>
      <w:r w:rsidR="007D7FBC">
        <w:rPr>
          <w:spacing w:val="-2"/>
          <w:szCs w:val="22"/>
        </w:rPr>
        <w:t>agent determined that the transmitter</w:t>
      </w:r>
      <w:r w:rsidRPr="00E960F1">
        <w:rPr>
          <w:spacing w:val="-2"/>
          <w:szCs w:val="22"/>
        </w:rPr>
        <w:t xml:space="preserve"> was a Motorola Canopy </w:t>
      </w:r>
      <w:r w:rsidR="007D7FBC">
        <w:rPr>
          <w:spacing w:val="-2"/>
          <w:szCs w:val="22"/>
        </w:rPr>
        <w:t>System</w:t>
      </w:r>
      <w:r w:rsidR="00F06BA2" w:rsidRPr="00E960F1">
        <w:rPr>
          <w:spacing w:val="-2"/>
          <w:szCs w:val="22"/>
        </w:rPr>
        <w:t xml:space="preserve"> </w:t>
      </w:r>
      <w:r w:rsidR="00FD5991">
        <w:rPr>
          <w:spacing w:val="-2"/>
          <w:szCs w:val="22"/>
        </w:rPr>
        <w:t xml:space="preserve">transmitter </w:t>
      </w:r>
      <w:r w:rsidRPr="00E960F1">
        <w:rPr>
          <w:spacing w:val="-2"/>
          <w:szCs w:val="22"/>
        </w:rPr>
        <w:t xml:space="preserve">and </w:t>
      </w:r>
      <w:r w:rsidR="007D7FBC">
        <w:rPr>
          <w:spacing w:val="-2"/>
          <w:szCs w:val="22"/>
        </w:rPr>
        <w:t>found</w:t>
      </w:r>
      <w:r w:rsidR="00F93AE9" w:rsidRPr="00E960F1">
        <w:rPr>
          <w:spacing w:val="-2"/>
          <w:szCs w:val="22"/>
        </w:rPr>
        <w:t xml:space="preserve"> </w:t>
      </w:r>
      <w:r w:rsidR="000021C1" w:rsidRPr="00E960F1">
        <w:rPr>
          <w:spacing w:val="-2"/>
          <w:szCs w:val="22"/>
        </w:rPr>
        <w:t>two external RF Linx 900 MHz amplifiers connected to the transmitter</w:t>
      </w:r>
      <w:r w:rsidRPr="00E960F1">
        <w:rPr>
          <w:spacing w:val="-2"/>
          <w:szCs w:val="22"/>
        </w:rPr>
        <w:t>.</w:t>
      </w:r>
      <w:r w:rsidR="00463042" w:rsidRPr="00E960F1">
        <w:rPr>
          <w:rStyle w:val="FootnoteReference"/>
          <w:spacing w:val="-2"/>
          <w:sz w:val="22"/>
          <w:szCs w:val="22"/>
        </w:rPr>
        <w:footnoteReference w:id="3"/>
      </w:r>
      <w:r w:rsidR="00463042" w:rsidRPr="00E960F1">
        <w:rPr>
          <w:spacing w:val="-2"/>
          <w:szCs w:val="22"/>
        </w:rPr>
        <w:t xml:space="preserve">  </w:t>
      </w:r>
      <w:r w:rsidRPr="00E960F1">
        <w:rPr>
          <w:spacing w:val="-2"/>
          <w:szCs w:val="22"/>
        </w:rPr>
        <w:t>The agen</w:t>
      </w:r>
      <w:r w:rsidR="00870DEC" w:rsidRPr="00E960F1">
        <w:rPr>
          <w:spacing w:val="-2"/>
          <w:szCs w:val="22"/>
        </w:rPr>
        <w:t xml:space="preserve">t subsequently reviewed the equipment authorization </w:t>
      </w:r>
      <w:r w:rsidRPr="00E960F1">
        <w:rPr>
          <w:spacing w:val="-2"/>
          <w:szCs w:val="22"/>
        </w:rPr>
        <w:t>for the Motorola</w:t>
      </w:r>
      <w:r w:rsidR="000021C1" w:rsidRPr="00E960F1">
        <w:rPr>
          <w:spacing w:val="-2"/>
          <w:szCs w:val="22"/>
        </w:rPr>
        <w:t xml:space="preserve"> Canopy System</w:t>
      </w:r>
      <w:r w:rsidR="00F93AE9" w:rsidRPr="00E960F1">
        <w:rPr>
          <w:spacing w:val="-2"/>
          <w:szCs w:val="22"/>
        </w:rPr>
        <w:t xml:space="preserve"> and found </w:t>
      </w:r>
      <w:r w:rsidR="000021C1" w:rsidRPr="00E960F1">
        <w:rPr>
          <w:spacing w:val="-2"/>
          <w:szCs w:val="22"/>
        </w:rPr>
        <w:t>that the transmitter was</w:t>
      </w:r>
      <w:r w:rsidRPr="00E960F1">
        <w:rPr>
          <w:spacing w:val="-2"/>
          <w:szCs w:val="22"/>
        </w:rPr>
        <w:t xml:space="preserve"> not certified for use with external amplifiers.</w:t>
      </w:r>
      <w:r w:rsidRPr="00E960F1">
        <w:rPr>
          <w:rStyle w:val="FootnoteReference"/>
          <w:spacing w:val="-2"/>
          <w:sz w:val="22"/>
          <w:szCs w:val="22"/>
        </w:rPr>
        <w:footnoteReference w:id="4"/>
      </w:r>
      <w:r w:rsidR="00435002" w:rsidRPr="00E960F1">
        <w:rPr>
          <w:spacing w:val="-2"/>
          <w:szCs w:val="22"/>
        </w:rPr>
        <w:t xml:space="preserve">  </w:t>
      </w:r>
      <w:r w:rsidR="00812192">
        <w:rPr>
          <w:spacing w:val="-2"/>
          <w:szCs w:val="22"/>
        </w:rPr>
        <w:t xml:space="preserve">The agent also </w:t>
      </w:r>
      <w:r w:rsidR="007D7FBC" w:rsidRPr="00E960F1">
        <w:rPr>
          <w:spacing w:val="-2"/>
          <w:szCs w:val="22"/>
        </w:rPr>
        <w:t xml:space="preserve">interviewed Winchester Wireless’s owner David Williamson, who admitted using the </w:t>
      </w:r>
      <w:r w:rsidR="00C56D6E">
        <w:rPr>
          <w:spacing w:val="-2"/>
          <w:szCs w:val="22"/>
        </w:rPr>
        <w:t xml:space="preserve">external </w:t>
      </w:r>
      <w:r w:rsidR="007D7FBC" w:rsidRPr="00E960F1">
        <w:rPr>
          <w:spacing w:val="-2"/>
          <w:szCs w:val="22"/>
        </w:rPr>
        <w:t>amplifiers on the Wardensville Grade transmitter.</w:t>
      </w:r>
      <w:r w:rsidR="007D7FBC" w:rsidRPr="00E960F1">
        <w:rPr>
          <w:rStyle w:val="FootnoteReference"/>
          <w:spacing w:val="-2"/>
          <w:sz w:val="22"/>
          <w:szCs w:val="22"/>
        </w:rPr>
        <w:footnoteReference w:id="5"/>
      </w:r>
      <w:r w:rsidR="007D7FBC" w:rsidRPr="00E960F1">
        <w:rPr>
          <w:spacing w:val="-2"/>
          <w:szCs w:val="22"/>
        </w:rPr>
        <w:t xml:space="preserve">  </w:t>
      </w:r>
      <w:r w:rsidRPr="00E960F1">
        <w:rPr>
          <w:spacing w:val="-2"/>
          <w:szCs w:val="22"/>
        </w:rPr>
        <w:t xml:space="preserve">On August 11, 2011, the Columbia Office issued a Notice of Unlicensed Operation </w:t>
      </w:r>
      <w:r w:rsidR="00463042" w:rsidRPr="00E960F1">
        <w:rPr>
          <w:spacing w:val="-2"/>
          <w:szCs w:val="22"/>
        </w:rPr>
        <w:t xml:space="preserve">(2011 NOUO) </w:t>
      </w:r>
      <w:r w:rsidRPr="00E960F1">
        <w:rPr>
          <w:spacing w:val="-2"/>
          <w:szCs w:val="22"/>
        </w:rPr>
        <w:t xml:space="preserve">to </w:t>
      </w:r>
      <w:r w:rsidRPr="00E960F1">
        <w:rPr>
          <w:spacing w:val="-2"/>
          <w:szCs w:val="22"/>
        </w:rPr>
        <w:lastRenderedPageBreak/>
        <w:t xml:space="preserve">Winchester Wireless </w:t>
      </w:r>
      <w:r w:rsidR="007D7FBC">
        <w:rPr>
          <w:spacing w:val="-2"/>
          <w:szCs w:val="22"/>
        </w:rPr>
        <w:t xml:space="preserve">regarding </w:t>
      </w:r>
      <w:r w:rsidR="00411E54" w:rsidRPr="00E960F1">
        <w:rPr>
          <w:spacing w:val="-2"/>
          <w:szCs w:val="22"/>
        </w:rPr>
        <w:t xml:space="preserve">its unauthorized use of </w:t>
      </w:r>
      <w:r w:rsidRPr="00E960F1">
        <w:rPr>
          <w:spacing w:val="-2"/>
          <w:szCs w:val="22"/>
        </w:rPr>
        <w:t xml:space="preserve">external amplifiers at </w:t>
      </w:r>
      <w:r w:rsidR="00F93AE9" w:rsidRPr="00E960F1">
        <w:rPr>
          <w:spacing w:val="-2"/>
          <w:szCs w:val="22"/>
        </w:rPr>
        <w:t>Wardensville Grade</w:t>
      </w:r>
      <w:r w:rsidRPr="00E960F1">
        <w:rPr>
          <w:spacing w:val="-2"/>
          <w:szCs w:val="22"/>
        </w:rPr>
        <w:t>.</w:t>
      </w:r>
      <w:r w:rsidRPr="00E960F1">
        <w:rPr>
          <w:rStyle w:val="FootnoteReference"/>
          <w:spacing w:val="-2"/>
          <w:sz w:val="22"/>
          <w:szCs w:val="22"/>
        </w:rPr>
        <w:footnoteReference w:id="6"/>
      </w:r>
      <w:r w:rsidR="00463042" w:rsidRPr="00E960F1">
        <w:rPr>
          <w:spacing w:val="-2"/>
          <w:szCs w:val="22"/>
        </w:rPr>
        <w:t xml:space="preserve">  </w:t>
      </w:r>
      <w:r w:rsidR="00463042" w:rsidRPr="00E960F1">
        <w:rPr>
          <w:szCs w:val="22"/>
        </w:rPr>
        <w:t>Mr. Williamson responded to the 2011 NOUO and</w:t>
      </w:r>
      <w:r w:rsidR="000C616C" w:rsidRPr="00E960F1">
        <w:rPr>
          <w:szCs w:val="22"/>
        </w:rPr>
        <w:t xml:space="preserve"> reported </w:t>
      </w:r>
      <w:r w:rsidR="00463042" w:rsidRPr="00E960F1">
        <w:rPr>
          <w:szCs w:val="22"/>
        </w:rPr>
        <w:t>that</w:t>
      </w:r>
      <w:r w:rsidR="00F93AE9" w:rsidRPr="00E960F1">
        <w:rPr>
          <w:szCs w:val="22"/>
        </w:rPr>
        <w:t xml:space="preserve"> Winchester Wireless had removed the</w:t>
      </w:r>
      <w:r w:rsidR="00463042" w:rsidRPr="00E960F1">
        <w:rPr>
          <w:szCs w:val="22"/>
        </w:rPr>
        <w:t xml:space="preserve"> </w:t>
      </w:r>
      <w:r w:rsidR="00C56D6E">
        <w:rPr>
          <w:szCs w:val="22"/>
        </w:rPr>
        <w:t xml:space="preserve">external </w:t>
      </w:r>
      <w:r w:rsidR="00463042" w:rsidRPr="00E960F1">
        <w:rPr>
          <w:szCs w:val="22"/>
        </w:rPr>
        <w:t>a</w:t>
      </w:r>
      <w:r w:rsidR="000C616C" w:rsidRPr="00E960F1">
        <w:rPr>
          <w:szCs w:val="22"/>
        </w:rPr>
        <w:t>mplifiers from the Wardensville</w:t>
      </w:r>
      <w:r w:rsidR="00F93AE9" w:rsidRPr="00E960F1">
        <w:rPr>
          <w:szCs w:val="22"/>
        </w:rPr>
        <w:t xml:space="preserve"> Grade site</w:t>
      </w:r>
      <w:r w:rsidR="00463042" w:rsidRPr="00E960F1">
        <w:rPr>
          <w:szCs w:val="22"/>
        </w:rPr>
        <w:t>.</w:t>
      </w:r>
      <w:r w:rsidR="00463042" w:rsidRPr="00E960F1">
        <w:rPr>
          <w:rStyle w:val="FootnoteReference"/>
          <w:sz w:val="22"/>
          <w:szCs w:val="22"/>
        </w:rPr>
        <w:footnoteReference w:id="7"/>
      </w:r>
      <w:r w:rsidR="00463042" w:rsidRPr="00E960F1">
        <w:rPr>
          <w:spacing w:val="-2"/>
          <w:szCs w:val="22"/>
        </w:rPr>
        <w:t xml:space="preserve"> </w:t>
      </w:r>
      <w:r w:rsidRPr="00E960F1">
        <w:rPr>
          <w:spacing w:val="-2"/>
          <w:szCs w:val="22"/>
        </w:rPr>
        <w:t xml:space="preserve">  </w:t>
      </w:r>
    </w:p>
    <w:p w:rsidR="00870DEC" w:rsidRPr="00E960F1" w:rsidRDefault="00156545" w:rsidP="00E960F1">
      <w:pPr>
        <w:pStyle w:val="ParaNum"/>
        <w:rPr>
          <w:szCs w:val="22"/>
        </w:rPr>
      </w:pPr>
      <w:r w:rsidRPr="00E960F1">
        <w:rPr>
          <w:spacing w:val="-2"/>
          <w:szCs w:val="22"/>
        </w:rPr>
        <w:t>On M</w:t>
      </w:r>
      <w:r w:rsidR="00463042" w:rsidRPr="00E960F1">
        <w:rPr>
          <w:spacing w:val="-2"/>
          <w:szCs w:val="22"/>
        </w:rPr>
        <w:t xml:space="preserve">ay 29, 2013, in response to </w:t>
      </w:r>
      <w:r w:rsidRPr="00E960F1">
        <w:rPr>
          <w:spacing w:val="-2"/>
          <w:szCs w:val="22"/>
        </w:rPr>
        <w:t>additional complaints, an agent from the Columbia Offi</w:t>
      </w:r>
      <w:r w:rsidR="008A3A07" w:rsidRPr="00E960F1">
        <w:rPr>
          <w:spacing w:val="-2"/>
          <w:szCs w:val="22"/>
        </w:rPr>
        <w:t>ce inspected two</w:t>
      </w:r>
      <w:r w:rsidRPr="00E960F1">
        <w:rPr>
          <w:spacing w:val="-2"/>
          <w:szCs w:val="22"/>
        </w:rPr>
        <w:t xml:space="preserve"> </w:t>
      </w:r>
      <w:r w:rsidR="007D7FBC">
        <w:rPr>
          <w:spacing w:val="-2"/>
          <w:szCs w:val="22"/>
        </w:rPr>
        <w:t>additional</w:t>
      </w:r>
      <w:r w:rsidR="00463042" w:rsidRPr="00E960F1">
        <w:rPr>
          <w:spacing w:val="-2"/>
          <w:szCs w:val="22"/>
        </w:rPr>
        <w:t xml:space="preserve"> </w:t>
      </w:r>
      <w:r w:rsidRPr="00E960F1">
        <w:rPr>
          <w:spacing w:val="-2"/>
          <w:szCs w:val="22"/>
        </w:rPr>
        <w:t>transmitter sites operated by Winchester Wireless</w:t>
      </w:r>
      <w:r w:rsidR="008A3A07" w:rsidRPr="00E960F1">
        <w:rPr>
          <w:spacing w:val="-2"/>
          <w:szCs w:val="22"/>
        </w:rPr>
        <w:t xml:space="preserve"> on Pepper Lane and Shawnee Trail </w:t>
      </w:r>
      <w:r w:rsidR="00337C20" w:rsidRPr="00E960F1">
        <w:rPr>
          <w:spacing w:val="-2"/>
          <w:szCs w:val="22"/>
        </w:rPr>
        <w:t>in Winchester, Virginia</w:t>
      </w:r>
      <w:r w:rsidRPr="00E960F1">
        <w:rPr>
          <w:spacing w:val="-2"/>
          <w:szCs w:val="22"/>
        </w:rPr>
        <w:t>.</w:t>
      </w:r>
      <w:r w:rsidR="007D7FBC">
        <w:rPr>
          <w:rStyle w:val="FootnoteReference"/>
          <w:spacing w:val="-2"/>
          <w:szCs w:val="22"/>
        </w:rPr>
        <w:footnoteReference w:id="8"/>
      </w:r>
      <w:r w:rsidRPr="00E960F1">
        <w:rPr>
          <w:spacing w:val="-2"/>
          <w:szCs w:val="22"/>
        </w:rPr>
        <w:t xml:space="preserve">  </w:t>
      </w:r>
      <w:r w:rsidR="008A3A07" w:rsidRPr="00E960F1">
        <w:rPr>
          <w:spacing w:val="-2"/>
          <w:szCs w:val="22"/>
        </w:rPr>
        <w:t>At both sites</w:t>
      </w:r>
      <w:r w:rsidR="00463042" w:rsidRPr="00E960F1">
        <w:rPr>
          <w:spacing w:val="-2"/>
          <w:szCs w:val="22"/>
        </w:rPr>
        <w:t>,</w:t>
      </w:r>
      <w:r w:rsidR="00435002" w:rsidRPr="00E960F1">
        <w:rPr>
          <w:spacing w:val="-2"/>
          <w:szCs w:val="22"/>
        </w:rPr>
        <w:t xml:space="preserve"> the </w:t>
      </w:r>
      <w:r w:rsidR="00E83877" w:rsidRPr="00E960F1">
        <w:rPr>
          <w:spacing w:val="-2"/>
          <w:szCs w:val="22"/>
        </w:rPr>
        <w:t xml:space="preserve">agent observed </w:t>
      </w:r>
      <w:r w:rsidR="007D7FBC">
        <w:rPr>
          <w:spacing w:val="-2"/>
          <w:szCs w:val="22"/>
        </w:rPr>
        <w:t xml:space="preserve">signals </w:t>
      </w:r>
      <w:r w:rsidR="00FD5991">
        <w:rPr>
          <w:spacing w:val="-2"/>
          <w:szCs w:val="22"/>
        </w:rPr>
        <w:t xml:space="preserve">on </w:t>
      </w:r>
      <w:r w:rsidR="00163DA0" w:rsidRPr="00E960F1">
        <w:rPr>
          <w:spacing w:val="-2"/>
          <w:szCs w:val="22"/>
        </w:rPr>
        <w:t>the 900 MHz band</w:t>
      </w:r>
      <w:r w:rsidR="007D7FBC">
        <w:rPr>
          <w:spacing w:val="-2"/>
          <w:szCs w:val="22"/>
        </w:rPr>
        <w:t xml:space="preserve"> emanating from</w:t>
      </w:r>
      <w:r w:rsidR="00163DA0" w:rsidRPr="00E960F1">
        <w:rPr>
          <w:spacing w:val="-2"/>
          <w:szCs w:val="22"/>
        </w:rPr>
        <w:t xml:space="preserve"> </w:t>
      </w:r>
      <w:r w:rsidR="00E83877" w:rsidRPr="00E960F1">
        <w:rPr>
          <w:spacing w:val="-2"/>
          <w:szCs w:val="22"/>
        </w:rPr>
        <w:t xml:space="preserve">the same Motorola Canopy System </w:t>
      </w:r>
      <w:r w:rsidR="000021C1" w:rsidRPr="00E960F1">
        <w:rPr>
          <w:spacing w:val="-2"/>
          <w:szCs w:val="22"/>
        </w:rPr>
        <w:t>transmitter</w:t>
      </w:r>
      <w:r w:rsidR="000C616C" w:rsidRPr="00E960F1">
        <w:rPr>
          <w:spacing w:val="-2"/>
          <w:szCs w:val="22"/>
        </w:rPr>
        <w:t>s</w:t>
      </w:r>
      <w:r w:rsidR="000021C1" w:rsidRPr="00E960F1">
        <w:rPr>
          <w:spacing w:val="-2"/>
          <w:szCs w:val="22"/>
        </w:rPr>
        <w:t xml:space="preserve"> and RF Linx amplifiers</w:t>
      </w:r>
      <w:r w:rsidR="00411E54" w:rsidRPr="00E960F1">
        <w:rPr>
          <w:spacing w:val="-2"/>
          <w:szCs w:val="22"/>
        </w:rPr>
        <w:t xml:space="preserve"> </w:t>
      </w:r>
      <w:r w:rsidR="000021C1" w:rsidRPr="00E960F1">
        <w:rPr>
          <w:spacing w:val="-2"/>
          <w:szCs w:val="22"/>
        </w:rPr>
        <w:t>o</w:t>
      </w:r>
      <w:r w:rsidR="00E83877" w:rsidRPr="00E960F1">
        <w:rPr>
          <w:spacing w:val="-2"/>
          <w:szCs w:val="22"/>
        </w:rPr>
        <w:t xml:space="preserve">bserved during </w:t>
      </w:r>
      <w:r w:rsidR="000021C1" w:rsidRPr="00E960F1">
        <w:rPr>
          <w:spacing w:val="-2"/>
          <w:szCs w:val="22"/>
        </w:rPr>
        <w:t xml:space="preserve">the </w:t>
      </w:r>
      <w:r w:rsidR="000C616C" w:rsidRPr="00E960F1">
        <w:rPr>
          <w:spacing w:val="-2"/>
          <w:szCs w:val="22"/>
        </w:rPr>
        <w:t xml:space="preserve">May 2011 </w:t>
      </w:r>
      <w:r w:rsidR="007D7FBC" w:rsidRPr="00E960F1">
        <w:rPr>
          <w:spacing w:val="-2"/>
          <w:szCs w:val="22"/>
        </w:rPr>
        <w:t xml:space="preserve">Wardensville Grade </w:t>
      </w:r>
      <w:r w:rsidR="007D7FBC">
        <w:rPr>
          <w:spacing w:val="-2"/>
          <w:szCs w:val="22"/>
        </w:rPr>
        <w:t xml:space="preserve">site </w:t>
      </w:r>
      <w:r w:rsidR="000C616C" w:rsidRPr="00E960F1">
        <w:rPr>
          <w:spacing w:val="-2"/>
          <w:szCs w:val="22"/>
        </w:rPr>
        <w:t>investigation</w:t>
      </w:r>
      <w:r w:rsidR="00E83877" w:rsidRPr="00E960F1">
        <w:rPr>
          <w:spacing w:val="-2"/>
          <w:szCs w:val="22"/>
        </w:rPr>
        <w:t>.</w:t>
      </w:r>
      <w:r w:rsidR="00E83877" w:rsidRPr="00E960F1">
        <w:rPr>
          <w:rStyle w:val="FootnoteReference"/>
          <w:spacing w:val="-2"/>
          <w:sz w:val="22"/>
          <w:szCs w:val="22"/>
        </w:rPr>
        <w:footnoteReference w:id="9"/>
      </w:r>
      <w:r w:rsidR="00E83877" w:rsidRPr="00E960F1">
        <w:rPr>
          <w:spacing w:val="-2"/>
          <w:szCs w:val="22"/>
        </w:rPr>
        <w:t xml:space="preserve">  </w:t>
      </w:r>
      <w:r w:rsidR="00AD2D12" w:rsidRPr="00E960F1">
        <w:rPr>
          <w:spacing w:val="-2"/>
          <w:szCs w:val="22"/>
        </w:rPr>
        <w:t>On July 29, 2013, the Columbia Office issued a</w:t>
      </w:r>
      <w:r w:rsidR="007D7FBC">
        <w:rPr>
          <w:spacing w:val="-2"/>
          <w:szCs w:val="22"/>
        </w:rPr>
        <w:t>nother</w:t>
      </w:r>
      <w:r w:rsidR="00AD2D12" w:rsidRPr="00E960F1">
        <w:rPr>
          <w:spacing w:val="-2"/>
          <w:szCs w:val="22"/>
        </w:rPr>
        <w:t xml:space="preserve"> Notice of Unlicensed Operation </w:t>
      </w:r>
      <w:r w:rsidR="00411E54" w:rsidRPr="00E960F1">
        <w:rPr>
          <w:spacing w:val="-2"/>
          <w:szCs w:val="22"/>
        </w:rPr>
        <w:t xml:space="preserve">(2013 NOUO) </w:t>
      </w:r>
      <w:r w:rsidR="00AD2D12" w:rsidRPr="00E960F1">
        <w:rPr>
          <w:spacing w:val="-2"/>
          <w:szCs w:val="22"/>
        </w:rPr>
        <w:t xml:space="preserve">to Winchester Wireless </w:t>
      </w:r>
      <w:r w:rsidR="00411E54" w:rsidRPr="00E960F1">
        <w:rPr>
          <w:spacing w:val="-2"/>
          <w:szCs w:val="22"/>
        </w:rPr>
        <w:t xml:space="preserve">ordering it to cease its unauthorized use of external amplifiers and warning that future unauthorized operations </w:t>
      </w:r>
      <w:r w:rsidR="00F93AE9" w:rsidRPr="00E960F1">
        <w:rPr>
          <w:spacing w:val="-2"/>
          <w:szCs w:val="22"/>
        </w:rPr>
        <w:t xml:space="preserve">at the Pepper Lane and Shawnee Trail sites </w:t>
      </w:r>
      <w:r w:rsidR="00411E54" w:rsidRPr="00E960F1">
        <w:rPr>
          <w:spacing w:val="-2"/>
          <w:szCs w:val="22"/>
        </w:rPr>
        <w:t>could result in significant penalties</w:t>
      </w:r>
      <w:r w:rsidR="00AD2D12" w:rsidRPr="00E960F1">
        <w:rPr>
          <w:spacing w:val="-2"/>
          <w:szCs w:val="22"/>
        </w:rPr>
        <w:t>.</w:t>
      </w:r>
      <w:r w:rsidR="00AD2D12" w:rsidRPr="00E960F1">
        <w:rPr>
          <w:rStyle w:val="FootnoteReference"/>
          <w:spacing w:val="-2"/>
          <w:sz w:val="22"/>
          <w:szCs w:val="22"/>
        </w:rPr>
        <w:footnoteReference w:id="10"/>
      </w:r>
      <w:r w:rsidR="007D7FBC">
        <w:rPr>
          <w:spacing w:val="-2"/>
          <w:szCs w:val="22"/>
        </w:rPr>
        <w:t xml:space="preserve">  </w:t>
      </w:r>
      <w:r w:rsidR="00411E54" w:rsidRPr="00E960F1">
        <w:rPr>
          <w:spacing w:val="-2"/>
          <w:szCs w:val="22"/>
        </w:rPr>
        <w:t>Mr. Williamson responded to the 2013 NOUO</w:t>
      </w:r>
      <w:r w:rsidR="007D7FBC">
        <w:rPr>
          <w:spacing w:val="-2"/>
          <w:szCs w:val="22"/>
        </w:rPr>
        <w:t>,</w:t>
      </w:r>
      <w:r w:rsidR="00411E54" w:rsidRPr="00E960F1">
        <w:rPr>
          <w:spacing w:val="-2"/>
          <w:szCs w:val="22"/>
        </w:rPr>
        <w:t xml:space="preserve"> stating it would investigate the </w:t>
      </w:r>
      <w:r w:rsidR="00F93AE9" w:rsidRPr="00E960F1">
        <w:rPr>
          <w:spacing w:val="-2"/>
          <w:szCs w:val="22"/>
        </w:rPr>
        <w:t xml:space="preserve">Pepper Lane and Shawnee Trail </w:t>
      </w:r>
      <w:r w:rsidR="00411E54" w:rsidRPr="00E960F1">
        <w:rPr>
          <w:spacing w:val="-2"/>
          <w:szCs w:val="22"/>
        </w:rPr>
        <w:t>s</w:t>
      </w:r>
      <w:r w:rsidR="00F93AE9" w:rsidRPr="00E960F1">
        <w:rPr>
          <w:spacing w:val="-2"/>
          <w:szCs w:val="22"/>
        </w:rPr>
        <w:t>ites to assess</w:t>
      </w:r>
      <w:r w:rsidR="007D7FBC">
        <w:rPr>
          <w:spacing w:val="-2"/>
          <w:szCs w:val="22"/>
        </w:rPr>
        <w:t xml:space="preserve"> Winchester Wireless’s</w:t>
      </w:r>
      <w:r w:rsidR="000113D3" w:rsidRPr="00E960F1">
        <w:rPr>
          <w:spacing w:val="-2"/>
          <w:szCs w:val="22"/>
        </w:rPr>
        <w:t xml:space="preserve"> compliance</w:t>
      </w:r>
      <w:r w:rsidR="00411E54" w:rsidRPr="00E960F1">
        <w:rPr>
          <w:spacing w:val="-2"/>
          <w:szCs w:val="22"/>
        </w:rPr>
        <w:t>.</w:t>
      </w:r>
      <w:r w:rsidR="00411E54" w:rsidRPr="00E960F1">
        <w:rPr>
          <w:rStyle w:val="FootnoteReference"/>
          <w:spacing w:val="-2"/>
          <w:sz w:val="22"/>
          <w:szCs w:val="22"/>
        </w:rPr>
        <w:footnoteReference w:id="11"/>
      </w:r>
      <w:r w:rsidR="00C73299" w:rsidRPr="00E960F1">
        <w:rPr>
          <w:spacing w:val="-2"/>
          <w:szCs w:val="22"/>
        </w:rPr>
        <w:t xml:space="preserve">  </w:t>
      </w:r>
      <w:r w:rsidR="00A97F23" w:rsidRPr="00E960F1">
        <w:rPr>
          <w:spacing w:val="-2"/>
          <w:szCs w:val="22"/>
        </w:rPr>
        <w:t xml:space="preserve">On March 11, 2014, </w:t>
      </w:r>
      <w:r w:rsidR="00337C20" w:rsidRPr="00E960F1">
        <w:rPr>
          <w:spacing w:val="-2"/>
          <w:szCs w:val="22"/>
        </w:rPr>
        <w:t>t</w:t>
      </w:r>
      <w:r w:rsidR="00A97F23" w:rsidRPr="00E960F1">
        <w:rPr>
          <w:spacing w:val="-2"/>
          <w:szCs w:val="22"/>
        </w:rPr>
        <w:t xml:space="preserve">he Bureau issued the </w:t>
      </w:r>
      <w:r w:rsidR="00A97F23" w:rsidRPr="00E960F1">
        <w:rPr>
          <w:i/>
          <w:spacing w:val="-2"/>
          <w:szCs w:val="22"/>
        </w:rPr>
        <w:t>NAL</w:t>
      </w:r>
      <w:r w:rsidR="00A97F23" w:rsidRPr="00E960F1">
        <w:rPr>
          <w:spacing w:val="-2"/>
          <w:szCs w:val="22"/>
        </w:rPr>
        <w:t xml:space="preserve"> proposing a $25,000 forfeiture against Winchester Wireless for its apparent willful violations of Section 301 of the </w:t>
      </w:r>
      <w:r w:rsidR="000113D3" w:rsidRPr="00E960F1">
        <w:rPr>
          <w:spacing w:val="-2"/>
          <w:szCs w:val="22"/>
        </w:rPr>
        <w:t>Communications Act of 1934, as amended (</w:t>
      </w:r>
      <w:r w:rsidR="00A97F23" w:rsidRPr="00E960F1">
        <w:rPr>
          <w:spacing w:val="-2"/>
          <w:szCs w:val="22"/>
        </w:rPr>
        <w:t>Act</w:t>
      </w:r>
      <w:r w:rsidR="000113D3" w:rsidRPr="00E960F1">
        <w:rPr>
          <w:spacing w:val="-2"/>
          <w:szCs w:val="22"/>
        </w:rPr>
        <w:t>),</w:t>
      </w:r>
      <w:r w:rsidR="00A97F23" w:rsidRPr="00E960F1">
        <w:rPr>
          <w:spacing w:val="-2"/>
          <w:szCs w:val="22"/>
        </w:rPr>
        <w:t xml:space="preserve"> and Section 15.1</w:t>
      </w:r>
      <w:r w:rsidR="00D91196">
        <w:rPr>
          <w:spacing w:val="-2"/>
          <w:szCs w:val="22"/>
        </w:rPr>
        <w:t>(b)</w:t>
      </w:r>
      <w:r w:rsidR="00A97F23" w:rsidRPr="00E960F1">
        <w:rPr>
          <w:spacing w:val="-2"/>
          <w:szCs w:val="22"/>
        </w:rPr>
        <w:t xml:space="preserve"> of the </w:t>
      </w:r>
      <w:r w:rsidR="000113D3" w:rsidRPr="00E960F1">
        <w:rPr>
          <w:spacing w:val="-2"/>
          <w:szCs w:val="22"/>
        </w:rPr>
        <w:t>Commission’s rules (</w:t>
      </w:r>
      <w:r w:rsidR="00A97F23" w:rsidRPr="00E960F1">
        <w:rPr>
          <w:spacing w:val="-2"/>
          <w:szCs w:val="22"/>
        </w:rPr>
        <w:t>Rules</w:t>
      </w:r>
      <w:r w:rsidR="000113D3" w:rsidRPr="00E960F1">
        <w:rPr>
          <w:spacing w:val="-2"/>
          <w:szCs w:val="22"/>
        </w:rPr>
        <w:t>)</w:t>
      </w:r>
      <w:r w:rsidR="00A97F23" w:rsidRPr="00E960F1">
        <w:rPr>
          <w:spacing w:val="-2"/>
          <w:szCs w:val="22"/>
        </w:rPr>
        <w:t xml:space="preserve"> by operating </w:t>
      </w:r>
      <w:r w:rsidR="000113D3" w:rsidRPr="00E960F1">
        <w:rPr>
          <w:spacing w:val="-2"/>
          <w:szCs w:val="22"/>
        </w:rPr>
        <w:t xml:space="preserve">its transmitters </w:t>
      </w:r>
      <w:r w:rsidR="00870DEC" w:rsidRPr="00E960F1">
        <w:rPr>
          <w:spacing w:val="-2"/>
          <w:szCs w:val="22"/>
        </w:rPr>
        <w:t xml:space="preserve">with external amplifiers </w:t>
      </w:r>
      <w:r w:rsidR="00F93AE9" w:rsidRPr="00E960F1">
        <w:rPr>
          <w:spacing w:val="-2"/>
          <w:szCs w:val="22"/>
        </w:rPr>
        <w:t>without authorization</w:t>
      </w:r>
      <w:r w:rsidR="00870DEC" w:rsidRPr="00E960F1">
        <w:rPr>
          <w:spacing w:val="-2"/>
          <w:szCs w:val="22"/>
        </w:rPr>
        <w:t>.</w:t>
      </w:r>
      <w:r w:rsidR="00870DEC" w:rsidRPr="00E960F1">
        <w:rPr>
          <w:rStyle w:val="FootnoteReference"/>
          <w:spacing w:val="-2"/>
          <w:sz w:val="22"/>
          <w:szCs w:val="22"/>
        </w:rPr>
        <w:footnoteReference w:id="12"/>
      </w:r>
      <w:r w:rsidR="00870DEC" w:rsidRPr="00E960F1">
        <w:rPr>
          <w:spacing w:val="-2"/>
          <w:szCs w:val="22"/>
        </w:rPr>
        <w:t xml:space="preserve"> </w:t>
      </w:r>
    </w:p>
    <w:p w:rsidR="00E545B2" w:rsidRPr="00E960F1" w:rsidRDefault="00AC5449" w:rsidP="00E960F1">
      <w:pPr>
        <w:pStyle w:val="ParaNum"/>
        <w:rPr>
          <w:szCs w:val="22"/>
        </w:rPr>
      </w:pPr>
      <w:r w:rsidRPr="00E960F1">
        <w:rPr>
          <w:szCs w:val="22"/>
        </w:rPr>
        <w:t xml:space="preserve">On April 10, 2014, Winchester Wireless filed a response to the </w:t>
      </w:r>
      <w:r w:rsidRPr="00E960F1">
        <w:rPr>
          <w:i/>
          <w:szCs w:val="22"/>
        </w:rPr>
        <w:t>NAL</w:t>
      </w:r>
      <w:r w:rsidRPr="00E960F1">
        <w:rPr>
          <w:szCs w:val="22"/>
        </w:rPr>
        <w:t>.</w:t>
      </w:r>
      <w:r w:rsidRPr="00E960F1">
        <w:rPr>
          <w:rStyle w:val="FootnoteReference"/>
          <w:sz w:val="22"/>
          <w:szCs w:val="22"/>
        </w:rPr>
        <w:footnoteReference w:id="13"/>
      </w:r>
      <w:r w:rsidRPr="00E960F1">
        <w:rPr>
          <w:szCs w:val="22"/>
        </w:rPr>
        <w:t xml:space="preserve">  Winchester Wireless argues that the </w:t>
      </w:r>
      <w:r w:rsidRPr="00E960F1">
        <w:rPr>
          <w:i/>
          <w:szCs w:val="22"/>
        </w:rPr>
        <w:t>NAL</w:t>
      </w:r>
      <w:r w:rsidRPr="00E960F1">
        <w:rPr>
          <w:szCs w:val="22"/>
        </w:rPr>
        <w:t xml:space="preserve"> should be canceled </w:t>
      </w:r>
      <w:r w:rsidR="00870DEC" w:rsidRPr="00E960F1">
        <w:rPr>
          <w:szCs w:val="22"/>
        </w:rPr>
        <w:t>because the Bureau did</w:t>
      </w:r>
      <w:r w:rsidR="006B004A" w:rsidRPr="00E960F1">
        <w:rPr>
          <w:szCs w:val="22"/>
        </w:rPr>
        <w:t xml:space="preserve"> not establi</w:t>
      </w:r>
      <w:r w:rsidR="005A1304" w:rsidRPr="00E960F1">
        <w:rPr>
          <w:szCs w:val="22"/>
        </w:rPr>
        <w:t xml:space="preserve">sh that </w:t>
      </w:r>
      <w:r w:rsidR="00F93AE9" w:rsidRPr="00E960F1">
        <w:rPr>
          <w:szCs w:val="22"/>
        </w:rPr>
        <w:t xml:space="preserve">the equipment at the </w:t>
      </w:r>
      <w:r w:rsidR="00F93AE9" w:rsidRPr="00E960F1">
        <w:rPr>
          <w:spacing w:val="-2"/>
          <w:szCs w:val="22"/>
        </w:rPr>
        <w:t>Pepper Lane and Shawnee Trail sites was in operation at the time of the inspection.</w:t>
      </w:r>
      <w:r w:rsidR="00B74240" w:rsidRPr="00E960F1">
        <w:rPr>
          <w:rStyle w:val="FootnoteReference"/>
          <w:sz w:val="22"/>
          <w:szCs w:val="22"/>
        </w:rPr>
        <w:footnoteReference w:id="14"/>
      </w:r>
      <w:r w:rsidR="007D7FBC">
        <w:rPr>
          <w:spacing w:val="-2"/>
          <w:szCs w:val="22"/>
        </w:rPr>
        <w:t xml:space="preserve">  Winchester Wireless also contends</w:t>
      </w:r>
      <w:r w:rsidR="00B74240" w:rsidRPr="00E960F1">
        <w:rPr>
          <w:spacing w:val="-2"/>
          <w:szCs w:val="22"/>
        </w:rPr>
        <w:t xml:space="preserve"> t</w:t>
      </w:r>
      <w:r w:rsidR="007D7FBC">
        <w:rPr>
          <w:spacing w:val="-2"/>
          <w:szCs w:val="22"/>
        </w:rPr>
        <w:t>hat the Bureau failed to demonstrate</w:t>
      </w:r>
      <w:r w:rsidR="00B74240" w:rsidRPr="00E960F1">
        <w:rPr>
          <w:spacing w:val="-2"/>
          <w:szCs w:val="22"/>
        </w:rPr>
        <w:t xml:space="preserve"> that it exercised </w:t>
      </w:r>
      <w:r w:rsidR="00B74240" w:rsidRPr="00E960F1">
        <w:rPr>
          <w:szCs w:val="22"/>
        </w:rPr>
        <w:t>actual working co</w:t>
      </w:r>
      <w:r w:rsidR="007D7FBC">
        <w:rPr>
          <w:szCs w:val="22"/>
        </w:rPr>
        <w:t xml:space="preserve">ntrol over the equipment </w:t>
      </w:r>
      <w:r w:rsidR="00B74240" w:rsidRPr="00E960F1">
        <w:rPr>
          <w:spacing w:val="-2"/>
          <w:szCs w:val="22"/>
        </w:rPr>
        <w:t xml:space="preserve">and suggests that local residents attached the </w:t>
      </w:r>
      <w:r w:rsidR="00C56D6E">
        <w:rPr>
          <w:spacing w:val="-2"/>
          <w:szCs w:val="22"/>
        </w:rPr>
        <w:t xml:space="preserve">external </w:t>
      </w:r>
      <w:r w:rsidR="00B74240" w:rsidRPr="00E960F1">
        <w:rPr>
          <w:spacing w:val="-2"/>
          <w:szCs w:val="22"/>
        </w:rPr>
        <w:t>amplifiers to its transmitters.</w:t>
      </w:r>
      <w:r w:rsidR="00B74240" w:rsidRPr="00E960F1">
        <w:rPr>
          <w:rStyle w:val="FootnoteReference"/>
          <w:spacing w:val="-2"/>
          <w:sz w:val="22"/>
          <w:szCs w:val="22"/>
        </w:rPr>
        <w:footnoteReference w:id="15"/>
      </w:r>
      <w:r w:rsidR="00B74240" w:rsidRPr="00E960F1">
        <w:rPr>
          <w:spacing w:val="-2"/>
          <w:szCs w:val="22"/>
        </w:rPr>
        <w:t xml:space="preserve">  Finally, </w:t>
      </w:r>
      <w:r w:rsidR="00E545B2" w:rsidRPr="00E960F1">
        <w:rPr>
          <w:szCs w:val="22"/>
        </w:rPr>
        <w:t xml:space="preserve">Winchester Wireless </w:t>
      </w:r>
      <w:r w:rsidR="005A1304" w:rsidRPr="00E960F1">
        <w:rPr>
          <w:szCs w:val="22"/>
        </w:rPr>
        <w:t xml:space="preserve">states that payment of the proposed penalty would represent an “undue hardship” and </w:t>
      </w:r>
      <w:r w:rsidR="00756894" w:rsidRPr="00E960F1">
        <w:rPr>
          <w:szCs w:val="22"/>
        </w:rPr>
        <w:t>prov</w:t>
      </w:r>
      <w:r w:rsidR="005A1304" w:rsidRPr="00E960F1">
        <w:rPr>
          <w:szCs w:val="22"/>
        </w:rPr>
        <w:t>ided</w:t>
      </w:r>
      <w:r w:rsidR="00E545B2" w:rsidRPr="00E960F1">
        <w:rPr>
          <w:szCs w:val="22"/>
        </w:rPr>
        <w:t xml:space="preserve"> federal tax r</w:t>
      </w:r>
      <w:r w:rsidR="005A1304" w:rsidRPr="00E960F1">
        <w:rPr>
          <w:szCs w:val="22"/>
        </w:rPr>
        <w:t>eturns in support of its inability to pay claim</w:t>
      </w:r>
      <w:r w:rsidR="00E545B2" w:rsidRPr="00E960F1">
        <w:rPr>
          <w:szCs w:val="22"/>
        </w:rPr>
        <w:t>.</w:t>
      </w:r>
      <w:r w:rsidR="009D7443" w:rsidRPr="00E960F1">
        <w:rPr>
          <w:rStyle w:val="FootnoteReference"/>
          <w:sz w:val="22"/>
          <w:szCs w:val="22"/>
        </w:rPr>
        <w:footnoteReference w:id="16"/>
      </w:r>
    </w:p>
    <w:p w:rsidR="00E273E3" w:rsidRPr="00E960F1" w:rsidRDefault="00E273E3" w:rsidP="00E960F1">
      <w:pPr>
        <w:pStyle w:val="Heading1"/>
        <w:rPr>
          <w:rFonts w:ascii="Times New Roman" w:hAnsi="Times New Roman"/>
          <w:szCs w:val="22"/>
        </w:rPr>
      </w:pPr>
      <w:bookmarkStart w:id="5" w:name="_Toc379289000"/>
      <w:bookmarkStart w:id="6" w:name="_Toc379365501"/>
      <w:r w:rsidRPr="00E960F1">
        <w:rPr>
          <w:rFonts w:ascii="Times New Roman" w:hAnsi="Times New Roman"/>
          <w:szCs w:val="22"/>
        </w:rPr>
        <w:t>DISCUSSION</w:t>
      </w:r>
      <w:bookmarkEnd w:id="5"/>
      <w:bookmarkEnd w:id="6"/>
    </w:p>
    <w:p w:rsidR="00E6009E" w:rsidRPr="00E960F1" w:rsidRDefault="00E6009E" w:rsidP="00E960F1">
      <w:pPr>
        <w:pStyle w:val="ParaNum"/>
        <w:rPr>
          <w:szCs w:val="22"/>
        </w:rPr>
      </w:pPr>
      <w:r w:rsidRPr="00E960F1">
        <w:rPr>
          <w:szCs w:val="22"/>
        </w:rPr>
        <w:t xml:space="preserve">The </w:t>
      </w:r>
      <w:r w:rsidR="008D1BE7" w:rsidRPr="00E960F1">
        <w:rPr>
          <w:szCs w:val="22"/>
        </w:rPr>
        <w:t>Bureau</w:t>
      </w:r>
      <w:r w:rsidRPr="00E960F1">
        <w:rPr>
          <w:szCs w:val="22"/>
        </w:rPr>
        <w:t xml:space="preserve"> </w:t>
      </w:r>
      <w:r w:rsidR="00E273E3" w:rsidRPr="00E960F1">
        <w:rPr>
          <w:szCs w:val="22"/>
        </w:rPr>
        <w:t xml:space="preserve">proposed </w:t>
      </w:r>
      <w:r w:rsidRPr="00E960F1">
        <w:rPr>
          <w:szCs w:val="22"/>
        </w:rPr>
        <w:t xml:space="preserve">a </w:t>
      </w:r>
      <w:r w:rsidR="00E273E3" w:rsidRPr="00E960F1">
        <w:rPr>
          <w:szCs w:val="22"/>
        </w:rPr>
        <w:t>forfeiture in this case in accordance with Section</w:t>
      </w:r>
      <w:r w:rsidR="008F7913" w:rsidRPr="00E960F1">
        <w:rPr>
          <w:szCs w:val="22"/>
        </w:rPr>
        <w:t xml:space="preserve"> </w:t>
      </w:r>
      <w:r w:rsidR="00085F9D" w:rsidRPr="00E960F1">
        <w:rPr>
          <w:szCs w:val="22"/>
        </w:rPr>
        <w:t>503(b) of the Act</w:t>
      </w:r>
      <w:r w:rsidR="00E273E3" w:rsidRPr="00E960F1">
        <w:rPr>
          <w:szCs w:val="22"/>
        </w:rPr>
        <w:t>,</w:t>
      </w:r>
      <w:r w:rsidR="00E273E3" w:rsidRPr="00E960F1">
        <w:rPr>
          <w:rStyle w:val="FootnoteReference"/>
          <w:sz w:val="22"/>
          <w:szCs w:val="22"/>
        </w:rPr>
        <w:footnoteReference w:id="17"/>
      </w:r>
      <w:r w:rsidR="00E273E3" w:rsidRPr="00E960F1">
        <w:rPr>
          <w:szCs w:val="22"/>
        </w:rPr>
        <w:t xml:space="preserve"> Section 1.80 of the </w:t>
      </w:r>
      <w:r w:rsidR="00085F9D" w:rsidRPr="00E960F1">
        <w:rPr>
          <w:szCs w:val="22"/>
        </w:rPr>
        <w:t>Rules</w:t>
      </w:r>
      <w:r w:rsidR="00E273E3" w:rsidRPr="00E960F1">
        <w:rPr>
          <w:szCs w:val="22"/>
        </w:rPr>
        <w:t>,</w:t>
      </w:r>
      <w:r w:rsidR="00E273E3" w:rsidRPr="00E960F1">
        <w:rPr>
          <w:szCs w:val="22"/>
          <w:vertAlign w:val="superscript"/>
        </w:rPr>
        <w:footnoteReference w:id="18"/>
      </w:r>
      <w:r w:rsidR="00E273E3" w:rsidRPr="00E960F1">
        <w:rPr>
          <w:szCs w:val="22"/>
        </w:rPr>
        <w:t xml:space="preserve"> and the Commission’s </w:t>
      </w:r>
      <w:r w:rsidR="00E273E3" w:rsidRPr="00E960F1">
        <w:rPr>
          <w:i/>
          <w:szCs w:val="22"/>
        </w:rPr>
        <w:t xml:space="preserve">Forfeiture Policy </w:t>
      </w:r>
      <w:r w:rsidR="00E273E3" w:rsidRPr="00E960F1">
        <w:rPr>
          <w:rFonts w:eastAsia="MS Mincho"/>
          <w:i/>
          <w:szCs w:val="22"/>
        </w:rPr>
        <w:t>Statement</w:t>
      </w:r>
      <w:r w:rsidR="00E273E3" w:rsidRPr="00E960F1">
        <w:rPr>
          <w:szCs w:val="22"/>
        </w:rPr>
        <w:t>.</w:t>
      </w:r>
      <w:r w:rsidR="00E273E3" w:rsidRPr="00E960F1">
        <w:rPr>
          <w:rStyle w:val="FootnoteReference"/>
          <w:sz w:val="22"/>
          <w:szCs w:val="22"/>
        </w:rPr>
        <w:footnoteReference w:id="19"/>
      </w:r>
      <w:r w:rsidR="00E273E3" w:rsidRPr="00E960F1">
        <w:rPr>
          <w:szCs w:val="22"/>
        </w:rPr>
        <w:t xml:space="preserve">  </w:t>
      </w:r>
      <w:r w:rsidRPr="00E960F1">
        <w:rPr>
          <w:szCs w:val="22"/>
        </w:rPr>
        <w:t>When we assess</w:t>
      </w:r>
      <w:r w:rsidR="00E273E3" w:rsidRPr="00E960F1">
        <w:rPr>
          <w:szCs w:val="22"/>
        </w:rPr>
        <w:t xml:space="preserve"> </w:t>
      </w:r>
      <w:r w:rsidR="00E273E3" w:rsidRPr="00E960F1">
        <w:rPr>
          <w:szCs w:val="22"/>
        </w:rPr>
        <w:lastRenderedPageBreak/>
        <w:t>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00E273E3" w:rsidRPr="00E960F1">
        <w:rPr>
          <w:szCs w:val="22"/>
          <w:vertAlign w:val="superscript"/>
        </w:rPr>
        <w:footnoteReference w:id="20"/>
      </w:r>
      <w:r w:rsidR="00E273E3" w:rsidRPr="00E960F1">
        <w:rPr>
          <w:szCs w:val="22"/>
        </w:rPr>
        <w:t xml:space="preserve">  </w:t>
      </w:r>
      <w:r w:rsidR="006B685D" w:rsidRPr="00E960F1">
        <w:rPr>
          <w:szCs w:val="22"/>
        </w:rPr>
        <w:t>As discussed below, we</w:t>
      </w:r>
      <w:r w:rsidRPr="00E960F1">
        <w:rPr>
          <w:szCs w:val="22"/>
        </w:rPr>
        <w:t xml:space="preserve"> have </w:t>
      </w:r>
      <w:r w:rsidR="006B685D" w:rsidRPr="00E960F1">
        <w:rPr>
          <w:szCs w:val="22"/>
        </w:rPr>
        <w:t xml:space="preserve">fully </w:t>
      </w:r>
      <w:r w:rsidRPr="00E960F1">
        <w:rPr>
          <w:szCs w:val="22"/>
        </w:rPr>
        <w:t xml:space="preserve">considered </w:t>
      </w:r>
      <w:r w:rsidR="00080FFD" w:rsidRPr="00E960F1">
        <w:rPr>
          <w:szCs w:val="22"/>
        </w:rPr>
        <w:t>Winchester Wireless</w:t>
      </w:r>
      <w:r w:rsidR="00085F9D" w:rsidRPr="00E960F1">
        <w:rPr>
          <w:szCs w:val="22"/>
        </w:rPr>
        <w:t>’s</w:t>
      </w:r>
      <w:r w:rsidR="00080FFD" w:rsidRPr="00E960F1">
        <w:rPr>
          <w:szCs w:val="22"/>
        </w:rPr>
        <w:t xml:space="preserve"> </w:t>
      </w:r>
      <w:r w:rsidRPr="00E960F1">
        <w:rPr>
          <w:szCs w:val="22"/>
        </w:rPr>
        <w:t xml:space="preserve">response to the </w:t>
      </w:r>
      <w:r w:rsidRPr="00E960F1">
        <w:rPr>
          <w:i/>
          <w:szCs w:val="22"/>
        </w:rPr>
        <w:t>NAL</w:t>
      </w:r>
      <w:r w:rsidRPr="00E960F1">
        <w:rPr>
          <w:szCs w:val="22"/>
        </w:rPr>
        <w:t xml:space="preserve">, </w:t>
      </w:r>
      <w:r w:rsidR="00080FFD" w:rsidRPr="00E960F1">
        <w:rPr>
          <w:szCs w:val="22"/>
        </w:rPr>
        <w:t xml:space="preserve">and find </w:t>
      </w:r>
      <w:r w:rsidR="00085F9D" w:rsidRPr="00E960F1">
        <w:rPr>
          <w:szCs w:val="22"/>
        </w:rPr>
        <w:t>that a forfeiture reduction is warranted based on inability to pay.</w:t>
      </w:r>
    </w:p>
    <w:p w:rsidR="00080FFD" w:rsidRPr="00E960F1" w:rsidRDefault="0061176B" w:rsidP="00E960F1">
      <w:pPr>
        <w:pStyle w:val="Heading2"/>
        <w:rPr>
          <w:szCs w:val="22"/>
        </w:rPr>
      </w:pPr>
      <w:r w:rsidRPr="00E960F1">
        <w:rPr>
          <w:szCs w:val="22"/>
        </w:rPr>
        <w:t>Winchester Wireless Operated its Transmitters with Externa</w:t>
      </w:r>
      <w:r w:rsidR="00C346EF">
        <w:rPr>
          <w:szCs w:val="22"/>
        </w:rPr>
        <w:t xml:space="preserve">l Amplifiers without </w:t>
      </w:r>
      <w:r w:rsidRPr="00E960F1">
        <w:rPr>
          <w:szCs w:val="22"/>
        </w:rPr>
        <w:t>Authorization</w:t>
      </w:r>
    </w:p>
    <w:p w:rsidR="00362FDA" w:rsidRPr="00E960F1" w:rsidRDefault="00EC068F" w:rsidP="00E960F1">
      <w:pPr>
        <w:pStyle w:val="ParaNum"/>
        <w:rPr>
          <w:szCs w:val="22"/>
        </w:rPr>
      </w:pPr>
      <w:r w:rsidRPr="00E960F1">
        <w:rPr>
          <w:szCs w:val="22"/>
        </w:rPr>
        <w:t xml:space="preserve">Winchester Wireless argues that the </w:t>
      </w:r>
      <w:r w:rsidR="00B74240" w:rsidRPr="00E960F1">
        <w:rPr>
          <w:szCs w:val="22"/>
        </w:rPr>
        <w:t xml:space="preserve">Bureau failed to establish that the equipment at the </w:t>
      </w:r>
      <w:r w:rsidR="00B74240" w:rsidRPr="00E960F1">
        <w:rPr>
          <w:spacing w:val="-2"/>
          <w:szCs w:val="22"/>
        </w:rPr>
        <w:t>Pepper Lane and Shawnee Trail sites was in operation at the time of the inspection</w:t>
      </w:r>
      <w:r w:rsidRPr="00E960F1">
        <w:rPr>
          <w:szCs w:val="22"/>
        </w:rPr>
        <w:t>.</w:t>
      </w:r>
      <w:r w:rsidRPr="00E960F1">
        <w:rPr>
          <w:rStyle w:val="FootnoteReference"/>
          <w:sz w:val="22"/>
          <w:szCs w:val="22"/>
        </w:rPr>
        <w:footnoteReference w:id="21"/>
      </w:r>
      <w:r w:rsidR="00200C2A" w:rsidRPr="00E960F1">
        <w:rPr>
          <w:szCs w:val="22"/>
        </w:rPr>
        <w:t xml:space="preserve">  We</w:t>
      </w:r>
      <w:r w:rsidR="00B74240" w:rsidRPr="00E960F1">
        <w:rPr>
          <w:szCs w:val="22"/>
        </w:rPr>
        <w:t xml:space="preserve"> disagree</w:t>
      </w:r>
      <w:r w:rsidR="0061176B" w:rsidRPr="00E960F1">
        <w:rPr>
          <w:szCs w:val="22"/>
        </w:rPr>
        <w:t>.  During the inspection</w:t>
      </w:r>
      <w:r w:rsidR="00B74240" w:rsidRPr="00E960F1">
        <w:rPr>
          <w:szCs w:val="22"/>
        </w:rPr>
        <w:t xml:space="preserve"> of the </w:t>
      </w:r>
      <w:r w:rsidR="00B74240" w:rsidRPr="00E960F1">
        <w:rPr>
          <w:spacing w:val="-2"/>
          <w:szCs w:val="22"/>
        </w:rPr>
        <w:t>Pepper Lane and Shawnee Trail sites</w:t>
      </w:r>
      <w:r w:rsidR="0061176B" w:rsidRPr="00E960F1">
        <w:rPr>
          <w:szCs w:val="22"/>
        </w:rPr>
        <w:t xml:space="preserve">, </w:t>
      </w:r>
      <w:r w:rsidR="00B74240" w:rsidRPr="00E960F1">
        <w:rPr>
          <w:szCs w:val="22"/>
        </w:rPr>
        <w:t xml:space="preserve">the agent discovered </w:t>
      </w:r>
      <w:r w:rsidR="00B74240" w:rsidRPr="00E960F1">
        <w:rPr>
          <w:spacing w:val="-2"/>
          <w:szCs w:val="22"/>
        </w:rPr>
        <w:t xml:space="preserve">the same Motorola Canopy System transmitters and RF Linx amplifiers </w:t>
      </w:r>
      <w:r w:rsidR="00C346EF">
        <w:rPr>
          <w:spacing w:val="-2"/>
          <w:szCs w:val="22"/>
        </w:rPr>
        <w:t xml:space="preserve">that he </w:t>
      </w:r>
      <w:r w:rsidR="00B74240" w:rsidRPr="00E960F1">
        <w:rPr>
          <w:spacing w:val="-2"/>
          <w:szCs w:val="22"/>
        </w:rPr>
        <w:t xml:space="preserve">observed during the May 2011 investigation of Winchester Wireless’s </w:t>
      </w:r>
      <w:r w:rsidR="00C346EF" w:rsidRPr="00E960F1">
        <w:rPr>
          <w:spacing w:val="-2"/>
          <w:szCs w:val="22"/>
        </w:rPr>
        <w:t xml:space="preserve">Wardensville Grade </w:t>
      </w:r>
      <w:r w:rsidR="00B74240" w:rsidRPr="00E960F1">
        <w:rPr>
          <w:spacing w:val="-2"/>
          <w:szCs w:val="22"/>
        </w:rPr>
        <w:t>site.</w:t>
      </w:r>
      <w:r w:rsidR="0086303A" w:rsidRPr="00E960F1">
        <w:rPr>
          <w:rStyle w:val="FootnoteReference"/>
          <w:sz w:val="22"/>
          <w:szCs w:val="22"/>
        </w:rPr>
        <w:footnoteReference w:id="22"/>
      </w:r>
      <w:r w:rsidR="008A3A07" w:rsidRPr="00E960F1">
        <w:rPr>
          <w:szCs w:val="22"/>
        </w:rPr>
        <w:t xml:space="preserve"> </w:t>
      </w:r>
      <w:r w:rsidR="00B74240" w:rsidRPr="00E960F1">
        <w:rPr>
          <w:szCs w:val="22"/>
        </w:rPr>
        <w:t>Although the equipment was located on inaccessible towers and masts,</w:t>
      </w:r>
      <w:r w:rsidR="00C346EF">
        <w:rPr>
          <w:rStyle w:val="FootnoteReference"/>
          <w:szCs w:val="22"/>
        </w:rPr>
        <w:footnoteReference w:id="23"/>
      </w:r>
      <w:r w:rsidR="00B74240" w:rsidRPr="00E960F1">
        <w:rPr>
          <w:szCs w:val="22"/>
        </w:rPr>
        <w:t xml:space="preserve"> the agent collected sufficient evidence demonstrating that the equipment was operational.  First, t</w:t>
      </w:r>
      <w:r w:rsidR="0061176B" w:rsidRPr="00E960F1">
        <w:rPr>
          <w:szCs w:val="22"/>
        </w:rPr>
        <w:t>he agent used</w:t>
      </w:r>
      <w:r w:rsidR="00362FDA" w:rsidRPr="00E960F1">
        <w:rPr>
          <w:szCs w:val="22"/>
        </w:rPr>
        <w:t xml:space="preserve"> a spectrum an</w:t>
      </w:r>
      <w:r w:rsidR="0061176B" w:rsidRPr="00E960F1">
        <w:rPr>
          <w:szCs w:val="22"/>
        </w:rPr>
        <w:t>alyzer and directional antenna</w:t>
      </w:r>
      <w:r w:rsidR="00C346EF">
        <w:rPr>
          <w:szCs w:val="22"/>
        </w:rPr>
        <w:t xml:space="preserve"> </w:t>
      </w:r>
      <w:r w:rsidR="0086303A" w:rsidRPr="00E960F1">
        <w:rPr>
          <w:szCs w:val="22"/>
        </w:rPr>
        <w:t>to</w:t>
      </w:r>
      <w:r w:rsidR="008A3A07" w:rsidRPr="00E960F1">
        <w:rPr>
          <w:szCs w:val="22"/>
        </w:rPr>
        <w:t xml:space="preserve"> </w:t>
      </w:r>
      <w:r w:rsidR="00C346EF">
        <w:rPr>
          <w:szCs w:val="22"/>
        </w:rPr>
        <w:t>locate</w:t>
      </w:r>
      <w:r w:rsidR="008A3A07" w:rsidRPr="00E960F1">
        <w:rPr>
          <w:szCs w:val="22"/>
        </w:rPr>
        <w:t xml:space="preserve"> the source of </w:t>
      </w:r>
      <w:r w:rsidR="00B74240" w:rsidRPr="00E960F1">
        <w:rPr>
          <w:szCs w:val="22"/>
        </w:rPr>
        <w:t xml:space="preserve">the </w:t>
      </w:r>
      <w:r w:rsidR="00362FDA" w:rsidRPr="00E960F1">
        <w:rPr>
          <w:szCs w:val="22"/>
        </w:rPr>
        <w:t xml:space="preserve">radiofrequency signals in the 900 MHz band </w:t>
      </w:r>
      <w:r w:rsidR="0086303A" w:rsidRPr="00E960F1">
        <w:rPr>
          <w:szCs w:val="22"/>
        </w:rPr>
        <w:t>to</w:t>
      </w:r>
      <w:r w:rsidR="00C346EF">
        <w:rPr>
          <w:szCs w:val="22"/>
        </w:rPr>
        <w:t xml:space="preserve"> the </w:t>
      </w:r>
      <w:r w:rsidR="00C346EF" w:rsidRPr="00E960F1">
        <w:rPr>
          <w:spacing w:val="-2"/>
          <w:szCs w:val="22"/>
        </w:rPr>
        <w:t>Pepper Lane and Shawnee Trail sites</w:t>
      </w:r>
      <w:r w:rsidR="00362FDA" w:rsidRPr="00E960F1">
        <w:rPr>
          <w:szCs w:val="22"/>
        </w:rPr>
        <w:t xml:space="preserve">.  </w:t>
      </w:r>
      <w:r w:rsidR="00B74240" w:rsidRPr="00E960F1">
        <w:rPr>
          <w:szCs w:val="22"/>
        </w:rPr>
        <w:t>Second, t</w:t>
      </w:r>
      <w:r w:rsidR="0061176B" w:rsidRPr="00E960F1">
        <w:rPr>
          <w:szCs w:val="22"/>
        </w:rPr>
        <w:t xml:space="preserve">he agent </w:t>
      </w:r>
      <w:r w:rsidR="0086303A" w:rsidRPr="00E960F1">
        <w:rPr>
          <w:szCs w:val="22"/>
        </w:rPr>
        <w:t>obtained</w:t>
      </w:r>
      <w:r w:rsidR="0061176B" w:rsidRPr="00E960F1">
        <w:rPr>
          <w:szCs w:val="22"/>
        </w:rPr>
        <w:t xml:space="preserve"> s</w:t>
      </w:r>
      <w:r w:rsidR="00362FDA" w:rsidRPr="00E960F1">
        <w:rPr>
          <w:szCs w:val="22"/>
        </w:rPr>
        <w:t xml:space="preserve">pectrum snapshots </w:t>
      </w:r>
      <w:r w:rsidR="0086303A" w:rsidRPr="00E960F1">
        <w:rPr>
          <w:szCs w:val="22"/>
        </w:rPr>
        <w:t>at each location</w:t>
      </w:r>
      <w:r w:rsidR="0061176B" w:rsidRPr="00E960F1">
        <w:rPr>
          <w:szCs w:val="22"/>
        </w:rPr>
        <w:t xml:space="preserve">, </w:t>
      </w:r>
      <w:r w:rsidR="0086303A" w:rsidRPr="00E960F1">
        <w:rPr>
          <w:szCs w:val="22"/>
        </w:rPr>
        <w:t xml:space="preserve">providing visual documentation </w:t>
      </w:r>
      <w:r w:rsidR="00C346EF">
        <w:rPr>
          <w:szCs w:val="22"/>
        </w:rPr>
        <w:t>of the transmissions</w:t>
      </w:r>
      <w:r w:rsidR="00B74240" w:rsidRPr="00E960F1">
        <w:rPr>
          <w:szCs w:val="22"/>
        </w:rPr>
        <w:t xml:space="preserve">.  Third, the agent </w:t>
      </w:r>
      <w:r w:rsidR="0086303A" w:rsidRPr="00E960F1">
        <w:rPr>
          <w:szCs w:val="22"/>
        </w:rPr>
        <w:t>t</w:t>
      </w:r>
      <w:r w:rsidR="00C346EF">
        <w:rPr>
          <w:szCs w:val="22"/>
        </w:rPr>
        <w:t>ook pictures showing</w:t>
      </w:r>
      <w:r w:rsidR="0061176B" w:rsidRPr="00E960F1">
        <w:rPr>
          <w:szCs w:val="22"/>
        </w:rPr>
        <w:t xml:space="preserve"> the </w:t>
      </w:r>
      <w:r w:rsidR="00362FDA" w:rsidRPr="00E960F1">
        <w:rPr>
          <w:szCs w:val="22"/>
        </w:rPr>
        <w:t xml:space="preserve">connection of the RF Linx amplifiers </w:t>
      </w:r>
      <w:r w:rsidR="0061176B" w:rsidRPr="00E960F1">
        <w:rPr>
          <w:szCs w:val="22"/>
        </w:rPr>
        <w:t xml:space="preserve">to the Motorola Canopy </w:t>
      </w:r>
      <w:r w:rsidR="00C346EF">
        <w:rPr>
          <w:szCs w:val="22"/>
        </w:rPr>
        <w:t>System transmitters</w:t>
      </w:r>
      <w:r w:rsidR="00362FDA" w:rsidRPr="00E960F1">
        <w:rPr>
          <w:szCs w:val="22"/>
        </w:rPr>
        <w:t>.</w:t>
      </w:r>
      <w:r w:rsidR="00B74240" w:rsidRPr="00E960F1">
        <w:rPr>
          <w:szCs w:val="22"/>
        </w:rPr>
        <w:t xml:space="preserve">  </w:t>
      </w:r>
      <w:r w:rsidR="00FD5991">
        <w:rPr>
          <w:szCs w:val="22"/>
        </w:rPr>
        <w:t xml:space="preserve">With this evidence, there is no requirement that the agent directly examine </w:t>
      </w:r>
      <w:r w:rsidR="00B74240" w:rsidRPr="00E960F1">
        <w:rPr>
          <w:szCs w:val="22"/>
        </w:rPr>
        <w:t xml:space="preserve">the equipment at the </w:t>
      </w:r>
      <w:r w:rsidR="00B74240" w:rsidRPr="00E960F1">
        <w:rPr>
          <w:spacing w:val="-2"/>
          <w:szCs w:val="22"/>
        </w:rPr>
        <w:t>Pepper Lane and Shawnee Trail sites.</w:t>
      </w:r>
      <w:r w:rsidR="00B121AF" w:rsidRPr="00E960F1">
        <w:rPr>
          <w:szCs w:val="22"/>
        </w:rPr>
        <w:t xml:space="preserve">  </w:t>
      </w:r>
      <w:r w:rsidR="0061176B" w:rsidRPr="00E960F1">
        <w:rPr>
          <w:szCs w:val="22"/>
        </w:rPr>
        <w:t>As a result, we find sufficient evidence in the record</w:t>
      </w:r>
      <w:r w:rsidR="00B121AF" w:rsidRPr="00E960F1">
        <w:rPr>
          <w:szCs w:val="22"/>
        </w:rPr>
        <w:t xml:space="preserve"> that</w:t>
      </w:r>
      <w:r w:rsidR="0086303A" w:rsidRPr="00E960F1">
        <w:rPr>
          <w:szCs w:val="22"/>
        </w:rPr>
        <w:t xml:space="preserve"> </w:t>
      </w:r>
      <w:r w:rsidR="00B121AF" w:rsidRPr="00E960F1">
        <w:rPr>
          <w:szCs w:val="22"/>
        </w:rPr>
        <w:t xml:space="preserve">that the equipment at the </w:t>
      </w:r>
      <w:r w:rsidR="00B121AF" w:rsidRPr="00E960F1">
        <w:rPr>
          <w:spacing w:val="-2"/>
          <w:szCs w:val="22"/>
        </w:rPr>
        <w:t>Pepper Lane and Shawnee Trail sites was in operation at the time of the inspection.</w:t>
      </w:r>
    </w:p>
    <w:p w:rsidR="00A236F2" w:rsidRDefault="0061176B" w:rsidP="00FD3DFF">
      <w:pPr>
        <w:pStyle w:val="ParaNum"/>
        <w:widowControl/>
        <w:rPr>
          <w:szCs w:val="22"/>
        </w:rPr>
      </w:pPr>
      <w:r w:rsidRPr="00E960F1">
        <w:rPr>
          <w:szCs w:val="22"/>
        </w:rPr>
        <w:t xml:space="preserve">We also find that Winchester Wireless exercised sufficient </w:t>
      </w:r>
      <w:r w:rsidR="0086303A" w:rsidRPr="00E960F1">
        <w:rPr>
          <w:szCs w:val="22"/>
        </w:rPr>
        <w:t xml:space="preserve">control </w:t>
      </w:r>
      <w:r w:rsidR="00E960F1" w:rsidRPr="00E960F1">
        <w:rPr>
          <w:szCs w:val="22"/>
        </w:rPr>
        <w:t xml:space="preserve">over the general conduct or management of the </w:t>
      </w:r>
      <w:r w:rsidR="00B121AF" w:rsidRPr="00E960F1">
        <w:rPr>
          <w:spacing w:val="-2"/>
          <w:szCs w:val="22"/>
        </w:rPr>
        <w:t xml:space="preserve">Pepper Lane and Shawnee Trail sites </w:t>
      </w:r>
      <w:r w:rsidR="008A3A07" w:rsidRPr="00E960F1">
        <w:rPr>
          <w:szCs w:val="22"/>
        </w:rPr>
        <w:t xml:space="preserve">to find it liable for operating </w:t>
      </w:r>
      <w:r w:rsidR="00B121AF" w:rsidRPr="00E960F1">
        <w:rPr>
          <w:szCs w:val="22"/>
        </w:rPr>
        <w:t>its transmitters with external amplifiers without authorization</w:t>
      </w:r>
      <w:r w:rsidR="0086303A" w:rsidRPr="00E960F1">
        <w:rPr>
          <w:szCs w:val="22"/>
        </w:rPr>
        <w:t xml:space="preserve">.  </w:t>
      </w:r>
      <w:r w:rsidR="00AC3E13" w:rsidRPr="00E960F1">
        <w:rPr>
          <w:szCs w:val="22"/>
        </w:rPr>
        <w:t>As Winchester Wireless</w:t>
      </w:r>
      <w:r w:rsidR="00A97AEE" w:rsidRPr="00E960F1">
        <w:rPr>
          <w:szCs w:val="22"/>
        </w:rPr>
        <w:t xml:space="preserve"> acknowledges, t</w:t>
      </w:r>
      <w:r w:rsidR="00C346EF">
        <w:rPr>
          <w:szCs w:val="22"/>
        </w:rPr>
        <w:t>he term “operate” is broadly defined to include</w:t>
      </w:r>
      <w:r w:rsidR="00A97AEE" w:rsidRPr="00E960F1">
        <w:rPr>
          <w:szCs w:val="22"/>
        </w:rPr>
        <w:t xml:space="preserve"> “the general conduct or management of a station as a whole, as distinct from the specific technical work involved in the actual transmission of signals.”</w:t>
      </w:r>
      <w:r w:rsidR="00A97AEE" w:rsidRPr="00E960F1">
        <w:rPr>
          <w:rStyle w:val="FootnoteReference"/>
          <w:sz w:val="22"/>
          <w:szCs w:val="22"/>
        </w:rPr>
        <w:footnoteReference w:id="24"/>
      </w:r>
      <w:r w:rsidR="00A97AEE" w:rsidRPr="00E960F1">
        <w:rPr>
          <w:szCs w:val="22"/>
        </w:rPr>
        <w:t xml:space="preserve">  </w:t>
      </w:r>
      <w:r w:rsidR="000B4521" w:rsidRPr="00E960F1">
        <w:rPr>
          <w:szCs w:val="22"/>
        </w:rPr>
        <w:t>In other words, the use of the word “operate” captures “not just the actual, mechanical manipulation of radio apparatus</w:t>
      </w:r>
      <w:r w:rsidR="00FD3DFF">
        <w:rPr>
          <w:szCs w:val="22"/>
        </w:rPr>
        <w:t xml:space="preserve">, but also operation of a . . . </w:t>
      </w:r>
      <w:r w:rsidR="000B4521" w:rsidRPr="00E960F1">
        <w:rPr>
          <w:szCs w:val="22"/>
        </w:rPr>
        <w:t>station generally.”</w:t>
      </w:r>
      <w:r w:rsidR="000B4521" w:rsidRPr="00E960F1">
        <w:rPr>
          <w:rStyle w:val="FootnoteReference"/>
          <w:sz w:val="22"/>
          <w:szCs w:val="22"/>
        </w:rPr>
        <w:footnoteReference w:id="25"/>
      </w:r>
      <w:r w:rsidR="000B4521" w:rsidRPr="00E960F1">
        <w:rPr>
          <w:szCs w:val="22"/>
        </w:rPr>
        <w:t xml:space="preserve">  </w:t>
      </w:r>
      <w:r w:rsidR="00F71FA6" w:rsidRPr="00E960F1">
        <w:rPr>
          <w:szCs w:val="22"/>
        </w:rPr>
        <w:t xml:space="preserve">The Commission </w:t>
      </w:r>
      <w:r w:rsidR="00FD3DFF">
        <w:rPr>
          <w:szCs w:val="22"/>
        </w:rPr>
        <w:t xml:space="preserve">therefore </w:t>
      </w:r>
      <w:r w:rsidR="00F71FA6" w:rsidRPr="00E960F1">
        <w:rPr>
          <w:szCs w:val="22"/>
        </w:rPr>
        <w:t>can consider whether an entity exercises “any means of actual working control over the operation of the [station] in whatever manner exercised” when determining whether such entity is labile for the unauthorized operations of a station.</w:t>
      </w:r>
      <w:r w:rsidR="00F71FA6" w:rsidRPr="00E960F1">
        <w:rPr>
          <w:rStyle w:val="FootnoteReference"/>
          <w:sz w:val="22"/>
          <w:szCs w:val="22"/>
        </w:rPr>
        <w:footnoteReference w:id="26"/>
      </w:r>
      <w:r w:rsidR="00F71FA6" w:rsidRPr="00E960F1">
        <w:rPr>
          <w:szCs w:val="22"/>
        </w:rPr>
        <w:t xml:space="preserve">  We have found such actual working control when a party holds itself out as the manager of a</w:t>
      </w:r>
      <w:r w:rsidR="00FD3DFF">
        <w:rPr>
          <w:szCs w:val="22"/>
        </w:rPr>
        <w:t>n unauthorized</w:t>
      </w:r>
      <w:r w:rsidR="00F71FA6" w:rsidRPr="00E960F1">
        <w:rPr>
          <w:szCs w:val="22"/>
        </w:rPr>
        <w:t xml:space="preserve"> station,</w:t>
      </w:r>
      <w:r w:rsidR="00F71FA6" w:rsidRPr="00E960F1">
        <w:rPr>
          <w:rStyle w:val="FootnoteReference"/>
          <w:sz w:val="22"/>
          <w:szCs w:val="22"/>
        </w:rPr>
        <w:footnoteReference w:id="27"/>
      </w:r>
      <w:r w:rsidR="00FD3DFF">
        <w:rPr>
          <w:szCs w:val="22"/>
        </w:rPr>
        <w:t xml:space="preserve"> accesses an</w:t>
      </w:r>
      <w:r w:rsidR="00FD5991">
        <w:rPr>
          <w:szCs w:val="22"/>
        </w:rPr>
        <w:t xml:space="preserve"> unauthorized station’s transmitter</w:t>
      </w:r>
      <w:r w:rsidR="000E57CB" w:rsidRPr="00E960F1">
        <w:rPr>
          <w:szCs w:val="22"/>
        </w:rPr>
        <w:t>,</w:t>
      </w:r>
      <w:r w:rsidR="000E57CB" w:rsidRPr="00E960F1">
        <w:rPr>
          <w:rStyle w:val="FootnoteReference"/>
          <w:sz w:val="22"/>
          <w:szCs w:val="22"/>
        </w:rPr>
        <w:footnoteReference w:id="28"/>
      </w:r>
      <w:r w:rsidR="005D7D16" w:rsidRPr="00E960F1">
        <w:rPr>
          <w:szCs w:val="22"/>
        </w:rPr>
        <w:t xml:space="preserve"> or </w:t>
      </w:r>
      <w:r w:rsidR="00B121AF" w:rsidRPr="00E960F1">
        <w:rPr>
          <w:szCs w:val="22"/>
        </w:rPr>
        <w:t xml:space="preserve">operates </w:t>
      </w:r>
      <w:r w:rsidR="00FD3DFF">
        <w:rPr>
          <w:szCs w:val="22"/>
        </w:rPr>
        <w:t xml:space="preserve">station </w:t>
      </w:r>
      <w:r w:rsidR="005D7D16" w:rsidRPr="00E960F1">
        <w:rPr>
          <w:szCs w:val="22"/>
        </w:rPr>
        <w:t>equipment in an unauthorized manner.</w:t>
      </w:r>
      <w:r w:rsidR="005D7D16" w:rsidRPr="00E960F1">
        <w:rPr>
          <w:rStyle w:val="FootnoteReference"/>
          <w:sz w:val="22"/>
          <w:szCs w:val="22"/>
        </w:rPr>
        <w:footnoteReference w:id="29"/>
      </w:r>
    </w:p>
    <w:p w:rsidR="00AC3E13" w:rsidRPr="00C56D6E" w:rsidRDefault="00B121AF" w:rsidP="00721AFA">
      <w:pPr>
        <w:pStyle w:val="ParaNum"/>
        <w:widowControl/>
        <w:rPr>
          <w:szCs w:val="22"/>
        </w:rPr>
      </w:pPr>
      <w:r w:rsidRPr="00E960F1">
        <w:rPr>
          <w:szCs w:val="22"/>
        </w:rPr>
        <w:t xml:space="preserve">In its </w:t>
      </w:r>
      <w:r w:rsidRPr="00E960F1">
        <w:rPr>
          <w:i/>
          <w:szCs w:val="22"/>
        </w:rPr>
        <w:t>NAL Response</w:t>
      </w:r>
      <w:r w:rsidR="00FD3DFF">
        <w:rPr>
          <w:szCs w:val="22"/>
        </w:rPr>
        <w:t>, Winchester Wireless argues</w:t>
      </w:r>
      <w:r w:rsidRPr="00E960F1">
        <w:rPr>
          <w:szCs w:val="22"/>
        </w:rPr>
        <w:t xml:space="preserve"> that the Bureau never</w:t>
      </w:r>
      <w:r w:rsidR="00FD3DFF">
        <w:rPr>
          <w:szCs w:val="22"/>
        </w:rPr>
        <w:t xml:space="preserve"> established that it operated from</w:t>
      </w:r>
      <w:r w:rsidRPr="00E960F1">
        <w:rPr>
          <w:szCs w:val="22"/>
        </w:rPr>
        <w:t xml:space="preserve"> the </w:t>
      </w:r>
      <w:r w:rsidRPr="00E960F1">
        <w:rPr>
          <w:spacing w:val="-2"/>
          <w:szCs w:val="22"/>
        </w:rPr>
        <w:t>Pepper Lane and Shawnee Trail sites.</w:t>
      </w:r>
      <w:r w:rsidRPr="00E960F1">
        <w:rPr>
          <w:rStyle w:val="FootnoteReference"/>
          <w:spacing w:val="-2"/>
          <w:sz w:val="22"/>
          <w:szCs w:val="22"/>
        </w:rPr>
        <w:footnoteReference w:id="30"/>
      </w:r>
      <w:r w:rsidRPr="00E960F1">
        <w:rPr>
          <w:spacing w:val="-2"/>
          <w:szCs w:val="22"/>
        </w:rPr>
        <w:t xml:space="preserve">  However, as noted in the </w:t>
      </w:r>
      <w:r w:rsidRPr="00E960F1">
        <w:rPr>
          <w:i/>
          <w:spacing w:val="-2"/>
          <w:szCs w:val="22"/>
        </w:rPr>
        <w:t>NAL</w:t>
      </w:r>
      <w:r w:rsidRPr="00E960F1">
        <w:rPr>
          <w:spacing w:val="-2"/>
          <w:szCs w:val="22"/>
        </w:rPr>
        <w:t xml:space="preserve">, Winchester Wireless stated that it </w:t>
      </w:r>
      <w:r w:rsidR="00FD3DFF">
        <w:rPr>
          <w:spacing w:val="-2"/>
          <w:szCs w:val="22"/>
        </w:rPr>
        <w:t>would investigate the compliance of its operations</w:t>
      </w:r>
      <w:r w:rsidRPr="00E960F1">
        <w:rPr>
          <w:spacing w:val="-2"/>
          <w:szCs w:val="22"/>
        </w:rPr>
        <w:t xml:space="preserve"> at the Pepper Lane and Shawnee Trail sites in response to the 2013 NOUO.</w:t>
      </w:r>
      <w:r w:rsidRPr="00E960F1">
        <w:rPr>
          <w:rStyle w:val="FootnoteReference"/>
          <w:spacing w:val="-2"/>
          <w:sz w:val="22"/>
          <w:szCs w:val="22"/>
        </w:rPr>
        <w:footnoteReference w:id="31"/>
      </w:r>
      <w:r w:rsidR="009205EC" w:rsidRPr="00E960F1">
        <w:rPr>
          <w:spacing w:val="-2"/>
          <w:szCs w:val="22"/>
        </w:rPr>
        <w:t xml:space="preserve">  </w:t>
      </w:r>
      <w:r w:rsidR="00C56D6E">
        <w:rPr>
          <w:spacing w:val="-2"/>
          <w:szCs w:val="22"/>
        </w:rPr>
        <w:t>As a result, Winchester Wireless held itself out as having</w:t>
      </w:r>
      <w:r w:rsidR="00C56D6E">
        <w:rPr>
          <w:szCs w:val="22"/>
        </w:rPr>
        <w:t xml:space="preserve"> </w:t>
      </w:r>
      <w:r w:rsidR="00C56D6E" w:rsidRPr="00C56D6E">
        <w:rPr>
          <w:szCs w:val="22"/>
        </w:rPr>
        <w:t>control over the general conduct or management</w:t>
      </w:r>
      <w:r w:rsidR="00C56D6E">
        <w:rPr>
          <w:szCs w:val="22"/>
        </w:rPr>
        <w:t xml:space="preserve"> of </w:t>
      </w:r>
      <w:r w:rsidR="009205EC" w:rsidRPr="00C56D6E">
        <w:rPr>
          <w:spacing w:val="-2"/>
          <w:szCs w:val="22"/>
        </w:rPr>
        <w:t>the Pepper Lane and Shawnee Trail</w:t>
      </w:r>
      <w:r w:rsidR="00527834" w:rsidRPr="00C56D6E">
        <w:rPr>
          <w:spacing w:val="-2"/>
          <w:szCs w:val="22"/>
        </w:rPr>
        <w:t xml:space="preserve"> sites and </w:t>
      </w:r>
      <w:r w:rsidR="00C56D6E">
        <w:rPr>
          <w:spacing w:val="-2"/>
          <w:szCs w:val="22"/>
        </w:rPr>
        <w:t xml:space="preserve">stated that it would access the </w:t>
      </w:r>
      <w:r w:rsidR="00FD5991">
        <w:rPr>
          <w:spacing w:val="-2"/>
          <w:szCs w:val="22"/>
        </w:rPr>
        <w:t xml:space="preserve">transmitter </w:t>
      </w:r>
      <w:r w:rsidR="00C56D6E">
        <w:rPr>
          <w:spacing w:val="-2"/>
          <w:szCs w:val="22"/>
        </w:rPr>
        <w:t>sites in order to assess the compliance of its operations</w:t>
      </w:r>
      <w:r w:rsidR="009205EC" w:rsidRPr="00C56D6E">
        <w:rPr>
          <w:spacing w:val="-2"/>
          <w:szCs w:val="22"/>
        </w:rPr>
        <w:t xml:space="preserve">.  Winchester Wireless nevertheless suggests that it </w:t>
      </w:r>
      <w:r w:rsidR="00C56D6E">
        <w:rPr>
          <w:spacing w:val="-2"/>
          <w:szCs w:val="22"/>
        </w:rPr>
        <w:t xml:space="preserve">the forfeiture must be cancelled because local residents could have </w:t>
      </w:r>
      <w:r w:rsidR="009205EC" w:rsidRPr="00C56D6E">
        <w:rPr>
          <w:spacing w:val="-2"/>
          <w:szCs w:val="22"/>
        </w:rPr>
        <w:t>attached t</w:t>
      </w:r>
      <w:r w:rsidR="00C56D6E">
        <w:rPr>
          <w:spacing w:val="-2"/>
          <w:szCs w:val="22"/>
        </w:rPr>
        <w:t>he external amplifiers to their transmitters</w:t>
      </w:r>
      <w:r w:rsidR="009205EC" w:rsidRPr="00C56D6E">
        <w:rPr>
          <w:spacing w:val="-2"/>
          <w:szCs w:val="22"/>
        </w:rPr>
        <w:t>.</w:t>
      </w:r>
      <w:r w:rsidR="00C56D6E">
        <w:rPr>
          <w:rStyle w:val="FootnoteReference"/>
          <w:spacing w:val="-2"/>
          <w:szCs w:val="22"/>
        </w:rPr>
        <w:footnoteReference w:id="32"/>
      </w:r>
      <w:r w:rsidR="009205EC" w:rsidRPr="00C56D6E">
        <w:rPr>
          <w:spacing w:val="-2"/>
          <w:szCs w:val="22"/>
        </w:rPr>
        <w:t xml:space="preserve">  </w:t>
      </w:r>
      <w:r w:rsidR="00C56D6E">
        <w:rPr>
          <w:spacing w:val="-2"/>
          <w:szCs w:val="22"/>
        </w:rPr>
        <w:t>Winchester Wireless provides no evidence to support this claim.</w:t>
      </w:r>
      <w:r w:rsidR="00C56D6E" w:rsidRPr="00E960F1">
        <w:rPr>
          <w:rStyle w:val="FootnoteReference"/>
          <w:sz w:val="22"/>
          <w:szCs w:val="22"/>
        </w:rPr>
        <w:footnoteReference w:id="33"/>
      </w:r>
      <w:r w:rsidR="00C56D6E">
        <w:rPr>
          <w:szCs w:val="22"/>
        </w:rPr>
        <w:t xml:space="preserve">  However, </w:t>
      </w:r>
      <w:r w:rsidR="00E960F1" w:rsidRPr="00C56D6E">
        <w:rPr>
          <w:szCs w:val="22"/>
        </w:rPr>
        <w:t>t</w:t>
      </w:r>
      <w:r w:rsidR="00C56D6E">
        <w:rPr>
          <w:szCs w:val="22"/>
        </w:rPr>
        <w:t xml:space="preserve">he mere fact that a third party’s actions may have led to the violations </w:t>
      </w:r>
      <w:r w:rsidR="009205EC" w:rsidRPr="00C56D6E">
        <w:rPr>
          <w:szCs w:val="22"/>
        </w:rPr>
        <w:t xml:space="preserve">does not </w:t>
      </w:r>
      <w:r w:rsidR="00527834" w:rsidRPr="00C56D6E">
        <w:rPr>
          <w:szCs w:val="22"/>
        </w:rPr>
        <w:t xml:space="preserve">absolve </w:t>
      </w:r>
      <w:r w:rsidR="009205EC" w:rsidRPr="00C56D6E">
        <w:rPr>
          <w:szCs w:val="22"/>
        </w:rPr>
        <w:t xml:space="preserve">Winchester </w:t>
      </w:r>
      <w:r w:rsidR="00527834" w:rsidRPr="00C56D6E">
        <w:rPr>
          <w:szCs w:val="22"/>
        </w:rPr>
        <w:t>Wireless</w:t>
      </w:r>
      <w:r w:rsidR="00C56D6E">
        <w:rPr>
          <w:szCs w:val="22"/>
        </w:rPr>
        <w:t xml:space="preserve"> </w:t>
      </w:r>
      <w:r w:rsidR="00527834" w:rsidRPr="00C56D6E">
        <w:rPr>
          <w:szCs w:val="22"/>
        </w:rPr>
        <w:t xml:space="preserve">because </w:t>
      </w:r>
      <w:r w:rsidR="00E960F1" w:rsidRPr="00C56D6E">
        <w:rPr>
          <w:szCs w:val="22"/>
        </w:rPr>
        <w:t>“</w:t>
      </w:r>
      <w:r w:rsidR="00527834" w:rsidRPr="00C56D6E">
        <w:rPr>
          <w:snapToGrid/>
          <w:kern w:val="0"/>
          <w:szCs w:val="22"/>
        </w:rPr>
        <w:t>liability for unlicensed operation may be assigned to any individual taking part in the operation of the unlicensed station, regardless of who else may be responsible for the operation</w:t>
      </w:r>
      <w:r w:rsidR="00E960F1" w:rsidRPr="00C56D6E">
        <w:rPr>
          <w:snapToGrid/>
          <w:kern w:val="0"/>
          <w:szCs w:val="22"/>
        </w:rPr>
        <w:t>.”</w:t>
      </w:r>
      <w:r w:rsidR="00E960F1" w:rsidRPr="00E960F1">
        <w:rPr>
          <w:rStyle w:val="FootnoteReference"/>
          <w:snapToGrid/>
          <w:kern w:val="0"/>
          <w:sz w:val="22"/>
          <w:szCs w:val="22"/>
        </w:rPr>
        <w:footnoteReference w:id="34"/>
      </w:r>
      <w:r w:rsidR="00E960F1" w:rsidRPr="00C56D6E">
        <w:rPr>
          <w:snapToGrid/>
          <w:kern w:val="0"/>
          <w:szCs w:val="22"/>
        </w:rPr>
        <w:t xml:space="preserve">  Even if </w:t>
      </w:r>
      <w:r w:rsidR="00C56D6E">
        <w:rPr>
          <w:snapToGrid/>
          <w:kern w:val="0"/>
          <w:szCs w:val="22"/>
        </w:rPr>
        <w:t xml:space="preserve">the residents </w:t>
      </w:r>
      <w:r w:rsidR="00E960F1" w:rsidRPr="00C56D6E">
        <w:rPr>
          <w:snapToGrid/>
          <w:kern w:val="0"/>
          <w:szCs w:val="22"/>
        </w:rPr>
        <w:t>attach</w:t>
      </w:r>
      <w:r w:rsidR="00C56D6E">
        <w:rPr>
          <w:snapToGrid/>
          <w:kern w:val="0"/>
          <w:szCs w:val="22"/>
        </w:rPr>
        <w:t>ed the external amplifiers</w:t>
      </w:r>
      <w:r w:rsidR="00E960F1" w:rsidRPr="00C56D6E">
        <w:rPr>
          <w:snapToGrid/>
          <w:kern w:val="0"/>
          <w:szCs w:val="22"/>
        </w:rPr>
        <w:t>, Winchester Wireless’s continued operation of its transmitters while failing to ensure th</w:t>
      </w:r>
      <w:r w:rsidR="00CB1F88">
        <w:rPr>
          <w:snapToGrid/>
          <w:kern w:val="0"/>
          <w:szCs w:val="22"/>
        </w:rPr>
        <w:t xml:space="preserve">at such operation conformed to </w:t>
      </w:r>
      <w:r w:rsidR="00E960F1" w:rsidRPr="00C56D6E">
        <w:rPr>
          <w:snapToGrid/>
          <w:kern w:val="0"/>
          <w:szCs w:val="22"/>
        </w:rPr>
        <w:t>its equipment authorizat</w:t>
      </w:r>
      <w:r w:rsidR="00CB1F88">
        <w:rPr>
          <w:snapToGrid/>
          <w:kern w:val="0"/>
          <w:szCs w:val="22"/>
        </w:rPr>
        <w:t>ion violated the Act and Rules.</w:t>
      </w:r>
      <w:r w:rsidR="00E960F1" w:rsidRPr="00E960F1">
        <w:rPr>
          <w:rStyle w:val="FootnoteReference"/>
          <w:snapToGrid/>
          <w:kern w:val="0"/>
          <w:sz w:val="22"/>
          <w:szCs w:val="22"/>
        </w:rPr>
        <w:footnoteReference w:id="35"/>
      </w:r>
      <w:r w:rsidR="00E960F1" w:rsidRPr="00C56D6E">
        <w:rPr>
          <w:szCs w:val="22"/>
        </w:rPr>
        <w:t xml:space="preserve">  </w:t>
      </w:r>
      <w:r w:rsidR="009205EC" w:rsidRPr="00C56D6E">
        <w:rPr>
          <w:szCs w:val="22"/>
        </w:rPr>
        <w:t xml:space="preserve">The Commission has previously determined that </w:t>
      </w:r>
      <w:r w:rsidR="00CB1F88">
        <w:rPr>
          <w:szCs w:val="22"/>
        </w:rPr>
        <w:t xml:space="preserve">the </w:t>
      </w:r>
      <w:r w:rsidR="009205EC" w:rsidRPr="00C56D6E">
        <w:rPr>
          <w:szCs w:val="22"/>
        </w:rPr>
        <w:t>operation of a station in an unauthorized manner, even if the licensee is not aware of the unauthorized o</w:t>
      </w:r>
      <w:r w:rsidR="00CB1F88">
        <w:rPr>
          <w:szCs w:val="22"/>
        </w:rPr>
        <w:t xml:space="preserve">peration, constitutes a </w:t>
      </w:r>
      <w:r w:rsidR="009205EC" w:rsidRPr="00C56D6E">
        <w:rPr>
          <w:szCs w:val="22"/>
        </w:rPr>
        <w:t>violation.</w:t>
      </w:r>
      <w:r w:rsidR="009205EC" w:rsidRPr="00E960F1">
        <w:rPr>
          <w:rStyle w:val="FootnoteReference"/>
          <w:sz w:val="22"/>
          <w:szCs w:val="22"/>
        </w:rPr>
        <w:footnoteReference w:id="36"/>
      </w:r>
      <w:r w:rsidR="00E960F1" w:rsidRPr="00C56D6E">
        <w:rPr>
          <w:szCs w:val="22"/>
        </w:rPr>
        <w:t xml:space="preserve">  </w:t>
      </w:r>
      <w:r w:rsidR="00527834" w:rsidRPr="00C56D6E">
        <w:rPr>
          <w:szCs w:val="22"/>
        </w:rPr>
        <w:t xml:space="preserve">As a result, we </w:t>
      </w:r>
      <w:r w:rsidR="00E960F1" w:rsidRPr="00C56D6E">
        <w:rPr>
          <w:szCs w:val="22"/>
        </w:rPr>
        <w:t xml:space="preserve">conclude that Winchester Wireless </w:t>
      </w:r>
      <w:r w:rsidR="00721AFA">
        <w:rPr>
          <w:szCs w:val="22"/>
        </w:rPr>
        <w:t xml:space="preserve">exercised </w:t>
      </w:r>
      <w:r w:rsidR="00E960F1" w:rsidRPr="00C56D6E">
        <w:rPr>
          <w:szCs w:val="22"/>
        </w:rPr>
        <w:t xml:space="preserve">control over the general conduct or management of the </w:t>
      </w:r>
      <w:r w:rsidR="00E960F1" w:rsidRPr="00C56D6E">
        <w:rPr>
          <w:spacing w:val="-2"/>
          <w:szCs w:val="22"/>
        </w:rPr>
        <w:t>Pepper Lane and Shawnee Trail sites and</w:t>
      </w:r>
      <w:r w:rsidR="00E960F1" w:rsidRPr="00C56D6E">
        <w:rPr>
          <w:szCs w:val="22"/>
        </w:rPr>
        <w:t xml:space="preserve"> find</w:t>
      </w:r>
      <w:r w:rsidR="00527834" w:rsidRPr="00C56D6E">
        <w:rPr>
          <w:szCs w:val="22"/>
        </w:rPr>
        <w:t xml:space="preserve"> no basis to cancel the proposed penalty.</w:t>
      </w:r>
    </w:p>
    <w:p w:rsidR="00B717FF" w:rsidRPr="00E960F1" w:rsidRDefault="00257502" w:rsidP="00E960F1">
      <w:pPr>
        <w:pStyle w:val="Heading2"/>
        <w:rPr>
          <w:szCs w:val="22"/>
        </w:rPr>
      </w:pPr>
      <w:r>
        <w:rPr>
          <w:szCs w:val="22"/>
        </w:rPr>
        <w:t>Winchester Wireless’s Demonstrated Inability to Pay Warrants a Forfeiture Reduction</w:t>
      </w:r>
    </w:p>
    <w:p w:rsidR="00257502" w:rsidRDefault="00B717FF" w:rsidP="00257502">
      <w:pPr>
        <w:pStyle w:val="ParaNum"/>
        <w:widowControl/>
      </w:pPr>
      <w:r w:rsidRPr="00E960F1">
        <w:rPr>
          <w:szCs w:val="22"/>
        </w:rPr>
        <w:t xml:space="preserve">Winchester Wireless also seeks a reduction of the proposed </w:t>
      </w:r>
      <w:r w:rsidR="00257502">
        <w:rPr>
          <w:szCs w:val="22"/>
        </w:rPr>
        <w:t xml:space="preserve">forfeiture based on an </w:t>
      </w:r>
      <w:r w:rsidRPr="00E960F1">
        <w:rPr>
          <w:szCs w:val="22"/>
        </w:rPr>
        <w:t>inability to pay</w:t>
      </w:r>
      <w:r w:rsidR="00257502">
        <w:rPr>
          <w:szCs w:val="22"/>
        </w:rPr>
        <w:t xml:space="preserve"> and provided financial documentation supporting its claim</w:t>
      </w:r>
      <w:r w:rsidR="00545F22" w:rsidRPr="00E960F1">
        <w:rPr>
          <w:szCs w:val="22"/>
        </w:rPr>
        <w:t>.</w:t>
      </w:r>
      <w:r w:rsidR="00257502">
        <w:rPr>
          <w:rStyle w:val="FootnoteReference"/>
          <w:szCs w:val="22"/>
        </w:rPr>
        <w:footnoteReference w:id="37"/>
      </w:r>
      <w:r w:rsidR="00721AFA">
        <w:rPr>
          <w:szCs w:val="22"/>
        </w:rPr>
        <w:t xml:space="preserve">  </w:t>
      </w:r>
      <w:r w:rsidR="00257502" w:rsidRPr="005A77BB">
        <w:rPr>
          <w:szCs w:val="22"/>
        </w:rPr>
        <w:t>With regard to an individual’s or entity’s inability to pay claim, the Commission has determined that, in general, gross income or revenues are the best indicator of an ability to pay a forfeiture.</w:t>
      </w:r>
      <w:bookmarkStart w:id="7" w:name="_Ref350932452"/>
      <w:r w:rsidR="00257502" w:rsidRPr="005A77BB">
        <w:rPr>
          <w:rStyle w:val="FootnoteCharacters"/>
          <w:sz w:val="22"/>
          <w:szCs w:val="22"/>
        </w:rPr>
        <w:footnoteReference w:id="38"/>
      </w:r>
      <w:bookmarkEnd w:id="7"/>
      <w:r w:rsidR="00257502" w:rsidRPr="005A77BB">
        <w:rPr>
          <w:szCs w:val="22"/>
        </w:rPr>
        <w:t xml:space="preserve">  Based on the financial documents provided by</w:t>
      </w:r>
      <w:r w:rsidR="00257502">
        <w:rPr>
          <w:szCs w:val="22"/>
        </w:rPr>
        <w:t xml:space="preserve"> Winchester Wireless</w:t>
      </w:r>
      <w:r w:rsidR="00257502" w:rsidRPr="005A77BB">
        <w:rPr>
          <w:szCs w:val="22"/>
        </w:rPr>
        <w:t>, we find sufficient basis to reduce the forfeiture to $</w:t>
      </w:r>
      <w:r w:rsidR="00257502">
        <w:rPr>
          <w:szCs w:val="22"/>
        </w:rPr>
        <w:t>4,800</w:t>
      </w:r>
      <w:r w:rsidR="00257502" w:rsidRPr="005A77BB">
        <w:rPr>
          <w:szCs w:val="22"/>
        </w:rPr>
        <w:t>.</w:t>
      </w:r>
      <w:r w:rsidR="00257502" w:rsidRPr="005A77BB">
        <w:rPr>
          <w:rStyle w:val="FootnoteReference"/>
          <w:sz w:val="22"/>
          <w:szCs w:val="22"/>
        </w:rPr>
        <w:footnoteReference w:id="39"/>
      </w:r>
      <w:r w:rsidR="00257502" w:rsidRPr="005A77BB">
        <w:rPr>
          <w:szCs w:val="22"/>
        </w:rPr>
        <w:t xml:space="preserve">  </w:t>
      </w:r>
      <w:r w:rsidR="00257502">
        <w:t xml:space="preserve">However, </w:t>
      </w:r>
      <w:r w:rsidR="00721AFA">
        <w:t xml:space="preserve">we caution Winchester Wireless </w:t>
      </w:r>
      <w:r w:rsidR="00257502">
        <w:t>that a party’s inability to pay is only one factor in our forfeiture calculation analysis, and is not dispositive.</w:t>
      </w:r>
      <w:r w:rsidR="00257502">
        <w:rPr>
          <w:rStyle w:val="FootnoteReference"/>
        </w:rPr>
        <w:footnoteReference w:id="40"/>
      </w:r>
      <w:r w:rsidR="00257502">
        <w:t xml:space="preserve">  We have previously rejected inability to pay claims in cases of repeated intentional and malicious acts or otherwise egregious violations.</w:t>
      </w:r>
      <w:r w:rsidR="00257502">
        <w:rPr>
          <w:rStyle w:val="FootnoteReference"/>
        </w:rPr>
        <w:footnoteReference w:id="41"/>
      </w:r>
      <w:r w:rsidR="00257502">
        <w:t xml:space="preserve">  We therefore </w:t>
      </w:r>
      <w:r w:rsidR="00721AFA">
        <w:t xml:space="preserve">warn Winchester Wireless </w:t>
      </w:r>
      <w:r w:rsidR="00257502">
        <w:t>that we could impose significantly hi</w:t>
      </w:r>
      <w:r w:rsidR="00721AFA">
        <w:t>gher penalties regardless of its</w:t>
      </w:r>
      <w:r w:rsidR="00257502">
        <w:t xml:space="preserve"> financial circumstances if the forfeiture imposed here does not serve as a sufficient deterrent or if future violations evidence a pattern of deliberate disregard for the Commission’s rules.</w:t>
      </w:r>
    </w:p>
    <w:p w:rsidR="00B717FF" w:rsidRPr="00257502" w:rsidRDefault="00257502" w:rsidP="00257502">
      <w:pPr>
        <w:pStyle w:val="ParaNum"/>
        <w:widowControl/>
        <w:rPr>
          <w:szCs w:val="22"/>
        </w:rPr>
      </w:pPr>
      <w:r w:rsidRPr="005A77BB">
        <w:rPr>
          <w:szCs w:val="22"/>
        </w:rPr>
        <w:t>Based on the record before us and in light of the applicable statu</w:t>
      </w:r>
      <w:r>
        <w:rPr>
          <w:szCs w:val="22"/>
        </w:rPr>
        <w:t>tory fac</w:t>
      </w:r>
      <w:r w:rsidR="00721AFA">
        <w:rPr>
          <w:szCs w:val="22"/>
        </w:rPr>
        <w:t xml:space="preserve">tors, we conclude that Winchester Wireless willfully </w:t>
      </w:r>
      <w:r w:rsidRPr="005A77BB">
        <w:rPr>
          <w:szCs w:val="22"/>
        </w:rPr>
        <w:t>violated</w:t>
      </w:r>
      <w:r>
        <w:rPr>
          <w:szCs w:val="22"/>
        </w:rPr>
        <w:t xml:space="preserve"> Se</w:t>
      </w:r>
      <w:r w:rsidR="00721AFA">
        <w:rPr>
          <w:szCs w:val="22"/>
        </w:rPr>
        <w:t>ction 301 of the Act and Section 15.1(b) of the Rules by</w:t>
      </w:r>
      <w:r w:rsidR="006A5742" w:rsidRPr="00E960F1">
        <w:rPr>
          <w:spacing w:val="-2"/>
          <w:szCs w:val="22"/>
        </w:rPr>
        <w:t xml:space="preserve"> operating its transmitters with external amplifiers without authorization</w:t>
      </w:r>
      <w:r w:rsidR="006A5742">
        <w:rPr>
          <w:spacing w:val="-2"/>
          <w:szCs w:val="22"/>
        </w:rPr>
        <w:t>.</w:t>
      </w:r>
      <w:r w:rsidR="00721AFA">
        <w:rPr>
          <w:szCs w:val="22"/>
        </w:rPr>
        <w:t xml:space="preserve"> </w:t>
      </w:r>
      <w:r>
        <w:rPr>
          <w:szCs w:val="22"/>
        </w:rPr>
        <w:t xml:space="preserve"> We further find </w:t>
      </w:r>
      <w:r w:rsidRPr="005A77BB">
        <w:rPr>
          <w:szCs w:val="22"/>
        </w:rPr>
        <w:t>after consideration of the entire record, inc</w:t>
      </w:r>
      <w:r w:rsidR="006A5742">
        <w:rPr>
          <w:szCs w:val="22"/>
        </w:rPr>
        <w:t>luding Winchester Wireless</w:t>
      </w:r>
      <w:r>
        <w:rPr>
          <w:szCs w:val="22"/>
        </w:rPr>
        <w:t>’s</w:t>
      </w:r>
      <w:r w:rsidRPr="005A77BB">
        <w:rPr>
          <w:szCs w:val="22"/>
        </w:rPr>
        <w:t xml:space="preserve"> </w:t>
      </w:r>
      <w:r w:rsidRPr="00352445">
        <w:rPr>
          <w:i/>
          <w:szCs w:val="22"/>
        </w:rPr>
        <w:t>NAL Response</w:t>
      </w:r>
      <w:r>
        <w:rPr>
          <w:szCs w:val="22"/>
        </w:rPr>
        <w:t xml:space="preserve"> and </w:t>
      </w:r>
      <w:r w:rsidRPr="005A77BB">
        <w:rPr>
          <w:szCs w:val="22"/>
        </w:rPr>
        <w:t xml:space="preserve">supportive </w:t>
      </w:r>
      <w:r>
        <w:rPr>
          <w:szCs w:val="22"/>
        </w:rPr>
        <w:t xml:space="preserve">financial </w:t>
      </w:r>
      <w:r w:rsidRPr="005A77BB">
        <w:rPr>
          <w:szCs w:val="22"/>
        </w:rPr>
        <w:t xml:space="preserve">materials, </w:t>
      </w:r>
      <w:r>
        <w:rPr>
          <w:szCs w:val="22"/>
        </w:rPr>
        <w:t xml:space="preserve">that </w:t>
      </w:r>
      <w:r w:rsidRPr="005A77BB">
        <w:rPr>
          <w:szCs w:val="22"/>
        </w:rPr>
        <w:t xml:space="preserve">cancellation of the </w:t>
      </w:r>
      <w:r>
        <w:rPr>
          <w:szCs w:val="22"/>
        </w:rPr>
        <w:t xml:space="preserve">proposed </w:t>
      </w:r>
      <w:r w:rsidRPr="005A77BB">
        <w:rPr>
          <w:szCs w:val="22"/>
        </w:rPr>
        <w:t xml:space="preserve">forfeiture </w:t>
      </w:r>
      <w:r w:rsidR="006A5742">
        <w:rPr>
          <w:szCs w:val="22"/>
        </w:rPr>
        <w:t xml:space="preserve">against </w:t>
      </w:r>
      <w:r>
        <w:rPr>
          <w:szCs w:val="22"/>
        </w:rPr>
        <w:t>is u</w:t>
      </w:r>
      <w:r w:rsidRPr="005A77BB">
        <w:rPr>
          <w:szCs w:val="22"/>
        </w:rPr>
        <w:t xml:space="preserve">nwarranted, </w:t>
      </w:r>
      <w:r>
        <w:rPr>
          <w:szCs w:val="22"/>
        </w:rPr>
        <w:t xml:space="preserve">but a </w:t>
      </w:r>
      <w:r w:rsidRPr="005A77BB">
        <w:rPr>
          <w:szCs w:val="22"/>
        </w:rPr>
        <w:t xml:space="preserve">reduction </w:t>
      </w:r>
      <w:r>
        <w:rPr>
          <w:szCs w:val="22"/>
        </w:rPr>
        <w:t xml:space="preserve">of the forfeiture amount </w:t>
      </w:r>
      <w:r w:rsidRPr="005A77BB">
        <w:rPr>
          <w:szCs w:val="22"/>
        </w:rPr>
        <w:t>to $</w:t>
      </w:r>
      <w:r w:rsidR="006A5742">
        <w:rPr>
          <w:szCs w:val="22"/>
        </w:rPr>
        <w:t>4,800 is appropriate based on Winchester Wireless’s</w:t>
      </w:r>
      <w:r>
        <w:rPr>
          <w:szCs w:val="22"/>
        </w:rPr>
        <w:t xml:space="preserve"> demonstrated inability to pay.</w:t>
      </w:r>
    </w:p>
    <w:p w:rsidR="003343CA" w:rsidRPr="00E960F1" w:rsidRDefault="00080FFD" w:rsidP="00E960F1">
      <w:pPr>
        <w:pStyle w:val="Heading1"/>
        <w:rPr>
          <w:rFonts w:ascii="Times New Roman" w:hAnsi="Times New Roman"/>
          <w:szCs w:val="22"/>
        </w:rPr>
      </w:pPr>
      <w:r w:rsidRPr="00E960F1">
        <w:rPr>
          <w:rFonts w:ascii="Times New Roman" w:hAnsi="Times New Roman"/>
          <w:szCs w:val="22"/>
        </w:rPr>
        <w:t xml:space="preserve"> </w:t>
      </w:r>
      <w:r w:rsidR="003343CA" w:rsidRPr="00E960F1">
        <w:rPr>
          <w:rFonts w:ascii="Times New Roman" w:hAnsi="Times New Roman"/>
          <w:szCs w:val="22"/>
        </w:rPr>
        <w:t>ORDERING CLAUSES</w:t>
      </w:r>
    </w:p>
    <w:p w:rsidR="003343CA" w:rsidRPr="00E960F1" w:rsidRDefault="003343CA" w:rsidP="00E960F1">
      <w:pPr>
        <w:pStyle w:val="ParaNum"/>
        <w:rPr>
          <w:szCs w:val="22"/>
        </w:rPr>
      </w:pPr>
      <w:r w:rsidRPr="00E960F1">
        <w:rPr>
          <w:szCs w:val="22"/>
        </w:rPr>
        <w:t xml:space="preserve">Accordingly, </w:t>
      </w:r>
      <w:r w:rsidRPr="00E960F1">
        <w:rPr>
          <w:b/>
          <w:szCs w:val="22"/>
        </w:rPr>
        <w:t>IT IS ORDERED</w:t>
      </w:r>
      <w:r w:rsidR="00F23F1E" w:rsidRPr="00E960F1">
        <w:rPr>
          <w:b/>
          <w:szCs w:val="22"/>
        </w:rPr>
        <w:t xml:space="preserve"> </w:t>
      </w:r>
      <w:r w:rsidR="00F23F1E" w:rsidRPr="00E960F1">
        <w:rPr>
          <w:szCs w:val="22"/>
        </w:rPr>
        <w:t>that</w:t>
      </w:r>
      <w:r w:rsidRPr="00E960F1">
        <w:rPr>
          <w:szCs w:val="22"/>
        </w:rPr>
        <w:t>, pursuant to Section 503(b) of the</w:t>
      </w:r>
      <w:r w:rsidR="00F23F1E" w:rsidRPr="00E960F1">
        <w:rPr>
          <w:szCs w:val="22"/>
        </w:rPr>
        <w:t xml:space="preserve"> Act</w:t>
      </w:r>
      <w:r w:rsidRPr="00E960F1">
        <w:rPr>
          <w:rStyle w:val="FootnoteReference"/>
          <w:sz w:val="22"/>
          <w:szCs w:val="22"/>
        </w:rPr>
        <w:footnoteReference w:id="42"/>
      </w:r>
      <w:r w:rsidRPr="00E960F1">
        <w:rPr>
          <w:szCs w:val="22"/>
        </w:rPr>
        <w:t xml:space="preserve"> and Section 1.80 of the Rules,</w:t>
      </w:r>
      <w:r w:rsidRPr="00E960F1">
        <w:rPr>
          <w:rStyle w:val="FootnoteReference"/>
          <w:sz w:val="22"/>
          <w:szCs w:val="22"/>
        </w:rPr>
        <w:footnoteReference w:id="43"/>
      </w:r>
      <w:r w:rsidRPr="00E960F1">
        <w:rPr>
          <w:szCs w:val="22"/>
        </w:rPr>
        <w:t xml:space="preserve"> </w:t>
      </w:r>
      <w:r w:rsidR="007C5F54" w:rsidRPr="00E960F1">
        <w:rPr>
          <w:szCs w:val="22"/>
        </w:rPr>
        <w:t>Custom Computers d.b.a. Winchester Wireless</w:t>
      </w:r>
      <w:r w:rsidRPr="00E960F1">
        <w:rPr>
          <w:szCs w:val="22"/>
        </w:rPr>
        <w:t xml:space="preserve"> </w:t>
      </w:r>
      <w:r w:rsidRPr="00E960F1">
        <w:rPr>
          <w:b/>
          <w:szCs w:val="22"/>
        </w:rPr>
        <w:t>IS LIABLE FOR A MONETARY FORFEITURE</w:t>
      </w:r>
      <w:r w:rsidRPr="00E960F1">
        <w:rPr>
          <w:szCs w:val="22"/>
        </w:rPr>
        <w:t xml:space="preserve"> in the amount of </w:t>
      </w:r>
      <w:r w:rsidR="003D4ADD" w:rsidRPr="00E960F1">
        <w:rPr>
          <w:szCs w:val="22"/>
        </w:rPr>
        <w:t xml:space="preserve">four </w:t>
      </w:r>
      <w:r w:rsidR="00B17D3B" w:rsidRPr="00E960F1">
        <w:rPr>
          <w:szCs w:val="22"/>
        </w:rPr>
        <w:t xml:space="preserve">thousand </w:t>
      </w:r>
      <w:r w:rsidR="006A5742">
        <w:rPr>
          <w:szCs w:val="22"/>
        </w:rPr>
        <w:t>eight</w:t>
      </w:r>
      <w:r w:rsidR="003D4ADD" w:rsidRPr="00E960F1">
        <w:rPr>
          <w:szCs w:val="22"/>
        </w:rPr>
        <w:t xml:space="preserve"> </w:t>
      </w:r>
      <w:r w:rsidR="00B17D3B" w:rsidRPr="00E960F1">
        <w:rPr>
          <w:szCs w:val="22"/>
        </w:rPr>
        <w:t xml:space="preserve">hundred </w:t>
      </w:r>
      <w:r w:rsidR="00590CC4" w:rsidRPr="00E960F1">
        <w:rPr>
          <w:szCs w:val="22"/>
        </w:rPr>
        <w:t>d</w:t>
      </w:r>
      <w:r w:rsidRPr="00E960F1">
        <w:rPr>
          <w:szCs w:val="22"/>
        </w:rPr>
        <w:t>ollars ($</w:t>
      </w:r>
      <w:r w:rsidR="006A5742">
        <w:rPr>
          <w:szCs w:val="22"/>
        </w:rPr>
        <w:t>4,8</w:t>
      </w:r>
      <w:r w:rsidR="003D4ADD" w:rsidRPr="00E960F1">
        <w:rPr>
          <w:szCs w:val="22"/>
        </w:rPr>
        <w:t>00</w:t>
      </w:r>
      <w:r w:rsidRPr="00E960F1">
        <w:rPr>
          <w:szCs w:val="22"/>
        </w:rPr>
        <w:t xml:space="preserve">) for willfully </w:t>
      </w:r>
      <w:r w:rsidR="00287D23" w:rsidRPr="00E960F1">
        <w:rPr>
          <w:szCs w:val="22"/>
        </w:rPr>
        <w:t>v</w:t>
      </w:r>
      <w:r w:rsidRPr="00E960F1">
        <w:rPr>
          <w:szCs w:val="22"/>
        </w:rPr>
        <w:t xml:space="preserve">iolating </w:t>
      </w:r>
      <w:r w:rsidR="00287D23" w:rsidRPr="00E960F1">
        <w:rPr>
          <w:szCs w:val="22"/>
        </w:rPr>
        <w:t>Section 301 of the Act and Section 15.</w:t>
      </w:r>
      <w:r w:rsidR="009458DE" w:rsidRPr="00E960F1">
        <w:rPr>
          <w:szCs w:val="22"/>
        </w:rPr>
        <w:t>1(</w:t>
      </w:r>
      <w:r w:rsidR="00287D23" w:rsidRPr="00E960F1">
        <w:rPr>
          <w:szCs w:val="22"/>
        </w:rPr>
        <w:t>b</w:t>
      </w:r>
      <w:r w:rsidR="009458DE" w:rsidRPr="00E960F1">
        <w:rPr>
          <w:szCs w:val="22"/>
        </w:rPr>
        <w:t>)</w:t>
      </w:r>
      <w:r w:rsidR="00287D23" w:rsidRPr="00E960F1">
        <w:rPr>
          <w:szCs w:val="22"/>
        </w:rPr>
        <w:t xml:space="preserve"> of the Rules.</w:t>
      </w:r>
      <w:r w:rsidR="006A5742">
        <w:rPr>
          <w:rStyle w:val="FootnoteReference"/>
          <w:szCs w:val="22"/>
        </w:rPr>
        <w:footnoteReference w:id="44"/>
      </w:r>
    </w:p>
    <w:p w:rsidR="003343CA" w:rsidRPr="00E960F1" w:rsidRDefault="003343CA" w:rsidP="006A5742">
      <w:pPr>
        <w:pStyle w:val="ParaNum"/>
        <w:widowControl/>
        <w:rPr>
          <w:szCs w:val="22"/>
        </w:rPr>
      </w:pPr>
      <w:r w:rsidRPr="00E960F1">
        <w:rPr>
          <w:szCs w:val="22"/>
        </w:rPr>
        <w:t xml:space="preserve">Payment of the forfeiture shall be made in the manner provided for in Section 1.80 of the Rules within </w:t>
      </w:r>
      <w:r w:rsidR="00225854" w:rsidRPr="00E960F1">
        <w:rPr>
          <w:szCs w:val="22"/>
        </w:rPr>
        <w:t>thirty (30</w:t>
      </w:r>
      <w:r w:rsidRPr="00E960F1">
        <w:rPr>
          <w:szCs w:val="22"/>
        </w:rPr>
        <w:t>) calendar days after the release of this Forfeiture Order.</w:t>
      </w:r>
      <w:r w:rsidRPr="00E960F1">
        <w:rPr>
          <w:rStyle w:val="FootnoteReference"/>
          <w:sz w:val="22"/>
          <w:szCs w:val="22"/>
        </w:rPr>
        <w:footnoteReference w:id="45"/>
      </w:r>
      <w:r w:rsidRPr="00E960F1">
        <w:rPr>
          <w:szCs w:val="22"/>
        </w:rPr>
        <w:t xml:space="preserve">  If the forfeiture is not paid within the period specified, the case may be referred to the U.S. Department of Justice for enforcement of the forfeiture pursuant to Section 504(a) of the Act.</w:t>
      </w:r>
      <w:r w:rsidRPr="00E960F1">
        <w:rPr>
          <w:rStyle w:val="FootnoteReference"/>
          <w:sz w:val="22"/>
          <w:szCs w:val="22"/>
        </w:rPr>
        <w:footnoteReference w:id="46"/>
      </w:r>
      <w:r w:rsidRPr="00E960F1">
        <w:rPr>
          <w:szCs w:val="22"/>
        </w:rPr>
        <w:t xml:space="preserve">  </w:t>
      </w:r>
    </w:p>
    <w:p w:rsidR="003343CA" w:rsidRPr="00E960F1" w:rsidRDefault="00F23F1E" w:rsidP="00E960F1">
      <w:pPr>
        <w:pStyle w:val="ParaNum"/>
        <w:rPr>
          <w:szCs w:val="22"/>
        </w:rPr>
      </w:pPr>
      <w:r w:rsidRPr="00E960F1">
        <w:rPr>
          <w:szCs w:val="22"/>
        </w:rPr>
        <w:t xml:space="preserve">Payment of the forfeiture must be made by check or similar instrument, wire transfer, or credit card, and must include the NAL/Account Number and FRN referenced above.  </w:t>
      </w:r>
      <w:r w:rsidR="00287D23" w:rsidRPr="00E960F1">
        <w:rPr>
          <w:szCs w:val="22"/>
        </w:rPr>
        <w:t xml:space="preserve">Custom Computers d.b.a. Winchester Wireless </w:t>
      </w:r>
      <w:r w:rsidRPr="00E960F1">
        <w:rPr>
          <w:szCs w:val="22"/>
        </w:rPr>
        <w:t xml:space="preserve">shall send electronic notification of payment to </w:t>
      </w:r>
      <w:r w:rsidR="00287D23" w:rsidRPr="00E960F1">
        <w:rPr>
          <w:szCs w:val="22"/>
        </w:rPr>
        <w:t xml:space="preserve">Kathy Harvey at Kathy.Harvey@fcc.gov, JoAnn Lucanik at JoAnn.Lucanik@fcc.gov, and to Samantha Peoples at Sam.Peoples@fcc.gov </w:t>
      </w:r>
      <w:r w:rsidRPr="00E960F1">
        <w:rPr>
          <w:szCs w:val="22"/>
        </w:rPr>
        <w:t xml:space="preserve">on the date said payment is made.  </w:t>
      </w:r>
      <w:r w:rsidR="003343CA" w:rsidRPr="00E960F1">
        <w:rPr>
          <w:szCs w:val="22"/>
        </w:rPr>
        <w:t>Regardless of the form of payment, a completed FCC Form 159 (Remittance Advice) must be submitted.</w:t>
      </w:r>
      <w:r w:rsidR="003343CA" w:rsidRPr="00E960F1">
        <w:rPr>
          <w:rStyle w:val="FootnoteReference"/>
          <w:sz w:val="22"/>
          <w:szCs w:val="22"/>
        </w:rPr>
        <w:footnoteReference w:id="47"/>
      </w:r>
      <w:r w:rsidR="003343CA" w:rsidRPr="00E960F1">
        <w:rPr>
          <w:szCs w:val="22"/>
        </w:rPr>
        <w:t xml:space="preserve">  When completing the Form 159, enter the Account Number in block number 23A (call sign/other ID) and enter the letters “FORF” in block number 24A (payment type code).  </w:t>
      </w:r>
      <w:r w:rsidRPr="00E960F1">
        <w:rPr>
          <w:szCs w:val="22"/>
        </w:rPr>
        <w:t>Below are additional instructions that should be followed based on the form of payment selected:</w:t>
      </w:r>
    </w:p>
    <w:p w:rsidR="003343CA" w:rsidRPr="00E960F1" w:rsidRDefault="003343CA" w:rsidP="00E960F1">
      <w:pPr>
        <w:pStyle w:val="par1"/>
        <w:numPr>
          <w:ilvl w:val="0"/>
          <w:numId w:val="8"/>
        </w:numPr>
        <w:tabs>
          <w:tab w:val="clear" w:pos="1440"/>
        </w:tabs>
        <w:spacing w:after="120"/>
        <w:rPr>
          <w:sz w:val="22"/>
          <w:szCs w:val="22"/>
        </w:rPr>
      </w:pPr>
      <w:r w:rsidRPr="00E960F1">
        <w:rPr>
          <w:sz w:val="22"/>
          <w:szCs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E960F1">
        <w:rPr>
          <w:sz w:val="22"/>
          <w:szCs w:val="22"/>
        </w:rPr>
        <w:noBreakHyphen/>
        <w:t>MO-C2-GL, 1005 Convention Plaza, St. Louis, MO 63101.</w:t>
      </w:r>
    </w:p>
    <w:p w:rsidR="003343CA" w:rsidRPr="00E960F1" w:rsidRDefault="003343CA" w:rsidP="00E960F1">
      <w:pPr>
        <w:pStyle w:val="par1"/>
        <w:numPr>
          <w:ilvl w:val="0"/>
          <w:numId w:val="8"/>
        </w:numPr>
        <w:tabs>
          <w:tab w:val="clear" w:pos="1440"/>
        </w:tabs>
        <w:spacing w:after="120"/>
        <w:rPr>
          <w:sz w:val="22"/>
          <w:szCs w:val="22"/>
        </w:rPr>
      </w:pPr>
      <w:r w:rsidRPr="00E960F1">
        <w:rPr>
          <w:sz w:val="22"/>
          <w:szCs w:val="22"/>
        </w:rPr>
        <w:t xml:space="preserve">Payment by wire transfer must be made to ABA Number 021030004, receiving bank TREAS/NYC, and Account Number 27000001.  To complete the wire transfer and </w:t>
      </w:r>
      <w:r w:rsidR="002D74C4" w:rsidRPr="00E960F1">
        <w:rPr>
          <w:sz w:val="22"/>
          <w:szCs w:val="22"/>
        </w:rPr>
        <w:t>e</w:t>
      </w:r>
      <w:r w:rsidRPr="00E960F1">
        <w:rPr>
          <w:sz w:val="22"/>
          <w:szCs w:val="22"/>
        </w:rPr>
        <w:t>nsure appropriate crediting of the wired funds, a completed Form 159 must be faxed to U.S. Bank at (314) 418-4232 on the same business day the wire transfer is initiated.</w:t>
      </w:r>
    </w:p>
    <w:p w:rsidR="003343CA" w:rsidRPr="00E960F1" w:rsidRDefault="003343CA" w:rsidP="00E960F1">
      <w:pPr>
        <w:pStyle w:val="par1"/>
        <w:widowControl/>
        <w:numPr>
          <w:ilvl w:val="0"/>
          <w:numId w:val="8"/>
        </w:numPr>
        <w:tabs>
          <w:tab w:val="clear" w:pos="1440"/>
        </w:tabs>
        <w:spacing w:after="120"/>
        <w:ind w:left="1267"/>
        <w:rPr>
          <w:sz w:val="22"/>
          <w:szCs w:val="22"/>
        </w:rPr>
      </w:pPr>
      <w:r w:rsidRPr="00E960F1">
        <w:rPr>
          <w:sz w:val="22"/>
          <w:szCs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F23F1E" w:rsidRPr="00E960F1" w:rsidRDefault="00F23F1E" w:rsidP="00E960F1">
      <w:pPr>
        <w:pStyle w:val="ParaNum"/>
        <w:rPr>
          <w:szCs w:val="22"/>
        </w:rPr>
      </w:pPr>
      <w:r w:rsidRPr="00E960F1">
        <w:rPr>
          <w:szCs w:val="22"/>
        </w:rPr>
        <w:t>Any request for making full payment over time under an installment plan should be sent to:  Chief Financial Officer – Financial Operations, Federal Communications Commission, 445 12th Street, SW, Room 1</w:t>
      </w:r>
      <w:r w:rsidRPr="00E960F1">
        <w:rPr>
          <w:szCs w:val="22"/>
        </w:rPr>
        <w:noBreakHyphen/>
        <w:t>A625, Washington, DC 20554.</w:t>
      </w:r>
      <w:r w:rsidRPr="00E960F1">
        <w:rPr>
          <w:rStyle w:val="FootnoteReference"/>
          <w:sz w:val="22"/>
          <w:szCs w:val="22"/>
        </w:rPr>
        <w:footnoteReference w:id="48"/>
      </w:r>
      <w:r w:rsidRPr="00E960F1">
        <w:rPr>
          <w:szCs w:val="22"/>
        </w:rPr>
        <w:t xml:space="preserve">  Questions regarding payment procedures should be directed to the Financial Operations Group Help Desk by telephone, 1-877-480-3201, or by e-mail, ARINQUIRIES@fcc.gov.</w:t>
      </w:r>
    </w:p>
    <w:p w:rsidR="006A5742" w:rsidRDefault="006A5742">
      <w:pPr>
        <w:widowControl/>
        <w:rPr>
          <w:b/>
          <w:szCs w:val="22"/>
        </w:rPr>
      </w:pPr>
      <w:r>
        <w:rPr>
          <w:b/>
          <w:szCs w:val="22"/>
        </w:rPr>
        <w:br w:type="page"/>
      </w:r>
    </w:p>
    <w:p w:rsidR="003343CA" w:rsidRPr="00E960F1" w:rsidRDefault="003343CA" w:rsidP="00E960F1">
      <w:pPr>
        <w:pStyle w:val="ParaNum"/>
        <w:rPr>
          <w:szCs w:val="22"/>
        </w:rPr>
      </w:pPr>
      <w:r w:rsidRPr="00E960F1">
        <w:rPr>
          <w:b/>
          <w:szCs w:val="22"/>
        </w:rPr>
        <w:t>IT IS FURTHER ORDERED</w:t>
      </w:r>
      <w:r w:rsidRPr="00E960F1">
        <w:rPr>
          <w:szCs w:val="22"/>
        </w:rPr>
        <w:t xml:space="preserve"> that a copy of this Forfeiture Order </w:t>
      </w:r>
      <w:r w:rsidR="00F23F1E" w:rsidRPr="00E960F1">
        <w:rPr>
          <w:szCs w:val="22"/>
        </w:rPr>
        <w:t xml:space="preserve">shall be sent by first class mail and certified mail, return receipt requested, to </w:t>
      </w:r>
      <w:r w:rsidR="00115510" w:rsidRPr="00E960F1">
        <w:rPr>
          <w:szCs w:val="22"/>
        </w:rPr>
        <w:t xml:space="preserve">David Williamson, Owner, Custom Computers d.b.a. Winchester Wireless, 2979 Valley Avenue, Winchester, Virginia 22601, </w:t>
      </w:r>
      <w:r w:rsidR="00F23F1E" w:rsidRPr="00E960F1">
        <w:rPr>
          <w:szCs w:val="22"/>
        </w:rPr>
        <w:t xml:space="preserve">and to </w:t>
      </w:r>
      <w:r w:rsidR="00115510" w:rsidRPr="00E960F1">
        <w:rPr>
          <w:szCs w:val="22"/>
        </w:rPr>
        <w:t>Stephen E. Coran,</w:t>
      </w:r>
      <w:r w:rsidR="00F23F1E" w:rsidRPr="00E960F1">
        <w:rPr>
          <w:szCs w:val="22"/>
        </w:rPr>
        <w:t xml:space="preserve"> Esq., </w:t>
      </w:r>
      <w:r w:rsidR="00115510" w:rsidRPr="00E960F1">
        <w:rPr>
          <w:szCs w:val="22"/>
        </w:rPr>
        <w:t>Lerman Senter, PLLC, 2000 K Street, N.W., Suite 600, Washington, DC 20554.</w:t>
      </w:r>
    </w:p>
    <w:p w:rsidR="003343CA" w:rsidRPr="00E960F1" w:rsidRDefault="003343CA" w:rsidP="00E960F1">
      <w:pPr>
        <w:spacing w:after="120"/>
        <w:rPr>
          <w:szCs w:val="22"/>
        </w:rPr>
      </w:pPr>
    </w:p>
    <w:p w:rsidR="003343CA" w:rsidRPr="00E960F1" w:rsidRDefault="003343CA" w:rsidP="006A5742">
      <w:pPr>
        <w:ind w:left="4406"/>
        <w:rPr>
          <w:szCs w:val="22"/>
        </w:rPr>
      </w:pPr>
      <w:r w:rsidRPr="00E960F1">
        <w:rPr>
          <w:szCs w:val="22"/>
        </w:rPr>
        <w:t>FEDERAL COMMUNICATIONS COMMISSION</w:t>
      </w:r>
    </w:p>
    <w:p w:rsidR="003343CA" w:rsidRPr="00E960F1" w:rsidRDefault="003343CA" w:rsidP="006A5742">
      <w:pPr>
        <w:ind w:left="4406"/>
        <w:rPr>
          <w:szCs w:val="22"/>
        </w:rPr>
      </w:pPr>
    </w:p>
    <w:p w:rsidR="003343CA" w:rsidRPr="00E960F1" w:rsidRDefault="003343CA" w:rsidP="006A5742">
      <w:pPr>
        <w:ind w:left="4406"/>
        <w:rPr>
          <w:szCs w:val="22"/>
        </w:rPr>
      </w:pPr>
    </w:p>
    <w:p w:rsidR="003343CA" w:rsidRPr="00E960F1" w:rsidRDefault="003343CA" w:rsidP="006A5742">
      <w:pPr>
        <w:ind w:left="4406"/>
        <w:rPr>
          <w:szCs w:val="22"/>
        </w:rPr>
      </w:pPr>
    </w:p>
    <w:p w:rsidR="003343CA" w:rsidRPr="00E960F1" w:rsidRDefault="003343CA" w:rsidP="006A5742">
      <w:pPr>
        <w:ind w:left="4406"/>
        <w:rPr>
          <w:szCs w:val="22"/>
        </w:rPr>
      </w:pPr>
    </w:p>
    <w:p w:rsidR="009B0223" w:rsidRPr="00E960F1" w:rsidRDefault="009B0223" w:rsidP="006A5742">
      <w:pPr>
        <w:tabs>
          <w:tab w:val="left" w:pos="0"/>
          <w:tab w:val="left" w:pos="720"/>
          <w:tab w:val="left" w:pos="1440"/>
        </w:tabs>
        <w:suppressAutoHyphens/>
        <w:ind w:left="4406"/>
        <w:rPr>
          <w:szCs w:val="22"/>
        </w:rPr>
      </w:pPr>
      <w:r w:rsidRPr="00E960F1">
        <w:rPr>
          <w:szCs w:val="22"/>
        </w:rPr>
        <w:t xml:space="preserve">Travis LeBlanc </w:t>
      </w:r>
    </w:p>
    <w:p w:rsidR="009B0223" w:rsidRPr="00E960F1" w:rsidRDefault="009B0223" w:rsidP="006A5742">
      <w:pPr>
        <w:ind w:left="4406"/>
        <w:rPr>
          <w:szCs w:val="22"/>
        </w:rPr>
      </w:pPr>
      <w:r w:rsidRPr="00E960F1">
        <w:rPr>
          <w:szCs w:val="22"/>
        </w:rPr>
        <w:t>Chief</w:t>
      </w:r>
    </w:p>
    <w:p w:rsidR="009B0223" w:rsidRPr="00E960F1" w:rsidRDefault="009B0223" w:rsidP="006A5742">
      <w:pPr>
        <w:ind w:left="4406"/>
        <w:rPr>
          <w:szCs w:val="22"/>
        </w:rPr>
      </w:pPr>
      <w:r w:rsidRPr="00E960F1">
        <w:rPr>
          <w:szCs w:val="22"/>
        </w:rPr>
        <w:t>Enforcement Bureau</w:t>
      </w:r>
    </w:p>
    <w:p w:rsidR="009B0223" w:rsidRPr="00E960F1" w:rsidRDefault="009B0223" w:rsidP="00E960F1">
      <w:pPr>
        <w:spacing w:after="120"/>
        <w:ind w:left="4410"/>
        <w:rPr>
          <w:szCs w:val="22"/>
        </w:rPr>
      </w:pPr>
    </w:p>
    <w:p w:rsidR="00E273E3" w:rsidRPr="00E960F1" w:rsidRDefault="00E273E3" w:rsidP="00E960F1">
      <w:pPr>
        <w:pStyle w:val="ParaNum"/>
        <w:numPr>
          <w:ilvl w:val="0"/>
          <w:numId w:val="0"/>
        </w:numPr>
        <w:rPr>
          <w:szCs w:val="22"/>
        </w:rPr>
      </w:pPr>
    </w:p>
    <w:sectPr w:rsidR="00E273E3" w:rsidRPr="00E960F1"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D2" w:rsidRDefault="004B69D2">
      <w:pPr>
        <w:spacing w:line="20" w:lineRule="exact"/>
      </w:pPr>
    </w:p>
  </w:endnote>
  <w:endnote w:type="continuationSeparator" w:id="0">
    <w:p w:rsidR="004B69D2" w:rsidRDefault="004B69D2">
      <w:r>
        <w:t xml:space="preserve"> </w:t>
      </w:r>
    </w:p>
  </w:endnote>
  <w:endnote w:type="continuationNotice" w:id="1">
    <w:p w:rsidR="004B69D2" w:rsidRDefault="004B69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34" w:rsidRDefault="00527834">
    <w:pPr>
      <w:pStyle w:val="Footer"/>
      <w:framePr w:wrap="around" w:vAnchor="text" w:hAnchor="margin" w:xAlign="center" w:y="1"/>
    </w:pPr>
    <w:r>
      <w:fldChar w:fldCharType="begin"/>
    </w:r>
    <w:r>
      <w:instrText xml:space="preserve">PAGE  </w:instrText>
    </w:r>
    <w:r>
      <w:fldChar w:fldCharType="end"/>
    </w:r>
  </w:p>
  <w:p w:rsidR="00527834" w:rsidRDefault="00527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34" w:rsidRDefault="00527834">
    <w:pPr>
      <w:pStyle w:val="Footer"/>
      <w:framePr w:wrap="around" w:vAnchor="text" w:hAnchor="margin" w:xAlign="center" w:y="1"/>
    </w:pPr>
    <w:r>
      <w:fldChar w:fldCharType="begin"/>
    </w:r>
    <w:r>
      <w:instrText xml:space="preserve">PAGE  </w:instrText>
    </w:r>
    <w:r>
      <w:fldChar w:fldCharType="separate"/>
    </w:r>
    <w:r w:rsidR="00AB67E4">
      <w:rPr>
        <w:noProof/>
      </w:rPr>
      <w:t>2</w:t>
    </w:r>
    <w:r>
      <w:rPr>
        <w:noProof/>
      </w:rPr>
      <w:fldChar w:fldCharType="end"/>
    </w:r>
  </w:p>
  <w:p w:rsidR="00527834" w:rsidRDefault="00527834">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28" w:rsidRDefault="00B12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D2" w:rsidRDefault="004B69D2">
      <w:r>
        <w:separator/>
      </w:r>
    </w:p>
  </w:footnote>
  <w:footnote w:type="continuationSeparator" w:id="0">
    <w:p w:rsidR="004B69D2" w:rsidRDefault="004B69D2">
      <w:pPr>
        <w:rPr>
          <w:sz w:val="20"/>
        </w:rPr>
      </w:pPr>
      <w:r>
        <w:rPr>
          <w:sz w:val="20"/>
        </w:rPr>
        <w:t xml:space="preserve">(Continued from previous page)  </w:t>
      </w:r>
      <w:r>
        <w:rPr>
          <w:sz w:val="20"/>
        </w:rPr>
        <w:separator/>
      </w:r>
    </w:p>
  </w:footnote>
  <w:footnote w:type="continuationNotice" w:id="1">
    <w:p w:rsidR="004B69D2" w:rsidRDefault="004B69D2">
      <w:pPr>
        <w:rPr>
          <w:sz w:val="20"/>
        </w:rPr>
      </w:pPr>
      <w:r>
        <w:rPr>
          <w:sz w:val="20"/>
        </w:rPr>
        <w:t>(continued….)</w:t>
      </w:r>
    </w:p>
  </w:footnote>
  <w:footnote w:id="2">
    <w:p w:rsidR="00527834" w:rsidRPr="005F1982" w:rsidRDefault="00527834" w:rsidP="005F1982">
      <w:pPr>
        <w:pStyle w:val="FootnoteText"/>
      </w:pPr>
      <w:r w:rsidRPr="005F1982">
        <w:rPr>
          <w:rStyle w:val="FootnoteReference"/>
        </w:rPr>
        <w:footnoteRef/>
      </w:r>
      <w:r w:rsidRPr="005F1982">
        <w:t xml:space="preserve"> </w:t>
      </w:r>
      <w:r w:rsidRPr="005F1982">
        <w:rPr>
          <w:i/>
        </w:rPr>
        <w:t>See Custom Computers d.b.a. Winchester Wireless</w:t>
      </w:r>
      <w:r w:rsidRPr="005F1982">
        <w:t>, Notice of Apparent Liability for Forfeiture and Order, 29 FCC Rcd 2641,</w:t>
      </w:r>
      <w:r w:rsidRPr="005F1982">
        <w:rPr>
          <w:b/>
        </w:rPr>
        <w:t xml:space="preserve"> </w:t>
      </w:r>
      <w:r w:rsidRPr="005F1982">
        <w:t>2642</w:t>
      </w:r>
      <w:r w:rsidR="007D7FBC">
        <w:t>,</w:t>
      </w:r>
      <w:r w:rsidRPr="005F1982">
        <w:t xml:space="preserve"> para. 3 (Enf. Bur. 2014) (</w:t>
      </w:r>
      <w:r w:rsidRPr="005F1982">
        <w:rPr>
          <w:i/>
        </w:rPr>
        <w:t>NAL</w:t>
      </w:r>
      <w:r w:rsidRPr="005F1982">
        <w:t xml:space="preserve">).  </w:t>
      </w:r>
      <w:r w:rsidRPr="005F1982">
        <w:rPr>
          <w:iCs/>
          <w:color w:val="000000"/>
        </w:rPr>
        <w:t xml:space="preserve">The </w:t>
      </w:r>
      <w:r w:rsidRPr="005F1982">
        <w:rPr>
          <w:i/>
          <w:iCs/>
          <w:color w:val="000000"/>
        </w:rPr>
        <w:t>NAL</w:t>
      </w:r>
      <w:r w:rsidRPr="005F1982">
        <w:rPr>
          <w:iCs/>
          <w:color w:val="000000"/>
        </w:rPr>
        <w:t xml:space="preserve"> includes a more complete discussion of the facts and history of this case and is incorporated herein by reference.</w:t>
      </w:r>
      <w:r w:rsidRPr="005F1982">
        <w:t xml:space="preserve">  </w:t>
      </w:r>
    </w:p>
  </w:footnote>
  <w:footnote w:id="3">
    <w:p w:rsidR="00527834" w:rsidRPr="005F1982" w:rsidRDefault="00527834" w:rsidP="005F1982">
      <w:pPr>
        <w:pStyle w:val="FootnoteText"/>
      </w:pPr>
      <w:r w:rsidRPr="005F1982">
        <w:rPr>
          <w:rStyle w:val="FootnoteReference"/>
        </w:rPr>
        <w:footnoteRef/>
      </w:r>
      <w:r w:rsidRPr="005F1982">
        <w:t xml:space="preserve"> </w:t>
      </w:r>
      <w:r w:rsidRPr="005F1982">
        <w:rPr>
          <w:i/>
        </w:rPr>
        <w:t>Id.</w:t>
      </w:r>
    </w:p>
  </w:footnote>
  <w:footnote w:id="4">
    <w:p w:rsidR="00527834" w:rsidRPr="005F1982" w:rsidRDefault="00527834" w:rsidP="005F1982">
      <w:pPr>
        <w:pStyle w:val="FootnoteText"/>
      </w:pPr>
      <w:r w:rsidRPr="005F1982">
        <w:rPr>
          <w:rStyle w:val="FootnoteReference"/>
        </w:rPr>
        <w:footnoteRef/>
      </w:r>
      <w:r w:rsidRPr="005F1982">
        <w:t xml:space="preserve"> </w:t>
      </w:r>
      <w:r w:rsidRPr="005F1982">
        <w:rPr>
          <w:i/>
          <w:iCs/>
        </w:rPr>
        <w:t xml:space="preserve">See </w:t>
      </w:r>
      <w:r w:rsidRPr="005F1982">
        <w:rPr>
          <w:spacing w:val="-2"/>
        </w:rPr>
        <w:t>FCC ID ABZ89FC5809.</w:t>
      </w:r>
    </w:p>
  </w:footnote>
  <w:footnote w:id="5">
    <w:p w:rsidR="007D7FBC" w:rsidRPr="007D7FBC" w:rsidRDefault="007D7FBC" w:rsidP="007D7FBC">
      <w:pPr>
        <w:pStyle w:val="FootnoteText"/>
      </w:pPr>
      <w:r w:rsidRPr="005F1982">
        <w:rPr>
          <w:rStyle w:val="FootnoteReference"/>
        </w:rPr>
        <w:footnoteRef/>
      </w:r>
      <w:r w:rsidRPr="005F1982">
        <w:t xml:space="preserve"> </w:t>
      </w:r>
      <w:r>
        <w:rPr>
          <w:i/>
        </w:rPr>
        <w:t>NAL</w:t>
      </w:r>
      <w:r>
        <w:t>, 29 FCC Rcd at 2642, para. 3.</w:t>
      </w:r>
    </w:p>
  </w:footnote>
  <w:footnote w:id="6">
    <w:p w:rsidR="00527834" w:rsidRPr="005F1982" w:rsidRDefault="00527834" w:rsidP="005F1982">
      <w:pPr>
        <w:pStyle w:val="FootnoteText"/>
      </w:pPr>
      <w:r w:rsidRPr="005F1982">
        <w:rPr>
          <w:rStyle w:val="FootnoteReference"/>
        </w:rPr>
        <w:footnoteRef/>
      </w:r>
      <w:r w:rsidRPr="005F1982">
        <w:t xml:space="preserve"> </w:t>
      </w:r>
      <w:r w:rsidRPr="005F1982">
        <w:rPr>
          <w:i/>
          <w:iCs/>
        </w:rPr>
        <w:t>Custom Computers d.b.a. Winchester Wireless</w:t>
      </w:r>
      <w:r w:rsidRPr="005F1982">
        <w:t>, Notice of Unlicensed Operation (Enf. Bur. 2011) (on file in EB-FIELDNER-13-00009170) (2011 NOUO).</w:t>
      </w:r>
    </w:p>
  </w:footnote>
  <w:footnote w:id="7">
    <w:p w:rsidR="00527834" w:rsidRPr="005F1982" w:rsidRDefault="00527834" w:rsidP="005F1982">
      <w:pPr>
        <w:pStyle w:val="FootnoteText"/>
      </w:pPr>
      <w:r w:rsidRPr="005F1982">
        <w:rPr>
          <w:rStyle w:val="FootnoteReference"/>
        </w:rPr>
        <w:footnoteRef/>
      </w:r>
      <w:r w:rsidRPr="005F1982">
        <w:t xml:space="preserve"> </w:t>
      </w:r>
      <w:r w:rsidRPr="005F1982">
        <w:rPr>
          <w:i/>
        </w:rPr>
        <w:t>See</w:t>
      </w:r>
      <w:r w:rsidRPr="005F1982">
        <w:t xml:space="preserve"> E-mail from David Williamson, owner of Winchester Wireless, to Shannon Gunter, Columbia Office, Enforcement Bureau (August 29, 2011) (on file in EB-FIELDNER-13-00009170).</w:t>
      </w:r>
    </w:p>
  </w:footnote>
  <w:footnote w:id="8">
    <w:p w:rsidR="007D7FBC" w:rsidRPr="007D7FBC" w:rsidRDefault="007D7FBC">
      <w:pPr>
        <w:pStyle w:val="FootnoteText"/>
      </w:pPr>
      <w:r>
        <w:rPr>
          <w:rStyle w:val="FootnoteReference"/>
        </w:rPr>
        <w:footnoteRef/>
      </w:r>
      <w:r>
        <w:t xml:space="preserve"> </w:t>
      </w:r>
      <w:r>
        <w:rPr>
          <w:i/>
        </w:rPr>
        <w:t>NAL</w:t>
      </w:r>
      <w:r>
        <w:t>, 29 FCC Rcd at 2642, para. 5.</w:t>
      </w:r>
    </w:p>
  </w:footnote>
  <w:footnote w:id="9">
    <w:p w:rsidR="00527834" w:rsidRPr="007D7FBC" w:rsidRDefault="00527834" w:rsidP="005F1982">
      <w:pPr>
        <w:pStyle w:val="FootnoteText"/>
        <w:rPr>
          <w:i/>
        </w:rPr>
      </w:pPr>
      <w:r w:rsidRPr="005F1982">
        <w:rPr>
          <w:rStyle w:val="FootnoteReference"/>
        </w:rPr>
        <w:footnoteRef/>
      </w:r>
      <w:r w:rsidRPr="005F1982">
        <w:t xml:space="preserve"> </w:t>
      </w:r>
      <w:r w:rsidR="007D7FBC">
        <w:rPr>
          <w:i/>
        </w:rPr>
        <w:t>Id.</w:t>
      </w:r>
    </w:p>
  </w:footnote>
  <w:footnote w:id="10">
    <w:p w:rsidR="00527834" w:rsidRPr="005F1982" w:rsidRDefault="00527834" w:rsidP="005F1982">
      <w:pPr>
        <w:pStyle w:val="FootnoteText"/>
      </w:pPr>
      <w:r w:rsidRPr="005F1982">
        <w:rPr>
          <w:rStyle w:val="FootnoteReference"/>
        </w:rPr>
        <w:footnoteRef/>
      </w:r>
      <w:r w:rsidRPr="005F1982">
        <w:t xml:space="preserve"> </w:t>
      </w:r>
      <w:r w:rsidRPr="005F1982">
        <w:rPr>
          <w:i/>
          <w:iCs/>
        </w:rPr>
        <w:t>Custom Computers d.b.a. Winchester Wireless</w:t>
      </w:r>
      <w:r w:rsidRPr="005F1982">
        <w:t>, Notice of Unlicensed Operation (July 29, 2013) (on file in EB-FIELDNER-13-00009170) (</w:t>
      </w:r>
      <w:r w:rsidR="007D7FBC">
        <w:t>2013 NOUO</w:t>
      </w:r>
      <w:r w:rsidRPr="005F1982">
        <w:t>).</w:t>
      </w:r>
    </w:p>
  </w:footnote>
  <w:footnote w:id="11">
    <w:p w:rsidR="00527834" w:rsidRPr="005F1982" w:rsidRDefault="00527834" w:rsidP="005F1982">
      <w:pPr>
        <w:pStyle w:val="FootnoteText"/>
      </w:pPr>
      <w:r w:rsidRPr="005F1982">
        <w:rPr>
          <w:rStyle w:val="FootnoteReference"/>
        </w:rPr>
        <w:footnoteRef/>
      </w:r>
      <w:r w:rsidRPr="005F1982">
        <w:t xml:space="preserve"> </w:t>
      </w:r>
      <w:r w:rsidRPr="005F1982">
        <w:rPr>
          <w:i/>
        </w:rPr>
        <w:t>See</w:t>
      </w:r>
      <w:r w:rsidRPr="005F1982">
        <w:t xml:space="preserve"> E-mail from David Williamson, owner of Winchester Wireless, to Shannon Gunter, Columbia Office, Enforcement Bureau (July 31, 2013) (on file in EB-FIELDNER-13-00009170).</w:t>
      </w:r>
    </w:p>
  </w:footnote>
  <w:footnote w:id="12">
    <w:p w:rsidR="00527834" w:rsidRPr="005F1982" w:rsidRDefault="00527834" w:rsidP="005F1982">
      <w:pPr>
        <w:pStyle w:val="FootnoteText"/>
      </w:pPr>
      <w:r w:rsidRPr="005F1982">
        <w:rPr>
          <w:rStyle w:val="FootnoteReference"/>
        </w:rPr>
        <w:footnoteRef/>
      </w:r>
      <w:r w:rsidRPr="005F1982">
        <w:t xml:space="preserve"> </w:t>
      </w:r>
      <w:r w:rsidRPr="005F1982">
        <w:rPr>
          <w:i/>
        </w:rPr>
        <w:t>NAL</w:t>
      </w:r>
      <w:r w:rsidRPr="005F1982">
        <w:t>, 29 FCC Rcd at 2644–45, paras</w:t>
      </w:r>
      <w:r w:rsidR="00D91196">
        <w:t>. 8, 12; 47 U.S.C. § 301; 47 C.F.R. § 15.1(b).</w:t>
      </w:r>
    </w:p>
  </w:footnote>
  <w:footnote w:id="13">
    <w:p w:rsidR="00527834" w:rsidRPr="005F1982" w:rsidRDefault="00527834" w:rsidP="005F1982">
      <w:pPr>
        <w:pStyle w:val="FootnoteText"/>
      </w:pPr>
      <w:r w:rsidRPr="005F1982">
        <w:rPr>
          <w:rStyle w:val="FootnoteReference"/>
        </w:rPr>
        <w:footnoteRef/>
      </w:r>
      <w:r w:rsidRPr="005F1982">
        <w:t xml:space="preserve"> </w:t>
      </w:r>
      <w:r w:rsidRPr="005F1982">
        <w:rPr>
          <w:i/>
        </w:rPr>
        <w:t>See</w:t>
      </w:r>
      <w:r w:rsidRPr="005F1982">
        <w:t xml:space="preserve"> Custom Computers d.b.a. Winchester Wireless, Response to Notice of Apparent Liability for Forfeiture and Order (Apr. 10, 2014) (on file in EB-FIELDNER-13-00009170) (</w:t>
      </w:r>
      <w:r w:rsidRPr="005F1982">
        <w:rPr>
          <w:i/>
        </w:rPr>
        <w:t>NAL Response</w:t>
      </w:r>
      <w:r w:rsidRPr="005F1982">
        <w:t>).</w:t>
      </w:r>
    </w:p>
  </w:footnote>
  <w:footnote w:id="14">
    <w:p w:rsidR="00527834" w:rsidRPr="005F1982" w:rsidRDefault="00527834" w:rsidP="005F1982">
      <w:pPr>
        <w:pStyle w:val="FootnoteText"/>
        <w:rPr>
          <w:i/>
        </w:rPr>
      </w:pPr>
      <w:r w:rsidRPr="005F1982">
        <w:rPr>
          <w:rStyle w:val="FootnoteReference"/>
        </w:rPr>
        <w:footnoteRef/>
      </w:r>
      <w:r w:rsidRPr="005F1982">
        <w:t xml:space="preserve"> </w:t>
      </w:r>
      <w:r w:rsidRPr="005F1982">
        <w:rPr>
          <w:i/>
        </w:rPr>
        <w:t>See</w:t>
      </w:r>
      <w:r w:rsidRPr="005F1982">
        <w:t xml:space="preserve"> NAL Response at 2–4.</w:t>
      </w:r>
    </w:p>
  </w:footnote>
  <w:footnote w:id="15">
    <w:p w:rsidR="00527834" w:rsidRPr="005F1982" w:rsidRDefault="00527834" w:rsidP="005F1982">
      <w:pPr>
        <w:pStyle w:val="FootnoteText"/>
      </w:pPr>
      <w:r w:rsidRPr="005F1982">
        <w:rPr>
          <w:rStyle w:val="FootnoteReference"/>
        </w:rPr>
        <w:footnoteRef/>
      </w:r>
      <w:r w:rsidRPr="005F1982">
        <w:t xml:space="preserve"> </w:t>
      </w:r>
      <w:r w:rsidRPr="005F1982">
        <w:rPr>
          <w:i/>
        </w:rPr>
        <w:t>Id.</w:t>
      </w:r>
    </w:p>
  </w:footnote>
  <w:footnote w:id="16">
    <w:p w:rsidR="00527834" w:rsidRPr="005F1982" w:rsidRDefault="00527834" w:rsidP="005F1982">
      <w:pPr>
        <w:pStyle w:val="FootnoteText"/>
      </w:pPr>
      <w:r w:rsidRPr="005F1982">
        <w:rPr>
          <w:rStyle w:val="FootnoteReference"/>
        </w:rPr>
        <w:footnoteRef/>
      </w:r>
      <w:r w:rsidRPr="005F1982">
        <w:t xml:space="preserve"> </w:t>
      </w:r>
      <w:r w:rsidRPr="005F1982">
        <w:rPr>
          <w:i/>
        </w:rPr>
        <w:t>Id</w:t>
      </w:r>
      <w:r w:rsidRPr="005F1982">
        <w:t>. at 4–5</w:t>
      </w:r>
      <w:r w:rsidR="00721AFA">
        <w:t>, Attachment</w:t>
      </w:r>
      <w:r w:rsidRPr="005F1982">
        <w:t>.  On May 26 and 29, 2015, at the request of Bureau staff, Winchester Wireless provided updated financial data in support of its</w:t>
      </w:r>
      <w:r w:rsidR="00C346EF">
        <w:t xml:space="preserve"> inability to pay claim</w:t>
      </w:r>
      <w:r w:rsidRPr="005F1982">
        <w:t>.</w:t>
      </w:r>
    </w:p>
  </w:footnote>
  <w:footnote w:id="17">
    <w:p w:rsidR="00527834" w:rsidRPr="005F1982" w:rsidRDefault="00527834" w:rsidP="005F1982">
      <w:pPr>
        <w:pStyle w:val="FootnoteText"/>
      </w:pPr>
      <w:r w:rsidRPr="005F1982">
        <w:rPr>
          <w:rStyle w:val="FootnoteReference"/>
        </w:rPr>
        <w:footnoteRef/>
      </w:r>
      <w:r w:rsidRPr="005F1982">
        <w:t xml:space="preserve"> </w:t>
      </w:r>
      <w:r w:rsidRPr="005F1982">
        <w:rPr>
          <w:color w:val="000000"/>
        </w:rPr>
        <w:t>47 U.S.C. § 503(b).</w:t>
      </w:r>
    </w:p>
  </w:footnote>
  <w:footnote w:id="18">
    <w:p w:rsidR="00527834" w:rsidRPr="005F1982" w:rsidRDefault="00527834" w:rsidP="005F1982">
      <w:pPr>
        <w:pStyle w:val="FootnoteText"/>
      </w:pPr>
      <w:r w:rsidRPr="005F1982">
        <w:rPr>
          <w:rStyle w:val="FootnoteReference"/>
        </w:rPr>
        <w:footnoteRef/>
      </w:r>
      <w:r w:rsidRPr="005F1982">
        <w:t xml:space="preserve"> 47 C.F.R. § 1.80.</w:t>
      </w:r>
    </w:p>
  </w:footnote>
  <w:footnote w:id="19">
    <w:p w:rsidR="00527834" w:rsidRPr="005F1982" w:rsidRDefault="00527834" w:rsidP="005F1982">
      <w:pPr>
        <w:pStyle w:val="FootnoteText"/>
      </w:pPr>
      <w:r w:rsidRPr="005F1982">
        <w:rPr>
          <w:rStyle w:val="FootnoteReference"/>
        </w:rPr>
        <w:footnoteRef/>
      </w:r>
      <w:r w:rsidRPr="005F1982">
        <w:rPr>
          <w:i/>
        </w:rPr>
        <w:t xml:space="preserve"> The Commission’s Forfeiture Policy Statement and Amendment of Section 1.80 of the Rules to Incorporate the Forfeiture Guidelines</w:t>
      </w:r>
      <w:r w:rsidRPr="005F1982">
        <w:t>, Report and Order, 12 FCC Rcd 17087 (1997) (</w:t>
      </w:r>
      <w:r w:rsidRPr="005F1982">
        <w:rPr>
          <w:i/>
        </w:rPr>
        <w:t>Forfeiture Policy Statement</w:t>
      </w:r>
      <w:r w:rsidRPr="005F1982">
        <w:t xml:space="preserve">), </w:t>
      </w:r>
      <w:r w:rsidRPr="005F1982">
        <w:rPr>
          <w:i/>
        </w:rPr>
        <w:t>recons. denied</w:t>
      </w:r>
      <w:r w:rsidRPr="005F1982">
        <w:t xml:space="preserve">, Memorandum Opinion and Order, 15 FCC Rcd 303 (1999). </w:t>
      </w:r>
    </w:p>
  </w:footnote>
  <w:footnote w:id="20">
    <w:p w:rsidR="00527834" w:rsidRPr="005F1982" w:rsidRDefault="00527834" w:rsidP="005F1982">
      <w:pPr>
        <w:pStyle w:val="FootnoteText"/>
      </w:pPr>
      <w:r w:rsidRPr="005F1982">
        <w:rPr>
          <w:rStyle w:val="FootnoteReference"/>
        </w:rPr>
        <w:footnoteRef/>
      </w:r>
      <w:r w:rsidRPr="005F1982">
        <w:t xml:space="preserve"> 47 U.S.C. § 503(b)(2)(E).</w:t>
      </w:r>
    </w:p>
  </w:footnote>
  <w:footnote w:id="21">
    <w:p w:rsidR="00527834" w:rsidRPr="005F1982" w:rsidRDefault="00527834" w:rsidP="005F1982">
      <w:pPr>
        <w:pStyle w:val="FootnoteText"/>
      </w:pPr>
      <w:r w:rsidRPr="005F1982">
        <w:rPr>
          <w:rStyle w:val="FootnoteReference"/>
        </w:rPr>
        <w:footnoteRef/>
      </w:r>
      <w:r w:rsidRPr="005F1982">
        <w:t xml:space="preserve"> </w:t>
      </w:r>
      <w:r w:rsidRPr="005F1982">
        <w:rPr>
          <w:i/>
        </w:rPr>
        <w:t>See</w:t>
      </w:r>
      <w:r w:rsidRPr="005F1982">
        <w:t xml:space="preserve"> NAL Response at 2–4.</w:t>
      </w:r>
    </w:p>
  </w:footnote>
  <w:footnote w:id="22">
    <w:p w:rsidR="00527834" w:rsidRPr="005F1982" w:rsidRDefault="00527834" w:rsidP="005F1982">
      <w:pPr>
        <w:pStyle w:val="FootnoteText"/>
      </w:pPr>
      <w:r w:rsidRPr="005F1982">
        <w:rPr>
          <w:rStyle w:val="FootnoteReference"/>
        </w:rPr>
        <w:footnoteRef/>
      </w:r>
      <w:r w:rsidRPr="005F1982">
        <w:t xml:space="preserve"> </w:t>
      </w:r>
      <w:r w:rsidRPr="005F1982">
        <w:rPr>
          <w:i/>
        </w:rPr>
        <w:t>NAL</w:t>
      </w:r>
      <w:r w:rsidRPr="005F1982">
        <w:t>, 2</w:t>
      </w:r>
      <w:r w:rsidR="00C346EF">
        <w:t>9 FCC Rcd at 2642, para. 5</w:t>
      </w:r>
      <w:r w:rsidRPr="005F1982">
        <w:t>.</w:t>
      </w:r>
    </w:p>
  </w:footnote>
  <w:footnote w:id="23">
    <w:p w:rsidR="00C346EF" w:rsidRPr="00C346EF" w:rsidRDefault="00C346EF">
      <w:pPr>
        <w:pStyle w:val="FootnoteText"/>
      </w:pPr>
      <w:r>
        <w:rPr>
          <w:rStyle w:val="FootnoteReference"/>
        </w:rPr>
        <w:footnoteRef/>
      </w:r>
      <w:r>
        <w:t xml:space="preserve"> </w:t>
      </w:r>
      <w:r>
        <w:rPr>
          <w:i/>
        </w:rPr>
        <w:t xml:space="preserve">Id. </w:t>
      </w:r>
      <w:r>
        <w:t>at para. 5 n. 13.</w:t>
      </w:r>
    </w:p>
  </w:footnote>
  <w:footnote w:id="24">
    <w:p w:rsidR="00527834" w:rsidRPr="005F1982" w:rsidRDefault="00527834" w:rsidP="005F1982">
      <w:pPr>
        <w:pStyle w:val="FootnoteText"/>
      </w:pPr>
      <w:r w:rsidRPr="005F1982">
        <w:rPr>
          <w:rStyle w:val="FootnoteReference"/>
        </w:rPr>
        <w:footnoteRef/>
      </w:r>
      <w:r w:rsidRPr="005F1982">
        <w:t xml:space="preserve"> </w:t>
      </w:r>
      <w:r w:rsidR="00C346EF">
        <w:rPr>
          <w:i/>
        </w:rPr>
        <w:t xml:space="preserve">See NAL Response </w:t>
      </w:r>
      <w:r w:rsidRPr="005F1982">
        <w:t xml:space="preserve">at 3; </w:t>
      </w:r>
      <w:r w:rsidRPr="005F1982">
        <w:rPr>
          <w:i/>
        </w:rPr>
        <w:t>Campbell v. United States</w:t>
      </w:r>
      <w:r w:rsidRPr="005F1982">
        <w:t xml:space="preserve">, 167 F.2d 451, 453 (5th Cir. 1948); </w:t>
      </w:r>
      <w:r w:rsidRPr="005F1982">
        <w:rPr>
          <w:i/>
        </w:rPr>
        <w:t>see also Daniel K. Roberts</w:t>
      </w:r>
      <w:r w:rsidRPr="005F1982">
        <w:t>, Memorandum Opinion and Order, 29 FCC Rcd 1220, 1222, para. 5 (Enf. Bur. 2014),</w:t>
      </w:r>
    </w:p>
  </w:footnote>
  <w:footnote w:id="25">
    <w:p w:rsidR="00527834" w:rsidRPr="005F1982" w:rsidRDefault="00527834" w:rsidP="005F1982">
      <w:pPr>
        <w:pStyle w:val="FootnoteText"/>
      </w:pPr>
      <w:r w:rsidRPr="005F1982">
        <w:rPr>
          <w:rStyle w:val="FootnoteReference"/>
        </w:rPr>
        <w:footnoteRef/>
      </w:r>
      <w:r w:rsidRPr="005F1982">
        <w:t xml:space="preserve"> </w:t>
      </w:r>
      <w:r w:rsidRPr="005F1982">
        <w:rPr>
          <w:i/>
        </w:rPr>
        <w:t>Roberts</w:t>
      </w:r>
      <w:r w:rsidRPr="005F1982">
        <w:t xml:space="preserve">, 29 FCC Rcd at 1222, para. 5 </w:t>
      </w:r>
      <w:r w:rsidR="00FD3DFF">
        <w:t xml:space="preserve">(internal quotations omitted); </w:t>
      </w:r>
      <w:r w:rsidR="00FD3DFF">
        <w:rPr>
          <w:i/>
        </w:rPr>
        <w:t>Vic</w:t>
      </w:r>
      <w:r w:rsidRPr="005F1982">
        <w:rPr>
          <w:i/>
        </w:rPr>
        <w:t>ot Chery</w:t>
      </w:r>
      <w:r w:rsidRPr="005F1982">
        <w:t>, Forfeiture Order, 28 FCC Rcd 16065, 16066, para. 4 (Enf. Bur. 2013)</w:t>
      </w:r>
      <w:r w:rsidR="00FD3DFF">
        <w:t xml:space="preserve"> (internal quotations omitted)</w:t>
      </w:r>
      <w:r w:rsidRPr="005F1982">
        <w:t>.</w:t>
      </w:r>
    </w:p>
  </w:footnote>
  <w:footnote w:id="26">
    <w:p w:rsidR="00527834" w:rsidRPr="005F1982" w:rsidRDefault="00527834" w:rsidP="005F1982">
      <w:pPr>
        <w:pStyle w:val="FootnoteText"/>
      </w:pPr>
      <w:r w:rsidRPr="005F1982">
        <w:rPr>
          <w:rStyle w:val="FootnoteReference"/>
        </w:rPr>
        <w:footnoteRef/>
      </w:r>
      <w:r w:rsidRPr="005F1982">
        <w:t xml:space="preserve"> </w:t>
      </w:r>
      <w:r w:rsidRPr="005F1982">
        <w:rPr>
          <w:i/>
        </w:rPr>
        <w:t>Roberts</w:t>
      </w:r>
      <w:r w:rsidRPr="005F1982">
        <w:t xml:space="preserve">, 29 FCC Rcd at 1222, para. 5 (citing </w:t>
      </w:r>
      <w:r w:rsidRPr="005F1982">
        <w:rPr>
          <w:rStyle w:val="Emphasis"/>
        </w:rPr>
        <w:t>Revision of Rules and Policies for the Direct Broadcast Satellite Service</w:t>
      </w:r>
      <w:r w:rsidRPr="005F1982">
        <w:t xml:space="preserve">, Report and Order, 11 FCC Rcd 9712, 9747, para. 91 (1995), </w:t>
      </w:r>
      <w:r w:rsidRPr="005F1982">
        <w:rPr>
          <w:rStyle w:val="Emphasis"/>
        </w:rPr>
        <w:t>aff'd sub nom. DIRECTV, Inc. v FCC</w:t>
      </w:r>
      <w:r w:rsidRPr="005F1982">
        <w:t>, 110 F.3d 816 (D.C. Cir 1997)</w:t>
      </w:r>
      <w:r w:rsidR="00FD5991">
        <w:t>)</w:t>
      </w:r>
      <w:r w:rsidRPr="005F1982">
        <w:t>.</w:t>
      </w:r>
    </w:p>
  </w:footnote>
  <w:footnote w:id="27">
    <w:p w:rsidR="00527834" w:rsidRPr="005F1982" w:rsidRDefault="00527834" w:rsidP="005F1982">
      <w:pPr>
        <w:pStyle w:val="FootnoteText"/>
      </w:pPr>
      <w:r w:rsidRPr="005F1982">
        <w:rPr>
          <w:rStyle w:val="FootnoteReference"/>
        </w:rPr>
        <w:footnoteRef/>
      </w:r>
      <w:r w:rsidRPr="005F1982">
        <w:t xml:space="preserve"> </w:t>
      </w:r>
      <w:r w:rsidRPr="005F1982">
        <w:rPr>
          <w:i/>
        </w:rPr>
        <w:t xml:space="preserve">See id. </w:t>
      </w:r>
      <w:r w:rsidRPr="005F1982">
        <w:t>at 1222–23, para. 6 (finding individual exercised actual working control when he held himself out publicly as the manager of a pirate radio station).</w:t>
      </w:r>
    </w:p>
  </w:footnote>
  <w:footnote w:id="28">
    <w:p w:rsidR="00527834" w:rsidRPr="005F1982" w:rsidRDefault="00527834" w:rsidP="005F1982">
      <w:pPr>
        <w:pStyle w:val="FootnoteText"/>
      </w:pPr>
      <w:r w:rsidRPr="005F1982">
        <w:rPr>
          <w:rStyle w:val="FootnoteReference"/>
        </w:rPr>
        <w:footnoteRef/>
      </w:r>
      <w:r w:rsidRPr="005F1982">
        <w:t xml:space="preserve"> </w:t>
      </w:r>
      <w:r w:rsidRPr="005F1982">
        <w:rPr>
          <w:i/>
        </w:rPr>
        <w:t>See Vicot Chery</w:t>
      </w:r>
      <w:r w:rsidRPr="005F1982">
        <w:t xml:space="preserve">, 28 FCC Rcd at 16066, para. 5 (finding individual exercised actual working control when he showed agents the location of the transmitter of an unlicensed radio station); </w:t>
      </w:r>
      <w:r w:rsidRPr="005F1982">
        <w:rPr>
          <w:i/>
        </w:rPr>
        <w:t>Damian Anthony Ojouku Allen</w:t>
      </w:r>
      <w:r w:rsidRPr="005F1982">
        <w:t xml:space="preserve">, Notice of Apparent Liability for Forfeiture, 27 FCC Rcd 7956, 7958, para. 6 (Enf. Bur. 2012) (same), </w:t>
      </w:r>
      <w:r w:rsidRPr="005F1982">
        <w:rPr>
          <w:i/>
        </w:rPr>
        <w:t>aff’d</w:t>
      </w:r>
      <w:r w:rsidRPr="005F1982">
        <w:t xml:space="preserve">, Forfeiture Order, 27 FCC Rcd 14001 (Enf. Bur. 2012). </w:t>
      </w:r>
    </w:p>
  </w:footnote>
  <w:footnote w:id="29">
    <w:p w:rsidR="00527834" w:rsidRPr="005F1982" w:rsidRDefault="00527834" w:rsidP="005F1982">
      <w:pPr>
        <w:tabs>
          <w:tab w:val="center" w:pos="4680"/>
        </w:tabs>
        <w:suppressAutoHyphens/>
        <w:spacing w:after="120"/>
        <w:rPr>
          <w:sz w:val="20"/>
        </w:rPr>
      </w:pPr>
      <w:r w:rsidRPr="005F1982">
        <w:rPr>
          <w:rStyle w:val="FootnoteReference"/>
        </w:rPr>
        <w:footnoteRef/>
      </w:r>
      <w:r w:rsidRPr="005F1982">
        <w:rPr>
          <w:sz w:val="20"/>
        </w:rPr>
        <w:t xml:space="preserve"> </w:t>
      </w:r>
      <w:r w:rsidRPr="005F1982">
        <w:rPr>
          <w:i/>
          <w:sz w:val="20"/>
        </w:rPr>
        <w:t>See Catholic Radio Network of Loveland, Inc.</w:t>
      </w:r>
      <w:r w:rsidRPr="005F1982">
        <w:rPr>
          <w:sz w:val="20"/>
        </w:rPr>
        <w:t>, Memorandum Opinion and Order, FCC 15-66</w:t>
      </w:r>
      <w:r w:rsidR="00FD3DFF">
        <w:rPr>
          <w:sz w:val="20"/>
        </w:rPr>
        <w:t>, para. 2</w:t>
      </w:r>
      <w:r w:rsidRPr="005F1982">
        <w:rPr>
          <w:sz w:val="20"/>
        </w:rPr>
        <w:t xml:space="preserve"> (June 11, 2015) (finding entity exercised actual working con</w:t>
      </w:r>
      <w:r w:rsidR="00FD3DFF">
        <w:rPr>
          <w:sz w:val="20"/>
        </w:rPr>
        <w:t xml:space="preserve">trol when it operated station </w:t>
      </w:r>
      <w:r w:rsidRPr="005F1982">
        <w:rPr>
          <w:sz w:val="20"/>
        </w:rPr>
        <w:t xml:space="preserve">resulting in unauthorized emissions); </w:t>
      </w:r>
      <w:r w:rsidRPr="005F1982">
        <w:rPr>
          <w:i/>
          <w:sz w:val="20"/>
        </w:rPr>
        <w:t>Steckline Commc’ns</w:t>
      </w:r>
      <w:r w:rsidRPr="005F1982">
        <w:rPr>
          <w:sz w:val="20"/>
        </w:rPr>
        <w:t>, Forfeiture Order, 29 FCC Rcd 1082, 1084, para. 5 (Enf. Bur. 2014) (finding entity exercised actual</w:t>
      </w:r>
      <w:r w:rsidR="00FD3DFF">
        <w:rPr>
          <w:sz w:val="20"/>
        </w:rPr>
        <w:t xml:space="preserve"> working control when it operated</w:t>
      </w:r>
      <w:r w:rsidRPr="005F1982">
        <w:rPr>
          <w:sz w:val="20"/>
        </w:rPr>
        <w:t xml:space="preserve"> station at unauthorized power level).</w:t>
      </w:r>
    </w:p>
  </w:footnote>
  <w:footnote w:id="30">
    <w:p w:rsidR="00527834" w:rsidRPr="005F1982" w:rsidRDefault="00527834" w:rsidP="005F1982">
      <w:pPr>
        <w:pStyle w:val="FootnoteText"/>
      </w:pPr>
      <w:r w:rsidRPr="005F1982">
        <w:rPr>
          <w:rStyle w:val="FootnoteReference"/>
        </w:rPr>
        <w:footnoteRef/>
      </w:r>
      <w:r w:rsidRPr="005F1982">
        <w:t xml:space="preserve"> </w:t>
      </w:r>
      <w:r w:rsidRPr="005F1982">
        <w:rPr>
          <w:i/>
        </w:rPr>
        <w:t xml:space="preserve">NAL Response </w:t>
      </w:r>
      <w:r w:rsidRPr="005F1982">
        <w:t>at 3.</w:t>
      </w:r>
    </w:p>
  </w:footnote>
  <w:footnote w:id="31">
    <w:p w:rsidR="00527834" w:rsidRPr="005F1982" w:rsidRDefault="00527834" w:rsidP="005F1982">
      <w:pPr>
        <w:pStyle w:val="FootnoteText"/>
      </w:pPr>
      <w:r w:rsidRPr="005F1982">
        <w:rPr>
          <w:rStyle w:val="FootnoteReference"/>
        </w:rPr>
        <w:footnoteRef/>
      </w:r>
      <w:r w:rsidRPr="005F1982">
        <w:t xml:space="preserve"> </w:t>
      </w:r>
      <w:r w:rsidRPr="005F1982">
        <w:rPr>
          <w:i/>
        </w:rPr>
        <w:t>NAL</w:t>
      </w:r>
      <w:r w:rsidRPr="005F1982">
        <w:t>, 29 FCC Rcd at 2642–43, para. 5 (citing E-mail from David Williamson, owner of Winchester Wireless, to Shannon Gunter, Columbia Office, Enforcement Bureau (July 31, 2013) (on file in EB-FIELDNER-13-00009170).</w:t>
      </w:r>
    </w:p>
  </w:footnote>
  <w:footnote w:id="32">
    <w:p w:rsidR="00C56D6E" w:rsidRPr="00C56D6E" w:rsidRDefault="00C56D6E">
      <w:pPr>
        <w:pStyle w:val="FootnoteText"/>
      </w:pPr>
      <w:r>
        <w:rPr>
          <w:rStyle w:val="FootnoteReference"/>
        </w:rPr>
        <w:footnoteRef/>
      </w:r>
      <w:r>
        <w:t xml:space="preserve"> </w:t>
      </w:r>
      <w:r>
        <w:rPr>
          <w:i/>
        </w:rPr>
        <w:t xml:space="preserve">NAL Response </w:t>
      </w:r>
      <w:r>
        <w:t>at 3–4.</w:t>
      </w:r>
    </w:p>
  </w:footnote>
  <w:footnote w:id="33">
    <w:p w:rsidR="00C56D6E" w:rsidRPr="005F1982" w:rsidRDefault="00C56D6E" w:rsidP="00C56D6E">
      <w:pPr>
        <w:pStyle w:val="FootnoteText"/>
      </w:pPr>
      <w:r w:rsidRPr="005F1982">
        <w:rPr>
          <w:rStyle w:val="FootnoteReference"/>
        </w:rPr>
        <w:footnoteRef/>
      </w:r>
      <w:r w:rsidRPr="005F1982">
        <w:t xml:space="preserve"> </w:t>
      </w:r>
      <w:r>
        <w:rPr>
          <w:rStyle w:val="Emphasis"/>
        </w:rPr>
        <w:t>Compare</w:t>
      </w:r>
      <w:r w:rsidRPr="005F1982">
        <w:rPr>
          <w:rStyle w:val="apple-converted-space"/>
        </w:rPr>
        <w:t> </w:t>
      </w:r>
      <w:r w:rsidRPr="005F1982">
        <w:rPr>
          <w:rStyle w:val="Emphasis"/>
        </w:rPr>
        <w:t>Vernon Broad., Inc.</w:t>
      </w:r>
      <w:r w:rsidRPr="005F1982">
        <w:t>, Memorandum Opinion and Order, 60 Rad. Reg. 2d 1275 (1986)</w:t>
      </w:r>
      <w:r w:rsidRPr="005F1982">
        <w:rPr>
          <w:rStyle w:val="apple-converted-space"/>
        </w:rPr>
        <w:t> </w:t>
      </w:r>
      <w:r w:rsidRPr="005F1982">
        <w:t xml:space="preserve">(cancelling a $1,000 AM tower fencing violation where the evidence indicated that the fencing was vandalized just prior to inspection). </w:t>
      </w:r>
    </w:p>
  </w:footnote>
  <w:footnote w:id="34">
    <w:p w:rsidR="00E960F1" w:rsidRPr="005F1982" w:rsidRDefault="00E960F1" w:rsidP="005F1982">
      <w:pPr>
        <w:pStyle w:val="FootnoteText"/>
      </w:pPr>
      <w:r w:rsidRPr="005F1982">
        <w:rPr>
          <w:rStyle w:val="FootnoteReference"/>
        </w:rPr>
        <w:footnoteRef/>
      </w:r>
      <w:r w:rsidRPr="005F1982">
        <w:t xml:space="preserve"> </w:t>
      </w:r>
      <w:r w:rsidRPr="005F1982">
        <w:rPr>
          <w:i/>
        </w:rPr>
        <w:t>Glen Rubash</w:t>
      </w:r>
      <w:r w:rsidRPr="005F1982">
        <w:t xml:space="preserve">, 28 FCC Rcd </w:t>
      </w:r>
      <w:r w:rsidR="004578A6">
        <w:t>15922, 1</w:t>
      </w:r>
      <w:r w:rsidRPr="005F1982">
        <w:t>5924, para. 5</w:t>
      </w:r>
      <w:r w:rsidR="004578A6">
        <w:t xml:space="preserve"> (Enf. Bur. 2013)</w:t>
      </w:r>
      <w:r w:rsidRPr="005F1982">
        <w:t xml:space="preserve">.  </w:t>
      </w:r>
      <w:r w:rsidRPr="005F1982">
        <w:rPr>
          <w:i/>
        </w:rPr>
        <w:t>See Steckline Commc’ns, Inc.</w:t>
      </w:r>
      <w:r w:rsidR="00C56D6E">
        <w:t>, 29 FCC Rcd at 1084, para. 5 (finding violations</w:t>
      </w:r>
      <w:r w:rsidRPr="005F1982">
        <w:t xml:space="preserve"> even in the event of third-party tampering with station equipment because the party continued to operate the station at variance from authorized parameters).</w:t>
      </w:r>
    </w:p>
  </w:footnote>
  <w:footnote w:id="35">
    <w:p w:rsidR="00E960F1" w:rsidRPr="005F1982" w:rsidRDefault="00E960F1" w:rsidP="005F1982">
      <w:pPr>
        <w:pStyle w:val="FootnoteText"/>
      </w:pPr>
      <w:r w:rsidRPr="005F1982">
        <w:rPr>
          <w:rStyle w:val="FootnoteReference"/>
        </w:rPr>
        <w:footnoteRef/>
      </w:r>
      <w:r w:rsidRPr="005F1982">
        <w:t xml:space="preserve"> </w:t>
      </w:r>
      <w:r w:rsidRPr="005F1982">
        <w:rPr>
          <w:i/>
        </w:rPr>
        <w:t>Steckline Commc’ns</w:t>
      </w:r>
      <w:r w:rsidRPr="005F1982">
        <w:t>, 29 FCC at 1084, para. 5 (“Even if a third party tampered with the Station’s equipment, Steckline’s continued operation of the Station while failing to monitor its power level and directional pattern and discover its non-compliance, rendered its actions willful.”).</w:t>
      </w:r>
    </w:p>
  </w:footnote>
  <w:footnote w:id="36">
    <w:p w:rsidR="00527834" w:rsidRPr="005F1982" w:rsidRDefault="00527834" w:rsidP="005F1982">
      <w:pPr>
        <w:pStyle w:val="FootnoteText"/>
      </w:pPr>
      <w:r w:rsidRPr="005F1982">
        <w:rPr>
          <w:rStyle w:val="FootnoteReference"/>
        </w:rPr>
        <w:footnoteRef/>
      </w:r>
      <w:r w:rsidRPr="005F1982">
        <w:t xml:space="preserve"> </w:t>
      </w:r>
      <w:r w:rsidRPr="005F1982">
        <w:rPr>
          <w:i/>
        </w:rPr>
        <w:t>See, e.g.</w:t>
      </w:r>
      <w:r w:rsidRPr="005F1982">
        <w:t xml:space="preserve">, </w:t>
      </w:r>
      <w:r w:rsidRPr="005F1982">
        <w:rPr>
          <w:i/>
        </w:rPr>
        <w:t>Catholic Radio Network of Loveland, Inc.</w:t>
      </w:r>
      <w:r w:rsidR="00CB1F88">
        <w:t>,</w:t>
      </w:r>
      <w:r w:rsidRPr="005F1982">
        <w:t xml:space="preserve"> Memorandum Opinion and Order, 30 FCC Rcd 988, 989, para. 4 (Enf. Bur. 2015) (finding violation repeated </w:t>
      </w:r>
      <w:r w:rsidR="00CB1F88">
        <w:t xml:space="preserve">even when party was </w:t>
      </w:r>
      <w:r w:rsidRPr="005F1982">
        <w:t>unaware of overpower station operation due to faulty equipment)</w:t>
      </w:r>
      <w:r w:rsidR="00CB1F88">
        <w:t xml:space="preserve">, </w:t>
      </w:r>
      <w:r w:rsidR="00CB1F88">
        <w:rPr>
          <w:i/>
        </w:rPr>
        <w:t>aff’d</w:t>
      </w:r>
      <w:r w:rsidR="00CB1F88">
        <w:t>, Memorandum Opinion and Order, FCC 15-66 (June 11, 2015)</w:t>
      </w:r>
      <w:r w:rsidRPr="005F1982">
        <w:t xml:space="preserve">; </w:t>
      </w:r>
      <w:r w:rsidRPr="005F1982">
        <w:rPr>
          <w:i/>
        </w:rPr>
        <w:t>Playa Del Sol Broadcasters</w:t>
      </w:r>
      <w:r w:rsidRPr="005F1982">
        <w:t xml:space="preserve">, Order on Review, 28 FCC Rcd 2666, 2668–69, </w:t>
      </w:r>
      <w:r w:rsidR="00CB1F88">
        <w:t>para. 6 (2013) (concluding that</w:t>
      </w:r>
      <w:r w:rsidRPr="005F1982">
        <w:t xml:space="preserve"> because the licensee consciously and deliberately operated </w:t>
      </w:r>
      <w:r w:rsidR="00CB1F88">
        <w:t>its station</w:t>
      </w:r>
      <w:r w:rsidRPr="005F1982">
        <w:t xml:space="preserve"> resulting in unauthorized emissions </w:t>
      </w:r>
      <w:r w:rsidR="00CB1F88">
        <w:t xml:space="preserve">the violation was willful, </w:t>
      </w:r>
      <w:r w:rsidRPr="005F1982">
        <w:t xml:space="preserve">irrespective of any intent </w:t>
      </w:r>
      <w:r w:rsidR="00CB1F88">
        <w:t>by the licensee to violate the law)</w:t>
      </w:r>
      <w:r w:rsidRPr="005F1982">
        <w:t>.</w:t>
      </w:r>
    </w:p>
  </w:footnote>
  <w:footnote w:id="37">
    <w:p w:rsidR="00257502" w:rsidRPr="005F1982" w:rsidRDefault="00257502" w:rsidP="005F1982">
      <w:pPr>
        <w:pStyle w:val="FootnoteText"/>
      </w:pPr>
      <w:r w:rsidRPr="005F1982">
        <w:rPr>
          <w:rStyle w:val="FootnoteReference"/>
        </w:rPr>
        <w:footnoteRef/>
      </w:r>
      <w:r w:rsidRPr="005F1982">
        <w:t xml:space="preserve"> </w:t>
      </w:r>
      <w:r w:rsidRPr="005F1982">
        <w:rPr>
          <w:i/>
        </w:rPr>
        <w:t xml:space="preserve">NAL Response </w:t>
      </w:r>
      <w:r w:rsidRPr="005F1982">
        <w:t>at 4–5</w:t>
      </w:r>
      <w:r w:rsidR="00721AFA">
        <w:t>, Attachment</w:t>
      </w:r>
      <w:r w:rsidRPr="005F1982">
        <w:t>.</w:t>
      </w:r>
    </w:p>
  </w:footnote>
  <w:footnote w:id="38">
    <w:p w:rsidR="00257502" w:rsidRPr="005F1982" w:rsidRDefault="00257502" w:rsidP="005F1982">
      <w:pPr>
        <w:pStyle w:val="FootnoteText"/>
      </w:pPr>
      <w:r w:rsidRPr="005F1982">
        <w:rPr>
          <w:rStyle w:val="FootnoteCharacters"/>
        </w:rPr>
        <w:footnoteRef/>
      </w:r>
      <w:r w:rsidRPr="005F1982">
        <w:rPr>
          <w:i/>
        </w:rPr>
        <w:t xml:space="preserve"> See Local Long Distance, Inc.</w:t>
      </w:r>
      <w:r w:rsidRPr="005F1982">
        <w:t>,</w:t>
      </w:r>
      <w:r w:rsidRPr="005F1982">
        <w:rPr>
          <w:i/>
        </w:rPr>
        <w:t xml:space="preserve"> </w:t>
      </w:r>
      <w:r w:rsidRPr="005F1982">
        <w:t xml:space="preserve">Order of Forfeiture, 15 FCC Rcd 24385 (2000) (forfeiture not deemed excessive where it represented approximately 7.9 percent of the violator’s gross revenues); </w:t>
      </w:r>
      <w:r w:rsidRPr="005F1982">
        <w:rPr>
          <w:i/>
        </w:rPr>
        <w:t>see also Tommie Salter</w:t>
      </w:r>
      <w:r w:rsidRPr="005F1982">
        <w:t xml:space="preserve">, Forfeiture Order, 30 FCC Rcd 1041 (Enf. Bur. 2015) (finding reduced forfeiture fell within the percentage range that the Commission previously found acceptable).   </w:t>
      </w:r>
    </w:p>
  </w:footnote>
  <w:footnote w:id="39">
    <w:p w:rsidR="00257502" w:rsidRPr="005F1982" w:rsidRDefault="00257502" w:rsidP="005F1982">
      <w:pPr>
        <w:pStyle w:val="FootnoteText"/>
      </w:pPr>
      <w:r w:rsidRPr="005F1982">
        <w:rPr>
          <w:rStyle w:val="FootnoteReference"/>
        </w:rPr>
        <w:footnoteRef/>
      </w:r>
      <w:r w:rsidRPr="005F1982">
        <w:t xml:space="preserve"> This forfeiture amount falls within the percentage range that the Commission previously found acceptable.</w:t>
      </w:r>
      <w:r w:rsidRPr="005F1982">
        <w:rPr>
          <w:i/>
        </w:rPr>
        <w:t xml:space="preserve">  See supra </w:t>
      </w:r>
      <w:r w:rsidRPr="005F1982">
        <w:t>note</w:t>
      </w:r>
      <w:r w:rsidR="00721AFA">
        <w:t xml:space="preserve"> 37</w:t>
      </w:r>
      <w:r w:rsidRPr="005F1982">
        <w:t xml:space="preserve">.  If </w:t>
      </w:r>
      <w:r w:rsidR="00721AFA">
        <w:t>Winchester Wireless</w:t>
      </w:r>
      <w:r w:rsidRPr="005F1982">
        <w:t xml:space="preserve"> finds it financially infeasible to make full payment of this amount within 30 days, it can request an installment plan, as described in paragraph 1</w:t>
      </w:r>
      <w:r w:rsidR="00721AFA">
        <w:t>4</w:t>
      </w:r>
      <w:r w:rsidRPr="005F1982">
        <w:t xml:space="preserve"> of this Forfeiture Order.   </w:t>
      </w:r>
    </w:p>
  </w:footnote>
  <w:footnote w:id="40">
    <w:p w:rsidR="00257502" w:rsidRPr="005F1982" w:rsidRDefault="00257502" w:rsidP="005F1982">
      <w:pPr>
        <w:pStyle w:val="FootnoteText"/>
      </w:pPr>
      <w:r w:rsidRPr="005F1982">
        <w:rPr>
          <w:rStyle w:val="FootnoteReference"/>
        </w:rPr>
        <w:footnoteRef/>
      </w:r>
      <w:r w:rsidRPr="005F1982">
        <w:t xml:space="preserve"> </w:t>
      </w:r>
      <w:r w:rsidRPr="005F1982">
        <w:rPr>
          <w:i/>
        </w:rPr>
        <w:t xml:space="preserve">See </w:t>
      </w:r>
      <w:r w:rsidRPr="005F1982">
        <w:t xml:space="preserve">47 U.S.C. § 503(b)(2)(E).  </w:t>
      </w:r>
    </w:p>
  </w:footnote>
  <w:footnote w:id="41">
    <w:p w:rsidR="00257502" w:rsidRPr="005F1982" w:rsidRDefault="00257502" w:rsidP="005F1982">
      <w:pPr>
        <w:pStyle w:val="FootnoteText"/>
      </w:pPr>
      <w:r w:rsidRPr="005F1982">
        <w:rPr>
          <w:rStyle w:val="FootnoteReference"/>
        </w:rPr>
        <w:footnoteRef/>
      </w:r>
      <w:r w:rsidRPr="005F1982">
        <w:t xml:space="preserve"> </w:t>
      </w:r>
      <w:r w:rsidRPr="005F1982">
        <w:rPr>
          <w:i/>
          <w:iCs/>
        </w:rPr>
        <w:t>See, e.g.</w:t>
      </w:r>
      <w:r w:rsidRPr="005F1982">
        <w:t xml:space="preserve">, </w:t>
      </w:r>
      <w:r w:rsidRPr="005F1982">
        <w:rPr>
          <w:i/>
          <w:iCs/>
        </w:rPr>
        <w:t>TV Max, Inc., et al</w:t>
      </w:r>
      <w:r w:rsidRPr="005F1982">
        <w:t xml:space="preserve">., Forfeiture Order, 29 FCC Rcd 8648, 8661, para. 25 (2014) (noting that the Commission “has previously rejected inability to pay claims in cases of repeated or otherwise egregious violations”); </w:t>
      </w:r>
      <w:r w:rsidRPr="005F1982">
        <w:rPr>
          <w:i/>
        </w:rPr>
        <w:t>Kevin W. Bondy</w:t>
      </w:r>
      <w:r w:rsidRPr="005F1982">
        <w:t xml:space="preserve">, Forfeiture Order, 26 FCC Rcd 7840 (Enf. Bur. 2011) (holding that violator’s repeated acts of malicious and intentional interference outweighed evidence concerning his ability to pay), </w:t>
      </w:r>
      <w:r w:rsidRPr="005F1982">
        <w:rPr>
          <w:i/>
        </w:rPr>
        <w:t>aff’d</w:t>
      </w:r>
      <w:r w:rsidRPr="005F1982">
        <w:t xml:space="preserve">, Memorandum Opinion and Order, 28 FCC Rcd 1170 (Enf. Bur. 2013), </w:t>
      </w:r>
      <w:r w:rsidRPr="005F1982">
        <w:rPr>
          <w:i/>
        </w:rPr>
        <w:t>aff’d</w:t>
      </w:r>
      <w:r w:rsidRPr="005F1982">
        <w:t xml:space="preserve">, Memorandum Opinion and Order, 28 FCC Rcd 16815 (Enf. Bur. 2013); </w:t>
      </w:r>
      <w:r w:rsidRPr="005F1982">
        <w:rPr>
          <w:i/>
          <w:iCs/>
        </w:rPr>
        <w:t>Whisler Fleurinor</w:t>
      </w:r>
      <w:r w:rsidRPr="005F1982">
        <w:t>, Forfeiture Order, 28 FCC Rcd 1087, 1090, para. 9 (Enf. Bur. 2013) (violator’s demonstrated inability to pay outweighed by gravity of multiple intentional violations).</w:t>
      </w:r>
    </w:p>
  </w:footnote>
  <w:footnote w:id="42">
    <w:p w:rsidR="00527834" w:rsidRPr="005F1982" w:rsidRDefault="00527834" w:rsidP="005F1982">
      <w:pPr>
        <w:pStyle w:val="FootnoteText"/>
      </w:pPr>
      <w:r w:rsidRPr="005F1982">
        <w:rPr>
          <w:rStyle w:val="FootnoteReference"/>
        </w:rPr>
        <w:footnoteRef/>
      </w:r>
      <w:r w:rsidRPr="005F1982">
        <w:t xml:space="preserve"> 47 U.S.C. § 503(b).</w:t>
      </w:r>
    </w:p>
  </w:footnote>
  <w:footnote w:id="43">
    <w:p w:rsidR="00527834" w:rsidRPr="005F1982" w:rsidRDefault="00527834" w:rsidP="005F1982">
      <w:pPr>
        <w:pStyle w:val="FootnoteText"/>
      </w:pPr>
      <w:r w:rsidRPr="005F1982">
        <w:rPr>
          <w:rStyle w:val="FootnoteReference"/>
        </w:rPr>
        <w:footnoteRef/>
      </w:r>
      <w:r w:rsidRPr="005F1982">
        <w:t xml:space="preserve"> 47 C.F.R. § 1.80.</w:t>
      </w:r>
    </w:p>
  </w:footnote>
  <w:footnote w:id="44">
    <w:p w:rsidR="006A5742" w:rsidRDefault="006A5742">
      <w:pPr>
        <w:pStyle w:val="FootnoteText"/>
      </w:pPr>
      <w:r>
        <w:rPr>
          <w:rStyle w:val="FootnoteReference"/>
        </w:rPr>
        <w:footnoteRef/>
      </w:r>
      <w:r>
        <w:t xml:space="preserve"> 47 U.S.C. § 301; 47 C.F.R. § 15.1(b). </w:t>
      </w:r>
    </w:p>
  </w:footnote>
  <w:footnote w:id="45">
    <w:p w:rsidR="00527834" w:rsidRPr="005F1982" w:rsidRDefault="00527834" w:rsidP="005F1982">
      <w:pPr>
        <w:pStyle w:val="FootnoteText"/>
      </w:pPr>
      <w:r w:rsidRPr="005F1982">
        <w:rPr>
          <w:rStyle w:val="FootnoteReference"/>
        </w:rPr>
        <w:footnoteRef/>
      </w:r>
      <w:r w:rsidRPr="005F1982">
        <w:t xml:space="preserve"> </w:t>
      </w:r>
      <w:r w:rsidR="006A5742" w:rsidRPr="005F1982">
        <w:t>47 C.F.R. § 1.80.</w:t>
      </w:r>
    </w:p>
  </w:footnote>
  <w:footnote w:id="46">
    <w:p w:rsidR="00527834" w:rsidRPr="005F1982" w:rsidRDefault="00527834" w:rsidP="005F1982">
      <w:pPr>
        <w:pStyle w:val="FootnoteText"/>
      </w:pPr>
      <w:r w:rsidRPr="005F1982">
        <w:rPr>
          <w:rStyle w:val="FootnoteReference"/>
        </w:rPr>
        <w:footnoteRef/>
      </w:r>
      <w:r w:rsidRPr="005F1982">
        <w:t xml:space="preserve"> 47 U.S.C. § 504(a).</w:t>
      </w:r>
    </w:p>
  </w:footnote>
  <w:footnote w:id="47">
    <w:p w:rsidR="00527834" w:rsidRPr="005F1982" w:rsidRDefault="00527834" w:rsidP="005F1982">
      <w:pPr>
        <w:pStyle w:val="FootnoteText"/>
      </w:pPr>
      <w:r w:rsidRPr="005F1982">
        <w:rPr>
          <w:rStyle w:val="FootnoteReference"/>
        </w:rPr>
        <w:footnoteRef/>
      </w:r>
      <w:r w:rsidRPr="005F1982">
        <w:t xml:space="preserve"> </w:t>
      </w:r>
      <w:r w:rsidRPr="005F1982">
        <w:rPr>
          <w:rStyle w:val="FootnoteTextChar2"/>
        </w:rPr>
        <w:t xml:space="preserve">An FCC Form 159 and detailed instructions for completing the form may be obtained at </w:t>
      </w:r>
      <w:r w:rsidRPr="005F1982">
        <w:t>http://www.fcc.gov/Forms/Form159/159.pdf</w:t>
      </w:r>
      <w:r w:rsidRPr="005F1982">
        <w:rPr>
          <w:rStyle w:val="FootnoteTextChar2"/>
        </w:rPr>
        <w:t>.</w:t>
      </w:r>
    </w:p>
  </w:footnote>
  <w:footnote w:id="48">
    <w:p w:rsidR="00527834" w:rsidRPr="005F1982" w:rsidRDefault="00527834" w:rsidP="005F1982">
      <w:pPr>
        <w:pStyle w:val="FootnoteText"/>
      </w:pPr>
      <w:r w:rsidRPr="005F1982">
        <w:rPr>
          <w:rStyle w:val="FootnoteReference"/>
        </w:rPr>
        <w:footnoteRef/>
      </w:r>
      <w:r w:rsidRPr="005F1982">
        <w:t xml:space="preserve"> </w:t>
      </w:r>
      <w:r w:rsidRPr="005F1982">
        <w:rPr>
          <w:i/>
        </w:rPr>
        <w:t>See</w:t>
      </w:r>
      <w:r w:rsidRPr="005F1982">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28" w:rsidRDefault="00B12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E9" w:rsidRPr="001B048F" w:rsidRDefault="004663E9" w:rsidP="004663E9">
    <w:pPr>
      <w:pStyle w:val="Header"/>
      <w:rPr>
        <w:b w:val="0"/>
      </w:rPr>
    </w:pPr>
    <w:r>
      <w:rPr>
        <w:noProof/>
      </w:rPr>
      <mc:AlternateContent>
        <mc:Choice Requires="wps">
          <w:drawing>
            <wp:anchor distT="0" distB="0" distL="114300" distR="114300" simplePos="0" relativeHeight="251659264" behindDoc="1" locked="0" layoutInCell="0" allowOverlap="1" wp14:anchorId="7A74F8EE" wp14:editId="747ECB5A">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801FB2"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15-771</w:t>
    </w:r>
  </w:p>
  <w:p w:rsidR="00527834" w:rsidRPr="004663E9" w:rsidRDefault="00527834" w:rsidP="00466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34" w:rsidRPr="001B048F" w:rsidRDefault="00527834" w:rsidP="001B048F">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7671C5"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4663E9">
      <w:rPr>
        <w:spacing w:val="-2"/>
      </w:rPr>
      <w:t>DA 15-771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3673889"/>
    <w:multiLevelType w:val="hybridMultilevel"/>
    <w:tmpl w:val="CBDE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C03EC2">
      <w:start w:val="4"/>
      <w:numFmt w:val="bullet"/>
      <w:lvlText w:val="—"/>
      <w:lvlJc w:val="left"/>
      <w:pPr>
        <w:ind w:left="2160" w:hanging="360"/>
      </w:pPr>
      <w:rPr>
        <w:rFonts w:ascii="Times New Roman" w:eastAsia="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83DAF"/>
    <w:multiLevelType w:val="hybridMultilevel"/>
    <w:tmpl w:val="54B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341241F"/>
    <w:multiLevelType w:val="singleLevel"/>
    <w:tmpl w:val="C47440D0"/>
    <w:lvl w:ilvl="0">
      <w:start w:val="1"/>
      <w:numFmt w:val="decimal"/>
      <w:pStyle w:val="NumberedList"/>
      <w:lvlText w:val="%1."/>
      <w:lvlJc w:val="left"/>
      <w:pPr>
        <w:tabs>
          <w:tab w:val="num" w:pos="1080"/>
        </w:tabs>
        <w:ind w:left="0" w:firstLine="720"/>
      </w:pPr>
      <w:rPr>
        <w:rFonts w:ascii="Times New Roman" w:hAnsi="Times New Roman" w:hint="default"/>
        <w:b w:val="0"/>
        <w:i w:val="0"/>
        <w:color w:val="auto"/>
        <w:sz w:val="22"/>
        <w:u w:val="none"/>
      </w:rPr>
    </w:lvl>
  </w:abstractNum>
  <w:abstractNum w:abstractNumId="12">
    <w:nsid w:val="58EF21DD"/>
    <w:multiLevelType w:val="multilevel"/>
    <w:tmpl w:val="8ED6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5"/>
  </w:num>
  <w:num w:numId="2">
    <w:abstractNumId w:val="6"/>
  </w:num>
  <w:num w:numId="3">
    <w:abstractNumId w:val="2"/>
  </w:num>
  <w:num w:numId="4">
    <w:abstractNumId w:val="8"/>
  </w:num>
  <w:num w:numId="5">
    <w:abstractNumId w:val="1"/>
  </w:num>
  <w:num w:numId="6">
    <w:abstractNumId w:val="7"/>
  </w:num>
  <w:num w:numId="7">
    <w:abstractNumId w:val="0"/>
    <w:lvlOverride w:ilvl="0">
      <w:lvl w:ilvl="0">
        <w:numFmt w:val="bullet"/>
        <w:pStyle w:val="par1"/>
        <w:lvlText w:val=""/>
        <w:legacy w:legacy="1" w:legacySpace="0" w:legacyIndent="360"/>
        <w:lvlJc w:val="left"/>
        <w:rPr>
          <w:rFonts w:ascii="Symbol" w:hAnsi="Symbol" w:hint="default"/>
        </w:rPr>
      </w:lvl>
    </w:lvlOverride>
  </w:num>
  <w:num w:numId="8">
    <w:abstractNumId w:val="10"/>
  </w:num>
  <w:num w:numId="9">
    <w:abstractNumId w:val="14"/>
  </w:num>
  <w:num w:numId="10">
    <w:abstractNumId w:val="13"/>
  </w:num>
  <w:num w:numId="11">
    <w:abstractNumId w:val="11"/>
  </w:num>
  <w:num w:numId="12">
    <w:abstractNumId w:val="15"/>
  </w:num>
  <w:num w:numId="13">
    <w:abstractNumId w:val="15"/>
  </w:num>
  <w:num w:numId="14">
    <w:abstractNumId w:val="15"/>
  </w:num>
  <w:num w:numId="15">
    <w:abstractNumId w:val="4"/>
  </w:num>
  <w:num w:numId="16">
    <w:abstractNumId w:val="9"/>
  </w:num>
  <w:num w:numId="17">
    <w:abstractNumId w:val="5"/>
  </w:num>
  <w:num w:numId="18">
    <w:abstractNumId w:val="3"/>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1C1"/>
    <w:rsid w:val="000024CA"/>
    <w:rsid w:val="00005148"/>
    <w:rsid w:val="0000624E"/>
    <w:rsid w:val="000113D3"/>
    <w:rsid w:val="00014462"/>
    <w:rsid w:val="000145C6"/>
    <w:rsid w:val="000174F9"/>
    <w:rsid w:val="000264B4"/>
    <w:rsid w:val="00031AE8"/>
    <w:rsid w:val="00036D58"/>
    <w:rsid w:val="00043C9B"/>
    <w:rsid w:val="00046801"/>
    <w:rsid w:val="000604EB"/>
    <w:rsid w:val="00062C44"/>
    <w:rsid w:val="000649FE"/>
    <w:rsid w:val="00071E3F"/>
    <w:rsid w:val="00072D7D"/>
    <w:rsid w:val="00073EA7"/>
    <w:rsid w:val="00074251"/>
    <w:rsid w:val="00074717"/>
    <w:rsid w:val="0007571D"/>
    <w:rsid w:val="00080535"/>
    <w:rsid w:val="00080FFD"/>
    <w:rsid w:val="000853AD"/>
    <w:rsid w:val="00085F9D"/>
    <w:rsid w:val="00086824"/>
    <w:rsid w:val="00091AE4"/>
    <w:rsid w:val="00092506"/>
    <w:rsid w:val="000928EE"/>
    <w:rsid w:val="000962DF"/>
    <w:rsid w:val="00097F82"/>
    <w:rsid w:val="000A3E68"/>
    <w:rsid w:val="000A4776"/>
    <w:rsid w:val="000B14C3"/>
    <w:rsid w:val="000B1C2B"/>
    <w:rsid w:val="000B29ED"/>
    <w:rsid w:val="000B4521"/>
    <w:rsid w:val="000B7657"/>
    <w:rsid w:val="000C092B"/>
    <w:rsid w:val="000C5629"/>
    <w:rsid w:val="000C6050"/>
    <w:rsid w:val="000C616C"/>
    <w:rsid w:val="000D03AE"/>
    <w:rsid w:val="000D1391"/>
    <w:rsid w:val="000D5916"/>
    <w:rsid w:val="000E012C"/>
    <w:rsid w:val="000E1951"/>
    <w:rsid w:val="000E2707"/>
    <w:rsid w:val="000E57CB"/>
    <w:rsid w:val="000F1155"/>
    <w:rsid w:val="00100646"/>
    <w:rsid w:val="00105A35"/>
    <w:rsid w:val="001067B6"/>
    <w:rsid w:val="0011337B"/>
    <w:rsid w:val="00115510"/>
    <w:rsid w:val="0011687C"/>
    <w:rsid w:val="001205FE"/>
    <w:rsid w:val="0012427E"/>
    <w:rsid w:val="00126C88"/>
    <w:rsid w:val="00135F7F"/>
    <w:rsid w:val="00136476"/>
    <w:rsid w:val="00140ABB"/>
    <w:rsid w:val="001426F0"/>
    <w:rsid w:val="00145E08"/>
    <w:rsid w:val="001471C2"/>
    <w:rsid w:val="001532B1"/>
    <w:rsid w:val="00153904"/>
    <w:rsid w:val="00153CE0"/>
    <w:rsid w:val="00154A5C"/>
    <w:rsid w:val="00154A9F"/>
    <w:rsid w:val="00156545"/>
    <w:rsid w:val="00162161"/>
    <w:rsid w:val="00163DA0"/>
    <w:rsid w:val="00164D9B"/>
    <w:rsid w:val="001715BD"/>
    <w:rsid w:val="00172581"/>
    <w:rsid w:val="001740BB"/>
    <w:rsid w:val="00175894"/>
    <w:rsid w:val="00180026"/>
    <w:rsid w:val="001819AF"/>
    <w:rsid w:val="00194F25"/>
    <w:rsid w:val="00196E93"/>
    <w:rsid w:val="001A29EF"/>
    <w:rsid w:val="001A2F40"/>
    <w:rsid w:val="001A69BA"/>
    <w:rsid w:val="001A79FB"/>
    <w:rsid w:val="001B048F"/>
    <w:rsid w:val="001C3156"/>
    <w:rsid w:val="001C3B35"/>
    <w:rsid w:val="001C42B3"/>
    <w:rsid w:val="001D1CEF"/>
    <w:rsid w:val="001E135C"/>
    <w:rsid w:val="001E1906"/>
    <w:rsid w:val="001E401B"/>
    <w:rsid w:val="001F1A42"/>
    <w:rsid w:val="001F2B76"/>
    <w:rsid w:val="001F5AA4"/>
    <w:rsid w:val="001F7EE0"/>
    <w:rsid w:val="00200C2A"/>
    <w:rsid w:val="002037C2"/>
    <w:rsid w:val="0021315C"/>
    <w:rsid w:val="002133A1"/>
    <w:rsid w:val="002146E2"/>
    <w:rsid w:val="00223173"/>
    <w:rsid w:val="00225854"/>
    <w:rsid w:val="00226191"/>
    <w:rsid w:val="0022665A"/>
    <w:rsid w:val="00236820"/>
    <w:rsid w:val="00246222"/>
    <w:rsid w:val="00250EDF"/>
    <w:rsid w:val="002523B2"/>
    <w:rsid w:val="00252799"/>
    <w:rsid w:val="00256904"/>
    <w:rsid w:val="00256B42"/>
    <w:rsid w:val="00257502"/>
    <w:rsid w:val="00263795"/>
    <w:rsid w:val="002659F3"/>
    <w:rsid w:val="00265FC9"/>
    <w:rsid w:val="00270CD1"/>
    <w:rsid w:val="002710C5"/>
    <w:rsid w:val="002718D7"/>
    <w:rsid w:val="00272E8A"/>
    <w:rsid w:val="00283E59"/>
    <w:rsid w:val="00287564"/>
    <w:rsid w:val="00287D23"/>
    <w:rsid w:val="00293ACC"/>
    <w:rsid w:val="002966A1"/>
    <w:rsid w:val="00297424"/>
    <w:rsid w:val="002A1749"/>
    <w:rsid w:val="002A1963"/>
    <w:rsid w:val="002A6B1D"/>
    <w:rsid w:val="002B17E2"/>
    <w:rsid w:val="002B7493"/>
    <w:rsid w:val="002C079C"/>
    <w:rsid w:val="002C12AD"/>
    <w:rsid w:val="002C66A2"/>
    <w:rsid w:val="002D3A88"/>
    <w:rsid w:val="002D4CD9"/>
    <w:rsid w:val="002D6A81"/>
    <w:rsid w:val="002D74C4"/>
    <w:rsid w:val="002E046E"/>
    <w:rsid w:val="002E1671"/>
    <w:rsid w:val="002E43B6"/>
    <w:rsid w:val="002E6027"/>
    <w:rsid w:val="002F2ACB"/>
    <w:rsid w:val="00306C34"/>
    <w:rsid w:val="00306C50"/>
    <w:rsid w:val="0032053D"/>
    <w:rsid w:val="003205EA"/>
    <w:rsid w:val="0032244D"/>
    <w:rsid w:val="00325463"/>
    <w:rsid w:val="00331B47"/>
    <w:rsid w:val="00331D4E"/>
    <w:rsid w:val="003343CA"/>
    <w:rsid w:val="00335814"/>
    <w:rsid w:val="003368A3"/>
    <w:rsid w:val="003368E2"/>
    <w:rsid w:val="00337C20"/>
    <w:rsid w:val="003400E9"/>
    <w:rsid w:val="00340246"/>
    <w:rsid w:val="00344871"/>
    <w:rsid w:val="00344C0B"/>
    <w:rsid w:val="00345F40"/>
    <w:rsid w:val="00346DCB"/>
    <w:rsid w:val="003472A7"/>
    <w:rsid w:val="00347397"/>
    <w:rsid w:val="00353E9D"/>
    <w:rsid w:val="003563C1"/>
    <w:rsid w:val="00361B43"/>
    <w:rsid w:val="003623B1"/>
    <w:rsid w:val="00362FDA"/>
    <w:rsid w:val="0038136A"/>
    <w:rsid w:val="003928D6"/>
    <w:rsid w:val="0039768C"/>
    <w:rsid w:val="003A07BF"/>
    <w:rsid w:val="003A4346"/>
    <w:rsid w:val="003A4767"/>
    <w:rsid w:val="003A5530"/>
    <w:rsid w:val="003A661D"/>
    <w:rsid w:val="003A6F0A"/>
    <w:rsid w:val="003B4544"/>
    <w:rsid w:val="003B5341"/>
    <w:rsid w:val="003B5EF6"/>
    <w:rsid w:val="003B6421"/>
    <w:rsid w:val="003B6F75"/>
    <w:rsid w:val="003C0BCF"/>
    <w:rsid w:val="003C5EF1"/>
    <w:rsid w:val="003C6559"/>
    <w:rsid w:val="003D4ADD"/>
    <w:rsid w:val="003D5B63"/>
    <w:rsid w:val="003D5BD6"/>
    <w:rsid w:val="003E11FE"/>
    <w:rsid w:val="003E36EC"/>
    <w:rsid w:val="003E4BA1"/>
    <w:rsid w:val="003E5CB1"/>
    <w:rsid w:val="003E7003"/>
    <w:rsid w:val="003E793F"/>
    <w:rsid w:val="003E7F3C"/>
    <w:rsid w:val="003F2F66"/>
    <w:rsid w:val="004016AD"/>
    <w:rsid w:val="00403291"/>
    <w:rsid w:val="00403525"/>
    <w:rsid w:val="00403B86"/>
    <w:rsid w:val="00411E54"/>
    <w:rsid w:val="00416F51"/>
    <w:rsid w:val="004200CE"/>
    <w:rsid w:val="0042056B"/>
    <w:rsid w:val="00425264"/>
    <w:rsid w:val="00431572"/>
    <w:rsid w:val="00435002"/>
    <w:rsid w:val="004361A6"/>
    <w:rsid w:val="00436A9E"/>
    <w:rsid w:val="00441CED"/>
    <w:rsid w:val="00445BAB"/>
    <w:rsid w:val="00452C14"/>
    <w:rsid w:val="00454EFD"/>
    <w:rsid w:val="004578A6"/>
    <w:rsid w:val="00457AE7"/>
    <w:rsid w:val="00457D66"/>
    <w:rsid w:val="00463042"/>
    <w:rsid w:val="004663E9"/>
    <w:rsid w:val="00466CC6"/>
    <w:rsid w:val="004736A1"/>
    <w:rsid w:val="00493B9B"/>
    <w:rsid w:val="00493EB0"/>
    <w:rsid w:val="004B69D2"/>
    <w:rsid w:val="004C0831"/>
    <w:rsid w:val="004C1903"/>
    <w:rsid w:val="004C3EDB"/>
    <w:rsid w:val="004C4957"/>
    <w:rsid w:val="004C7C5C"/>
    <w:rsid w:val="004E218D"/>
    <w:rsid w:val="004E4FD9"/>
    <w:rsid w:val="004E5D01"/>
    <w:rsid w:val="004F0990"/>
    <w:rsid w:val="00505616"/>
    <w:rsid w:val="00512A5C"/>
    <w:rsid w:val="00514466"/>
    <w:rsid w:val="00514B5F"/>
    <w:rsid w:val="005214C9"/>
    <w:rsid w:val="00522727"/>
    <w:rsid w:val="00526086"/>
    <w:rsid w:val="00526174"/>
    <w:rsid w:val="00527834"/>
    <w:rsid w:val="00535D18"/>
    <w:rsid w:val="00537EE6"/>
    <w:rsid w:val="005415C8"/>
    <w:rsid w:val="0054220C"/>
    <w:rsid w:val="00543291"/>
    <w:rsid w:val="005440C1"/>
    <w:rsid w:val="00545EF8"/>
    <w:rsid w:val="00545F22"/>
    <w:rsid w:val="00547654"/>
    <w:rsid w:val="00552923"/>
    <w:rsid w:val="00557BF1"/>
    <w:rsid w:val="00560703"/>
    <w:rsid w:val="00566F05"/>
    <w:rsid w:val="0056704D"/>
    <w:rsid w:val="00567C95"/>
    <w:rsid w:val="00567D8D"/>
    <w:rsid w:val="00590CC4"/>
    <w:rsid w:val="0059732E"/>
    <w:rsid w:val="005A1304"/>
    <w:rsid w:val="005A72DD"/>
    <w:rsid w:val="005B3158"/>
    <w:rsid w:val="005B4CEA"/>
    <w:rsid w:val="005B67ED"/>
    <w:rsid w:val="005C2A35"/>
    <w:rsid w:val="005C2A5A"/>
    <w:rsid w:val="005C30D4"/>
    <w:rsid w:val="005D250F"/>
    <w:rsid w:val="005D364B"/>
    <w:rsid w:val="005D4F7D"/>
    <w:rsid w:val="005D7D16"/>
    <w:rsid w:val="005E3D9F"/>
    <w:rsid w:val="005F1982"/>
    <w:rsid w:val="005F7F1B"/>
    <w:rsid w:val="006020E8"/>
    <w:rsid w:val="00603106"/>
    <w:rsid w:val="0061176B"/>
    <w:rsid w:val="006168A4"/>
    <w:rsid w:val="00622396"/>
    <w:rsid w:val="00624EEA"/>
    <w:rsid w:val="0063038A"/>
    <w:rsid w:val="00634F84"/>
    <w:rsid w:val="00637D3F"/>
    <w:rsid w:val="00640EAA"/>
    <w:rsid w:val="00644983"/>
    <w:rsid w:val="0064498D"/>
    <w:rsid w:val="006472F4"/>
    <w:rsid w:val="00650C92"/>
    <w:rsid w:val="00653DFB"/>
    <w:rsid w:val="006557D7"/>
    <w:rsid w:val="00655B5D"/>
    <w:rsid w:val="0065677C"/>
    <w:rsid w:val="006606A3"/>
    <w:rsid w:val="00661DE5"/>
    <w:rsid w:val="0066537F"/>
    <w:rsid w:val="00671666"/>
    <w:rsid w:val="00672014"/>
    <w:rsid w:val="006733A8"/>
    <w:rsid w:val="00673674"/>
    <w:rsid w:val="00674B18"/>
    <w:rsid w:val="00683E53"/>
    <w:rsid w:val="00686968"/>
    <w:rsid w:val="006877E7"/>
    <w:rsid w:val="006A3DBC"/>
    <w:rsid w:val="006A5742"/>
    <w:rsid w:val="006A6FD0"/>
    <w:rsid w:val="006B004A"/>
    <w:rsid w:val="006B080E"/>
    <w:rsid w:val="006B5054"/>
    <w:rsid w:val="006B685D"/>
    <w:rsid w:val="006D2212"/>
    <w:rsid w:val="006D4D33"/>
    <w:rsid w:val="006D550A"/>
    <w:rsid w:val="006D7FF3"/>
    <w:rsid w:val="006E3B0D"/>
    <w:rsid w:val="006E6868"/>
    <w:rsid w:val="006E6E67"/>
    <w:rsid w:val="006E728E"/>
    <w:rsid w:val="006F1976"/>
    <w:rsid w:val="00704843"/>
    <w:rsid w:val="007112FE"/>
    <w:rsid w:val="007115F7"/>
    <w:rsid w:val="00714FD7"/>
    <w:rsid w:val="00715666"/>
    <w:rsid w:val="00721AFA"/>
    <w:rsid w:val="0072776E"/>
    <w:rsid w:val="00731211"/>
    <w:rsid w:val="007325C3"/>
    <w:rsid w:val="0073326F"/>
    <w:rsid w:val="00741216"/>
    <w:rsid w:val="00741C2A"/>
    <w:rsid w:val="00743885"/>
    <w:rsid w:val="00743CDB"/>
    <w:rsid w:val="00745AB4"/>
    <w:rsid w:val="007470E1"/>
    <w:rsid w:val="007479D6"/>
    <w:rsid w:val="00752D0E"/>
    <w:rsid w:val="00755564"/>
    <w:rsid w:val="00756894"/>
    <w:rsid w:val="00757E63"/>
    <w:rsid w:val="00765619"/>
    <w:rsid w:val="0077103F"/>
    <w:rsid w:val="00772A96"/>
    <w:rsid w:val="00781BFC"/>
    <w:rsid w:val="00782257"/>
    <w:rsid w:val="00785772"/>
    <w:rsid w:val="0078649E"/>
    <w:rsid w:val="00787DBC"/>
    <w:rsid w:val="00790B4B"/>
    <w:rsid w:val="00791577"/>
    <w:rsid w:val="00792AD9"/>
    <w:rsid w:val="007A2AF2"/>
    <w:rsid w:val="007A400F"/>
    <w:rsid w:val="007B1B20"/>
    <w:rsid w:val="007B25BE"/>
    <w:rsid w:val="007C197B"/>
    <w:rsid w:val="007C3802"/>
    <w:rsid w:val="007C3FB4"/>
    <w:rsid w:val="007C416C"/>
    <w:rsid w:val="007C5F54"/>
    <w:rsid w:val="007D5BA0"/>
    <w:rsid w:val="007D7FBC"/>
    <w:rsid w:val="007E10B6"/>
    <w:rsid w:val="007E39BB"/>
    <w:rsid w:val="007F29BF"/>
    <w:rsid w:val="007F3C22"/>
    <w:rsid w:val="0080144D"/>
    <w:rsid w:val="00804AA7"/>
    <w:rsid w:val="00806AEF"/>
    <w:rsid w:val="00810FC8"/>
    <w:rsid w:val="00812192"/>
    <w:rsid w:val="00813F43"/>
    <w:rsid w:val="00817123"/>
    <w:rsid w:val="0082092A"/>
    <w:rsid w:val="008218CC"/>
    <w:rsid w:val="00823395"/>
    <w:rsid w:val="00836DF6"/>
    <w:rsid w:val="00852739"/>
    <w:rsid w:val="00854197"/>
    <w:rsid w:val="00862B6D"/>
    <w:rsid w:val="0086303A"/>
    <w:rsid w:val="008635E6"/>
    <w:rsid w:val="008666BC"/>
    <w:rsid w:val="00867A33"/>
    <w:rsid w:val="00870DEC"/>
    <w:rsid w:val="008742A5"/>
    <w:rsid w:val="00874CFC"/>
    <w:rsid w:val="00890DC3"/>
    <w:rsid w:val="008A0B16"/>
    <w:rsid w:val="008A1A2C"/>
    <w:rsid w:val="008A3A07"/>
    <w:rsid w:val="008B1964"/>
    <w:rsid w:val="008D1BE7"/>
    <w:rsid w:val="008D6AFE"/>
    <w:rsid w:val="008E0D87"/>
    <w:rsid w:val="008E72AF"/>
    <w:rsid w:val="008F0F79"/>
    <w:rsid w:val="008F7913"/>
    <w:rsid w:val="009012DC"/>
    <w:rsid w:val="00901EA9"/>
    <w:rsid w:val="0090537D"/>
    <w:rsid w:val="00910008"/>
    <w:rsid w:val="00910D7D"/>
    <w:rsid w:val="00913674"/>
    <w:rsid w:val="009150E9"/>
    <w:rsid w:val="009204E4"/>
    <w:rsid w:val="009205EC"/>
    <w:rsid w:val="00920FB9"/>
    <w:rsid w:val="00922BC7"/>
    <w:rsid w:val="00924198"/>
    <w:rsid w:val="009244F0"/>
    <w:rsid w:val="00932FF9"/>
    <w:rsid w:val="0093638C"/>
    <w:rsid w:val="00937A4E"/>
    <w:rsid w:val="009458DE"/>
    <w:rsid w:val="00955661"/>
    <w:rsid w:val="00957948"/>
    <w:rsid w:val="00966093"/>
    <w:rsid w:val="009708B5"/>
    <w:rsid w:val="009714F0"/>
    <w:rsid w:val="00974A8A"/>
    <w:rsid w:val="00974AAE"/>
    <w:rsid w:val="0097633D"/>
    <w:rsid w:val="00980AA0"/>
    <w:rsid w:val="00981A39"/>
    <w:rsid w:val="009847FB"/>
    <w:rsid w:val="00985084"/>
    <w:rsid w:val="00990196"/>
    <w:rsid w:val="00992A29"/>
    <w:rsid w:val="0099309C"/>
    <w:rsid w:val="009A09C6"/>
    <w:rsid w:val="009A221D"/>
    <w:rsid w:val="009A2403"/>
    <w:rsid w:val="009A323D"/>
    <w:rsid w:val="009A3AE5"/>
    <w:rsid w:val="009A4C09"/>
    <w:rsid w:val="009B0223"/>
    <w:rsid w:val="009B1061"/>
    <w:rsid w:val="009B2C59"/>
    <w:rsid w:val="009B3E58"/>
    <w:rsid w:val="009B47A9"/>
    <w:rsid w:val="009B6F55"/>
    <w:rsid w:val="009C2411"/>
    <w:rsid w:val="009C3321"/>
    <w:rsid w:val="009C46AB"/>
    <w:rsid w:val="009C6AD9"/>
    <w:rsid w:val="009D0C63"/>
    <w:rsid w:val="009D5355"/>
    <w:rsid w:val="009D7443"/>
    <w:rsid w:val="009E44EE"/>
    <w:rsid w:val="009E708F"/>
    <w:rsid w:val="009E7E10"/>
    <w:rsid w:val="009F7F62"/>
    <w:rsid w:val="00A002F4"/>
    <w:rsid w:val="00A00AE0"/>
    <w:rsid w:val="00A01D1A"/>
    <w:rsid w:val="00A020A9"/>
    <w:rsid w:val="00A02148"/>
    <w:rsid w:val="00A044ED"/>
    <w:rsid w:val="00A047AF"/>
    <w:rsid w:val="00A0567A"/>
    <w:rsid w:val="00A10460"/>
    <w:rsid w:val="00A12F0C"/>
    <w:rsid w:val="00A14E35"/>
    <w:rsid w:val="00A174D4"/>
    <w:rsid w:val="00A204BA"/>
    <w:rsid w:val="00A20570"/>
    <w:rsid w:val="00A223C9"/>
    <w:rsid w:val="00A230E1"/>
    <w:rsid w:val="00A236F2"/>
    <w:rsid w:val="00A24336"/>
    <w:rsid w:val="00A24CD1"/>
    <w:rsid w:val="00A26C54"/>
    <w:rsid w:val="00A3796D"/>
    <w:rsid w:val="00A40E8F"/>
    <w:rsid w:val="00A41565"/>
    <w:rsid w:val="00A42341"/>
    <w:rsid w:val="00A45420"/>
    <w:rsid w:val="00A52CEE"/>
    <w:rsid w:val="00A5434A"/>
    <w:rsid w:val="00A95983"/>
    <w:rsid w:val="00A97AEE"/>
    <w:rsid w:val="00A97F23"/>
    <w:rsid w:val="00AA19E7"/>
    <w:rsid w:val="00AA1C42"/>
    <w:rsid w:val="00AA614F"/>
    <w:rsid w:val="00AB2A81"/>
    <w:rsid w:val="00AB3FF0"/>
    <w:rsid w:val="00AB67E4"/>
    <w:rsid w:val="00AC08EF"/>
    <w:rsid w:val="00AC0A30"/>
    <w:rsid w:val="00AC3E13"/>
    <w:rsid w:val="00AC5449"/>
    <w:rsid w:val="00AC7682"/>
    <w:rsid w:val="00AC7905"/>
    <w:rsid w:val="00AD2D12"/>
    <w:rsid w:val="00AD35D3"/>
    <w:rsid w:val="00AD525D"/>
    <w:rsid w:val="00AE4E71"/>
    <w:rsid w:val="00AE6CDF"/>
    <w:rsid w:val="00AF2483"/>
    <w:rsid w:val="00AF6122"/>
    <w:rsid w:val="00B046DF"/>
    <w:rsid w:val="00B0601B"/>
    <w:rsid w:val="00B066BF"/>
    <w:rsid w:val="00B102D9"/>
    <w:rsid w:val="00B106C6"/>
    <w:rsid w:val="00B121AF"/>
    <w:rsid w:val="00B12A28"/>
    <w:rsid w:val="00B17D3B"/>
    <w:rsid w:val="00B20811"/>
    <w:rsid w:val="00B21753"/>
    <w:rsid w:val="00B246DD"/>
    <w:rsid w:val="00B252AF"/>
    <w:rsid w:val="00B26603"/>
    <w:rsid w:val="00B307A4"/>
    <w:rsid w:val="00B5182F"/>
    <w:rsid w:val="00B52F5E"/>
    <w:rsid w:val="00B555E6"/>
    <w:rsid w:val="00B661C1"/>
    <w:rsid w:val="00B70A0B"/>
    <w:rsid w:val="00B717FF"/>
    <w:rsid w:val="00B7385F"/>
    <w:rsid w:val="00B74240"/>
    <w:rsid w:val="00B84DAA"/>
    <w:rsid w:val="00B86B94"/>
    <w:rsid w:val="00BA0DEA"/>
    <w:rsid w:val="00BA699B"/>
    <w:rsid w:val="00BB18C9"/>
    <w:rsid w:val="00BB2B10"/>
    <w:rsid w:val="00BB4888"/>
    <w:rsid w:val="00BB6D6F"/>
    <w:rsid w:val="00BC3C88"/>
    <w:rsid w:val="00BC3FB6"/>
    <w:rsid w:val="00BD5C10"/>
    <w:rsid w:val="00BD747D"/>
    <w:rsid w:val="00BF0CB5"/>
    <w:rsid w:val="00BF55FA"/>
    <w:rsid w:val="00BF689C"/>
    <w:rsid w:val="00C02572"/>
    <w:rsid w:val="00C02776"/>
    <w:rsid w:val="00C063BE"/>
    <w:rsid w:val="00C06545"/>
    <w:rsid w:val="00C11CF4"/>
    <w:rsid w:val="00C135FF"/>
    <w:rsid w:val="00C138D9"/>
    <w:rsid w:val="00C138E9"/>
    <w:rsid w:val="00C14EBB"/>
    <w:rsid w:val="00C15447"/>
    <w:rsid w:val="00C16C03"/>
    <w:rsid w:val="00C211BD"/>
    <w:rsid w:val="00C23262"/>
    <w:rsid w:val="00C23391"/>
    <w:rsid w:val="00C2400C"/>
    <w:rsid w:val="00C2483C"/>
    <w:rsid w:val="00C25EAE"/>
    <w:rsid w:val="00C26770"/>
    <w:rsid w:val="00C26850"/>
    <w:rsid w:val="00C30B5C"/>
    <w:rsid w:val="00C32B5E"/>
    <w:rsid w:val="00C339C4"/>
    <w:rsid w:val="00C346EF"/>
    <w:rsid w:val="00C36327"/>
    <w:rsid w:val="00C37DEA"/>
    <w:rsid w:val="00C5575E"/>
    <w:rsid w:val="00C56D6E"/>
    <w:rsid w:val="00C710A4"/>
    <w:rsid w:val="00C73299"/>
    <w:rsid w:val="00C7583B"/>
    <w:rsid w:val="00C7593B"/>
    <w:rsid w:val="00C771F0"/>
    <w:rsid w:val="00C80AB7"/>
    <w:rsid w:val="00C81248"/>
    <w:rsid w:val="00C81DFC"/>
    <w:rsid w:val="00C82A24"/>
    <w:rsid w:val="00C835A2"/>
    <w:rsid w:val="00C855E5"/>
    <w:rsid w:val="00C90207"/>
    <w:rsid w:val="00C9559E"/>
    <w:rsid w:val="00C9673A"/>
    <w:rsid w:val="00C97F25"/>
    <w:rsid w:val="00CA60E2"/>
    <w:rsid w:val="00CA74A0"/>
    <w:rsid w:val="00CA7998"/>
    <w:rsid w:val="00CB1F88"/>
    <w:rsid w:val="00CB6E37"/>
    <w:rsid w:val="00CC3E7E"/>
    <w:rsid w:val="00CC48B6"/>
    <w:rsid w:val="00CC54FE"/>
    <w:rsid w:val="00CC660D"/>
    <w:rsid w:val="00CC6B2D"/>
    <w:rsid w:val="00CD01AA"/>
    <w:rsid w:val="00CD033A"/>
    <w:rsid w:val="00CD7A1B"/>
    <w:rsid w:val="00CE57A9"/>
    <w:rsid w:val="00CF0BCD"/>
    <w:rsid w:val="00CF2340"/>
    <w:rsid w:val="00CF4B0E"/>
    <w:rsid w:val="00CF537E"/>
    <w:rsid w:val="00CF6B67"/>
    <w:rsid w:val="00D137D5"/>
    <w:rsid w:val="00D15C2F"/>
    <w:rsid w:val="00D22BBE"/>
    <w:rsid w:val="00D23943"/>
    <w:rsid w:val="00D249F3"/>
    <w:rsid w:val="00D417DA"/>
    <w:rsid w:val="00D50D78"/>
    <w:rsid w:val="00D55192"/>
    <w:rsid w:val="00D70FC6"/>
    <w:rsid w:val="00D73CDD"/>
    <w:rsid w:val="00D75D1C"/>
    <w:rsid w:val="00D77881"/>
    <w:rsid w:val="00D91196"/>
    <w:rsid w:val="00DA4A80"/>
    <w:rsid w:val="00DA67BE"/>
    <w:rsid w:val="00DB04B0"/>
    <w:rsid w:val="00DB110F"/>
    <w:rsid w:val="00DB209B"/>
    <w:rsid w:val="00DC68F5"/>
    <w:rsid w:val="00DD066D"/>
    <w:rsid w:val="00DD17B4"/>
    <w:rsid w:val="00DD355E"/>
    <w:rsid w:val="00DD6857"/>
    <w:rsid w:val="00DD7B34"/>
    <w:rsid w:val="00DF2FC3"/>
    <w:rsid w:val="00DF3333"/>
    <w:rsid w:val="00DF49C5"/>
    <w:rsid w:val="00DF71EC"/>
    <w:rsid w:val="00E03C5E"/>
    <w:rsid w:val="00E03D76"/>
    <w:rsid w:val="00E0401A"/>
    <w:rsid w:val="00E136B4"/>
    <w:rsid w:val="00E141FF"/>
    <w:rsid w:val="00E20614"/>
    <w:rsid w:val="00E216B3"/>
    <w:rsid w:val="00E273E3"/>
    <w:rsid w:val="00E32B89"/>
    <w:rsid w:val="00E40344"/>
    <w:rsid w:val="00E41348"/>
    <w:rsid w:val="00E44BA5"/>
    <w:rsid w:val="00E51553"/>
    <w:rsid w:val="00E51F9F"/>
    <w:rsid w:val="00E545B2"/>
    <w:rsid w:val="00E57ED1"/>
    <w:rsid w:val="00E6009E"/>
    <w:rsid w:val="00E61780"/>
    <w:rsid w:val="00E650AE"/>
    <w:rsid w:val="00E6792A"/>
    <w:rsid w:val="00E706B8"/>
    <w:rsid w:val="00E72C86"/>
    <w:rsid w:val="00E74600"/>
    <w:rsid w:val="00E83877"/>
    <w:rsid w:val="00E85E97"/>
    <w:rsid w:val="00E9402D"/>
    <w:rsid w:val="00E95342"/>
    <w:rsid w:val="00E960F1"/>
    <w:rsid w:val="00E97490"/>
    <w:rsid w:val="00EA7BC5"/>
    <w:rsid w:val="00EB5C8E"/>
    <w:rsid w:val="00EC01C8"/>
    <w:rsid w:val="00EC068F"/>
    <w:rsid w:val="00EC389E"/>
    <w:rsid w:val="00EC59F7"/>
    <w:rsid w:val="00EC6192"/>
    <w:rsid w:val="00ED001A"/>
    <w:rsid w:val="00ED50F4"/>
    <w:rsid w:val="00ED7F11"/>
    <w:rsid w:val="00EE05DB"/>
    <w:rsid w:val="00EE194C"/>
    <w:rsid w:val="00EE7218"/>
    <w:rsid w:val="00EF23E9"/>
    <w:rsid w:val="00EF2D22"/>
    <w:rsid w:val="00EF3412"/>
    <w:rsid w:val="00EF3C85"/>
    <w:rsid w:val="00EF3C86"/>
    <w:rsid w:val="00EF49F0"/>
    <w:rsid w:val="00EF5B91"/>
    <w:rsid w:val="00F0262C"/>
    <w:rsid w:val="00F03DF9"/>
    <w:rsid w:val="00F06BA2"/>
    <w:rsid w:val="00F07C8E"/>
    <w:rsid w:val="00F122FD"/>
    <w:rsid w:val="00F156C3"/>
    <w:rsid w:val="00F15E74"/>
    <w:rsid w:val="00F16485"/>
    <w:rsid w:val="00F210F9"/>
    <w:rsid w:val="00F21DEF"/>
    <w:rsid w:val="00F23F1E"/>
    <w:rsid w:val="00F32153"/>
    <w:rsid w:val="00F35991"/>
    <w:rsid w:val="00F368C8"/>
    <w:rsid w:val="00F4080C"/>
    <w:rsid w:val="00F51AF3"/>
    <w:rsid w:val="00F677C6"/>
    <w:rsid w:val="00F71FA6"/>
    <w:rsid w:val="00F80BCB"/>
    <w:rsid w:val="00F83951"/>
    <w:rsid w:val="00F84343"/>
    <w:rsid w:val="00F8613C"/>
    <w:rsid w:val="00F90362"/>
    <w:rsid w:val="00F93126"/>
    <w:rsid w:val="00F9326A"/>
    <w:rsid w:val="00F93AE9"/>
    <w:rsid w:val="00F968BB"/>
    <w:rsid w:val="00FA2BC9"/>
    <w:rsid w:val="00FA3463"/>
    <w:rsid w:val="00FA581C"/>
    <w:rsid w:val="00FB450C"/>
    <w:rsid w:val="00FC1C58"/>
    <w:rsid w:val="00FD2585"/>
    <w:rsid w:val="00FD3DFF"/>
    <w:rsid w:val="00FD5991"/>
    <w:rsid w:val="00FD6AFA"/>
    <w:rsid w:val="00FE308F"/>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67E4"/>
    <w:pPr>
      <w:widowControl w:val="0"/>
    </w:pPr>
    <w:rPr>
      <w:snapToGrid w:val="0"/>
      <w:kern w:val="28"/>
      <w:szCs w:val="20"/>
    </w:rPr>
  </w:style>
  <w:style w:type="paragraph" w:styleId="Heading1">
    <w:name w:val="heading 1"/>
    <w:basedOn w:val="Normal"/>
    <w:next w:val="ParaNum"/>
    <w:link w:val="Heading1Char"/>
    <w:qFormat/>
    <w:rsid w:val="00AB67E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B67E4"/>
    <w:pPr>
      <w:keepNext/>
      <w:numPr>
        <w:ilvl w:val="1"/>
        <w:numId w:val="2"/>
      </w:numPr>
      <w:spacing w:after="120"/>
      <w:outlineLvl w:val="1"/>
    </w:pPr>
    <w:rPr>
      <w:b/>
    </w:rPr>
  </w:style>
  <w:style w:type="paragraph" w:styleId="Heading3">
    <w:name w:val="heading 3"/>
    <w:basedOn w:val="Normal"/>
    <w:next w:val="ParaNum"/>
    <w:link w:val="Heading3Char"/>
    <w:qFormat/>
    <w:rsid w:val="00AB67E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B67E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B67E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B67E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B67E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B67E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B67E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B67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67E4"/>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AB67E4"/>
    <w:pPr>
      <w:numPr>
        <w:numId w:val="1"/>
      </w:numPr>
      <w:tabs>
        <w:tab w:val="clear" w:pos="1080"/>
        <w:tab w:val="num" w:pos="1440"/>
      </w:tabs>
      <w:spacing w:after="120"/>
    </w:pPr>
  </w:style>
  <w:style w:type="paragraph" w:styleId="EndnoteText">
    <w:name w:val="endnote text"/>
    <w:basedOn w:val="Normal"/>
    <w:link w:val="EndnoteTextChar"/>
    <w:semiHidden/>
    <w:rsid w:val="00AB67E4"/>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AB67E4"/>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AB67E4"/>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AB67E4"/>
    <w:rPr>
      <w:rFonts w:ascii="Times New Roman" w:hAnsi="Times New Roman"/>
      <w:dstrike w:val="0"/>
      <w:color w:val="auto"/>
      <w:sz w:val="20"/>
      <w:vertAlign w:val="superscript"/>
    </w:rPr>
  </w:style>
  <w:style w:type="paragraph" w:styleId="TOC1">
    <w:name w:val="toc 1"/>
    <w:basedOn w:val="Normal"/>
    <w:next w:val="Normal"/>
    <w:rsid w:val="00AB67E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B67E4"/>
    <w:pPr>
      <w:tabs>
        <w:tab w:val="left" w:pos="720"/>
        <w:tab w:val="right" w:leader="dot" w:pos="9360"/>
      </w:tabs>
      <w:suppressAutoHyphens/>
      <w:ind w:left="720" w:right="720" w:hanging="360"/>
    </w:pPr>
    <w:rPr>
      <w:noProof/>
    </w:rPr>
  </w:style>
  <w:style w:type="paragraph" w:styleId="TOC3">
    <w:name w:val="toc 3"/>
    <w:basedOn w:val="Normal"/>
    <w:next w:val="Normal"/>
    <w:semiHidden/>
    <w:rsid w:val="00AB67E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B67E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B67E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B67E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B67E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B67E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B67E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B67E4"/>
    <w:pPr>
      <w:tabs>
        <w:tab w:val="right" w:pos="9360"/>
      </w:tabs>
      <w:suppressAutoHyphens/>
    </w:pPr>
  </w:style>
  <w:style w:type="character" w:customStyle="1" w:styleId="EquationCaption">
    <w:name w:val="_Equation Caption"/>
    <w:rsid w:val="00AB67E4"/>
  </w:style>
  <w:style w:type="paragraph" w:styleId="Header">
    <w:name w:val="header"/>
    <w:basedOn w:val="Normal"/>
    <w:link w:val="HeaderChar"/>
    <w:autoRedefine/>
    <w:rsid w:val="00AB67E4"/>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AB67E4"/>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AB67E4"/>
  </w:style>
  <w:style w:type="paragraph" w:styleId="BlockText">
    <w:name w:val="Block Text"/>
    <w:basedOn w:val="Normal"/>
    <w:rsid w:val="00AB67E4"/>
    <w:pPr>
      <w:spacing w:after="240"/>
      <w:ind w:left="1440" w:right="1440"/>
    </w:pPr>
  </w:style>
  <w:style w:type="paragraph" w:customStyle="1" w:styleId="Paratitle">
    <w:name w:val="Para title"/>
    <w:basedOn w:val="Normal"/>
    <w:rsid w:val="00AB67E4"/>
    <w:pPr>
      <w:tabs>
        <w:tab w:val="center" w:pos="9270"/>
      </w:tabs>
      <w:spacing w:after="240"/>
    </w:pPr>
    <w:rPr>
      <w:spacing w:val="-2"/>
    </w:rPr>
  </w:style>
  <w:style w:type="paragraph" w:customStyle="1" w:styleId="Bullet">
    <w:name w:val="Bullet"/>
    <w:basedOn w:val="Normal"/>
    <w:rsid w:val="00AB67E4"/>
    <w:pPr>
      <w:tabs>
        <w:tab w:val="left" w:pos="2160"/>
      </w:tabs>
      <w:spacing w:after="220"/>
      <w:ind w:left="2160" w:hanging="720"/>
    </w:pPr>
  </w:style>
  <w:style w:type="paragraph" w:customStyle="1" w:styleId="TableFormat">
    <w:name w:val="TableFormat"/>
    <w:basedOn w:val="Bullet"/>
    <w:rsid w:val="00AB67E4"/>
    <w:pPr>
      <w:tabs>
        <w:tab w:val="clear" w:pos="2160"/>
        <w:tab w:val="left" w:pos="5040"/>
      </w:tabs>
      <w:ind w:left="5040" w:hanging="3600"/>
    </w:pPr>
  </w:style>
  <w:style w:type="paragraph" w:customStyle="1" w:styleId="TOCTitle">
    <w:name w:val="TOC Title"/>
    <w:basedOn w:val="Normal"/>
    <w:rsid w:val="00AB67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B67E4"/>
    <w:pPr>
      <w:jc w:val="center"/>
    </w:pPr>
    <w:rPr>
      <w:rFonts w:ascii="Times New Roman Bold" w:hAnsi="Times New Roman Bold"/>
      <w:b/>
      <w:bCs/>
      <w:caps/>
      <w:szCs w:val="22"/>
    </w:rPr>
  </w:style>
  <w:style w:type="character" w:styleId="Hyperlink">
    <w:name w:val="Hyperlink"/>
    <w:rsid w:val="00AB67E4"/>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paragraph" w:customStyle="1" w:styleId="NumberedList">
    <w:name w:val="Numbered List"/>
    <w:basedOn w:val="Normal"/>
    <w:rsid w:val="00AD2D12"/>
    <w:pPr>
      <w:numPr>
        <w:numId w:val="11"/>
      </w:numPr>
      <w:autoSpaceDE w:val="0"/>
      <w:autoSpaceDN w:val="0"/>
      <w:adjustRightInd w:val="0"/>
      <w:spacing w:after="220"/>
    </w:pPr>
    <w:rPr>
      <w:snapToGrid/>
      <w:kern w:val="0"/>
      <w:sz w:val="20"/>
    </w:rPr>
  </w:style>
  <w:style w:type="character" w:customStyle="1" w:styleId="FootnoteCharacters">
    <w:name w:val="Footnote Characters"/>
    <w:uiPriority w:val="99"/>
    <w:rsid w:val="00080FFD"/>
    <w:rPr>
      <w:rFonts w:ascii="Times New Roman" w:hAnsi="Times New Roman"/>
      <w:color w:val="auto"/>
      <w:sz w:val="20"/>
      <w:vertAlign w:val="superscript"/>
    </w:rPr>
  </w:style>
  <w:style w:type="character" w:customStyle="1" w:styleId="costarpage">
    <w:name w:val="co_starpage"/>
    <w:basedOn w:val="DefaultParagraphFont"/>
    <w:rsid w:val="00A97AEE"/>
  </w:style>
  <w:style w:type="character" w:styleId="Emphasis">
    <w:name w:val="Emphasis"/>
    <w:basedOn w:val="DefaultParagraphFont"/>
    <w:uiPriority w:val="20"/>
    <w:qFormat/>
    <w:locked/>
    <w:rsid w:val="00F71FA6"/>
    <w:rPr>
      <w:i/>
      <w:iCs/>
    </w:rPr>
  </w:style>
  <w:style w:type="character" w:customStyle="1" w:styleId="apple-converted-space">
    <w:name w:val="apple-converted-space"/>
    <w:basedOn w:val="DefaultParagraphFont"/>
    <w:rsid w:val="00527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67E4"/>
    <w:pPr>
      <w:widowControl w:val="0"/>
    </w:pPr>
    <w:rPr>
      <w:snapToGrid w:val="0"/>
      <w:kern w:val="28"/>
      <w:szCs w:val="20"/>
    </w:rPr>
  </w:style>
  <w:style w:type="paragraph" w:styleId="Heading1">
    <w:name w:val="heading 1"/>
    <w:basedOn w:val="Normal"/>
    <w:next w:val="ParaNum"/>
    <w:link w:val="Heading1Char"/>
    <w:qFormat/>
    <w:rsid w:val="00AB67E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B67E4"/>
    <w:pPr>
      <w:keepNext/>
      <w:numPr>
        <w:ilvl w:val="1"/>
        <w:numId w:val="2"/>
      </w:numPr>
      <w:spacing w:after="120"/>
      <w:outlineLvl w:val="1"/>
    </w:pPr>
    <w:rPr>
      <w:b/>
    </w:rPr>
  </w:style>
  <w:style w:type="paragraph" w:styleId="Heading3">
    <w:name w:val="heading 3"/>
    <w:basedOn w:val="Normal"/>
    <w:next w:val="ParaNum"/>
    <w:link w:val="Heading3Char"/>
    <w:qFormat/>
    <w:rsid w:val="00AB67E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B67E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B67E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B67E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B67E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B67E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B67E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B67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67E4"/>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AB67E4"/>
    <w:pPr>
      <w:numPr>
        <w:numId w:val="1"/>
      </w:numPr>
      <w:tabs>
        <w:tab w:val="clear" w:pos="1080"/>
        <w:tab w:val="num" w:pos="1440"/>
      </w:tabs>
      <w:spacing w:after="120"/>
    </w:pPr>
  </w:style>
  <w:style w:type="paragraph" w:styleId="EndnoteText">
    <w:name w:val="endnote text"/>
    <w:basedOn w:val="Normal"/>
    <w:link w:val="EndnoteTextChar"/>
    <w:semiHidden/>
    <w:rsid w:val="00AB67E4"/>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AB67E4"/>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AB67E4"/>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AB67E4"/>
    <w:rPr>
      <w:rFonts w:ascii="Times New Roman" w:hAnsi="Times New Roman"/>
      <w:dstrike w:val="0"/>
      <w:color w:val="auto"/>
      <w:sz w:val="20"/>
      <w:vertAlign w:val="superscript"/>
    </w:rPr>
  </w:style>
  <w:style w:type="paragraph" w:styleId="TOC1">
    <w:name w:val="toc 1"/>
    <w:basedOn w:val="Normal"/>
    <w:next w:val="Normal"/>
    <w:rsid w:val="00AB67E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B67E4"/>
    <w:pPr>
      <w:tabs>
        <w:tab w:val="left" w:pos="720"/>
        <w:tab w:val="right" w:leader="dot" w:pos="9360"/>
      </w:tabs>
      <w:suppressAutoHyphens/>
      <w:ind w:left="720" w:right="720" w:hanging="360"/>
    </w:pPr>
    <w:rPr>
      <w:noProof/>
    </w:rPr>
  </w:style>
  <w:style w:type="paragraph" w:styleId="TOC3">
    <w:name w:val="toc 3"/>
    <w:basedOn w:val="Normal"/>
    <w:next w:val="Normal"/>
    <w:semiHidden/>
    <w:rsid w:val="00AB67E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B67E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B67E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B67E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B67E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B67E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B67E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B67E4"/>
    <w:pPr>
      <w:tabs>
        <w:tab w:val="right" w:pos="9360"/>
      </w:tabs>
      <w:suppressAutoHyphens/>
    </w:pPr>
  </w:style>
  <w:style w:type="character" w:customStyle="1" w:styleId="EquationCaption">
    <w:name w:val="_Equation Caption"/>
    <w:rsid w:val="00AB67E4"/>
  </w:style>
  <w:style w:type="paragraph" w:styleId="Header">
    <w:name w:val="header"/>
    <w:basedOn w:val="Normal"/>
    <w:link w:val="HeaderChar"/>
    <w:autoRedefine/>
    <w:rsid w:val="00AB67E4"/>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AB67E4"/>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AB67E4"/>
  </w:style>
  <w:style w:type="paragraph" w:styleId="BlockText">
    <w:name w:val="Block Text"/>
    <w:basedOn w:val="Normal"/>
    <w:rsid w:val="00AB67E4"/>
    <w:pPr>
      <w:spacing w:after="240"/>
      <w:ind w:left="1440" w:right="1440"/>
    </w:pPr>
  </w:style>
  <w:style w:type="paragraph" w:customStyle="1" w:styleId="Paratitle">
    <w:name w:val="Para title"/>
    <w:basedOn w:val="Normal"/>
    <w:rsid w:val="00AB67E4"/>
    <w:pPr>
      <w:tabs>
        <w:tab w:val="center" w:pos="9270"/>
      </w:tabs>
      <w:spacing w:after="240"/>
    </w:pPr>
    <w:rPr>
      <w:spacing w:val="-2"/>
    </w:rPr>
  </w:style>
  <w:style w:type="paragraph" w:customStyle="1" w:styleId="Bullet">
    <w:name w:val="Bullet"/>
    <w:basedOn w:val="Normal"/>
    <w:rsid w:val="00AB67E4"/>
    <w:pPr>
      <w:tabs>
        <w:tab w:val="left" w:pos="2160"/>
      </w:tabs>
      <w:spacing w:after="220"/>
      <w:ind w:left="2160" w:hanging="720"/>
    </w:pPr>
  </w:style>
  <w:style w:type="paragraph" w:customStyle="1" w:styleId="TableFormat">
    <w:name w:val="TableFormat"/>
    <w:basedOn w:val="Bullet"/>
    <w:rsid w:val="00AB67E4"/>
    <w:pPr>
      <w:tabs>
        <w:tab w:val="clear" w:pos="2160"/>
        <w:tab w:val="left" w:pos="5040"/>
      </w:tabs>
      <w:ind w:left="5040" w:hanging="3600"/>
    </w:pPr>
  </w:style>
  <w:style w:type="paragraph" w:customStyle="1" w:styleId="TOCTitle">
    <w:name w:val="TOC Title"/>
    <w:basedOn w:val="Normal"/>
    <w:rsid w:val="00AB67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B67E4"/>
    <w:pPr>
      <w:jc w:val="center"/>
    </w:pPr>
    <w:rPr>
      <w:rFonts w:ascii="Times New Roman Bold" w:hAnsi="Times New Roman Bold"/>
      <w:b/>
      <w:bCs/>
      <w:caps/>
      <w:szCs w:val="22"/>
    </w:rPr>
  </w:style>
  <w:style w:type="character" w:styleId="Hyperlink">
    <w:name w:val="Hyperlink"/>
    <w:rsid w:val="00AB67E4"/>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paragraph" w:customStyle="1" w:styleId="NumberedList">
    <w:name w:val="Numbered List"/>
    <w:basedOn w:val="Normal"/>
    <w:rsid w:val="00AD2D12"/>
    <w:pPr>
      <w:numPr>
        <w:numId w:val="11"/>
      </w:numPr>
      <w:autoSpaceDE w:val="0"/>
      <w:autoSpaceDN w:val="0"/>
      <w:adjustRightInd w:val="0"/>
      <w:spacing w:after="220"/>
    </w:pPr>
    <w:rPr>
      <w:snapToGrid/>
      <w:kern w:val="0"/>
      <w:sz w:val="20"/>
    </w:rPr>
  </w:style>
  <w:style w:type="character" w:customStyle="1" w:styleId="FootnoteCharacters">
    <w:name w:val="Footnote Characters"/>
    <w:uiPriority w:val="99"/>
    <w:rsid w:val="00080FFD"/>
    <w:rPr>
      <w:rFonts w:ascii="Times New Roman" w:hAnsi="Times New Roman"/>
      <w:color w:val="auto"/>
      <w:sz w:val="20"/>
      <w:vertAlign w:val="superscript"/>
    </w:rPr>
  </w:style>
  <w:style w:type="character" w:customStyle="1" w:styleId="costarpage">
    <w:name w:val="co_starpage"/>
    <w:basedOn w:val="DefaultParagraphFont"/>
    <w:rsid w:val="00A97AEE"/>
  </w:style>
  <w:style w:type="character" w:styleId="Emphasis">
    <w:name w:val="Emphasis"/>
    <w:basedOn w:val="DefaultParagraphFont"/>
    <w:uiPriority w:val="20"/>
    <w:qFormat/>
    <w:locked/>
    <w:rsid w:val="00F71FA6"/>
    <w:rPr>
      <w:i/>
      <w:iCs/>
    </w:rPr>
  </w:style>
  <w:style w:type="character" w:customStyle="1" w:styleId="apple-converted-space">
    <w:name w:val="apple-converted-space"/>
    <w:basedOn w:val="DefaultParagraphFont"/>
    <w:rsid w:val="0052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9590">
      <w:bodyDiv w:val="1"/>
      <w:marLeft w:val="0"/>
      <w:marRight w:val="0"/>
      <w:marTop w:val="0"/>
      <w:marBottom w:val="0"/>
      <w:divBdr>
        <w:top w:val="none" w:sz="0" w:space="0" w:color="auto"/>
        <w:left w:val="none" w:sz="0" w:space="0" w:color="auto"/>
        <w:bottom w:val="none" w:sz="0" w:space="0" w:color="auto"/>
        <w:right w:val="none" w:sz="0" w:space="0" w:color="auto"/>
      </w:divBdr>
      <w:divsChild>
        <w:div w:id="349454461">
          <w:marLeft w:val="0"/>
          <w:marRight w:val="0"/>
          <w:marTop w:val="0"/>
          <w:marBottom w:val="0"/>
          <w:divBdr>
            <w:top w:val="none" w:sz="0" w:space="0" w:color="auto"/>
            <w:left w:val="none" w:sz="0" w:space="0" w:color="auto"/>
            <w:bottom w:val="none" w:sz="0" w:space="0" w:color="auto"/>
            <w:right w:val="none" w:sz="0" w:space="0" w:color="auto"/>
          </w:divBdr>
        </w:div>
      </w:divsChild>
    </w:div>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576063446">
      <w:bodyDiv w:val="1"/>
      <w:marLeft w:val="0"/>
      <w:marRight w:val="0"/>
      <w:marTop w:val="0"/>
      <w:marBottom w:val="0"/>
      <w:divBdr>
        <w:top w:val="none" w:sz="0" w:space="0" w:color="auto"/>
        <w:left w:val="none" w:sz="0" w:space="0" w:color="auto"/>
        <w:bottom w:val="none" w:sz="0" w:space="0" w:color="auto"/>
        <w:right w:val="none" w:sz="0" w:space="0" w:color="auto"/>
      </w:divBdr>
      <w:divsChild>
        <w:div w:id="364913202">
          <w:marLeft w:val="0"/>
          <w:marRight w:val="0"/>
          <w:marTop w:val="0"/>
          <w:marBottom w:val="0"/>
          <w:divBdr>
            <w:top w:val="none" w:sz="0" w:space="0" w:color="auto"/>
            <w:left w:val="none" w:sz="0" w:space="0" w:color="auto"/>
            <w:bottom w:val="none" w:sz="0" w:space="0" w:color="auto"/>
            <w:right w:val="none" w:sz="0" w:space="0" w:color="auto"/>
          </w:divBdr>
          <w:divsChild>
            <w:div w:id="920025944">
              <w:marLeft w:val="0"/>
              <w:marRight w:val="0"/>
              <w:marTop w:val="0"/>
              <w:marBottom w:val="0"/>
              <w:divBdr>
                <w:top w:val="none" w:sz="0" w:space="0" w:color="auto"/>
                <w:left w:val="none" w:sz="0" w:space="0" w:color="auto"/>
                <w:bottom w:val="none" w:sz="0" w:space="0" w:color="auto"/>
                <w:right w:val="none" w:sz="0" w:space="0" w:color="auto"/>
              </w:divBdr>
              <w:divsChild>
                <w:div w:id="1842817482">
                  <w:marLeft w:val="0"/>
                  <w:marRight w:val="0"/>
                  <w:marTop w:val="0"/>
                  <w:marBottom w:val="0"/>
                  <w:divBdr>
                    <w:top w:val="none" w:sz="0" w:space="0" w:color="auto"/>
                    <w:left w:val="none" w:sz="0" w:space="0" w:color="auto"/>
                    <w:bottom w:val="none" w:sz="0" w:space="0" w:color="auto"/>
                    <w:right w:val="none" w:sz="0" w:space="0" w:color="auto"/>
                  </w:divBdr>
                  <w:divsChild>
                    <w:div w:id="1680349362">
                      <w:marLeft w:val="0"/>
                      <w:marRight w:val="0"/>
                      <w:marTop w:val="0"/>
                      <w:marBottom w:val="0"/>
                      <w:divBdr>
                        <w:top w:val="none" w:sz="0" w:space="0" w:color="auto"/>
                        <w:left w:val="none" w:sz="0" w:space="0" w:color="auto"/>
                        <w:bottom w:val="none" w:sz="0" w:space="0" w:color="auto"/>
                        <w:right w:val="none" w:sz="0" w:space="0" w:color="auto"/>
                      </w:divBdr>
                      <w:divsChild>
                        <w:div w:id="1082945276">
                          <w:marLeft w:val="0"/>
                          <w:marRight w:val="0"/>
                          <w:marTop w:val="0"/>
                          <w:marBottom w:val="0"/>
                          <w:divBdr>
                            <w:top w:val="none" w:sz="0" w:space="0" w:color="auto"/>
                            <w:left w:val="none" w:sz="0" w:space="0" w:color="auto"/>
                            <w:bottom w:val="none" w:sz="0" w:space="0" w:color="auto"/>
                            <w:right w:val="none" w:sz="0" w:space="0" w:color="auto"/>
                          </w:divBdr>
                          <w:divsChild>
                            <w:div w:id="1800802483">
                              <w:marLeft w:val="0"/>
                              <w:marRight w:val="0"/>
                              <w:marTop w:val="0"/>
                              <w:marBottom w:val="0"/>
                              <w:divBdr>
                                <w:top w:val="none" w:sz="0" w:space="0" w:color="auto"/>
                                <w:left w:val="none" w:sz="0" w:space="0" w:color="auto"/>
                                <w:bottom w:val="none" w:sz="0" w:space="0" w:color="auto"/>
                                <w:right w:val="none" w:sz="0" w:space="0" w:color="auto"/>
                              </w:divBdr>
                              <w:divsChild>
                                <w:div w:id="13617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862431">
          <w:marLeft w:val="0"/>
          <w:marRight w:val="0"/>
          <w:marTop w:val="0"/>
          <w:marBottom w:val="0"/>
          <w:divBdr>
            <w:top w:val="none" w:sz="0" w:space="0" w:color="auto"/>
            <w:left w:val="none" w:sz="0" w:space="0" w:color="auto"/>
            <w:bottom w:val="none" w:sz="0" w:space="0" w:color="auto"/>
            <w:right w:val="none" w:sz="0" w:space="0" w:color="auto"/>
          </w:divBdr>
          <w:divsChild>
            <w:div w:id="1921408601">
              <w:marLeft w:val="0"/>
              <w:marRight w:val="0"/>
              <w:marTop w:val="0"/>
              <w:marBottom w:val="0"/>
              <w:divBdr>
                <w:top w:val="none" w:sz="0" w:space="0" w:color="auto"/>
                <w:left w:val="none" w:sz="0" w:space="0" w:color="auto"/>
                <w:bottom w:val="none" w:sz="0" w:space="0" w:color="auto"/>
                <w:right w:val="none" w:sz="0" w:space="0" w:color="auto"/>
              </w:divBdr>
              <w:divsChild>
                <w:div w:id="4899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1329">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 w:id="2019655075">
      <w:bodyDiv w:val="1"/>
      <w:marLeft w:val="0"/>
      <w:marRight w:val="0"/>
      <w:marTop w:val="0"/>
      <w:marBottom w:val="0"/>
      <w:divBdr>
        <w:top w:val="none" w:sz="0" w:space="0" w:color="auto"/>
        <w:left w:val="none" w:sz="0" w:space="0" w:color="auto"/>
        <w:bottom w:val="none" w:sz="0" w:space="0" w:color="auto"/>
        <w:right w:val="none" w:sz="0" w:space="0" w:color="auto"/>
      </w:divBdr>
      <w:divsChild>
        <w:div w:id="60300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2264</Words>
  <Characters>12680</Characters>
  <Application>Microsoft Office Word</Application>
  <DocSecurity>0</DocSecurity>
  <Lines>201</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14972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2015-06-30T12:35:00Z</dcterms:created>
  <dcterms:modified xsi:type="dcterms:W3CDTF">2015-06-30T12:35:00Z</dcterms:modified>
  <cp:category> </cp:category>
  <cp:contentStatus> </cp:contentStatus>
</cp:coreProperties>
</file>