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E3" w:rsidRPr="00A86F4E" w:rsidRDefault="00E273E3" w:rsidP="002659F3">
      <w:pPr>
        <w:widowControl/>
        <w:jc w:val="center"/>
        <w:rPr>
          <w:b/>
          <w:szCs w:val="22"/>
        </w:rPr>
      </w:pPr>
      <w:bookmarkStart w:id="0" w:name="_GoBack"/>
      <w:bookmarkEnd w:id="0"/>
      <w:r w:rsidRPr="00A86F4E">
        <w:rPr>
          <w:b/>
          <w:kern w:val="0"/>
          <w:szCs w:val="22"/>
        </w:rPr>
        <w:t>Before</w:t>
      </w:r>
      <w:r w:rsidRPr="00A86F4E">
        <w:rPr>
          <w:b/>
          <w:szCs w:val="22"/>
        </w:rPr>
        <w:t xml:space="preserve"> the</w:t>
      </w:r>
    </w:p>
    <w:p w:rsidR="00E273E3" w:rsidRPr="00A86F4E" w:rsidRDefault="00E273E3" w:rsidP="002659F3">
      <w:pPr>
        <w:pStyle w:val="StyleBoldCentered"/>
        <w:widowControl/>
        <w:rPr>
          <w:rFonts w:ascii="Times New Roman" w:hAnsi="Times New Roman"/>
        </w:rPr>
      </w:pPr>
      <w:r w:rsidRPr="00A86F4E">
        <w:rPr>
          <w:rFonts w:ascii="Times New Roman" w:hAnsi="Times New Roman"/>
        </w:rPr>
        <w:t>F</w:t>
      </w:r>
      <w:r w:rsidRPr="00A86F4E">
        <w:rPr>
          <w:rFonts w:ascii="Times New Roman" w:hAnsi="Times New Roman"/>
          <w:caps w:val="0"/>
        </w:rPr>
        <w:t>ederal Communications Commission</w:t>
      </w:r>
    </w:p>
    <w:p w:rsidR="00E273E3" w:rsidRPr="00A86F4E" w:rsidRDefault="00E273E3" w:rsidP="002659F3">
      <w:pPr>
        <w:pStyle w:val="StyleBoldCentered"/>
        <w:widowControl/>
        <w:rPr>
          <w:rFonts w:ascii="Times New Roman" w:hAnsi="Times New Roman"/>
        </w:rPr>
      </w:pPr>
      <w:r w:rsidRPr="00A86F4E">
        <w:rPr>
          <w:rFonts w:ascii="Times New Roman" w:hAnsi="Times New Roman"/>
          <w:caps w:val="0"/>
        </w:rPr>
        <w:t>Washington</w:t>
      </w:r>
      <w:r w:rsidRPr="00A86F4E">
        <w:rPr>
          <w:rFonts w:ascii="Times New Roman" w:hAnsi="Times New Roman"/>
        </w:rPr>
        <w:t>, DC 20554</w:t>
      </w:r>
    </w:p>
    <w:p w:rsidR="00E273E3" w:rsidRPr="00A86F4E" w:rsidRDefault="00E273E3" w:rsidP="002659F3">
      <w:pPr>
        <w:widowControl/>
        <w:rPr>
          <w:szCs w:val="22"/>
        </w:rPr>
      </w:pPr>
    </w:p>
    <w:tbl>
      <w:tblPr>
        <w:tblW w:w="0" w:type="auto"/>
        <w:tblLayout w:type="fixed"/>
        <w:tblLook w:val="0000" w:firstRow="0" w:lastRow="0" w:firstColumn="0" w:lastColumn="0" w:noHBand="0" w:noVBand="0"/>
      </w:tblPr>
      <w:tblGrid>
        <w:gridCol w:w="4698"/>
        <w:gridCol w:w="630"/>
        <w:gridCol w:w="4248"/>
      </w:tblGrid>
      <w:tr w:rsidR="00E273E3" w:rsidRPr="00A86F4E">
        <w:tc>
          <w:tcPr>
            <w:tcW w:w="4698" w:type="dxa"/>
          </w:tcPr>
          <w:p w:rsidR="00E273E3" w:rsidRPr="00A86F4E" w:rsidRDefault="00E273E3" w:rsidP="002659F3">
            <w:pPr>
              <w:widowControl/>
              <w:suppressAutoHyphens/>
              <w:rPr>
                <w:spacing w:val="-2"/>
                <w:szCs w:val="22"/>
              </w:rPr>
            </w:pPr>
            <w:r w:rsidRPr="00A86F4E">
              <w:rPr>
                <w:spacing w:val="-2"/>
                <w:szCs w:val="22"/>
              </w:rPr>
              <w:t>In the Matter of</w:t>
            </w:r>
          </w:p>
          <w:p w:rsidR="00E273E3" w:rsidRPr="00A86F4E" w:rsidRDefault="00E273E3" w:rsidP="002659F3">
            <w:pPr>
              <w:widowControl/>
              <w:suppressAutoHyphens/>
              <w:rPr>
                <w:spacing w:val="-2"/>
                <w:szCs w:val="22"/>
              </w:rPr>
            </w:pPr>
          </w:p>
          <w:p w:rsidR="00E273E3" w:rsidRPr="00A86F4E" w:rsidRDefault="00F90375" w:rsidP="002659F3">
            <w:pPr>
              <w:widowControl/>
              <w:suppressAutoHyphens/>
              <w:rPr>
                <w:spacing w:val="-2"/>
                <w:szCs w:val="22"/>
              </w:rPr>
            </w:pPr>
            <w:r w:rsidRPr="00A86F4E">
              <w:rPr>
                <w:spacing w:val="-2"/>
                <w:szCs w:val="22"/>
              </w:rPr>
              <w:t>J &amp; J Broadcasting, Inc.</w:t>
            </w:r>
          </w:p>
          <w:p w:rsidR="00F90375" w:rsidRPr="00A86F4E" w:rsidRDefault="00F90375" w:rsidP="002659F3">
            <w:pPr>
              <w:widowControl/>
              <w:suppressAutoHyphens/>
              <w:rPr>
                <w:spacing w:val="-2"/>
                <w:szCs w:val="22"/>
              </w:rPr>
            </w:pPr>
          </w:p>
          <w:p w:rsidR="00F90375" w:rsidRPr="00A86F4E" w:rsidRDefault="004961DE" w:rsidP="002659F3">
            <w:pPr>
              <w:widowControl/>
              <w:suppressAutoHyphens/>
              <w:rPr>
                <w:spacing w:val="-2"/>
                <w:szCs w:val="22"/>
              </w:rPr>
            </w:pPr>
            <w:r>
              <w:rPr>
                <w:spacing w:val="-2"/>
                <w:szCs w:val="22"/>
              </w:rPr>
              <w:t>Licensee of Radio Stations WIMI</w:t>
            </w:r>
            <w:r w:rsidR="00F90375" w:rsidRPr="00A86F4E">
              <w:rPr>
                <w:spacing w:val="-2"/>
                <w:szCs w:val="22"/>
              </w:rPr>
              <w:t>(FM) and</w:t>
            </w:r>
          </w:p>
          <w:p w:rsidR="00F90375" w:rsidRPr="00A86F4E" w:rsidRDefault="004961DE" w:rsidP="002659F3">
            <w:pPr>
              <w:widowControl/>
              <w:suppressAutoHyphens/>
              <w:rPr>
                <w:spacing w:val="-2"/>
                <w:szCs w:val="22"/>
              </w:rPr>
            </w:pPr>
            <w:r>
              <w:rPr>
                <w:spacing w:val="-2"/>
                <w:szCs w:val="22"/>
              </w:rPr>
              <w:t>WJMS</w:t>
            </w:r>
            <w:r w:rsidR="00F90375" w:rsidRPr="00A86F4E">
              <w:rPr>
                <w:spacing w:val="-2"/>
                <w:szCs w:val="22"/>
              </w:rPr>
              <w:t>(AM), Ironwood, Michigan</w:t>
            </w:r>
          </w:p>
          <w:p w:rsidR="00F90375" w:rsidRPr="00A86F4E" w:rsidRDefault="00F90375" w:rsidP="002659F3">
            <w:pPr>
              <w:widowControl/>
              <w:suppressAutoHyphens/>
              <w:rPr>
                <w:spacing w:val="-2"/>
                <w:szCs w:val="22"/>
              </w:rPr>
            </w:pPr>
            <w:r w:rsidRPr="00A86F4E">
              <w:rPr>
                <w:spacing w:val="-2"/>
                <w:szCs w:val="22"/>
              </w:rPr>
              <w:t>Antenna Structure Owner</w:t>
            </w:r>
          </w:p>
        </w:tc>
        <w:tc>
          <w:tcPr>
            <w:tcW w:w="630" w:type="dxa"/>
          </w:tcPr>
          <w:p w:rsidR="00E273E3" w:rsidRPr="00A86F4E" w:rsidRDefault="00E273E3" w:rsidP="002659F3">
            <w:pPr>
              <w:widowControl/>
              <w:suppressAutoHyphens/>
              <w:rPr>
                <w:spacing w:val="-2"/>
                <w:szCs w:val="22"/>
              </w:rPr>
            </w:pPr>
            <w:r w:rsidRPr="00A86F4E">
              <w:rPr>
                <w:spacing w:val="-2"/>
                <w:szCs w:val="22"/>
              </w:rPr>
              <w:t>)</w:t>
            </w:r>
          </w:p>
          <w:p w:rsidR="00E273E3" w:rsidRPr="00A86F4E" w:rsidRDefault="00E273E3" w:rsidP="002659F3">
            <w:pPr>
              <w:widowControl/>
              <w:suppressAutoHyphens/>
              <w:rPr>
                <w:spacing w:val="-2"/>
                <w:szCs w:val="22"/>
              </w:rPr>
            </w:pPr>
            <w:r w:rsidRPr="00A86F4E">
              <w:rPr>
                <w:spacing w:val="-2"/>
                <w:szCs w:val="22"/>
              </w:rPr>
              <w:t>)</w:t>
            </w:r>
          </w:p>
          <w:p w:rsidR="00E273E3" w:rsidRPr="00A86F4E" w:rsidRDefault="00E273E3" w:rsidP="002659F3">
            <w:pPr>
              <w:widowControl/>
              <w:suppressAutoHyphens/>
              <w:rPr>
                <w:spacing w:val="-2"/>
                <w:szCs w:val="22"/>
              </w:rPr>
            </w:pPr>
            <w:r w:rsidRPr="00A86F4E">
              <w:rPr>
                <w:spacing w:val="-2"/>
                <w:szCs w:val="22"/>
              </w:rPr>
              <w:t>)</w:t>
            </w:r>
          </w:p>
          <w:p w:rsidR="00E273E3" w:rsidRPr="00A86F4E" w:rsidRDefault="00E273E3" w:rsidP="002659F3">
            <w:pPr>
              <w:widowControl/>
              <w:suppressAutoHyphens/>
              <w:rPr>
                <w:spacing w:val="-2"/>
                <w:szCs w:val="22"/>
              </w:rPr>
            </w:pPr>
            <w:r w:rsidRPr="00A86F4E">
              <w:rPr>
                <w:spacing w:val="-2"/>
                <w:szCs w:val="22"/>
              </w:rPr>
              <w:t>)</w:t>
            </w:r>
          </w:p>
          <w:p w:rsidR="00E273E3" w:rsidRPr="00A86F4E" w:rsidRDefault="00E273E3" w:rsidP="002659F3">
            <w:pPr>
              <w:widowControl/>
              <w:suppressAutoHyphens/>
              <w:rPr>
                <w:spacing w:val="-2"/>
                <w:szCs w:val="22"/>
              </w:rPr>
            </w:pPr>
            <w:r w:rsidRPr="00A86F4E">
              <w:rPr>
                <w:spacing w:val="-2"/>
                <w:szCs w:val="22"/>
              </w:rPr>
              <w:t>)</w:t>
            </w:r>
          </w:p>
          <w:p w:rsidR="00F90375" w:rsidRPr="00A86F4E" w:rsidRDefault="00F90375" w:rsidP="002659F3">
            <w:pPr>
              <w:widowControl/>
              <w:suppressAutoHyphens/>
              <w:rPr>
                <w:spacing w:val="-2"/>
                <w:szCs w:val="22"/>
              </w:rPr>
            </w:pPr>
            <w:r w:rsidRPr="00A86F4E">
              <w:rPr>
                <w:spacing w:val="-2"/>
                <w:szCs w:val="22"/>
              </w:rPr>
              <w:t>)</w:t>
            </w:r>
          </w:p>
          <w:p w:rsidR="00F90375" w:rsidRPr="00A86F4E" w:rsidRDefault="00F90375" w:rsidP="002659F3">
            <w:pPr>
              <w:widowControl/>
              <w:suppressAutoHyphens/>
              <w:rPr>
                <w:spacing w:val="-2"/>
                <w:szCs w:val="22"/>
              </w:rPr>
            </w:pPr>
            <w:r w:rsidRPr="00A86F4E">
              <w:rPr>
                <w:spacing w:val="-2"/>
                <w:szCs w:val="22"/>
              </w:rPr>
              <w:t>)</w:t>
            </w:r>
          </w:p>
        </w:tc>
        <w:tc>
          <w:tcPr>
            <w:tcW w:w="4248" w:type="dxa"/>
          </w:tcPr>
          <w:p w:rsidR="00E273E3" w:rsidRPr="00A86F4E" w:rsidRDefault="00E273E3" w:rsidP="002659F3">
            <w:pPr>
              <w:widowControl/>
              <w:suppressAutoHyphens/>
              <w:rPr>
                <w:spacing w:val="-2"/>
                <w:szCs w:val="22"/>
              </w:rPr>
            </w:pPr>
          </w:p>
          <w:p w:rsidR="00E273E3" w:rsidRPr="00A86F4E" w:rsidRDefault="00E273E3" w:rsidP="002659F3">
            <w:pPr>
              <w:widowControl/>
              <w:suppressAutoHyphens/>
              <w:rPr>
                <w:spacing w:val="-2"/>
                <w:szCs w:val="22"/>
              </w:rPr>
            </w:pPr>
          </w:p>
          <w:p w:rsidR="00E273E3" w:rsidRPr="00A86F4E" w:rsidRDefault="00E273E3" w:rsidP="00EE05DB">
            <w:pPr>
              <w:widowControl/>
              <w:suppressAutoHyphens/>
              <w:ind w:left="432"/>
              <w:rPr>
                <w:spacing w:val="-2"/>
                <w:szCs w:val="22"/>
              </w:rPr>
            </w:pPr>
            <w:r w:rsidRPr="00A86F4E">
              <w:rPr>
                <w:spacing w:val="-2"/>
                <w:szCs w:val="22"/>
              </w:rPr>
              <w:t>File No.:  EB-</w:t>
            </w:r>
            <w:r w:rsidR="00076092" w:rsidRPr="00A86F4E">
              <w:rPr>
                <w:spacing w:val="-2"/>
                <w:szCs w:val="22"/>
              </w:rPr>
              <w:t>FIELDNER-12-00004568</w:t>
            </w:r>
            <w:r w:rsidR="00076092" w:rsidRPr="00A86F4E">
              <w:rPr>
                <w:rStyle w:val="FootnoteReference"/>
                <w:spacing w:val="-2"/>
                <w:sz w:val="22"/>
                <w:szCs w:val="22"/>
              </w:rPr>
              <w:footnoteReference w:id="2"/>
            </w:r>
          </w:p>
          <w:p w:rsidR="00E273E3" w:rsidRPr="00A86F4E" w:rsidRDefault="00E273E3" w:rsidP="00EE05DB">
            <w:pPr>
              <w:widowControl/>
              <w:suppressAutoHyphens/>
              <w:ind w:left="432"/>
              <w:rPr>
                <w:spacing w:val="-2"/>
                <w:szCs w:val="22"/>
              </w:rPr>
            </w:pPr>
            <w:r w:rsidRPr="00A86F4E">
              <w:rPr>
                <w:spacing w:val="-2"/>
                <w:szCs w:val="22"/>
              </w:rPr>
              <w:t xml:space="preserve">NAL/Acct. No.:  </w:t>
            </w:r>
            <w:r w:rsidR="00F90375" w:rsidRPr="00A86F4E">
              <w:rPr>
                <w:spacing w:val="-2"/>
                <w:szCs w:val="22"/>
              </w:rPr>
              <w:t>201232360008</w:t>
            </w:r>
          </w:p>
          <w:p w:rsidR="00E273E3" w:rsidRPr="00A86F4E" w:rsidRDefault="00E273E3" w:rsidP="00F90375">
            <w:pPr>
              <w:widowControl/>
              <w:suppressAutoHyphens/>
              <w:ind w:left="432"/>
              <w:rPr>
                <w:spacing w:val="-2"/>
                <w:szCs w:val="22"/>
              </w:rPr>
            </w:pPr>
            <w:r w:rsidRPr="00A86F4E">
              <w:rPr>
                <w:spacing w:val="-2"/>
                <w:szCs w:val="22"/>
              </w:rPr>
              <w:t xml:space="preserve">FRN:  </w:t>
            </w:r>
            <w:r w:rsidR="00F90375" w:rsidRPr="00A86F4E">
              <w:rPr>
                <w:spacing w:val="-2"/>
                <w:szCs w:val="22"/>
              </w:rPr>
              <w:t>0015161508</w:t>
            </w:r>
          </w:p>
          <w:p w:rsidR="00F90375" w:rsidRPr="00A86F4E" w:rsidRDefault="00F90375" w:rsidP="00F90375">
            <w:pPr>
              <w:widowControl/>
              <w:suppressAutoHyphens/>
              <w:ind w:left="432"/>
              <w:rPr>
                <w:spacing w:val="-2"/>
                <w:szCs w:val="22"/>
              </w:rPr>
            </w:pPr>
            <w:r w:rsidRPr="00A86F4E">
              <w:rPr>
                <w:spacing w:val="-2"/>
                <w:szCs w:val="22"/>
              </w:rPr>
              <w:t xml:space="preserve">Facility ID Nos.: </w:t>
            </w:r>
            <w:r w:rsidR="004961DE">
              <w:rPr>
                <w:spacing w:val="-2"/>
                <w:szCs w:val="22"/>
              </w:rPr>
              <w:t xml:space="preserve"> </w:t>
            </w:r>
            <w:r w:rsidRPr="00A86F4E">
              <w:rPr>
                <w:spacing w:val="-2"/>
                <w:szCs w:val="22"/>
              </w:rPr>
              <w:t>57226, 57223</w:t>
            </w:r>
          </w:p>
          <w:p w:rsidR="00F90375" w:rsidRPr="00A86F4E" w:rsidRDefault="00F90375" w:rsidP="00F90375">
            <w:pPr>
              <w:widowControl/>
              <w:suppressAutoHyphens/>
              <w:ind w:left="432"/>
              <w:rPr>
                <w:spacing w:val="-2"/>
                <w:szCs w:val="22"/>
              </w:rPr>
            </w:pPr>
            <w:r w:rsidRPr="00A86F4E">
              <w:rPr>
                <w:spacing w:val="-2"/>
                <w:szCs w:val="22"/>
              </w:rPr>
              <w:t xml:space="preserve">ASR No.: </w:t>
            </w:r>
            <w:r w:rsidR="004961DE">
              <w:rPr>
                <w:spacing w:val="-2"/>
                <w:szCs w:val="22"/>
              </w:rPr>
              <w:t xml:space="preserve"> </w:t>
            </w:r>
            <w:r w:rsidRPr="00A86F4E">
              <w:rPr>
                <w:spacing w:val="-2"/>
                <w:szCs w:val="22"/>
              </w:rPr>
              <w:t>1035236</w:t>
            </w:r>
          </w:p>
        </w:tc>
      </w:tr>
    </w:tbl>
    <w:p w:rsidR="00E273E3" w:rsidRPr="00A86F4E" w:rsidRDefault="00E273E3" w:rsidP="002659F3">
      <w:pPr>
        <w:widowControl/>
        <w:rPr>
          <w:szCs w:val="22"/>
        </w:rPr>
      </w:pPr>
    </w:p>
    <w:p w:rsidR="00E273E3" w:rsidRPr="00A86F4E" w:rsidRDefault="00E273E3" w:rsidP="002659F3">
      <w:pPr>
        <w:pStyle w:val="StyleBoldCentered"/>
        <w:widowControl/>
        <w:spacing w:after="220"/>
        <w:rPr>
          <w:rFonts w:ascii="Times New Roman" w:hAnsi="Times New Roman"/>
        </w:rPr>
      </w:pPr>
      <w:r w:rsidRPr="00A86F4E">
        <w:rPr>
          <w:rFonts w:ascii="Times New Roman" w:hAnsi="Times New Roman"/>
        </w:rPr>
        <w:t>forfeiture ORDER</w:t>
      </w:r>
    </w:p>
    <w:p w:rsidR="00E273E3" w:rsidRPr="00A86F4E" w:rsidRDefault="00E273E3" w:rsidP="00226191">
      <w:pPr>
        <w:widowControl/>
        <w:tabs>
          <w:tab w:val="right" w:pos="9360"/>
        </w:tabs>
        <w:suppressAutoHyphens/>
        <w:rPr>
          <w:spacing w:val="-2"/>
          <w:szCs w:val="22"/>
        </w:rPr>
      </w:pPr>
      <w:r w:rsidRPr="00A86F4E">
        <w:rPr>
          <w:b/>
          <w:spacing w:val="-2"/>
          <w:szCs w:val="22"/>
        </w:rPr>
        <w:t xml:space="preserve">Adopted:  </w:t>
      </w:r>
      <w:r w:rsidR="00670F81">
        <w:rPr>
          <w:b/>
          <w:spacing w:val="-2"/>
          <w:szCs w:val="22"/>
        </w:rPr>
        <w:t>June 30, 2015</w:t>
      </w:r>
      <w:r w:rsidR="006D2212" w:rsidRPr="00A86F4E">
        <w:rPr>
          <w:b/>
          <w:spacing w:val="-2"/>
          <w:szCs w:val="22"/>
        </w:rPr>
        <w:tab/>
        <w:t xml:space="preserve">Released:  </w:t>
      </w:r>
      <w:r w:rsidR="00670F81">
        <w:rPr>
          <w:b/>
          <w:spacing w:val="-2"/>
          <w:szCs w:val="22"/>
        </w:rPr>
        <w:t>June 30, 2015</w:t>
      </w:r>
    </w:p>
    <w:p w:rsidR="00E273E3" w:rsidRPr="00A86F4E" w:rsidRDefault="00E273E3" w:rsidP="00EE05DB">
      <w:pPr>
        <w:widowControl/>
        <w:jc w:val="center"/>
        <w:rPr>
          <w:szCs w:val="22"/>
        </w:rPr>
      </w:pPr>
    </w:p>
    <w:p w:rsidR="00E273E3" w:rsidRPr="00A86F4E" w:rsidRDefault="00E273E3" w:rsidP="002659F3">
      <w:pPr>
        <w:widowControl/>
        <w:rPr>
          <w:spacing w:val="-2"/>
          <w:szCs w:val="22"/>
        </w:rPr>
      </w:pPr>
      <w:r w:rsidRPr="00A86F4E">
        <w:rPr>
          <w:szCs w:val="22"/>
        </w:rPr>
        <w:t>By the Chief, Enforcement Bureau</w:t>
      </w:r>
      <w:r w:rsidRPr="00A86F4E">
        <w:rPr>
          <w:spacing w:val="-2"/>
          <w:szCs w:val="22"/>
        </w:rPr>
        <w:t>:</w:t>
      </w:r>
    </w:p>
    <w:p w:rsidR="00E273E3" w:rsidRPr="00A86F4E" w:rsidRDefault="00E273E3" w:rsidP="002659F3">
      <w:pPr>
        <w:widowControl/>
        <w:rPr>
          <w:spacing w:val="-2"/>
          <w:szCs w:val="22"/>
        </w:rPr>
      </w:pPr>
    </w:p>
    <w:p w:rsidR="00E273E3" w:rsidRPr="00A86F4E" w:rsidRDefault="00E273E3" w:rsidP="00226191">
      <w:pPr>
        <w:pStyle w:val="Heading1"/>
        <w:rPr>
          <w:rFonts w:ascii="Times New Roman" w:hAnsi="Times New Roman"/>
          <w:szCs w:val="22"/>
        </w:rPr>
      </w:pPr>
      <w:bookmarkStart w:id="1" w:name="_Toc379288998"/>
      <w:bookmarkStart w:id="2" w:name="_Toc379365499"/>
      <w:r w:rsidRPr="00A86F4E">
        <w:rPr>
          <w:rFonts w:ascii="Times New Roman" w:hAnsi="Times New Roman"/>
          <w:szCs w:val="22"/>
        </w:rPr>
        <w:t>INTRODUCTION</w:t>
      </w:r>
      <w:bookmarkEnd w:id="1"/>
      <w:bookmarkEnd w:id="2"/>
    </w:p>
    <w:p w:rsidR="004D3709" w:rsidRDefault="00E273E3" w:rsidP="004D3709">
      <w:pPr>
        <w:pStyle w:val="ParaNum"/>
        <w:rPr>
          <w:szCs w:val="22"/>
        </w:rPr>
      </w:pPr>
      <w:r w:rsidRPr="00A86F4E">
        <w:rPr>
          <w:szCs w:val="22"/>
        </w:rPr>
        <w:t xml:space="preserve">We impose a penalty of </w:t>
      </w:r>
      <w:r w:rsidR="00A03E93" w:rsidRPr="00A86F4E">
        <w:rPr>
          <w:szCs w:val="22"/>
        </w:rPr>
        <w:t>$10,500</w:t>
      </w:r>
      <w:r w:rsidRPr="00A86F4E">
        <w:rPr>
          <w:szCs w:val="22"/>
        </w:rPr>
        <w:t xml:space="preserve"> against </w:t>
      </w:r>
      <w:r w:rsidR="00F90375" w:rsidRPr="00A86F4E">
        <w:rPr>
          <w:szCs w:val="22"/>
        </w:rPr>
        <w:t>J &amp; J Broadcasting, Inc. (J &amp; J)</w:t>
      </w:r>
      <w:r w:rsidR="004961DE">
        <w:rPr>
          <w:szCs w:val="22"/>
        </w:rPr>
        <w:t>, licensee of FM Statio</w:t>
      </w:r>
      <w:r w:rsidR="004D3709">
        <w:rPr>
          <w:szCs w:val="22"/>
        </w:rPr>
        <w:t xml:space="preserve">n WIMI and AM Station WJMS (collectively, the </w:t>
      </w:r>
      <w:r w:rsidR="004961DE">
        <w:rPr>
          <w:szCs w:val="22"/>
        </w:rPr>
        <w:t>Stations)</w:t>
      </w:r>
      <w:r w:rsidRPr="00A86F4E">
        <w:rPr>
          <w:szCs w:val="22"/>
        </w:rPr>
        <w:t xml:space="preserve"> for </w:t>
      </w:r>
      <w:r w:rsidR="00F90375" w:rsidRPr="00A86F4E">
        <w:rPr>
          <w:spacing w:val="-2"/>
          <w:szCs w:val="22"/>
        </w:rPr>
        <w:t xml:space="preserve">failing to maintain and make available the </w:t>
      </w:r>
      <w:r w:rsidR="004961DE">
        <w:rPr>
          <w:spacing w:val="-2"/>
          <w:szCs w:val="22"/>
        </w:rPr>
        <w:t xml:space="preserve">required </w:t>
      </w:r>
      <w:r w:rsidR="00F90375" w:rsidRPr="00A86F4E">
        <w:rPr>
          <w:spacing w:val="-2"/>
          <w:szCs w:val="22"/>
        </w:rPr>
        <w:t xml:space="preserve">quarterly issues/programs lists in the </w:t>
      </w:r>
      <w:r w:rsidR="004961DE">
        <w:rPr>
          <w:spacing w:val="-2"/>
          <w:szCs w:val="22"/>
        </w:rPr>
        <w:t xml:space="preserve">Stations’ </w:t>
      </w:r>
      <w:r w:rsidR="00F90375" w:rsidRPr="00A86F4E">
        <w:rPr>
          <w:spacing w:val="-2"/>
          <w:szCs w:val="22"/>
        </w:rPr>
        <w:t xml:space="preserve">public inspection file and failing to </w:t>
      </w:r>
      <w:r w:rsidR="006A5CE2" w:rsidRPr="00A86F4E">
        <w:rPr>
          <w:spacing w:val="-2"/>
          <w:szCs w:val="22"/>
        </w:rPr>
        <w:t xml:space="preserve">timely </w:t>
      </w:r>
      <w:r w:rsidR="00F90375" w:rsidRPr="00A86F4E">
        <w:rPr>
          <w:spacing w:val="-2"/>
          <w:szCs w:val="22"/>
        </w:rPr>
        <w:t>notify the Commission</w:t>
      </w:r>
      <w:r w:rsidR="006A5CE2" w:rsidRPr="00A86F4E">
        <w:rPr>
          <w:spacing w:val="-2"/>
          <w:szCs w:val="22"/>
        </w:rPr>
        <w:t xml:space="preserve"> of a </w:t>
      </w:r>
      <w:r w:rsidR="00F90375" w:rsidRPr="00A86F4E">
        <w:rPr>
          <w:spacing w:val="-2"/>
          <w:szCs w:val="22"/>
        </w:rPr>
        <w:t xml:space="preserve">change </w:t>
      </w:r>
      <w:r w:rsidR="004961DE">
        <w:rPr>
          <w:spacing w:val="-2"/>
          <w:szCs w:val="22"/>
        </w:rPr>
        <w:t>in</w:t>
      </w:r>
      <w:r w:rsidR="00F90375" w:rsidRPr="00A86F4E">
        <w:rPr>
          <w:spacing w:val="-2"/>
          <w:szCs w:val="22"/>
        </w:rPr>
        <w:t xml:space="preserve"> </w:t>
      </w:r>
      <w:r w:rsidR="004D3709">
        <w:rPr>
          <w:spacing w:val="-2"/>
          <w:szCs w:val="22"/>
        </w:rPr>
        <w:t xml:space="preserve">the </w:t>
      </w:r>
      <w:r w:rsidR="00F90375" w:rsidRPr="00A86F4E">
        <w:rPr>
          <w:spacing w:val="-2"/>
          <w:szCs w:val="22"/>
        </w:rPr>
        <w:t>ownership</w:t>
      </w:r>
      <w:r w:rsidR="004D3709">
        <w:rPr>
          <w:spacing w:val="-2"/>
          <w:szCs w:val="22"/>
        </w:rPr>
        <w:t xml:space="preserve"> of </w:t>
      </w:r>
      <w:r w:rsidR="00D93747">
        <w:rPr>
          <w:spacing w:val="-2"/>
          <w:szCs w:val="22"/>
        </w:rPr>
        <w:t xml:space="preserve">its </w:t>
      </w:r>
      <w:r w:rsidR="004D3709">
        <w:rPr>
          <w:spacing w:val="-2"/>
          <w:szCs w:val="22"/>
        </w:rPr>
        <w:t>antenna structure number 1035236 (Antenna Structure)</w:t>
      </w:r>
      <w:r w:rsidR="00F90375" w:rsidRPr="00A86F4E">
        <w:rPr>
          <w:spacing w:val="-2"/>
          <w:szCs w:val="22"/>
        </w:rPr>
        <w:t xml:space="preserve">.  </w:t>
      </w:r>
      <w:r w:rsidR="004961DE" w:rsidRPr="005A77BB">
        <w:rPr>
          <w:szCs w:val="22"/>
        </w:rPr>
        <w:t>The issues/programs lists inform the public regarding a broadcaster’s treatment of community issues and the requirement to maintain such lists is part of a broadcaster’s obligations as a public trustee.</w:t>
      </w:r>
      <w:r w:rsidR="00D93747">
        <w:rPr>
          <w:szCs w:val="22"/>
        </w:rPr>
        <w:t xml:space="preserve">  </w:t>
      </w:r>
      <w:r w:rsidR="00012A54">
        <w:rPr>
          <w:szCs w:val="22"/>
        </w:rPr>
        <w:t>In addition, e</w:t>
      </w:r>
      <w:r w:rsidR="004961DE">
        <w:rPr>
          <w:szCs w:val="22"/>
        </w:rPr>
        <w:t>nsuring timely and accurate antenna ownership reporting allows the</w:t>
      </w:r>
      <w:r w:rsidR="00D93747">
        <w:rPr>
          <w:szCs w:val="22"/>
        </w:rPr>
        <w:t xml:space="preserve"> C</w:t>
      </w:r>
      <w:r w:rsidR="004961DE">
        <w:rPr>
          <w:szCs w:val="22"/>
        </w:rPr>
        <w:t>om</w:t>
      </w:r>
      <w:r w:rsidR="00D93747">
        <w:rPr>
          <w:szCs w:val="22"/>
        </w:rPr>
        <w:t>m</w:t>
      </w:r>
      <w:r w:rsidR="004961DE">
        <w:rPr>
          <w:szCs w:val="22"/>
        </w:rPr>
        <w:t>ission to quickly contact structure owners in the event of a tower lighting outage or other threat to public safety.</w:t>
      </w:r>
    </w:p>
    <w:p w:rsidR="00E273E3" w:rsidRPr="004D3709" w:rsidRDefault="00F4328D" w:rsidP="004D3709">
      <w:pPr>
        <w:pStyle w:val="ParaNum"/>
        <w:rPr>
          <w:szCs w:val="22"/>
        </w:rPr>
      </w:pPr>
      <w:r w:rsidRPr="004D3709">
        <w:rPr>
          <w:spacing w:val="-2"/>
          <w:szCs w:val="22"/>
        </w:rPr>
        <w:t xml:space="preserve">J &amp; J does not deny the violations, but requests </w:t>
      </w:r>
      <w:r w:rsidR="006A5CE2" w:rsidRPr="004D3709">
        <w:rPr>
          <w:spacing w:val="-2"/>
          <w:szCs w:val="22"/>
        </w:rPr>
        <w:t>cancellation or reduction of</w:t>
      </w:r>
      <w:r w:rsidRPr="004D3709">
        <w:rPr>
          <w:spacing w:val="-2"/>
          <w:szCs w:val="22"/>
        </w:rPr>
        <w:t xml:space="preserve"> the </w:t>
      </w:r>
      <w:r w:rsidR="004D3709">
        <w:rPr>
          <w:spacing w:val="-2"/>
          <w:szCs w:val="22"/>
        </w:rPr>
        <w:t xml:space="preserve">penalty proposed against it based on its purported </w:t>
      </w:r>
      <w:r w:rsidR="004D3709" w:rsidRPr="004D3709">
        <w:rPr>
          <w:spacing w:val="-2"/>
          <w:szCs w:val="22"/>
        </w:rPr>
        <w:t>good faith effort</w:t>
      </w:r>
      <w:r w:rsidR="004D3709">
        <w:rPr>
          <w:spacing w:val="-2"/>
          <w:szCs w:val="22"/>
        </w:rPr>
        <w:t>s</w:t>
      </w:r>
      <w:r w:rsidR="004D3709" w:rsidRPr="004D3709">
        <w:rPr>
          <w:spacing w:val="-2"/>
          <w:szCs w:val="22"/>
        </w:rPr>
        <w:t xml:space="preserve"> to meet its regulatory obligations</w:t>
      </w:r>
      <w:r w:rsidR="004D3709">
        <w:rPr>
          <w:spacing w:val="-2"/>
          <w:szCs w:val="22"/>
        </w:rPr>
        <w:t xml:space="preserve">, </w:t>
      </w:r>
      <w:r w:rsidR="00D93747">
        <w:rPr>
          <w:spacing w:val="-2"/>
          <w:szCs w:val="22"/>
        </w:rPr>
        <w:t xml:space="preserve">inability to pay, </w:t>
      </w:r>
      <w:r w:rsidR="004D3709">
        <w:rPr>
          <w:spacing w:val="-2"/>
          <w:szCs w:val="22"/>
        </w:rPr>
        <w:t xml:space="preserve">and </w:t>
      </w:r>
      <w:r w:rsidR="006A5CE2" w:rsidRPr="004D3709">
        <w:rPr>
          <w:spacing w:val="-2"/>
          <w:szCs w:val="22"/>
        </w:rPr>
        <w:t>history of compliance</w:t>
      </w:r>
      <w:r w:rsidRPr="004D3709">
        <w:rPr>
          <w:spacing w:val="-2"/>
          <w:szCs w:val="22"/>
        </w:rPr>
        <w:t>.</w:t>
      </w:r>
      <w:r w:rsidR="004D3709">
        <w:rPr>
          <w:spacing w:val="-2"/>
          <w:szCs w:val="22"/>
        </w:rPr>
        <w:t xml:space="preserve">  However, </w:t>
      </w:r>
      <w:r w:rsidR="00704D7D">
        <w:rPr>
          <w:spacing w:val="-2"/>
          <w:szCs w:val="22"/>
        </w:rPr>
        <w:t>J &amp; J</w:t>
      </w:r>
      <w:r w:rsidR="004D3709">
        <w:rPr>
          <w:spacing w:val="-2"/>
          <w:szCs w:val="22"/>
        </w:rPr>
        <w:t xml:space="preserve"> failed to correct is antenna ownership registration information until after issuance of the proposed forfeiture</w:t>
      </w:r>
      <w:r w:rsidR="00704D7D">
        <w:rPr>
          <w:spacing w:val="-2"/>
          <w:szCs w:val="22"/>
        </w:rPr>
        <w:t xml:space="preserve"> and cannot show that the issues/programs lists were removed from the Stations’ publ</w:t>
      </w:r>
      <w:r w:rsidR="005B2779">
        <w:rPr>
          <w:spacing w:val="-2"/>
          <w:szCs w:val="22"/>
        </w:rPr>
        <w:t>ic inspection file</w:t>
      </w:r>
      <w:r w:rsidR="00704D7D">
        <w:rPr>
          <w:spacing w:val="-2"/>
          <w:szCs w:val="22"/>
        </w:rPr>
        <w:t xml:space="preserve"> just prior to Commission inspection.  In addition, the financial documentation submitted by J &amp; J does not support its inability to pay claim</w:t>
      </w:r>
      <w:r w:rsidR="004D3709">
        <w:rPr>
          <w:spacing w:val="-2"/>
          <w:szCs w:val="22"/>
        </w:rPr>
        <w:t xml:space="preserve">.  However, we find that reducing the forfeiture to $10,500 is appropriate based on J &amp; J’s demonstrated </w:t>
      </w:r>
      <w:r w:rsidR="006A5CE2" w:rsidRPr="004D3709">
        <w:rPr>
          <w:szCs w:val="22"/>
        </w:rPr>
        <w:t>history of compliance.</w:t>
      </w:r>
    </w:p>
    <w:p w:rsidR="00E273E3" w:rsidRPr="00A86F4E" w:rsidRDefault="00E273E3" w:rsidP="00226191">
      <w:pPr>
        <w:pStyle w:val="Heading1"/>
        <w:rPr>
          <w:rFonts w:ascii="Times New Roman" w:hAnsi="Times New Roman"/>
          <w:szCs w:val="22"/>
        </w:rPr>
      </w:pPr>
      <w:bookmarkStart w:id="3" w:name="_Toc379288999"/>
      <w:bookmarkStart w:id="4" w:name="_Toc379365500"/>
      <w:r w:rsidRPr="00A86F4E">
        <w:rPr>
          <w:rFonts w:ascii="Times New Roman" w:hAnsi="Times New Roman"/>
          <w:szCs w:val="22"/>
        </w:rPr>
        <w:t>BACKGROUND</w:t>
      </w:r>
      <w:bookmarkEnd w:id="3"/>
      <w:bookmarkEnd w:id="4"/>
    </w:p>
    <w:p w:rsidR="00184C75" w:rsidRPr="00A86F4E" w:rsidRDefault="00870AE8" w:rsidP="00704D7D">
      <w:pPr>
        <w:pStyle w:val="ParaNum"/>
        <w:widowControl/>
        <w:rPr>
          <w:szCs w:val="22"/>
        </w:rPr>
      </w:pPr>
      <w:r>
        <w:rPr>
          <w:szCs w:val="22"/>
        </w:rPr>
        <w:t xml:space="preserve">In February 2010, </w:t>
      </w:r>
      <w:r w:rsidR="005F1288" w:rsidRPr="00A86F4E">
        <w:rPr>
          <w:szCs w:val="22"/>
        </w:rPr>
        <w:t xml:space="preserve">J &amp; J </w:t>
      </w:r>
      <w:r>
        <w:rPr>
          <w:szCs w:val="22"/>
        </w:rPr>
        <w:t>acquired the Stations and Antenna Structure by purchasing Roberts Broadcasting, Inc</w:t>
      </w:r>
      <w:r w:rsidR="00076092" w:rsidRPr="00A86F4E">
        <w:rPr>
          <w:szCs w:val="22"/>
        </w:rPr>
        <w:t>.</w:t>
      </w:r>
      <w:r w:rsidR="005F1288" w:rsidRPr="00A86F4E">
        <w:rPr>
          <w:rStyle w:val="FootnoteReference"/>
          <w:sz w:val="22"/>
          <w:szCs w:val="22"/>
        </w:rPr>
        <w:footnoteReference w:id="3"/>
      </w:r>
      <w:r w:rsidR="00DD7B34" w:rsidRPr="00A86F4E">
        <w:rPr>
          <w:szCs w:val="22"/>
        </w:rPr>
        <w:t xml:space="preserve">  </w:t>
      </w:r>
      <w:r w:rsidR="00184C75" w:rsidRPr="00A86F4E">
        <w:rPr>
          <w:szCs w:val="22"/>
        </w:rPr>
        <w:t>On September 14, 2011, an agen</w:t>
      </w:r>
      <w:r w:rsidR="007C0F54" w:rsidRPr="00A86F4E">
        <w:rPr>
          <w:szCs w:val="22"/>
        </w:rPr>
        <w:t>t from</w:t>
      </w:r>
      <w:r>
        <w:rPr>
          <w:szCs w:val="22"/>
        </w:rPr>
        <w:t xml:space="preserve"> the Enforcement Bureau’s </w:t>
      </w:r>
      <w:r w:rsidR="003E62E0">
        <w:rPr>
          <w:szCs w:val="22"/>
        </w:rPr>
        <w:t xml:space="preserve">Detroit Office inspected the Stations’ main studio and </w:t>
      </w:r>
      <w:r w:rsidR="00184C75" w:rsidRPr="00A86F4E">
        <w:rPr>
          <w:szCs w:val="22"/>
        </w:rPr>
        <w:t xml:space="preserve">found that </w:t>
      </w:r>
      <w:r w:rsidR="005F1288" w:rsidRPr="00A86F4E">
        <w:rPr>
          <w:szCs w:val="22"/>
        </w:rPr>
        <w:t>five</w:t>
      </w:r>
      <w:r w:rsidR="00184C75" w:rsidRPr="00A86F4E">
        <w:rPr>
          <w:szCs w:val="22"/>
        </w:rPr>
        <w:t xml:space="preserve"> quarterly issues/programs </w:t>
      </w:r>
      <w:r w:rsidR="00704D7D">
        <w:rPr>
          <w:szCs w:val="22"/>
        </w:rPr>
        <w:t xml:space="preserve">lists </w:t>
      </w:r>
      <w:r w:rsidR="003E62E0">
        <w:rPr>
          <w:szCs w:val="22"/>
        </w:rPr>
        <w:t xml:space="preserve">were </w:t>
      </w:r>
      <w:r w:rsidR="003E62E0">
        <w:rPr>
          <w:szCs w:val="22"/>
        </w:rPr>
        <w:lastRenderedPageBreak/>
        <w:t>missing from the p</w:t>
      </w:r>
      <w:r w:rsidR="00012A54">
        <w:rPr>
          <w:szCs w:val="22"/>
        </w:rPr>
        <w:t>ublic inspection file</w:t>
      </w:r>
      <w:r w:rsidR="005F1288" w:rsidRPr="00A86F4E">
        <w:rPr>
          <w:szCs w:val="22"/>
        </w:rPr>
        <w:t>.</w:t>
      </w:r>
      <w:r w:rsidR="003E62E0">
        <w:rPr>
          <w:rStyle w:val="FootnoteReference"/>
          <w:szCs w:val="22"/>
        </w:rPr>
        <w:footnoteReference w:id="4"/>
      </w:r>
      <w:r w:rsidR="005F1288" w:rsidRPr="00A86F4E">
        <w:rPr>
          <w:szCs w:val="22"/>
        </w:rPr>
        <w:t xml:space="preserve">  </w:t>
      </w:r>
      <w:r w:rsidR="003E62E0">
        <w:rPr>
          <w:szCs w:val="22"/>
        </w:rPr>
        <w:t>The agent also determined that the registration for the Antenna Structure still identified Roberts Broadcasting as the owner instead of J &amp; J.</w:t>
      </w:r>
      <w:r w:rsidR="003E62E0">
        <w:rPr>
          <w:rStyle w:val="FootnoteReference"/>
          <w:szCs w:val="22"/>
        </w:rPr>
        <w:footnoteReference w:id="5"/>
      </w:r>
      <w:r w:rsidR="003E62E0">
        <w:rPr>
          <w:szCs w:val="22"/>
        </w:rPr>
        <w:t xml:space="preserve">  </w:t>
      </w:r>
    </w:p>
    <w:p w:rsidR="00E273E3" w:rsidRPr="00A86F4E" w:rsidRDefault="00E273E3" w:rsidP="00E3390D">
      <w:pPr>
        <w:pStyle w:val="ParaNum"/>
        <w:widowControl/>
        <w:rPr>
          <w:szCs w:val="22"/>
        </w:rPr>
      </w:pPr>
      <w:r w:rsidRPr="00A86F4E">
        <w:rPr>
          <w:szCs w:val="22"/>
        </w:rPr>
        <w:t xml:space="preserve">On </w:t>
      </w:r>
      <w:r w:rsidR="00184C75" w:rsidRPr="00A86F4E">
        <w:rPr>
          <w:szCs w:val="22"/>
        </w:rPr>
        <w:t>August 21, 2012</w:t>
      </w:r>
      <w:r w:rsidRPr="00A86F4E">
        <w:rPr>
          <w:szCs w:val="22"/>
        </w:rPr>
        <w:t xml:space="preserve">, the </w:t>
      </w:r>
      <w:r w:rsidR="00E3390D">
        <w:rPr>
          <w:szCs w:val="22"/>
        </w:rPr>
        <w:t xml:space="preserve">Enforcement </w:t>
      </w:r>
      <w:r w:rsidR="007C0F54" w:rsidRPr="00A86F4E">
        <w:rPr>
          <w:szCs w:val="22"/>
        </w:rPr>
        <w:t>Bureau</w:t>
      </w:r>
      <w:r w:rsidR="00CB6E37" w:rsidRPr="00A86F4E">
        <w:rPr>
          <w:szCs w:val="22"/>
        </w:rPr>
        <w:t xml:space="preserve"> </w:t>
      </w:r>
      <w:r w:rsidR="00E3390D">
        <w:rPr>
          <w:szCs w:val="22"/>
        </w:rPr>
        <w:t xml:space="preserve">(Bureau) </w:t>
      </w:r>
      <w:r w:rsidRPr="00A86F4E">
        <w:rPr>
          <w:szCs w:val="22"/>
        </w:rPr>
        <w:t xml:space="preserve">issued </w:t>
      </w:r>
      <w:r w:rsidR="005F1288" w:rsidRPr="00A86F4E">
        <w:rPr>
          <w:szCs w:val="22"/>
        </w:rPr>
        <w:t xml:space="preserve">the </w:t>
      </w:r>
      <w:r w:rsidRPr="00A86F4E">
        <w:rPr>
          <w:i/>
          <w:szCs w:val="22"/>
        </w:rPr>
        <w:t xml:space="preserve">NAL </w:t>
      </w:r>
      <w:r w:rsidR="00CB6E37" w:rsidRPr="00A86F4E">
        <w:rPr>
          <w:szCs w:val="22"/>
        </w:rPr>
        <w:t xml:space="preserve">proposing a </w:t>
      </w:r>
      <w:r w:rsidRPr="00A86F4E">
        <w:rPr>
          <w:szCs w:val="22"/>
        </w:rPr>
        <w:t>$</w:t>
      </w:r>
      <w:r w:rsidR="00184C75" w:rsidRPr="00A86F4E">
        <w:rPr>
          <w:szCs w:val="22"/>
        </w:rPr>
        <w:t>13,000</w:t>
      </w:r>
      <w:r w:rsidRPr="00A86F4E">
        <w:rPr>
          <w:szCs w:val="22"/>
        </w:rPr>
        <w:t xml:space="preserve"> </w:t>
      </w:r>
      <w:r w:rsidR="00CB6E37" w:rsidRPr="00A86F4E">
        <w:rPr>
          <w:szCs w:val="22"/>
        </w:rPr>
        <w:t xml:space="preserve">forfeiture </w:t>
      </w:r>
      <w:r w:rsidR="00154A5C" w:rsidRPr="00A86F4E">
        <w:rPr>
          <w:szCs w:val="22"/>
        </w:rPr>
        <w:t xml:space="preserve">against </w:t>
      </w:r>
      <w:r w:rsidR="00184C75" w:rsidRPr="00A86F4E">
        <w:rPr>
          <w:szCs w:val="22"/>
        </w:rPr>
        <w:t>J &amp; J</w:t>
      </w:r>
      <w:r w:rsidR="00154A5C" w:rsidRPr="00A86F4E">
        <w:rPr>
          <w:szCs w:val="22"/>
        </w:rPr>
        <w:t xml:space="preserve"> </w:t>
      </w:r>
      <w:r w:rsidRPr="00A86F4E">
        <w:rPr>
          <w:szCs w:val="22"/>
        </w:rPr>
        <w:t xml:space="preserve">for its apparent willful and repeated violation of </w:t>
      </w:r>
      <w:r w:rsidR="00184C75" w:rsidRPr="00A86F4E">
        <w:rPr>
          <w:spacing w:val="-2"/>
          <w:szCs w:val="22"/>
        </w:rPr>
        <w:t>Sections 73.3526(e)(12) and 17.57 of the Commission’s rules (Rules)</w:t>
      </w:r>
      <w:r w:rsidR="00CB6E37" w:rsidRPr="00A86F4E">
        <w:rPr>
          <w:szCs w:val="22"/>
        </w:rPr>
        <w:t xml:space="preserve"> by </w:t>
      </w:r>
      <w:r w:rsidR="00184C75" w:rsidRPr="00A86F4E">
        <w:rPr>
          <w:spacing w:val="-2"/>
          <w:szCs w:val="22"/>
        </w:rPr>
        <w:t>failing to maintain and make available the quarterly issues/programs list</w:t>
      </w:r>
      <w:r w:rsidR="00E3390D">
        <w:rPr>
          <w:spacing w:val="-2"/>
          <w:szCs w:val="22"/>
        </w:rPr>
        <w:t>s in the S</w:t>
      </w:r>
      <w:r w:rsidR="00012A54">
        <w:rPr>
          <w:spacing w:val="-2"/>
          <w:szCs w:val="22"/>
        </w:rPr>
        <w:t>tations’ public inspection file</w:t>
      </w:r>
      <w:r w:rsidR="006A5CC7" w:rsidRPr="00A86F4E">
        <w:rPr>
          <w:spacing w:val="-2"/>
          <w:szCs w:val="22"/>
        </w:rPr>
        <w:t xml:space="preserve"> </w:t>
      </w:r>
      <w:r w:rsidR="00184C75" w:rsidRPr="00A86F4E">
        <w:rPr>
          <w:spacing w:val="-2"/>
          <w:szCs w:val="22"/>
        </w:rPr>
        <w:t xml:space="preserve">and failing to immediately notify the Commission upon </w:t>
      </w:r>
      <w:r w:rsidR="00704D7D">
        <w:rPr>
          <w:spacing w:val="-2"/>
          <w:szCs w:val="22"/>
        </w:rPr>
        <w:t xml:space="preserve">a </w:t>
      </w:r>
      <w:r w:rsidR="00184C75" w:rsidRPr="00A86F4E">
        <w:rPr>
          <w:spacing w:val="-2"/>
          <w:szCs w:val="22"/>
        </w:rPr>
        <w:t xml:space="preserve">change in </w:t>
      </w:r>
      <w:r w:rsidR="00E3390D">
        <w:rPr>
          <w:spacing w:val="-2"/>
          <w:szCs w:val="22"/>
        </w:rPr>
        <w:t xml:space="preserve">the </w:t>
      </w:r>
      <w:r w:rsidR="00B85A0A" w:rsidRPr="00A86F4E">
        <w:rPr>
          <w:spacing w:val="-2"/>
          <w:szCs w:val="22"/>
        </w:rPr>
        <w:t>A</w:t>
      </w:r>
      <w:r w:rsidR="007C0F54" w:rsidRPr="00A86F4E">
        <w:rPr>
          <w:spacing w:val="-2"/>
          <w:szCs w:val="22"/>
        </w:rPr>
        <w:t xml:space="preserve">ntenna </w:t>
      </w:r>
      <w:r w:rsidR="00B85A0A" w:rsidRPr="00A86F4E">
        <w:rPr>
          <w:spacing w:val="-2"/>
          <w:szCs w:val="22"/>
        </w:rPr>
        <w:t>S</w:t>
      </w:r>
      <w:r w:rsidR="007C0F54" w:rsidRPr="00A86F4E">
        <w:rPr>
          <w:spacing w:val="-2"/>
          <w:szCs w:val="22"/>
        </w:rPr>
        <w:t>tructure</w:t>
      </w:r>
      <w:r w:rsidR="00E3390D">
        <w:rPr>
          <w:spacing w:val="-2"/>
          <w:szCs w:val="22"/>
        </w:rPr>
        <w:t>’s</w:t>
      </w:r>
      <w:r w:rsidR="007C0F54" w:rsidRPr="00A86F4E">
        <w:rPr>
          <w:spacing w:val="-2"/>
          <w:szCs w:val="22"/>
        </w:rPr>
        <w:t xml:space="preserve"> </w:t>
      </w:r>
      <w:r w:rsidR="00184C75" w:rsidRPr="00A86F4E">
        <w:rPr>
          <w:spacing w:val="-2"/>
          <w:szCs w:val="22"/>
        </w:rPr>
        <w:t>ownership.</w:t>
      </w:r>
      <w:r w:rsidR="00E3390D" w:rsidRPr="00A86F4E">
        <w:rPr>
          <w:rStyle w:val="FootnoteReference"/>
          <w:spacing w:val="-2"/>
          <w:sz w:val="22"/>
          <w:szCs w:val="22"/>
        </w:rPr>
        <w:footnoteReference w:id="6"/>
      </w:r>
      <w:r w:rsidRPr="00A86F4E">
        <w:rPr>
          <w:color w:val="000000"/>
          <w:szCs w:val="22"/>
        </w:rPr>
        <w:t xml:space="preserve"> </w:t>
      </w:r>
    </w:p>
    <w:p w:rsidR="000821EB" w:rsidRPr="000821EB" w:rsidRDefault="00E273E3" w:rsidP="000821EB">
      <w:pPr>
        <w:pStyle w:val="ParaNum"/>
        <w:widowControl/>
        <w:rPr>
          <w:i/>
          <w:szCs w:val="22"/>
        </w:rPr>
      </w:pPr>
      <w:r w:rsidRPr="00A86F4E">
        <w:rPr>
          <w:szCs w:val="22"/>
        </w:rPr>
        <w:t xml:space="preserve">On </w:t>
      </w:r>
      <w:r w:rsidR="00E3390D">
        <w:rPr>
          <w:szCs w:val="22"/>
        </w:rPr>
        <w:t>September 17</w:t>
      </w:r>
      <w:r w:rsidR="00E16A05" w:rsidRPr="00A86F4E">
        <w:rPr>
          <w:szCs w:val="22"/>
        </w:rPr>
        <w:t>, 2012</w:t>
      </w:r>
      <w:r w:rsidR="000B29ED" w:rsidRPr="00A86F4E">
        <w:rPr>
          <w:szCs w:val="22"/>
        </w:rPr>
        <w:t xml:space="preserve">, </w:t>
      </w:r>
      <w:r w:rsidR="00E16A05" w:rsidRPr="00A86F4E">
        <w:rPr>
          <w:szCs w:val="22"/>
        </w:rPr>
        <w:t>J &amp; J</w:t>
      </w:r>
      <w:r w:rsidR="000B29ED" w:rsidRPr="00A86F4E">
        <w:rPr>
          <w:szCs w:val="22"/>
        </w:rPr>
        <w:t xml:space="preserve"> </w:t>
      </w:r>
      <w:r w:rsidRPr="00A86F4E">
        <w:rPr>
          <w:szCs w:val="22"/>
        </w:rPr>
        <w:t xml:space="preserve">filed a response to the </w:t>
      </w:r>
      <w:r w:rsidRPr="00A86F4E">
        <w:rPr>
          <w:i/>
          <w:szCs w:val="22"/>
        </w:rPr>
        <w:t>NAL</w:t>
      </w:r>
      <w:r w:rsidR="000821EB">
        <w:rPr>
          <w:szCs w:val="22"/>
        </w:rPr>
        <w:t>, arguing that the proposed forfeiture should be cancelled or reduced.</w:t>
      </w:r>
      <w:r w:rsidR="00E3390D">
        <w:rPr>
          <w:rStyle w:val="FootnoteReference"/>
          <w:szCs w:val="22"/>
        </w:rPr>
        <w:footnoteReference w:id="7"/>
      </w:r>
      <w:r w:rsidR="000821EB">
        <w:rPr>
          <w:szCs w:val="22"/>
        </w:rPr>
        <w:t xml:space="preserve">  </w:t>
      </w:r>
      <w:r w:rsidR="00E3390D">
        <w:rPr>
          <w:szCs w:val="22"/>
        </w:rPr>
        <w:t xml:space="preserve">J &amp; J </w:t>
      </w:r>
      <w:r w:rsidR="006A5CC7" w:rsidRPr="00A86F4E">
        <w:rPr>
          <w:szCs w:val="22"/>
        </w:rPr>
        <w:t xml:space="preserve">states </w:t>
      </w:r>
      <w:r w:rsidR="007C0F54" w:rsidRPr="00A86F4E">
        <w:rPr>
          <w:szCs w:val="22"/>
        </w:rPr>
        <w:t>that the failure to pro</w:t>
      </w:r>
      <w:r w:rsidR="000821EB">
        <w:rPr>
          <w:szCs w:val="22"/>
        </w:rPr>
        <w:t>perly notify the Commission of the</w:t>
      </w:r>
      <w:r w:rsidR="007C0F54" w:rsidRPr="00A86F4E">
        <w:rPr>
          <w:szCs w:val="22"/>
        </w:rPr>
        <w:t xml:space="preserve"> change in </w:t>
      </w:r>
      <w:r w:rsidR="000821EB">
        <w:rPr>
          <w:szCs w:val="22"/>
        </w:rPr>
        <w:t xml:space="preserve">the </w:t>
      </w:r>
      <w:r w:rsidR="00B85A0A" w:rsidRPr="00A86F4E">
        <w:rPr>
          <w:szCs w:val="22"/>
        </w:rPr>
        <w:t>Antenna S</w:t>
      </w:r>
      <w:r w:rsidR="007C0F54" w:rsidRPr="00A86F4E">
        <w:rPr>
          <w:szCs w:val="22"/>
        </w:rPr>
        <w:t>tructure</w:t>
      </w:r>
      <w:r w:rsidR="000821EB">
        <w:rPr>
          <w:szCs w:val="22"/>
        </w:rPr>
        <w:t>’s ownership was an oversight</w:t>
      </w:r>
      <w:r w:rsidR="007C0F54" w:rsidRPr="00A86F4E">
        <w:rPr>
          <w:szCs w:val="22"/>
        </w:rPr>
        <w:t xml:space="preserve"> and that it took immediate action to correct the violation.</w:t>
      </w:r>
      <w:r w:rsidR="00096611" w:rsidRPr="00A86F4E">
        <w:rPr>
          <w:rStyle w:val="FootnoteReference"/>
          <w:sz w:val="22"/>
          <w:szCs w:val="22"/>
        </w:rPr>
        <w:footnoteReference w:id="8"/>
      </w:r>
      <w:r w:rsidR="007C0F54" w:rsidRPr="00A86F4E">
        <w:rPr>
          <w:szCs w:val="22"/>
        </w:rPr>
        <w:t xml:space="preserve">  J &amp; J </w:t>
      </w:r>
      <w:r w:rsidR="000821EB">
        <w:rPr>
          <w:szCs w:val="22"/>
        </w:rPr>
        <w:t>further claims</w:t>
      </w:r>
      <w:r w:rsidR="007C0F54" w:rsidRPr="00A86F4E">
        <w:rPr>
          <w:szCs w:val="22"/>
        </w:rPr>
        <w:t xml:space="preserve"> that </w:t>
      </w:r>
      <w:r w:rsidR="000821EB">
        <w:rPr>
          <w:szCs w:val="22"/>
        </w:rPr>
        <w:t xml:space="preserve">it </w:t>
      </w:r>
      <w:r w:rsidR="00096611" w:rsidRPr="00A86F4E">
        <w:rPr>
          <w:szCs w:val="22"/>
        </w:rPr>
        <w:t xml:space="preserve">prepared </w:t>
      </w:r>
      <w:r w:rsidR="007C0F54" w:rsidRPr="00A86F4E">
        <w:rPr>
          <w:szCs w:val="22"/>
        </w:rPr>
        <w:t xml:space="preserve">the </w:t>
      </w:r>
      <w:r w:rsidR="00704D7D">
        <w:rPr>
          <w:szCs w:val="22"/>
        </w:rPr>
        <w:t xml:space="preserve">missing </w:t>
      </w:r>
      <w:r w:rsidR="00096611" w:rsidRPr="00A86F4E">
        <w:rPr>
          <w:szCs w:val="22"/>
        </w:rPr>
        <w:t xml:space="preserve">quarterly issues/programs lists, but those documents </w:t>
      </w:r>
      <w:r w:rsidR="00E3390D">
        <w:rPr>
          <w:szCs w:val="22"/>
        </w:rPr>
        <w:t>were taken out of the S</w:t>
      </w:r>
      <w:r w:rsidR="005B2779">
        <w:rPr>
          <w:szCs w:val="22"/>
        </w:rPr>
        <w:t>tations’ public inspection file</w:t>
      </w:r>
      <w:r w:rsidR="007C0F54" w:rsidRPr="00A86F4E">
        <w:rPr>
          <w:szCs w:val="22"/>
        </w:rPr>
        <w:t xml:space="preserve"> </w:t>
      </w:r>
      <w:r w:rsidR="00096611" w:rsidRPr="00A86F4E">
        <w:rPr>
          <w:szCs w:val="22"/>
        </w:rPr>
        <w:t>by a member of the public</w:t>
      </w:r>
      <w:r w:rsidR="007C0F54" w:rsidRPr="00A86F4E">
        <w:rPr>
          <w:szCs w:val="22"/>
        </w:rPr>
        <w:t xml:space="preserve"> </w:t>
      </w:r>
      <w:r w:rsidR="00704D7D">
        <w:rPr>
          <w:szCs w:val="22"/>
        </w:rPr>
        <w:t xml:space="preserve">shortly before the Commission’s </w:t>
      </w:r>
      <w:r w:rsidR="007C0F54" w:rsidRPr="00A86F4E">
        <w:rPr>
          <w:szCs w:val="22"/>
        </w:rPr>
        <w:t>inspection.</w:t>
      </w:r>
      <w:r w:rsidR="00096611" w:rsidRPr="00A86F4E">
        <w:rPr>
          <w:rStyle w:val="FootnoteReference"/>
          <w:sz w:val="22"/>
          <w:szCs w:val="22"/>
        </w:rPr>
        <w:footnoteReference w:id="9"/>
      </w:r>
      <w:r w:rsidR="007C0F54" w:rsidRPr="00A86F4E">
        <w:rPr>
          <w:szCs w:val="22"/>
        </w:rPr>
        <w:t xml:space="preserve">  J &amp; J </w:t>
      </w:r>
      <w:r w:rsidR="000821EB">
        <w:rPr>
          <w:szCs w:val="22"/>
        </w:rPr>
        <w:t>also argues that it “has been experiencing financial difficulties,” warranting forfeiture cancellation or reduction.</w:t>
      </w:r>
      <w:r w:rsidR="000821EB">
        <w:rPr>
          <w:rStyle w:val="FootnoteReference"/>
          <w:szCs w:val="22"/>
        </w:rPr>
        <w:footnoteReference w:id="10"/>
      </w:r>
      <w:r w:rsidR="000821EB">
        <w:rPr>
          <w:szCs w:val="22"/>
        </w:rPr>
        <w:t xml:space="preserve">  Finally, J &amp; J notes that it has not been the subject of an enforcement forfeiture action before and maintained a long history of compliance.</w:t>
      </w:r>
      <w:r w:rsidR="000821EB">
        <w:rPr>
          <w:rStyle w:val="FootnoteReference"/>
          <w:szCs w:val="22"/>
        </w:rPr>
        <w:footnoteReference w:id="11"/>
      </w:r>
    </w:p>
    <w:p w:rsidR="00E273E3" w:rsidRPr="00A86F4E" w:rsidRDefault="00E273E3" w:rsidP="00226191">
      <w:pPr>
        <w:pStyle w:val="Heading1"/>
        <w:rPr>
          <w:rFonts w:ascii="Times New Roman" w:hAnsi="Times New Roman"/>
          <w:szCs w:val="22"/>
        </w:rPr>
      </w:pPr>
      <w:bookmarkStart w:id="5" w:name="_Toc379289000"/>
      <w:bookmarkStart w:id="6" w:name="_Toc379365501"/>
      <w:r w:rsidRPr="00A86F4E">
        <w:rPr>
          <w:rFonts w:ascii="Times New Roman" w:hAnsi="Times New Roman"/>
          <w:szCs w:val="22"/>
        </w:rPr>
        <w:t>DISCUSSION</w:t>
      </w:r>
      <w:bookmarkEnd w:id="5"/>
      <w:bookmarkEnd w:id="6"/>
    </w:p>
    <w:p w:rsidR="00E6009E" w:rsidRDefault="00E6009E" w:rsidP="00B5182F">
      <w:pPr>
        <w:pStyle w:val="ParaNum"/>
        <w:rPr>
          <w:szCs w:val="22"/>
        </w:rPr>
      </w:pPr>
      <w:r w:rsidRPr="00A86F4E">
        <w:rPr>
          <w:szCs w:val="22"/>
        </w:rPr>
        <w:t xml:space="preserve">The </w:t>
      </w:r>
      <w:r w:rsidR="00E16A05" w:rsidRPr="00A86F4E">
        <w:rPr>
          <w:szCs w:val="22"/>
        </w:rPr>
        <w:t>Bureau</w:t>
      </w:r>
      <w:r w:rsidRPr="00A86F4E">
        <w:rPr>
          <w:szCs w:val="22"/>
        </w:rPr>
        <w:t xml:space="preserve"> </w:t>
      </w:r>
      <w:r w:rsidR="00E273E3" w:rsidRPr="00A86F4E">
        <w:rPr>
          <w:szCs w:val="22"/>
        </w:rPr>
        <w:t xml:space="preserve">proposed </w:t>
      </w:r>
      <w:r w:rsidRPr="00A86F4E">
        <w:rPr>
          <w:szCs w:val="22"/>
        </w:rPr>
        <w:t xml:space="preserve">a </w:t>
      </w:r>
      <w:r w:rsidR="00E273E3" w:rsidRPr="00A86F4E">
        <w:rPr>
          <w:szCs w:val="22"/>
        </w:rPr>
        <w:t>forfeiture in this case in accordance with Section 503(b) of the Communications Act of 1934, as amended (Act),</w:t>
      </w:r>
      <w:r w:rsidR="00E273E3" w:rsidRPr="00A86F4E">
        <w:rPr>
          <w:rStyle w:val="FootnoteReference"/>
          <w:sz w:val="22"/>
          <w:szCs w:val="22"/>
        </w:rPr>
        <w:footnoteReference w:id="12"/>
      </w:r>
      <w:r w:rsidR="00E273E3" w:rsidRPr="00A86F4E">
        <w:rPr>
          <w:szCs w:val="22"/>
        </w:rPr>
        <w:t xml:space="preserve"> Section 1.80 of the </w:t>
      </w:r>
      <w:r w:rsidR="00012A54">
        <w:rPr>
          <w:szCs w:val="22"/>
        </w:rPr>
        <w:t>Rules</w:t>
      </w:r>
      <w:r w:rsidR="00E273E3" w:rsidRPr="00A86F4E">
        <w:rPr>
          <w:szCs w:val="22"/>
        </w:rPr>
        <w:t>,</w:t>
      </w:r>
      <w:r w:rsidR="00E273E3" w:rsidRPr="00A86F4E">
        <w:rPr>
          <w:szCs w:val="22"/>
          <w:vertAlign w:val="superscript"/>
        </w:rPr>
        <w:footnoteReference w:id="13"/>
      </w:r>
      <w:r w:rsidR="00E273E3" w:rsidRPr="00A86F4E">
        <w:rPr>
          <w:szCs w:val="22"/>
        </w:rPr>
        <w:t xml:space="preserve"> and the Commission’s </w:t>
      </w:r>
      <w:r w:rsidR="00E273E3" w:rsidRPr="00A86F4E">
        <w:rPr>
          <w:i/>
          <w:szCs w:val="22"/>
        </w:rPr>
        <w:t xml:space="preserve">Forfeiture Policy </w:t>
      </w:r>
      <w:r w:rsidR="00E273E3" w:rsidRPr="00A86F4E">
        <w:rPr>
          <w:rFonts w:eastAsia="MS Mincho"/>
          <w:i/>
          <w:szCs w:val="22"/>
        </w:rPr>
        <w:t>Statement</w:t>
      </w:r>
      <w:r w:rsidR="00E273E3" w:rsidRPr="00A86F4E">
        <w:rPr>
          <w:szCs w:val="22"/>
        </w:rPr>
        <w:t>.</w:t>
      </w:r>
      <w:r w:rsidR="00E273E3" w:rsidRPr="00A86F4E">
        <w:rPr>
          <w:rStyle w:val="FootnoteReference"/>
          <w:sz w:val="22"/>
          <w:szCs w:val="22"/>
        </w:rPr>
        <w:footnoteReference w:id="14"/>
      </w:r>
      <w:r w:rsidR="00E273E3" w:rsidRPr="00A86F4E">
        <w:rPr>
          <w:szCs w:val="22"/>
        </w:rPr>
        <w:t xml:space="preserve">  </w:t>
      </w:r>
      <w:r w:rsidRPr="00A86F4E">
        <w:rPr>
          <w:szCs w:val="22"/>
        </w:rPr>
        <w:t>When we assess</w:t>
      </w:r>
      <w:r w:rsidR="00E273E3" w:rsidRPr="00A86F4E">
        <w:rPr>
          <w:szCs w:val="22"/>
        </w:rPr>
        <w:t xml:space="preserve">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00E273E3" w:rsidRPr="00A86F4E">
        <w:rPr>
          <w:szCs w:val="22"/>
          <w:vertAlign w:val="superscript"/>
        </w:rPr>
        <w:footnoteReference w:id="15"/>
      </w:r>
      <w:r w:rsidR="00E273E3" w:rsidRPr="00A86F4E">
        <w:rPr>
          <w:szCs w:val="22"/>
        </w:rPr>
        <w:t xml:space="preserve">  </w:t>
      </w:r>
      <w:r w:rsidR="006B685D" w:rsidRPr="00A86F4E">
        <w:rPr>
          <w:szCs w:val="22"/>
        </w:rPr>
        <w:t>As discussed below, we</w:t>
      </w:r>
      <w:r w:rsidRPr="00A86F4E">
        <w:rPr>
          <w:szCs w:val="22"/>
        </w:rPr>
        <w:t xml:space="preserve"> have </w:t>
      </w:r>
      <w:r w:rsidR="006B685D" w:rsidRPr="00A86F4E">
        <w:rPr>
          <w:szCs w:val="22"/>
        </w:rPr>
        <w:t xml:space="preserve">fully </w:t>
      </w:r>
      <w:r w:rsidRPr="00A86F4E">
        <w:rPr>
          <w:szCs w:val="22"/>
        </w:rPr>
        <w:t xml:space="preserve">considered </w:t>
      </w:r>
      <w:r w:rsidR="00E16A05" w:rsidRPr="00A86F4E">
        <w:rPr>
          <w:szCs w:val="22"/>
        </w:rPr>
        <w:t>J &amp; J’s</w:t>
      </w:r>
      <w:r w:rsidRPr="00A86F4E">
        <w:rPr>
          <w:szCs w:val="22"/>
        </w:rPr>
        <w:t xml:space="preserve"> response to the </w:t>
      </w:r>
      <w:r w:rsidRPr="00A86F4E">
        <w:rPr>
          <w:i/>
          <w:szCs w:val="22"/>
        </w:rPr>
        <w:t>NAL</w:t>
      </w:r>
      <w:r w:rsidRPr="00A86F4E">
        <w:rPr>
          <w:szCs w:val="22"/>
        </w:rPr>
        <w:t xml:space="preserve">, </w:t>
      </w:r>
      <w:r w:rsidR="00386080" w:rsidRPr="00A86F4E">
        <w:rPr>
          <w:szCs w:val="22"/>
        </w:rPr>
        <w:t>a</w:t>
      </w:r>
      <w:r w:rsidR="00E50835" w:rsidRPr="00A86F4E">
        <w:rPr>
          <w:szCs w:val="22"/>
        </w:rPr>
        <w:t>nd find that</w:t>
      </w:r>
      <w:r w:rsidR="00386080" w:rsidRPr="00A86F4E">
        <w:rPr>
          <w:szCs w:val="22"/>
        </w:rPr>
        <w:t xml:space="preserve"> its history of compliance</w:t>
      </w:r>
      <w:r w:rsidRPr="00A86F4E">
        <w:rPr>
          <w:szCs w:val="22"/>
        </w:rPr>
        <w:t xml:space="preserve"> </w:t>
      </w:r>
      <w:r w:rsidR="00E50835" w:rsidRPr="00A86F4E">
        <w:rPr>
          <w:szCs w:val="22"/>
        </w:rPr>
        <w:t>m</w:t>
      </w:r>
      <w:r w:rsidR="00470504" w:rsidRPr="00A86F4E">
        <w:rPr>
          <w:szCs w:val="22"/>
        </w:rPr>
        <w:t>erit</w:t>
      </w:r>
      <w:r w:rsidR="00135542" w:rsidRPr="00A86F4E">
        <w:rPr>
          <w:szCs w:val="22"/>
        </w:rPr>
        <w:t>s</w:t>
      </w:r>
      <w:r w:rsidR="00E50835" w:rsidRPr="00A86F4E">
        <w:rPr>
          <w:szCs w:val="22"/>
        </w:rPr>
        <w:t xml:space="preserve"> </w:t>
      </w:r>
      <w:r w:rsidR="001B0733" w:rsidRPr="00A86F4E">
        <w:rPr>
          <w:szCs w:val="22"/>
        </w:rPr>
        <w:t>a reduced forfeiture</w:t>
      </w:r>
      <w:r w:rsidR="00C87A33">
        <w:rPr>
          <w:szCs w:val="22"/>
        </w:rPr>
        <w:t>.</w:t>
      </w:r>
    </w:p>
    <w:p w:rsidR="00C87A33" w:rsidRPr="00C87A33" w:rsidRDefault="00F61F24" w:rsidP="00C87A33">
      <w:pPr>
        <w:pStyle w:val="Heading2"/>
      </w:pPr>
      <w:r>
        <w:t>J &amp; J Did</w:t>
      </w:r>
      <w:r w:rsidR="00C87A33">
        <w:t xml:space="preserve"> Not Demonstrate Good Faith Compliance Efforts Warranting Forfeiture Cancellation or Reduction</w:t>
      </w:r>
    </w:p>
    <w:p w:rsidR="00802AC3" w:rsidRDefault="00C87A33" w:rsidP="00802AC3">
      <w:pPr>
        <w:pStyle w:val="ParaNum"/>
        <w:rPr>
          <w:szCs w:val="22"/>
        </w:rPr>
      </w:pPr>
      <w:r>
        <w:rPr>
          <w:szCs w:val="22"/>
        </w:rPr>
        <w:t>J &amp; J does not contest the NAL’s</w:t>
      </w:r>
      <w:r w:rsidR="00E16A05" w:rsidRPr="00A86F4E">
        <w:rPr>
          <w:szCs w:val="22"/>
        </w:rPr>
        <w:t xml:space="preserve"> conclusion</w:t>
      </w:r>
      <w:r w:rsidR="00E50835" w:rsidRPr="00A86F4E">
        <w:rPr>
          <w:szCs w:val="22"/>
        </w:rPr>
        <w:t>s</w:t>
      </w:r>
      <w:r w:rsidR="00E16A05" w:rsidRPr="00A86F4E">
        <w:rPr>
          <w:szCs w:val="22"/>
        </w:rPr>
        <w:t xml:space="preserve"> that it failed </w:t>
      </w:r>
      <w:r w:rsidR="00E16A05" w:rsidRPr="00A86F4E">
        <w:rPr>
          <w:spacing w:val="-2"/>
          <w:szCs w:val="22"/>
        </w:rPr>
        <w:t xml:space="preserve">to make available the quarterly issues/programs lists in the </w:t>
      </w:r>
      <w:r w:rsidR="00A675CC">
        <w:rPr>
          <w:spacing w:val="-2"/>
          <w:szCs w:val="22"/>
        </w:rPr>
        <w:t xml:space="preserve">Stations’ </w:t>
      </w:r>
      <w:r w:rsidR="00E16A05" w:rsidRPr="00A86F4E">
        <w:rPr>
          <w:spacing w:val="-2"/>
          <w:szCs w:val="22"/>
        </w:rPr>
        <w:t xml:space="preserve">public inspection file </w:t>
      </w:r>
      <w:r>
        <w:rPr>
          <w:spacing w:val="-2"/>
          <w:szCs w:val="22"/>
        </w:rPr>
        <w:t>or</w:t>
      </w:r>
      <w:r w:rsidR="00EA6F7A" w:rsidRPr="00A86F4E">
        <w:rPr>
          <w:spacing w:val="-2"/>
          <w:szCs w:val="22"/>
        </w:rPr>
        <w:t xml:space="preserve"> </w:t>
      </w:r>
      <w:r w:rsidR="00E50835" w:rsidRPr="00A86F4E">
        <w:rPr>
          <w:spacing w:val="-2"/>
          <w:szCs w:val="22"/>
        </w:rPr>
        <w:t xml:space="preserve">that it </w:t>
      </w:r>
      <w:r w:rsidR="00E16A05" w:rsidRPr="00A86F4E">
        <w:rPr>
          <w:spacing w:val="-2"/>
          <w:szCs w:val="22"/>
        </w:rPr>
        <w:t xml:space="preserve">failed to </w:t>
      </w:r>
      <w:r w:rsidR="00B85A0A" w:rsidRPr="00A86F4E">
        <w:rPr>
          <w:spacing w:val="-2"/>
          <w:szCs w:val="22"/>
        </w:rPr>
        <w:t xml:space="preserve">properly </w:t>
      </w:r>
      <w:r w:rsidR="00E16A05" w:rsidRPr="00A86F4E">
        <w:rPr>
          <w:spacing w:val="-2"/>
          <w:szCs w:val="22"/>
        </w:rPr>
        <w:t xml:space="preserve">notify the Commission upon </w:t>
      </w:r>
      <w:r w:rsidR="00704D7D">
        <w:rPr>
          <w:spacing w:val="-2"/>
          <w:szCs w:val="22"/>
        </w:rPr>
        <w:t xml:space="preserve">a </w:t>
      </w:r>
      <w:r w:rsidR="00E16A05" w:rsidRPr="00A86F4E">
        <w:rPr>
          <w:spacing w:val="-2"/>
          <w:szCs w:val="22"/>
        </w:rPr>
        <w:t xml:space="preserve">change in </w:t>
      </w:r>
      <w:r>
        <w:rPr>
          <w:spacing w:val="-2"/>
          <w:szCs w:val="22"/>
        </w:rPr>
        <w:t xml:space="preserve">the Antenna Structure’s </w:t>
      </w:r>
      <w:r w:rsidR="00E16A05" w:rsidRPr="00A86F4E">
        <w:rPr>
          <w:spacing w:val="-2"/>
          <w:szCs w:val="22"/>
        </w:rPr>
        <w:t>ownership.</w:t>
      </w:r>
      <w:r w:rsidR="001B0733" w:rsidRPr="00A86F4E">
        <w:rPr>
          <w:rStyle w:val="FootnoteReference"/>
          <w:spacing w:val="-2"/>
          <w:sz w:val="22"/>
          <w:szCs w:val="22"/>
        </w:rPr>
        <w:footnoteReference w:id="16"/>
      </w:r>
      <w:r w:rsidR="00191615">
        <w:rPr>
          <w:spacing w:val="-2"/>
          <w:szCs w:val="22"/>
        </w:rPr>
        <w:t xml:space="preserve">  Nevertheless,</w:t>
      </w:r>
      <w:r w:rsidR="00550AD2">
        <w:rPr>
          <w:szCs w:val="22"/>
        </w:rPr>
        <w:t xml:space="preserve"> </w:t>
      </w:r>
      <w:r w:rsidR="00386080" w:rsidRPr="00550AD2">
        <w:rPr>
          <w:szCs w:val="22"/>
        </w:rPr>
        <w:t xml:space="preserve">J &amp; J </w:t>
      </w:r>
      <w:r w:rsidR="00901D16" w:rsidRPr="00550AD2">
        <w:rPr>
          <w:szCs w:val="22"/>
        </w:rPr>
        <w:t xml:space="preserve">requests </w:t>
      </w:r>
      <w:r w:rsidR="00470504" w:rsidRPr="00550AD2">
        <w:rPr>
          <w:szCs w:val="22"/>
        </w:rPr>
        <w:t xml:space="preserve">cancellation or </w:t>
      </w:r>
      <w:r w:rsidR="00470504" w:rsidRPr="00550AD2">
        <w:rPr>
          <w:szCs w:val="22"/>
        </w:rPr>
        <w:lastRenderedPageBreak/>
        <w:t xml:space="preserve">reduction of the forfeiture </w:t>
      </w:r>
      <w:r w:rsidR="00901D16" w:rsidRPr="00550AD2">
        <w:rPr>
          <w:szCs w:val="22"/>
        </w:rPr>
        <w:t xml:space="preserve">because it </w:t>
      </w:r>
      <w:r w:rsidR="00550AD2">
        <w:rPr>
          <w:szCs w:val="22"/>
        </w:rPr>
        <w:t xml:space="preserve">claims it made </w:t>
      </w:r>
      <w:r w:rsidR="00386080" w:rsidRPr="00550AD2">
        <w:rPr>
          <w:szCs w:val="22"/>
        </w:rPr>
        <w:t>good faith</w:t>
      </w:r>
      <w:r w:rsidR="00550AD2">
        <w:rPr>
          <w:szCs w:val="22"/>
        </w:rPr>
        <w:t xml:space="preserve"> efforts to co</w:t>
      </w:r>
      <w:r w:rsidR="00704D7D">
        <w:rPr>
          <w:szCs w:val="22"/>
        </w:rPr>
        <w:t>rrect the violations</w:t>
      </w:r>
      <w:r w:rsidR="00386080" w:rsidRPr="00550AD2">
        <w:rPr>
          <w:szCs w:val="22"/>
        </w:rPr>
        <w:t>.</w:t>
      </w:r>
      <w:r w:rsidR="00550AD2">
        <w:rPr>
          <w:rStyle w:val="FootnoteReference"/>
          <w:szCs w:val="22"/>
        </w:rPr>
        <w:footnoteReference w:id="17"/>
      </w:r>
      <w:r w:rsidR="00901D16" w:rsidRPr="00550AD2">
        <w:rPr>
          <w:szCs w:val="22"/>
        </w:rPr>
        <w:t xml:space="preserve"> </w:t>
      </w:r>
      <w:r w:rsidR="006729CB" w:rsidRPr="00550AD2">
        <w:rPr>
          <w:szCs w:val="22"/>
        </w:rPr>
        <w:t xml:space="preserve"> </w:t>
      </w:r>
      <w:r w:rsidR="00A675CC" w:rsidRPr="005A77BB">
        <w:rPr>
          <w:szCs w:val="22"/>
        </w:rPr>
        <w:t>While the Commission wi</w:t>
      </w:r>
      <w:r w:rsidR="00704D7D">
        <w:rPr>
          <w:szCs w:val="22"/>
        </w:rPr>
        <w:t xml:space="preserve">ll generally reduce an assessed </w:t>
      </w:r>
      <w:r w:rsidR="00A675CC" w:rsidRPr="005A77BB">
        <w:rPr>
          <w:szCs w:val="22"/>
        </w:rPr>
        <w:t xml:space="preserve">forfeiture based on the good faith corrective efforts of a violator, those corrective efforts must be taken </w:t>
      </w:r>
      <w:r w:rsidR="00A675CC" w:rsidRPr="005A77BB">
        <w:rPr>
          <w:i/>
          <w:szCs w:val="22"/>
        </w:rPr>
        <w:t xml:space="preserve">prior </w:t>
      </w:r>
      <w:r w:rsidR="00A675CC" w:rsidRPr="005A77BB">
        <w:rPr>
          <w:szCs w:val="22"/>
        </w:rPr>
        <w:t>to notification of the violation.</w:t>
      </w:r>
      <w:r w:rsidR="00A675CC" w:rsidRPr="005A77BB">
        <w:rPr>
          <w:szCs w:val="22"/>
          <w:vertAlign w:val="superscript"/>
        </w:rPr>
        <w:footnoteReference w:id="18"/>
      </w:r>
      <w:r w:rsidR="00A675CC" w:rsidRPr="005A77BB">
        <w:rPr>
          <w:szCs w:val="22"/>
        </w:rPr>
        <w:t xml:space="preserve">  As the Commission has repeatedly stated, “corrective action taken to come into compliance with Commission rules or policy is expected, and does not nullify or mitigate any prior forfeitures or violations.</w:t>
      </w:r>
      <w:bookmarkStart w:id="7" w:name="FN[FN8]"/>
      <w:bookmarkEnd w:id="7"/>
      <w:r w:rsidR="00A675CC" w:rsidRPr="005A77BB">
        <w:rPr>
          <w:szCs w:val="22"/>
        </w:rPr>
        <w:t>”</w:t>
      </w:r>
      <w:r w:rsidR="00A675CC" w:rsidRPr="005A77BB">
        <w:rPr>
          <w:szCs w:val="22"/>
          <w:vertAlign w:val="superscript"/>
        </w:rPr>
        <w:footnoteReference w:id="19"/>
      </w:r>
      <w:r w:rsidR="00A675CC" w:rsidRPr="005A77BB">
        <w:rPr>
          <w:szCs w:val="22"/>
        </w:rPr>
        <w:t xml:space="preserve"> </w:t>
      </w:r>
      <w:r w:rsidR="00470504" w:rsidRPr="00A675CC">
        <w:rPr>
          <w:szCs w:val="22"/>
        </w:rPr>
        <w:t xml:space="preserve"> </w:t>
      </w:r>
      <w:r w:rsidR="00A675CC">
        <w:rPr>
          <w:szCs w:val="22"/>
        </w:rPr>
        <w:t>In December 2010, J &amp; J filed a notification of the change in the Antenna Structure’s ownership</w:t>
      </w:r>
      <w:r w:rsidR="00470504" w:rsidRPr="00A675CC">
        <w:rPr>
          <w:szCs w:val="22"/>
        </w:rPr>
        <w:t>.</w:t>
      </w:r>
      <w:r w:rsidR="00470504" w:rsidRPr="00A86F4E">
        <w:rPr>
          <w:rStyle w:val="FootnoteReference"/>
          <w:spacing w:val="-2"/>
          <w:sz w:val="22"/>
          <w:szCs w:val="22"/>
        </w:rPr>
        <w:footnoteReference w:id="20"/>
      </w:r>
      <w:r w:rsidR="00A675CC">
        <w:rPr>
          <w:szCs w:val="22"/>
        </w:rPr>
        <w:t xml:space="preserve">  However, t</w:t>
      </w:r>
      <w:r w:rsidR="00135542" w:rsidRPr="00A675CC">
        <w:rPr>
          <w:szCs w:val="22"/>
        </w:rPr>
        <w:t xml:space="preserve">he Commission promptly </w:t>
      </w:r>
      <w:r w:rsidR="00704D7D">
        <w:rPr>
          <w:szCs w:val="22"/>
        </w:rPr>
        <w:t>rejected this</w:t>
      </w:r>
      <w:r w:rsidR="00A675CC">
        <w:rPr>
          <w:szCs w:val="22"/>
        </w:rPr>
        <w:t xml:space="preserve"> filing as deficient and </w:t>
      </w:r>
      <w:r w:rsidR="00135542" w:rsidRPr="00A675CC">
        <w:rPr>
          <w:szCs w:val="22"/>
        </w:rPr>
        <w:t xml:space="preserve">directed J &amp; J to </w:t>
      </w:r>
      <w:r w:rsidR="00704D7D">
        <w:rPr>
          <w:szCs w:val="22"/>
        </w:rPr>
        <w:t>refile its ownership change notification</w:t>
      </w:r>
      <w:r w:rsidR="00135542" w:rsidRPr="00A675CC">
        <w:rPr>
          <w:szCs w:val="22"/>
        </w:rPr>
        <w:t>.</w:t>
      </w:r>
      <w:r w:rsidR="00135542" w:rsidRPr="00A86F4E">
        <w:rPr>
          <w:rStyle w:val="FootnoteReference"/>
          <w:sz w:val="22"/>
          <w:szCs w:val="22"/>
        </w:rPr>
        <w:footnoteReference w:id="21"/>
      </w:r>
      <w:r w:rsidR="00135542" w:rsidRPr="00A675CC">
        <w:rPr>
          <w:szCs w:val="22"/>
        </w:rPr>
        <w:t xml:space="preserve">  </w:t>
      </w:r>
      <w:r w:rsidR="00321E26" w:rsidRPr="00A675CC">
        <w:rPr>
          <w:szCs w:val="22"/>
        </w:rPr>
        <w:t xml:space="preserve">J &amp; J </w:t>
      </w:r>
      <w:r w:rsidR="00A675CC">
        <w:rPr>
          <w:szCs w:val="22"/>
        </w:rPr>
        <w:t xml:space="preserve">concedes that it did not file a </w:t>
      </w:r>
      <w:r w:rsidR="00321E26" w:rsidRPr="00A675CC">
        <w:rPr>
          <w:szCs w:val="22"/>
        </w:rPr>
        <w:t xml:space="preserve">proper notification of </w:t>
      </w:r>
      <w:r w:rsidR="00A675CC">
        <w:rPr>
          <w:szCs w:val="22"/>
        </w:rPr>
        <w:t xml:space="preserve">the </w:t>
      </w:r>
      <w:r w:rsidR="00321E26" w:rsidRPr="00A675CC">
        <w:rPr>
          <w:szCs w:val="22"/>
        </w:rPr>
        <w:t xml:space="preserve">ownership </w:t>
      </w:r>
      <w:r w:rsidR="00704D7D">
        <w:rPr>
          <w:szCs w:val="22"/>
        </w:rPr>
        <w:t xml:space="preserve">change </w:t>
      </w:r>
      <w:r w:rsidR="00321E26" w:rsidRPr="00A675CC">
        <w:rPr>
          <w:szCs w:val="22"/>
        </w:rPr>
        <w:t xml:space="preserve">until </w:t>
      </w:r>
      <w:r w:rsidR="00A03E93" w:rsidRPr="00A675CC">
        <w:rPr>
          <w:szCs w:val="22"/>
        </w:rPr>
        <w:t xml:space="preserve">October 2012, </w:t>
      </w:r>
      <w:r w:rsidR="00802AC3">
        <w:rPr>
          <w:szCs w:val="22"/>
        </w:rPr>
        <w:t>over a year after the inspection by the Bureau agent</w:t>
      </w:r>
      <w:r w:rsidR="00FC7E66" w:rsidRPr="00A675CC">
        <w:rPr>
          <w:szCs w:val="22"/>
        </w:rPr>
        <w:t>.</w:t>
      </w:r>
      <w:r w:rsidR="00FC7E66" w:rsidRPr="00A86F4E">
        <w:rPr>
          <w:rStyle w:val="FootnoteReference"/>
          <w:sz w:val="22"/>
          <w:szCs w:val="22"/>
        </w:rPr>
        <w:footnoteReference w:id="22"/>
      </w:r>
      <w:r w:rsidR="00802AC3">
        <w:rPr>
          <w:szCs w:val="22"/>
        </w:rPr>
        <w:t xml:space="preserve">  As J &amp; J knew that its initial Antenna Structure ownership filing was defective and failed to take any corrective action until well after inspection, we find no basis to reduce the forfeiture</w:t>
      </w:r>
      <w:r w:rsidR="00F55465" w:rsidRPr="00802AC3">
        <w:rPr>
          <w:szCs w:val="22"/>
        </w:rPr>
        <w:t>.</w:t>
      </w:r>
      <w:r w:rsidR="00A03E93" w:rsidRPr="00A86F4E">
        <w:rPr>
          <w:rStyle w:val="FootnoteReference"/>
          <w:sz w:val="22"/>
          <w:szCs w:val="22"/>
        </w:rPr>
        <w:footnoteReference w:id="23"/>
      </w:r>
      <w:r w:rsidR="00802AC3">
        <w:rPr>
          <w:szCs w:val="22"/>
        </w:rPr>
        <w:t xml:space="preserve">  </w:t>
      </w:r>
    </w:p>
    <w:p w:rsidR="00F61F24" w:rsidRPr="00F61F24" w:rsidRDefault="00802AC3" w:rsidP="00F61F24">
      <w:pPr>
        <w:pStyle w:val="ParaNum"/>
        <w:widowControl/>
        <w:rPr>
          <w:szCs w:val="22"/>
        </w:rPr>
      </w:pPr>
      <w:r>
        <w:rPr>
          <w:szCs w:val="22"/>
        </w:rPr>
        <w:t>We similarly find no basis to reduce the fo</w:t>
      </w:r>
      <w:r w:rsidR="00704D7D">
        <w:rPr>
          <w:szCs w:val="22"/>
        </w:rPr>
        <w:t>rfeiture based on J &amp; J’s claim</w:t>
      </w:r>
      <w:r>
        <w:rPr>
          <w:szCs w:val="22"/>
        </w:rPr>
        <w:t xml:space="preserve"> that the missing </w:t>
      </w:r>
      <w:r w:rsidRPr="00A86F4E">
        <w:rPr>
          <w:szCs w:val="22"/>
        </w:rPr>
        <w:t xml:space="preserve">quarterly issues/programs lists </w:t>
      </w:r>
      <w:r>
        <w:rPr>
          <w:szCs w:val="22"/>
        </w:rPr>
        <w:t>were taken out of the S</w:t>
      </w:r>
      <w:r w:rsidR="005B2779">
        <w:rPr>
          <w:szCs w:val="22"/>
        </w:rPr>
        <w:t>tations’ public inspection file</w:t>
      </w:r>
      <w:r w:rsidRPr="00A86F4E">
        <w:rPr>
          <w:szCs w:val="22"/>
        </w:rPr>
        <w:t xml:space="preserve"> by</w:t>
      </w:r>
      <w:r w:rsidR="00704D7D">
        <w:rPr>
          <w:szCs w:val="22"/>
        </w:rPr>
        <w:t xml:space="preserve"> a member of the public </w:t>
      </w:r>
      <w:r w:rsidR="00BB667D">
        <w:rPr>
          <w:szCs w:val="22"/>
        </w:rPr>
        <w:t xml:space="preserve">shortly </w:t>
      </w:r>
      <w:r w:rsidR="00704D7D">
        <w:rPr>
          <w:szCs w:val="22"/>
        </w:rPr>
        <w:t xml:space="preserve">before </w:t>
      </w:r>
      <w:r w:rsidR="00BB667D">
        <w:rPr>
          <w:szCs w:val="22"/>
        </w:rPr>
        <w:t>inspection by the Bureau agent</w:t>
      </w:r>
      <w:r>
        <w:rPr>
          <w:szCs w:val="22"/>
        </w:rPr>
        <w:t>.</w:t>
      </w:r>
      <w:r>
        <w:rPr>
          <w:rStyle w:val="FootnoteReference"/>
          <w:szCs w:val="22"/>
        </w:rPr>
        <w:footnoteReference w:id="24"/>
      </w:r>
      <w:r>
        <w:rPr>
          <w:szCs w:val="22"/>
        </w:rPr>
        <w:t xml:space="preserve">  The Commission may reduce </w:t>
      </w:r>
      <w:r w:rsidRPr="008E69B3">
        <w:rPr>
          <w:szCs w:val="22"/>
        </w:rPr>
        <w:t xml:space="preserve">a proposed penalty </w:t>
      </w:r>
      <w:r>
        <w:rPr>
          <w:szCs w:val="22"/>
        </w:rPr>
        <w:t>when a violation arose “</w:t>
      </w:r>
      <w:r w:rsidRPr="008E69B3">
        <w:rPr>
          <w:szCs w:val="22"/>
        </w:rPr>
        <w:t>just prior</w:t>
      </w:r>
      <w:r>
        <w:rPr>
          <w:szCs w:val="22"/>
        </w:rPr>
        <w:t>” to a</w:t>
      </w:r>
      <w:r w:rsidRPr="008E69B3">
        <w:rPr>
          <w:szCs w:val="22"/>
        </w:rPr>
        <w:t xml:space="preserve"> Commission inspection</w:t>
      </w:r>
      <w:r>
        <w:rPr>
          <w:szCs w:val="22"/>
        </w:rPr>
        <w:t>,</w:t>
      </w:r>
      <w:r>
        <w:rPr>
          <w:rStyle w:val="FootnoteReference"/>
          <w:szCs w:val="22"/>
        </w:rPr>
        <w:footnoteReference w:id="25"/>
      </w:r>
      <w:r w:rsidR="00BB667D">
        <w:rPr>
          <w:szCs w:val="22"/>
        </w:rPr>
        <w:t xml:space="preserve"> but J &amp; J states</w:t>
      </w:r>
      <w:r>
        <w:rPr>
          <w:szCs w:val="22"/>
        </w:rPr>
        <w:t xml:space="preserve"> that the issues/programs lists were removed on July 6, 2011, over two months before the inspection of the Stations.</w:t>
      </w:r>
      <w:r>
        <w:rPr>
          <w:rStyle w:val="FootnoteReference"/>
          <w:szCs w:val="22"/>
        </w:rPr>
        <w:footnoteReference w:id="26"/>
      </w:r>
      <w:r w:rsidR="00BB667D">
        <w:rPr>
          <w:szCs w:val="22"/>
        </w:rPr>
        <w:t xml:space="preserve">  </w:t>
      </w:r>
      <w:r w:rsidRPr="005A77BB">
        <w:rPr>
          <w:szCs w:val="22"/>
        </w:rPr>
        <w:t xml:space="preserve">As the </w:t>
      </w:r>
      <w:r w:rsidR="00BB667D">
        <w:rPr>
          <w:szCs w:val="22"/>
        </w:rPr>
        <w:t>Station</w:t>
      </w:r>
      <w:r>
        <w:rPr>
          <w:szCs w:val="22"/>
        </w:rPr>
        <w:t>s</w:t>
      </w:r>
      <w:r w:rsidR="00BB667D">
        <w:rPr>
          <w:szCs w:val="22"/>
        </w:rPr>
        <w:t>’</w:t>
      </w:r>
      <w:r>
        <w:rPr>
          <w:szCs w:val="22"/>
        </w:rPr>
        <w:t xml:space="preserve"> </w:t>
      </w:r>
      <w:r w:rsidRPr="005A77BB">
        <w:rPr>
          <w:rStyle w:val="cosearchterm"/>
          <w:szCs w:val="22"/>
        </w:rPr>
        <w:t>licensee</w:t>
      </w:r>
      <w:r>
        <w:rPr>
          <w:szCs w:val="22"/>
        </w:rPr>
        <w:t xml:space="preserve">, J &amp; J </w:t>
      </w:r>
      <w:r w:rsidRPr="005A77BB">
        <w:rPr>
          <w:szCs w:val="22"/>
        </w:rPr>
        <w:t xml:space="preserve">is charged with knowledge of the full range of its </w:t>
      </w:r>
      <w:r>
        <w:rPr>
          <w:szCs w:val="22"/>
        </w:rPr>
        <w:t>regulatory obligations and</w:t>
      </w:r>
      <w:r w:rsidRPr="005A77BB">
        <w:rPr>
          <w:szCs w:val="22"/>
        </w:rPr>
        <w:t xml:space="preserve"> ultimately </w:t>
      </w:r>
      <w:r>
        <w:rPr>
          <w:szCs w:val="22"/>
        </w:rPr>
        <w:t>bears the responsibility</w:t>
      </w:r>
      <w:r w:rsidRPr="005A77BB">
        <w:rPr>
          <w:szCs w:val="22"/>
        </w:rPr>
        <w:t xml:space="preserve"> for the failure to mainta</w:t>
      </w:r>
      <w:r>
        <w:rPr>
          <w:szCs w:val="22"/>
        </w:rPr>
        <w:t>in the issues/programs lists</w:t>
      </w:r>
      <w:r w:rsidRPr="005A77BB">
        <w:rPr>
          <w:szCs w:val="22"/>
        </w:rPr>
        <w:t>.</w:t>
      </w:r>
      <w:r w:rsidRPr="005A77BB">
        <w:rPr>
          <w:rStyle w:val="FootnoteReference"/>
          <w:sz w:val="22"/>
          <w:szCs w:val="22"/>
        </w:rPr>
        <w:footnoteReference w:id="27"/>
      </w:r>
      <w:r>
        <w:rPr>
          <w:szCs w:val="22"/>
        </w:rPr>
        <w:t xml:space="preserve">  </w:t>
      </w:r>
      <w:r w:rsidR="00F61F24">
        <w:rPr>
          <w:szCs w:val="22"/>
        </w:rPr>
        <w:t>J &amp; J failed to ensure that t</w:t>
      </w:r>
      <w:r w:rsidR="00012A54">
        <w:rPr>
          <w:szCs w:val="22"/>
        </w:rPr>
        <w:t>he public inspection file</w:t>
      </w:r>
      <w:r w:rsidR="00F61F24">
        <w:rPr>
          <w:szCs w:val="22"/>
        </w:rPr>
        <w:t xml:space="preserve"> for the Stations r</w:t>
      </w:r>
      <w:r w:rsidR="00012A54">
        <w:rPr>
          <w:szCs w:val="22"/>
        </w:rPr>
        <w:t>emained complete</w:t>
      </w:r>
      <w:r w:rsidR="00F61F24">
        <w:rPr>
          <w:szCs w:val="22"/>
        </w:rPr>
        <w:t>.  The mere fact that the missing issu</w:t>
      </w:r>
      <w:r w:rsidR="00BB667D">
        <w:rPr>
          <w:szCs w:val="22"/>
        </w:rPr>
        <w:t>es/programs lists may have resulted</w:t>
      </w:r>
      <w:r w:rsidR="00F61F24">
        <w:rPr>
          <w:szCs w:val="22"/>
        </w:rPr>
        <w:t xml:space="preserve"> from the actions of a third party</w:t>
      </w:r>
      <w:r w:rsidR="00F61F24">
        <w:t xml:space="preserve"> does not diminish J &amp; J’s liability for the violation.</w:t>
      </w:r>
      <w:r w:rsidR="00F61F24">
        <w:rPr>
          <w:rStyle w:val="FootnoteReference"/>
        </w:rPr>
        <w:footnoteReference w:id="28"/>
      </w:r>
      <w:r w:rsidR="00F61F24">
        <w:t xml:space="preserve">  As a result, we find that J &amp; J did not demonstrate good faith compliance efforts warranting forfeiture cancellation or reduction.</w:t>
      </w:r>
    </w:p>
    <w:p w:rsidR="00F61F24" w:rsidRPr="00C87A33" w:rsidRDefault="00F61F24" w:rsidP="00F61F24">
      <w:pPr>
        <w:pStyle w:val="Heading2"/>
      </w:pPr>
      <w:r>
        <w:t>J &amp; J Did Not Demonstrate an Inability to Pay Warranting Forfeiture Cancellation or Reduction</w:t>
      </w:r>
    </w:p>
    <w:p w:rsidR="00191615" w:rsidRPr="00E47846" w:rsidRDefault="00191615" w:rsidP="00F61F24">
      <w:pPr>
        <w:pStyle w:val="ParaNum"/>
        <w:keepNext/>
        <w:rPr>
          <w:szCs w:val="22"/>
        </w:rPr>
      </w:pPr>
      <w:r w:rsidRPr="00A86F4E">
        <w:rPr>
          <w:spacing w:val="-2"/>
          <w:szCs w:val="22"/>
        </w:rPr>
        <w:t xml:space="preserve">J &amp; J contends that it is unable to pay the forfeiture due to </w:t>
      </w:r>
      <w:r w:rsidR="00F61F24">
        <w:rPr>
          <w:spacing w:val="-2"/>
          <w:szCs w:val="22"/>
        </w:rPr>
        <w:t>“</w:t>
      </w:r>
      <w:r w:rsidRPr="00A86F4E">
        <w:rPr>
          <w:spacing w:val="-2"/>
          <w:szCs w:val="22"/>
        </w:rPr>
        <w:t>financial difficulties</w:t>
      </w:r>
      <w:r w:rsidR="00F61F24">
        <w:rPr>
          <w:spacing w:val="-2"/>
          <w:szCs w:val="22"/>
        </w:rPr>
        <w:t>”</w:t>
      </w:r>
      <w:r w:rsidR="00DF5941">
        <w:rPr>
          <w:spacing w:val="-2"/>
          <w:szCs w:val="22"/>
        </w:rPr>
        <w:t xml:space="preserve"> and submitted </w:t>
      </w:r>
      <w:r w:rsidRPr="00A86F4E">
        <w:rPr>
          <w:spacing w:val="-2"/>
          <w:szCs w:val="22"/>
        </w:rPr>
        <w:t xml:space="preserve">documentation </w:t>
      </w:r>
      <w:r w:rsidR="00DF5941">
        <w:rPr>
          <w:spacing w:val="-2"/>
          <w:szCs w:val="22"/>
        </w:rPr>
        <w:t xml:space="preserve">providing </w:t>
      </w:r>
      <w:r w:rsidR="00F61F24">
        <w:rPr>
          <w:spacing w:val="-2"/>
          <w:szCs w:val="22"/>
        </w:rPr>
        <w:t>information</w:t>
      </w:r>
      <w:r w:rsidR="00DF5941">
        <w:rPr>
          <w:spacing w:val="-2"/>
          <w:szCs w:val="22"/>
        </w:rPr>
        <w:t xml:space="preserve"> regarding its revenues</w:t>
      </w:r>
      <w:r w:rsidRPr="00F61F24">
        <w:rPr>
          <w:spacing w:val="-2"/>
          <w:szCs w:val="22"/>
        </w:rPr>
        <w:t>.</w:t>
      </w:r>
      <w:r w:rsidRPr="00A86F4E">
        <w:rPr>
          <w:rStyle w:val="FootnoteReference"/>
          <w:spacing w:val="-2"/>
          <w:sz w:val="22"/>
          <w:szCs w:val="22"/>
        </w:rPr>
        <w:footnoteReference w:id="29"/>
      </w:r>
      <w:r w:rsidRPr="00F61F24">
        <w:rPr>
          <w:spacing w:val="-2"/>
          <w:szCs w:val="22"/>
        </w:rPr>
        <w:t xml:space="preserve">  </w:t>
      </w:r>
      <w:r w:rsidR="00F61F24" w:rsidRPr="005A77BB">
        <w:rPr>
          <w:szCs w:val="22"/>
        </w:rPr>
        <w:t>With regard to an individual’s or entity’s inability to pay claim, the Commission has determined that, in general, gross income or revenues are the best indicator of an ability to pay a forfeiture.</w:t>
      </w:r>
      <w:bookmarkStart w:id="8" w:name="_Ref350932452"/>
      <w:r w:rsidR="00F61F24" w:rsidRPr="005A77BB">
        <w:rPr>
          <w:rStyle w:val="FootnoteCharacters"/>
          <w:szCs w:val="22"/>
        </w:rPr>
        <w:footnoteReference w:id="30"/>
      </w:r>
      <w:bookmarkEnd w:id="8"/>
      <w:r w:rsidR="00F61F24">
        <w:rPr>
          <w:szCs w:val="22"/>
        </w:rPr>
        <w:t xml:space="preserve">  </w:t>
      </w:r>
      <w:r w:rsidRPr="00F61F24">
        <w:rPr>
          <w:spacing w:val="-2"/>
          <w:szCs w:val="22"/>
        </w:rPr>
        <w:t>While the Commission has in a few limited cases looked to other factors, including profits and losses, to determine ability to pay, those cases involved licensees in severe financial distress.</w:t>
      </w:r>
      <w:r w:rsidR="009D2BA1">
        <w:rPr>
          <w:rStyle w:val="FootnoteReference"/>
          <w:spacing w:val="-2"/>
          <w:szCs w:val="22"/>
        </w:rPr>
        <w:footnoteReference w:id="31"/>
      </w:r>
      <w:r w:rsidRPr="00F61F24">
        <w:rPr>
          <w:spacing w:val="-2"/>
          <w:szCs w:val="22"/>
        </w:rPr>
        <w:t xml:space="preserve"> </w:t>
      </w:r>
      <w:r w:rsidR="009D2BA1">
        <w:rPr>
          <w:spacing w:val="-2"/>
          <w:szCs w:val="22"/>
        </w:rPr>
        <w:t xml:space="preserve"> </w:t>
      </w:r>
      <w:r w:rsidRPr="00F61F24">
        <w:rPr>
          <w:spacing w:val="-2"/>
          <w:szCs w:val="22"/>
        </w:rPr>
        <w:t>J &amp; J has failed to demonstrate that it is experiencing a level of financial distress that would qualify it for an exception to our gross revenues inability to pay analysis.</w:t>
      </w:r>
      <w:r w:rsidR="00F61F24" w:rsidRPr="00A86F4E">
        <w:rPr>
          <w:rStyle w:val="FootnoteReference"/>
          <w:spacing w:val="-2"/>
          <w:sz w:val="22"/>
          <w:szCs w:val="22"/>
        </w:rPr>
        <w:footnoteReference w:id="32"/>
      </w:r>
      <w:r w:rsidR="00F61F24" w:rsidRPr="00F61F24">
        <w:rPr>
          <w:spacing w:val="-2"/>
          <w:szCs w:val="22"/>
        </w:rPr>
        <w:t xml:space="preserve"> </w:t>
      </w:r>
      <w:r w:rsidRPr="00F61F24">
        <w:rPr>
          <w:spacing w:val="-2"/>
          <w:szCs w:val="22"/>
        </w:rPr>
        <w:t xml:space="preserve">  Consequently, based on our review of the financial documents provided by J &amp; J, we decline to </w:t>
      </w:r>
      <w:r w:rsidR="009D2BA1">
        <w:rPr>
          <w:spacing w:val="-2"/>
          <w:szCs w:val="22"/>
        </w:rPr>
        <w:t xml:space="preserve">cancel or </w:t>
      </w:r>
      <w:r w:rsidRPr="00F61F24">
        <w:rPr>
          <w:spacing w:val="-2"/>
          <w:szCs w:val="22"/>
        </w:rPr>
        <w:t>reduce the forfeiture on inability to pay grounds.</w:t>
      </w:r>
      <w:r w:rsidRPr="00A86F4E">
        <w:rPr>
          <w:rStyle w:val="FootnoteReference"/>
          <w:spacing w:val="-2"/>
          <w:sz w:val="22"/>
          <w:szCs w:val="22"/>
        </w:rPr>
        <w:footnoteReference w:id="33"/>
      </w:r>
    </w:p>
    <w:p w:rsidR="00E47846" w:rsidRPr="00E47846" w:rsidRDefault="00E47846" w:rsidP="00E47846">
      <w:pPr>
        <w:pStyle w:val="Heading2"/>
      </w:pPr>
      <w:r>
        <w:t xml:space="preserve">J &amp; J Demonstrated </w:t>
      </w:r>
      <w:r w:rsidR="006C163E">
        <w:t>a History of Compliance Warranting a Forfeiture Reduction</w:t>
      </w:r>
    </w:p>
    <w:p w:rsidR="007B2BE6" w:rsidRPr="007B2BE6" w:rsidRDefault="00386080" w:rsidP="00386080">
      <w:pPr>
        <w:pStyle w:val="ParaNum"/>
        <w:keepNext/>
        <w:widowControl/>
        <w:rPr>
          <w:szCs w:val="22"/>
        </w:rPr>
      </w:pPr>
      <w:r w:rsidRPr="00A86F4E">
        <w:rPr>
          <w:spacing w:val="-2"/>
          <w:szCs w:val="22"/>
        </w:rPr>
        <w:t>Finally, J &amp; J requests cancellation or reduction of the forfeiture based on its history of compliance with the Rules.</w:t>
      </w:r>
      <w:r w:rsidR="007C2CD5">
        <w:rPr>
          <w:rStyle w:val="FootnoteReference"/>
          <w:spacing w:val="-2"/>
          <w:szCs w:val="22"/>
        </w:rPr>
        <w:footnoteReference w:id="34"/>
      </w:r>
      <w:r w:rsidRPr="00A86F4E">
        <w:rPr>
          <w:spacing w:val="-2"/>
          <w:szCs w:val="22"/>
        </w:rPr>
        <w:t xml:space="preserve">  While we do not find </w:t>
      </w:r>
      <w:r w:rsidR="007C2CD5">
        <w:rPr>
          <w:spacing w:val="-2"/>
          <w:szCs w:val="22"/>
        </w:rPr>
        <w:t>that a cancellation is appropriate</w:t>
      </w:r>
      <w:r w:rsidRPr="00A86F4E">
        <w:rPr>
          <w:spacing w:val="-2"/>
          <w:szCs w:val="22"/>
        </w:rPr>
        <w:t xml:space="preserve">, we do find that </w:t>
      </w:r>
      <w:r w:rsidR="007C2CD5">
        <w:rPr>
          <w:spacing w:val="-2"/>
          <w:szCs w:val="22"/>
        </w:rPr>
        <w:t>J &amp; J’s history of compliance warrants a forfeiture reduction</w:t>
      </w:r>
      <w:r w:rsidRPr="00A86F4E">
        <w:rPr>
          <w:spacing w:val="-2"/>
          <w:szCs w:val="22"/>
        </w:rPr>
        <w:t>.</w:t>
      </w:r>
      <w:r w:rsidRPr="00A86F4E">
        <w:rPr>
          <w:rStyle w:val="FootnoteReference"/>
          <w:spacing w:val="-2"/>
          <w:sz w:val="22"/>
          <w:szCs w:val="22"/>
        </w:rPr>
        <w:footnoteReference w:id="35"/>
      </w:r>
      <w:r w:rsidRPr="00A86F4E">
        <w:rPr>
          <w:spacing w:val="-2"/>
          <w:szCs w:val="22"/>
        </w:rPr>
        <w:t xml:space="preserve">  Accordingly, </w:t>
      </w:r>
      <w:r w:rsidR="00AD32EA">
        <w:rPr>
          <w:spacing w:val="-2"/>
          <w:szCs w:val="22"/>
        </w:rPr>
        <w:t xml:space="preserve">based on the record before us and in light of the applicable statutory factors, </w:t>
      </w:r>
      <w:r w:rsidR="007B2BE6">
        <w:rPr>
          <w:spacing w:val="-2"/>
          <w:szCs w:val="22"/>
        </w:rPr>
        <w:t xml:space="preserve">we impose a penalty of $10,500 against J &amp; J for willfully and repeatedly violating Sections </w:t>
      </w:r>
      <w:r w:rsidR="007B2BE6" w:rsidRPr="00A86F4E">
        <w:rPr>
          <w:spacing w:val="-2"/>
          <w:szCs w:val="22"/>
        </w:rPr>
        <w:t>73.3526(e)(12) and 17.57</w:t>
      </w:r>
      <w:r w:rsidR="007B2BE6">
        <w:rPr>
          <w:spacing w:val="-2"/>
          <w:szCs w:val="22"/>
        </w:rPr>
        <w:t xml:space="preserve"> of the Rules </w:t>
      </w:r>
      <w:r w:rsidR="007B2BE6" w:rsidRPr="00A86F4E">
        <w:rPr>
          <w:szCs w:val="22"/>
        </w:rPr>
        <w:t xml:space="preserve">by </w:t>
      </w:r>
      <w:r w:rsidR="007B2BE6" w:rsidRPr="00A86F4E">
        <w:rPr>
          <w:spacing w:val="-2"/>
          <w:szCs w:val="22"/>
        </w:rPr>
        <w:t>failing to maintain and make available the quarterly issues/programs list</w:t>
      </w:r>
      <w:r w:rsidR="007B2BE6">
        <w:rPr>
          <w:spacing w:val="-2"/>
          <w:szCs w:val="22"/>
        </w:rPr>
        <w:t>s in the S</w:t>
      </w:r>
      <w:r w:rsidR="00012A54">
        <w:rPr>
          <w:spacing w:val="-2"/>
          <w:szCs w:val="22"/>
        </w:rPr>
        <w:t>tations’ public inspection file</w:t>
      </w:r>
      <w:r w:rsidR="007B2BE6" w:rsidRPr="00A86F4E">
        <w:rPr>
          <w:spacing w:val="-2"/>
          <w:szCs w:val="22"/>
        </w:rPr>
        <w:t xml:space="preserve"> and failing to immediately notify the Commission upon </w:t>
      </w:r>
      <w:r w:rsidR="00AD32EA">
        <w:rPr>
          <w:spacing w:val="-2"/>
          <w:szCs w:val="22"/>
        </w:rPr>
        <w:t xml:space="preserve">a </w:t>
      </w:r>
      <w:r w:rsidR="007B2BE6" w:rsidRPr="00A86F4E">
        <w:rPr>
          <w:spacing w:val="-2"/>
          <w:szCs w:val="22"/>
        </w:rPr>
        <w:t xml:space="preserve">change in </w:t>
      </w:r>
      <w:r w:rsidR="007B2BE6">
        <w:rPr>
          <w:spacing w:val="-2"/>
          <w:szCs w:val="22"/>
        </w:rPr>
        <w:t xml:space="preserve">the </w:t>
      </w:r>
      <w:r w:rsidR="007B2BE6" w:rsidRPr="00A86F4E">
        <w:rPr>
          <w:spacing w:val="-2"/>
          <w:szCs w:val="22"/>
        </w:rPr>
        <w:t>Antenna Structure</w:t>
      </w:r>
      <w:r w:rsidR="007B2BE6">
        <w:rPr>
          <w:spacing w:val="-2"/>
          <w:szCs w:val="22"/>
        </w:rPr>
        <w:t>’s</w:t>
      </w:r>
      <w:r w:rsidR="007B2BE6" w:rsidRPr="00A86F4E">
        <w:rPr>
          <w:spacing w:val="-2"/>
          <w:szCs w:val="22"/>
        </w:rPr>
        <w:t xml:space="preserve"> ownership</w:t>
      </w:r>
      <w:r w:rsidR="007B2BE6">
        <w:rPr>
          <w:spacing w:val="-2"/>
          <w:szCs w:val="22"/>
        </w:rPr>
        <w:t>.</w:t>
      </w:r>
    </w:p>
    <w:p w:rsidR="003343CA" w:rsidRPr="00A86F4E" w:rsidRDefault="003343CA" w:rsidP="00184F64">
      <w:pPr>
        <w:pStyle w:val="Heading1"/>
        <w:keepNext w:val="0"/>
        <w:pageBreakBefore/>
        <w:widowControl/>
        <w:rPr>
          <w:rFonts w:ascii="Times New Roman" w:hAnsi="Times New Roman"/>
          <w:szCs w:val="22"/>
        </w:rPr>
      </w:pPr>
      <w:r w:rsidRPr="00A86F4E">
        <w:rPr>
          <w:rFonts w:ascii="Times New Roman" w:hAnsi="Times New Roman"/>
          <w:szCs w:val="22"/>
        </w:rPr>
        <w:t>ORDERING CLAUSES</w:t>
      </w:r>
    </w:p>
    <w:p w:rsidR="003343CA" w:rsidRPr="00A86F4E" w:rsidRDefault="003343CA" w:rsidP="00F647BE">
      <w:pPr>
        <w:pStyle w:val="ParaNum"/>
        <w:rPr>
          <w:szCs w:val="22"/>
        </w:rPr>
      </w:pPr>
      <w:r w:rsidRPr="00A86F4E">
        <w:rPr>
          <w:szCs w:val="22"/>
        </w:rPr>
        <w:t xml:space="preserve">Accordingly, </w:t>
      </w:r>
      <w:r w:rsidRPr="00A86F4E">
        <w:rPr>
          <w:b/>
          <w:szCs w:val="22"/>
        </w:rPr>
        <w:t>IT IS ORDERED</w:t>
      </w:r>
      <w:r w:rsidR="00F23F1E" w:rsidRPr="00A86F4E">
        <w:rPr>
          <w:b/>
          <w:szCs w:val="22"/>
        </w:rPr>
        <w:t xml:space="preserve"> </w:t>
      </w:r>
      <w:r w:rsidR="00F23F1E" w:rsidRPr="00A86F4E">
        <w:rPr>
          <w:szCs w:val="22"/>
        </w:rPr>
        <w:t>that</w:t>
      </w:r>
      <w:r w:rsidRPr="00A86F4E">
        <w:rPr>
          <w:szCs w:val="22"/>
        </w:rPr>
        <w:t>, pursuant to Section 503(b) of the</w:t>
      </w:r>
      <w:r w:rsidR="00F23F1E" w:rsidRPr="00A86F4E">
        <w:rPr>
          <w:szCs w:val="22"/>
        </w:rPr>
        <w:t xml:space="preserve"> Act</w:t>
      </w:r>
      <w:r w:rsidRPr="00A86F4E">
        <w:rPr>
          <w:rStyle w:val="FootnoteReference"/>
          <w:sz w:val="22"/>
          <w:szCs w:val="22"/>
        </w:rPr>
        <w:footnoteReference w:id="36"/>
      </w:r>
      <w:r w:rsidRPr="00A86F4E">
        <w:rPr>
          <w:szCs w:val="22"/>
        </w:rPr>
        <w:t xml:space="preserve"> and Section 1.80 of the Rules,</w:t>
      </w:r>
      <w:r w:rsidRPr="00A86F4E">
        <w:rPr>
          <w:rStyle w:val="FootnoteReference"/>
          <w:sz w:val="22"/>
          <w:szCs w:val="22"/>
        </w:rPr>
        <w:footnoteReference w:id="37"/>
      </w:r>
      <w:r w:rsidRPr="00A86F4E">
        <w:rPr>
          <w:szCs w:val="22"/>
        </w:rPr>
        <w:t xml:space="preserve"> </w:t>
      </w:r>
      <w:r w:rsidR="00AD32EA">
        <w:rPr>
          <w:szCs w:val="22"/>
        </w:rPr>
        <w:t>J &amp; J Broadcasting, Inc.</w:t>
      </w:r>
      <w:r w:rsidRPr="00A86F4E">
        <w:rPr>
          <w:szCs w:val="22"/>
        </w:rPr>
        <w:t xml:space="preserve"> </w:t>
      </w:r>
      <w:r w:rsidRPr="00A86F4E">
        <w:rPr>
          <w:b/>
          <w:szCs w:val="22"/>
        </w:rPr>
        <w:t>IS LIABLE FOR A MONETARY FORFEITURE</w:t>
      </w:r>
      <w:r w:rsidRPr="00A86F4E">
        <w:rPr>
          <w:szCs w:val="22"/>
        </w:rPr>
        <w:t xml:space="preserve"> in the amount of </w:t>
      </w:r>
      <w:r w:rsidR="005224ED">
        <w:rPr>
          <w:szCs w:val="22"/>
        </w:rPr>
        <w:t>ten t</w:t>
      </w:r>
      <w:r w:rsidR="00F647BE" w:rsidRPr="00A86F4E">
        <w:rPr>
          <w:szCs w:val="22"/>
        </w:rPr>
        <w:t>housand</w:t>
      </w:r>
      <w:r w:rsidR="005224ED">
        <w:rPr>
          <w:szCs w:val="22"/>
        </w:rPr>
        <w:t xml:space="preserve"> five h</w:t>
      </w:r>
      <w:r w:rsidR="00A03E93" w:rsidRPr="00A86F4E">
        <w:rPr>
          <w:szCs w:val="22"/>
        </w:rPr>
        <w:t>undred</w:t>
      </w:r>
      <w:r w:rsidRPr="00A86F4E">
        <w:rPr>
          <w:szCs w:val="22"/>
        </w:rPr>
        <w:t xml:space="preserve"> dollars (</w:t>
      </w:r>
      <w:r w:rsidR="00A03E93" w:rsidRPr="00A86F4E">
        <w:rPr>
          <w:szCs w:val="22"/>
        </w:rPr>
        <w:t>$10,500</w:t>
      </w:r>
      <w:r w:rsidRPr="00A86F4E">
        <w:rPr>
          <w:szCs w:val="22"/>
        </w:rPr>
        <w:t xml:space="preserve">) for willfully </w:t>
      </w:r>
      <w:r w:rsidR="00F647BE" w:rsidRPr="00A86F4E">
        <w:rPr>
          <w:szCs w:val="22"/>
        </w:rPr>
        <w:t>and repeatedly</w:t>
      </w:r>
      <w:r w:rsidR="00F23F1E" w:rsidRPr="00A86F4E">
        <w:rPr>
          <w:szCs w:val="22"/>
        </w:rPr>
        <w:t xml:space="preserve"> </w:t>
      </w:r>
      <w:r w:rsidRPr="00A86F4E">
        <w:rPr>
          <w:szCs w:val="22"/>
        </w:rPr>
        <w:t xml:space="preserve">violating Sections </w:t>
      </w:r>
      <w:r w:rsidR="00F647BE" w:rsidRPr="00A86F4E">
        <w:rPr>
          <w:szCs w:val="22"/>
        </w:rPr>
        <w:t>73.3526(e)(12) and 17.57</w:t>
      </w:r>
      <w:r w:rsidRPr="00A86F4E">
        <w:rPr>
          <w:szCs w:val="22"/>
        </w:rPr>
        <w:t xml:space="preserve"> of the Rules.</w:t>
      </w:r>
      <w:r w:rsidR="005224ED">
        <w:rPr>
          <w:rStyle w:val="FootnoteReference"/>
          <w:szCs w:val="22"/>
        </w:rPr>
        <w:footnoteReference w:id="38"/>
      </w:r>
    </w:p>
    <w:p w:rsidR="003343CA" w:rsidRPr="00A86F4E" w:rsidRDefault="003343CA" w:rsidP="00F23F1E">
      <w:pPr>
        <w:pStyle w:val="ParaNum"/>
        <w:rPr>
          <w:szCs w:val="22"/>
        </w:rPr>
      </w:pPr>
      <w:r w:rsidRPr="00A86F4E">
        <w:rPr>
          <w:szCs w:val="22"/>
        </w:rPr>
        <w:t xml:space="preserve">Payment of the forfeiture shall be made in the manner provided for in Section 1.80 of the Rules within </w:t>
      </w:r>
      <w:r w:rsidR="00225854" w:rsidRPr="00A86F4E">
        <w:rPr>
          <w:szCs w:val="22"/>
        </w:rPr>
        <w:t>thirty (30</w:t>
      </w:r>
      <w:r w:rsidRPr="00A86F4E">
        <w:rPr>
          <w:szCs w:val="22"/>
        </w:rPr>
        <w:t>) calendar days after the release of this Forfeiture Order.</w:t>
      </w:r>
      <w:r w:rsidRPr="00A86F4E">
        <w:rPr>
          <w:rStyle w:val="FootnoteReference"/>
          <w:sz w:val="22"/>
          <w:szCs w:val="22"/>
        </w:rPr>
        <w:footnoteReference w:id="39"/>
      </w:r>
      <w:r w:rsidRPr="00A86F4E">
        <w:rPr>
          <w:szCs w:val="22"/>
        </w:rPr>
        <w:t xml:space="preserve">  If the forfeiture is not paid within the period specified, the case may be referred to the U.S. Department of Justice for enforcement of the forfeiture pursuant to Section 504(a) of the Act.</w:t>
      </w:r>
      <w:r w:rsidRPr="00A86F4E">
        <w:rPr>
          <w:rStyle w:val="FootnoteReference"/>
          <w:sz w:val="22"/>
          <w:szCs w:val="22"/>
        </w:rPr>
        <w:footnoteReference w:id="40"/>
      </w:r>
      <w:r w:rsidRPr="00A86F4E">
        <w:rPr>
          <w:szCs w:val="22"/>
        </w:rPr>
        <w:t xml:space="preserve">  </w:t>
      </w:r>
    </w:p>
    <w:p w:rsidR="003343CA" w:rsidRPr="00A86F4E" w:rsidRDefault="00F23F1E" w:rsidP="00F23F1E">
      <w:pPr>
        <w:pStyle w:val="ParaNum"/>
        <w:rPr>
          <w:szCs w:val="22"/>
        </w:rPr>
      </w:pPr>
      <w:r w:rsidRPr="00A86F4E">
        <w:rPr>
          <w:szCs w:val="22"/>
        </w:rPr>
        <w:t xml:space="preserve">Payment of the forfeiture must be made by check or similar instrument, wire transfer, or credit card, and must include the NAL/Account Number and FRN referenced above.  </w:t>
      </w:r>
      <w:r w:rsidR="00AD32EA">
        <w:rPr>
          <w:szCs w:val="22"/>
        </w:rPr>
        <w:t>J &amp; J Broadcasting, Inc.</w:t>
      </w:r>
      <w:r w:rsidR="00F647BE" w:rsidRPr="00A86F4E">
        <w:rPr>
          <w:szCs w:val="22"/>
        </w:rPr>
        <w:t xml:space="preserve"> </w:t>
      </w:r>
      <w:r w:rsidRPr="00A86F4E">
        <w:rPr>
          <w:szCs w:val="22"/>
        </w:rPr>
        <w:t xml:space="preserve">shall send electronic notification of payment to </w:t>
      </w:r>
      <w:r w:rsidR="00F647BE" w:rsidRPr="00A86F4E">
        <w:rPr>
          <w:szCs w:val="22"/>
        </w:rPr>
        <w:t>William Reed</w:t>
      </w:r>
      <w:r w:rsidRPr="00A86F4E">
        <w:rPr>
          <w:szCs w:val="22"/>
        </w:rPr>
        <w:t xml:space="preserve"> at </w:t>
      </w:r>
      <w:r w:rsidR="00F647BE" w:rsidRPr="00A86F4E">
        <w:rPr>
          <w:szCs w:val="22"/>
        </w:rPr>
        <w:t>william.reed</w:t>
      </w:r>
      <w:r w:rsidRPr="00A86F4E">
        <w:rPr>
          <w:szCs w:val="22"/>
        </w:rPr>
        <w:t xml:space="preserve">@fcc.gov on the date said payment is made.  </w:t>
      </w:r>
      <w:r w:rsidR="003343CA" w:rsidRPr="00A86F4E">
        <w:rPr>
          <w:szCs w:val="22"/>
        </w:rPr>
        <w:t>Regardless of the form of payment, a completed FCC Form 159 (Remittance Advice) must be submitted.</w:t>
      </w:r>
      <w:r w:rsidR="003343CA" w:rsidRPr="00A86F4E">
        <w:rPr>
          <w:rStyle w:val="FootnoteReference"/>
          <w:sz w:val="22"/>
          <w:szCs w:val="22"/>
        </w:rPr>
        <w:footnoteReference w:id="41"/>
      </w:r>
      <w:r w:rsidR="003343CA" w:rsidRPr="00A86F4E">
        <w:rPr>
          <w:szCs w:val="22"/>
        </w:rPr>
        <w:t xml:space="preserve">  When completing the Form 159, enter the Account Number in block number 23A (call sign/other ID) and enter the letters “FORF” in block number 24A (payment type code).  </w:t>
      </w:r>
      <w:r w:rsidRPr="00A86F4E">
        <w:rPr>
          <w:szCs w:val="22"/>
        </w:rPr>
        <w:t>Below are additional instructions that should be followed based on the form of payment selected:</w:t>
      </w:r>
    </w:p>
    <w:p w:rsidR="003343CA" w:rsidRPr="00A86F4E" w:rsidRDefault="003343CA" w:rsidP="00C138D9">
      <w:pPr>
        <w:pStyle w:val="par1"/>
        <w:numPr>
          <w:ilvl w:val="0"/>
          <w:numId w:val="39"/>
        </w:numPr>
        <w:tabs>
          <w:tab w:val="clear" w:pos="1440"/>
        </w:tabs>
        <w:spacing w:after="120"/>
        <w:rPr>
          <w:sz w:val="22"/>
          <w:szCs w:val="22"/>
        </w:rPr>
      </w:pPr>
      <w:r w:rsidRPr="00A86F4E">
        <w:rPr>
          <w:sz w:val="22"/>
          <w:szCs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A86F4E">
        <w:rPr>
          <w:sz w:val="22"/>
          <w:szCs w:val="22"/>
        </w:rPr>
        <w:noBreakHyphen/>
        <w:t>MO-C2-GL, 1005 Convention Plaza, St. Louis, MO 63101.</w:t>
      </w:r>
    </w:p>
    <w:p w:rsidR="003343CA" w:rsidRPr="00A86F4E" w:rsidRDefault="003343CA" w:rsidP="00C138D9">
      <w:pPr>
        <w:pStyle w:val="par1"/>
        <w:numPr>
          <w:ilvl w:val="0"/>
          <w:numId w:val="39"/>
        </w:numPr>
        <w:tabs>
          <w:tab w:val="clear" w:pos="1440"/>
        </w:tabs>
        <w:spacing w:after="120"/>
        <w:rPr>
          <w:sz w:val="22"/>
          <w:szCs w:val="22"/>
        </w:rPr>
      </w:pPr>
      <w:r w:rsidRPr="00A86F4E">
        <w:rPr>
          <w:sz w:val="22"/>
          <w:szCs w:val="22"/>
        </w:rPr>
        <w:t xml:space="preserve">Payment by wire transfer must be made to ABA Number 021030004, receiving bank TREAS/NYC, and Account Number 27000001.  To complete the wire transfer and </w:t>
      </w:r>
      <w:r w:rsidR="002D74C4" w:rsidRPr="00A86F4E">
        <w:rPr>
          <w:sz w:val="22"/>
          <w:szCs w:val="22"/>
        </w:rPr>
        <w:t>e</w:t>
      </w:r>
      <w:r w:rsidRPr="00A86F4E">
        <w:rPr>
          <w:sz w:val="22"/>
          <w:szCs w:val="22"/>
        </w:rPr>
        <w:t>nsure appropriate crediting of the wired funds, a completed Form 159 must be faxed to U.S. Bank at (314) 418-4232 on the same business day the wire transfer is initiated.</w:t>
      </w:r>
    </w:p>
    <w:p w:rsidR="003343CA" w:rsidRPr="00A86F4E" w:rsidRDefault="003343CA" w:rsidP="00C138D9">
      <w:pPr>
        <w:pStyle w:val="par1"/>
        <w:widowControl/>
        <w:numPr>
          <w:ilvl w:val="0"/>
          <w:numId w:val="39"/>
        </w:numPr>
        <w:tabs>
          <w:tab w:val="clear" w:pos="1440"/>
        </w:tabs>
        <w:spacing w:after="120"/>
        <w:ind w:left="1267"/>
        <w:rPr>
          <w:sz w:val="22"/>
          <w:szCs w:val="22"/>
        </w:rPr>
      </w:pPr>
      <w:r w:rsidRPr="00A86F4E">
        <w:rPr>
          <w:sz w:val="22"/>
          <w:szCs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F23F1E" w:rsidRPr="00A86F4E" w:rsidRDefault="00F23F1E" w:rsidP="00C90207">
      <w:pPr>
        <w:pStyle w:val="ParaNum"/>
        <w:rPr>
          <w:szCs w:val="22"/>
        </w:rPr>
      </w:pPr>
      <w:r w:rsidRPr="00A86F4E">
        <w:rPr>
          <w:szCs w:val="22"/>
        </w:rPr>
        <w:t>Any request for making full payment over time under an installment plan should be sent to:  Chief Financial Officer – Financial Operations, Federal Communications Commission, 445 12th Street, SW, Room 1</w:t>
      </w:r>
      <w:r w:rsidRPr="00A86F4E">
        <w:rPr>
          <w:szCs w:val="22"/>
        </w:rPr>
        <w:noBreakHyphen/>
        <w:t>A625, Washington, DC 20554.</w:t>
      </w:r>
      <w:r w:rsidRPr="00A86F4E">
        <w:rPr>
          <w:rStyle w:val="FootnoteReference"/>
          <w:sz w:val="22"/>
          <w:szCs w:val="22"/>
        </w:rPr>
        <w:footnoteReference w:id="42"/>
      </w:r>
      <w:r w:rsidRPr="00A86F4E">
        <w:rPr>
          <w:szCs w:val="22"/>
        </w:rPr>
        <w:t xml:space="preserve">  Questions regarding payment procedures should be directed to the Financial Operations Group Help Desk by telephone, 1-877-480-3201, or by e-mail, ARINQUIRIES@fcc.gov.</w:t>
      </w:r>
    </w:p>
    <w:p w:rsidR="003343CA" w:rsidRPr="00A86F4E" w:rsidRDefault="003343CA" w:rsidP="0045522C">
      <w:pPr>
        <w:pStyle w:val="ParaNum"/>
        <w:widowControl/>
        <w:rPr>
          <w:szCs w:val="22"/>
        </w:rPr>
      </w:pPr>
      <w:r w:rsidRPr="00A86F4E">
        <w:rPr>
          <w:b/>
          <w:szCs w:val="22"/>
        </w:rPr>
        <w:t>IT IS FURTHER ORDERED</w:t>
      </w:r>
      <w:r w:rsidRPr="00A86F4E">
        <w:rPr>
          <w:szCs w:val="22"/>
        </w:rPr>
        <w:t xml:space="preserve"> that a copy of this Forfeiture Order </w:t>
      </w:r>
      <w:r w:rsidR="00F23F1E" w:rsidRPr="00A86F4E">
        <w:rPr>
          <w:szCs w:val="22"/>
        </w:rPr>
        <w:t xml:space="preserve">shall be sent by first class mail and certified mail, return receipt requested, to </w:t>
      </w:r>
      <w:r w:rsidR="00F647BE" w:rsidRPr="00A86F4E">
        <w:rPr>
          <w:szCs w:val="22"/>
        </w:rPr>
        <w:t>Mr. Gerald J. Hackman</w:t>
      </w:r>
      <w:r w:rsidR="00F23F1E" w:rsidRPr="00A86F4E">
        <w:rPr>
          <w:szCs w:val="22"/>
        </w:rPr>
        <w:t>,</w:t>
      </w:r>
      <w:r w:rsidR="00F647BE" w:rsidRPr="00A86F4E">
        <w:rPr>
          <w:szCs w:val="22"/>
        </w:rPr>
        <w:t xml:space="preserve"> President</w:t>
      </w:r>
      <w:r w:rsidR="00F23F1E" w:rsidRPr="00A86F4E">
        <w:rPr>
          <w:szCs w:val="22"/>
        </w:rPr>
        <w:t xml:space="preserve">, </w:t>
      </w:r>
      <w:r w:rsidR="00F647BE" w:rsidRPr="00A86F4E">
        <w:rPr>
          <w:szCs w:val="22"/>
        </w:rPr>
        <w:t>J &amp; J Broadcasting, Inc</w:t>
      </w:r>
      <w:r w:rsidR="00F23F1E" w:rsidRPr="00A86F4E">
        <w:rPr>
          <w:szCs w:val="22"/>
        </w:rPr>
        <w:t>.</w:t>
      </w:r>
      <w:r w:rsidR="00F647BE" w:rsidRPr="00A86F4E">
        <w:rPr>
          <w:szCs w:val="22"/>
        </w:rPr>
        <w:t>, 63120 Phantom Lake Road, Iron River, WI 54847.</w:t>
      </w:r>
    </w:p>
    <w:p w:rsidR="003343CA" w:rsidRPr="00A86F4E" w:rsidRDefault="003343CA" w:rsidP="003343CA">
      <w:pPr>
        <w:rPr>
          <w:szCs w:val="22"/>
        </w:rPr>
      </w:pPr>
    </w:p>
    <w:p w:rsidR="003343CA" w:rsidRPr="00A86F4E" w:rsidRDefault="003343CA" w:rsidP="0007571D">
      <w:pPr>
        <w:ind w:left="4410"/>
        <w:rPr>
          <w:szCs w:val="22"/>
        </w:rPr>
      </w:pPr>
      <w:r w:rsidRPr="00A86F4E">
        <w:rPr>
          <w:szCs w:val="22"/>
        </w:rPr>
        <w:t>FEDERAL COMMUNICATIONS COMMISSION</w:t>
      </w:r>
    </w:p>
    <w:p w:rsidR="003343CA" w:rsidRPr="00A86F4E" w:rsidRDefault="003343CA" w:rsidP="0007571D">
      <w:pPr>
        <w:ind w:left="4410"/>
        <w:rPr>
          <w:szCs w:val="22"/>
        </w:rPr>
      </w:pPr>
    </w:p>
    <w:p w:rsidR="003343CA" w:rsidRPr="00A86F4E" w:rsidRDefault="003343CA" w:rsidP="0007571D">
      <w:pPr>
        <w:ind w:left="4410"/>
        <w:rPr>
          <w:szCs w:val="22"/>
        </w:rPr>
      </w:pPr>
    </w:p>
    <w:p w:rsidR="003343CA" w:rsidRPr="00A86F4E" w:rsidRDefault="003343CA" w:rsidP="0007571D">
      <w:pPr>
        <w:ind w:left="4410"/>
        <w:rPr>
          <w:szCs w:val="22"/>
        </w:rPr>
      </w:pPr>
    </w:p>
    <w:p w:rsidR="003343CA" w:rsidRPr="00A86F4E" w:rsidRDefault="003343CA" w:rsidP="0007571D">
      <w:pPr>
        <w:ind w:left="4410"/>
        <w:rPr>
          <w:szCs w:val="22"/>
        </w:rPr>
      </w:pPr>
    </w:p>
    <w:p w:rsidR="009B0223" w:rsidRPr="00A86F4E" w:rsidRDefault="009B0223" w:rsidP="00F647BE">
      <w:pPr>
        <w:ind w:left="4410"/>
        <w:rPr>
          <w:szCs w:val="22"/>
        </w:rPr>
      </w:pPr>
      <w:r w:rsidRPr="00A86F4E">
        <w:rPr>
          <w:szCs w:val="22"/>
        </w:rPr>
        <w:t xml:space="preserve">Travis LeBlanc </w:t>
      </w:r>
    </w:p>
    <w:p w:rsidR="009B0223" w:rsidRPr="00A86F4E" w:rsidRDefault="009B0223" w:rsidP="009B0223">
      <w:pPr>
        <w:ind w:left="4410"/>
        <w:rPr>
          <w:szCs w:val="22"/>
        </w:rPr>
      </w:pPr>
      <w:r w:rsidRPr="00A86F4E">
        <w:rPr>
          <w:szCs w:val="22"/>
        </w:rPr>
        <w:t>Chief</w:t>
      </w:r>
    </w:p>
    <w:p w:rsidR="00E273E3" w:rsidRPr="00A86F4E" w:rsidRDefault="009B0223" w:rsidP="00431824">
      <w:pPr>
        <w:ind w:left="4410"/>
        <w:rPr>
          <w:szCs w:val="22"/>
        </w:rPr>
      </w:pPr>
      <w:r w:rsidRPr="00A86F4E">
        <w:rPr>
          <w:szCs w:val="22"/>
        </w:rPr>
        <w:t>Enforcement Bureau</w:t>
      </w:r>
    </w:p>
    <w:sectPr w:rsidR="00E273E3" w:rsidRPr="00A86F4E"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D4" w:rsidRDefault="00B759D4">
      <w:pPr>
        <w:spacing w:line="20" w:lineRule="exact"/>
      </w:pPr>
    </w:p>
  </w:endnote>
  <w:endnote w:type="continuationSeparator" w:id="0">
    <w:p w:rsidR="00B759D4" w:rsidRDefault="00B759D4">
      <w:r>
        <w:t xml:space="preserve"> </w:t>
      </w:r>
    </w:p>
  </w:endnote>
  <w:endnote w:type="continuationNotice" w:id="1">
    <w:p w:rsidR="00B759D4" w:rsidRDefault="00B759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273E3">
    <w:pPr>
      <w:pStyle w:val="Footer"/>
      <w:framePr w:wrap="around" w:vAnchor="text" w:hAnchor="margin" w:xAlign="center" w:y="1"/>
    </w:pPr>
    <w:r>
      <w:fldChar w:fldCharType="begin"/>
    </w:r>
    <w:r>
      <w:instrText xml:space="preserve">PAGE  </w:instrText>
    </w:r>
    <w:r>
      <w:fldChar w:fldCharType="end"/>
    </w:r>
  </w:p>
  <w:p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E194C">
    <w:pPr>
      <w:pStyle w:val="Footer"/>
      <w:framePr w:wrap="around" w:vAnchor="text" w:hAnchor="margin" w:xAlign="center" w:y="1"/>
    </w:pPr>
    <w:r>
      <w:fldChar w:fldCharType="begin"/>
    </w:r>
    <w:r>
      <w:instrText xml:space="preserve">PAGE  </w:instrText>
    </w:r>
    <w:r>
      <w:fldChar w:fldCharType="separate"/>
    </w:r>
    <w:r w:rsidR="00445D82">
      <w:rPr>
        <w:noProof/>
      </w:rPr>
      <w:t>2</w:t>
    </w:r>
    <w:r>
      <w:rPr>
        <w:noProof/>
      </w:rPr>
      <w:fldChar w:fldCharType="end"/>
    </w:r>
  </w:p>
  <w:p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09" w:rsidRDefault="00353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D4" w:rsidRDefault="00B759D4">
      <w:r>
        <w:separator/>
      </w:r>
    </w:p>
  </w:footnote>
  <w:footnote w:type="continuationSeparator" w:id="0">
    <w:p w:rsidR="00B759D4" w:rsidRDefault="00B759D4">
      <w:pPr>
        <w:rPr>
          <w:sz w:val="20"/>
        </w:rPr>
      </w:pPr>
      <w:r>
        <w:rPr>
          <w:sz w:val="20"/>
        </w:rPr>
        <w:t xml:space="preserve">(Continued from previous page)  </w:t>
      </w:r>
      <w:r>
        <w:rPr>
          <w:sz w:val="20"/>
        </w:rPr>
        <w:separator/>
      </w:r>
    </w:p>
  </w:footnote>
  <w:footnote w:type="continuationNotice" w:id="1">
    <w:p w:rsidR="00B759D4" w:rsidRDefault="00B759D4">
      <w:pPr>
        <w:rPr>
          <w:sz w:val="20"/>
        </w:rPr>
      </w:pPr>
      <w:r>
        <w:rPr>
          <w:sz w:val="20"/>
        </w:rPr>
        <w:t>(continued….)</w:t>
      </w:r>
    </w:p>
  </w:footnote>
  <w:footnote w:id="2">
    <w:p w:rsidR="00076092" w:rsidRDefault="00076092">
      <w:pPr>
        <w:pStyle w:val="FootnoteText"/>
      </w:pPr>
      <w:r>
        <w:rPr>
          <w:rStyle w:val="FootnoteReference"/>
        </w:rPr>
        <w:footnoteRef/>
      </w:r>
      <w:r>
        <w:t xml:space="preserve"> </w:t>
      </w:r>
      <w:r w:rsidR="006C39C8">
        <w:t xml:space="preserve">The investigation initiated under File No. EB-11-DT-0200 was subsequently assigned File No. </w:t>
      </w:r>
      <w:r w:rsidR="006C39C8" w:rsidRPr="006C39C8">
        <w:t>EB-FIELDNER-12-00004568</w:t>
      </w:r>
      <w:r w:rsidR="006C39C8">
        <w:t>.  Any fu</w:t>
      </w:r>
      <w:r w:rsidR="00D93747">
        <w:t>ture correspondence with the Commission</w:t>
      </w:r>
      <w:r w:rsidR="006C39C8">
        <w:t xml:space="preserve"> concerning this matter should reflect the new case number.</w:t>
      </w:r>
    </w:p>
  </w:footnote>
  <w:footnote w:id="3">
    <w:p w:rsidR="005F1288" w:rsidRPr="00344C0B" w:rsidRDefault="005F1288" w:rsidP="005F1288">
      <w:pPr>
        <w:pStyle w:val="FootnoteText"/>
      </w:pPr>
      <w:r w:rsidRPr="00344C0B">
        <w:rPr>
          <w:rStyle w:val="FootnoteReference"/>
        </w:rPr>
        <w:footnoteRef/>
      </w:r>
      <w:r w:rsidRPr="00344C0B">
        <w:t xml:space="preserve"> </w:t>
      </w:r>
      <w:r w:rsidR="003E62E0" w:rsidRPr="00344C0B">
        <w:rPr>
          <w:i/>
        </w:rPr>
        <w:t xml:space="preserve">See </w:t>
      </w:r>
      <w:r w:rsidR="003E62E0">
        <w:rPr>
          <w:i/>
        </w:rPr>
        <w:t>J &amp; J</w:t>
      </w:r>
      <w:r w:rsidR="003E62E0" w:rsidRPr="0007571D">
        <w:rPr>
          <w:i/>
        </w:rPr>
        <w:t xml:space="preserve"> </w:t>
      </w:r>
      <w:r w:rsidR="003E62E0">
        <w:rPr>
          <w:i/>
        </w:rPr>
        <w:t>Broad., Inc.</w:t>
      </w:r>
      <w:r w:rsidR="003E62E0">
        <w:t>, Notice of Apparent Liability for Forfeiture and Order, 27</w:t>
      </w:r>
      <w:r w:rsidR="003E62E0" w:rsidRPr="0007571D">
        <w:t xml:space="preserve"> FCC Rcd </w:t>
      </w:r>
      <w:r w:rsidR="003E62E0">
        <w:t>10054</w:t>
      </w:r>
      <w:r w:rsidR="003E62E0" w:rsidRPr="00344C0B">
        <w:t>,</w:t>
      </w:r>
      <w:r w:rsidR="003E62E0" w:rsidRPr="0007571D">
        <w:t xml:space="preserve"> </w:t>
      </w:r>
      <w:r w:rsidR="003E62E0">
        <w:t xml:space="preserve">10054, </w:t>
      </w:r>
      <w:r w:rsidR="003E62E0" w:rsidRPr="0007571D">
        <w:t xml:space="preserve">paras. </w:t>
      </w:r>
      <w:r w:rsidR="003E62E0">
        <w:t>2–3 (Enf. Bur. 2012) (</w:t>
      </w:r>
      <w:r w:rsidR="003E62E0">
        <w:rPr>
          <w:i/>
        </w:rPr>
        <w:t>NAL)</w:t>
      </w:r>
      <w:r w:rsidR="003E62E0" w:rsidRPr="0007571D">
        <w:t>.</w:t>
      </w:r>
      <w:r w:rsidR="003E62E0" w:rsidRPr="00344C0B">
        <w:t xml:space="preserve">  </w:t>
      </w:r>
      <w:r w:rsidRPr="00344C0B">
        <w:rPr>
          <w:iCs/>
          <w:color w:val="000000"/>
        </w:rPr>
        <w:t xml:space="preserve">The </w:t>
      </w:r>
      <w:r w:rsidRPr="00344C0B">
        <w:rPr>
          <w:i/>
          <w:iCs/>
          <w:color w:val="000000"/>
        </w:rPr>
        <w:t>NAL</w:t>
      </w:r>
      <w:r w:rsidRPr="00344C0B">
        <w:rPr>
          <w:iCs/>
          <w:color w:val="000000"/>
        </w:rPr>
        <w:t xml:space="preserve"> includes a more complete discussion of the facts and history of this case and is incorporated herein by reference.</w:t>
      </w:r>
      <w:r w:rsidRPr="00344C0B">
        <w:t xml:space="preserve">  </w:t>
      </w:r>
    </w:p>
  </w:footnote>
  <w:footnote w:id="4">
    <w:p w:rsidR="003E62E0" w:rsidRPr="003E62E0" w:rsidRDefault="003E62E0">
      <w:pPr>
        <w:pStyle w:val="FootnoteText"/>
      </w:pPr>
      <w:r>
        <w:rPr>
          <w:rStyle w:val="FootnoteReference"/>
        </w:rPr>
        <w:footnoteRef/>
      </w:r>
      <w:r>
        <w:t xml:space="preserve"> </w:t>
      </w:r>
      <w:r>
        <w:rPr>
          <w:i/>
        </w:rPr>
        <w:t xml:space="preserve">Id. </w:t>
      </w:r>
      <w:r>
        <w:t>at 10054, para. 2.</w:t>
      </w:r>
    </w:p>
  </w:footnote>
  <w:footnote w:id="5">
    <w:p w:rsidR="003E62E0" w:rsidRPr="003E62E0" w:rsidRDefault="003E62E0">
      <w:pPr>
        <w:pStyle w:val="FootnoteText"/>
      </w:pPr>
      <w:r>
        <w:rPr>
          <w:rStyle w:val="FootnoteReference"/>
        </w:rPr>
        <w:footnoteRef/>
      </w:r>
      <w:r>
        <w:t xml:space="preserve"> </w:t>
      </w:r>
      <w:r>
        <w:rPr>
          <w:i/>
        </w:rPr>
        <w:t xml:space="preserve">Id. </w:t>
      </w:r>
      <w:r>
        <w:t>at 10054, para. 3.</w:t>
      </w:r>
    </w:p>
  </w:footnote>
  <w:footnote w:id="6">
    <w:p w:rsidR="00E3390D" w:rsidRDefault="00E3390D" w:rsidP="00E3390D">
      <w:pPr>
        <w:pStyle w:val="FootnoteText"/>
      </w:pPr>
      <w:r>
        <w:rPr>
          <w:rStyle w:val="FootnoteReference"/>
        </w:rPr>
        <w:footnoteRef/>
      </w:r>
      <w:r>
        <w:t xml:space="preserve"> </w:t>
      </w:r>
      <w:r>
        <w:rPr>
          <w:i/>
        </w:rPr>
        <w:t xml:space="preserve">See id. </w:t>
      </w:r>
      <w:r>
        <w:t>at 10056–57, para. 10; 47</w:t>
      </w:r>
      <w:r>
        <w:rPr>
          <w:color w:val="FF0000"/>
        </w:rPr>
        <w:t xml:space="preserve"> </w:t>
      </w:r>
      <w:r>
        <w:t>C.F.R. §§ 17.57</w:t>
      </w:r>
      <w:r w:rsidR="007B2BE6">
        <w:t>, 73.3526(e)(12)</w:t>
      </w:r>
      <w:r>
        <w:t>.</w:t>
      </w:r>
    </w:p>
  </w:footnote>
  <w:footnote w:id="7">
    <w:p w:rsidR="00E3390D" w:rsidRDefault="00E3390D">
      <w:pPr>
        <w:pStyle w:val="FootnoteText"/>
      </w:pPr>
      <w:r>
        <w:rPr>
          <w:rStyle w:val="FootnoteReference"/>
        </w:rPr>
        <w:footnoteRef/>
      </w:r>
      <w:r>
        <w:t xml:space="preserve"> J &amp; J Broadcasting, Inc.</w:t>
      </w:r>
      <w:r w:rsidRPr="0007571D">
        <w:t>, Response to Notice of Apparent Liability (</w:t>
      </w:r>
      <w:r>
        <w:t>Sep. 20, 2012</w:t>
      </w:r>
      <w:r w:rsidRPr="0007571D">
        <w:t xml:space="preserve">) (on file in </w:t>
      </w:r>
      <w:r w:rsidRPr="00344C0B">
        <w:rPr>
          <w:spacing w:val="-2"/>
        </w:rPr>
        <w:t>EB-</w:t>
      </w:r>
      <w:r>
        <w:rPr>
          <w:spacing w:val="-2"/>
        </w:rPr>
        <w:t>FIELDNER-12-00004568</w:t>
      </w:r>
      <w:r w:rsidRPr="0007571D">
        <w:t>) (</w:t>
      </w:r>
      <w:r w:rsidRPr="00E3390D">
        <w:rPr>
          <w:i/>
        </w:rPr>
        <w:t>NAL Response</w:t>
      </w:r>
      <w:r w:rsidRPr="0007571D">
        <w:t xml:space="preserve">).    </w:t>
      </w:r>
    </w:p>
  </w:footnote>
  <w:footnote w:id="8">
    <w:p w:rsidR="00096611" w:rsidRPr="00096611" w:rsidRDefault="00096611">
      <w:pPr>
        <w:pStyle w:val="FootnoteText"/>
      </w:pPr>
      <w:r>
        <w:rPr>
          <w:rStyle w:val="FootnoteReference"/>
        </w:rPr>
        <w:footnoteRef/>
      </w:r>
      <w:r>
        <w:t xml:space="preserve"> </w:t>
      </w:r>
      <w:r w:rsidRPr="00C979D1">
        <w:rPr>
          <w:i/>
        </w:rPr>
        <w:t>Id.</w:t>
      </w:r>
      <w:r>
        <w:t xml:space="preserve"> at 1.</w:t>
      </w:r>
    </w:p>
  </w:footnote>
  <w:footnote w:id="9">
    <w:p w:rsidR="00096611" w:rsidRDefault="00096611">
      <w:pPr>
        <w:pStyle w:val="FootnoteText"/>
      </w:pPr>
      <w:r>
        <w:rPr>
          <w:rStyle w:val="FootnoteReference"/>
        </w:rPr>
        <w:footnoteRef/>
      </w:r>
      <w:r>
        <w:t xml:space="preserve"> </w:t>
      </w:r>
      <w:r>
        <w:rPr>
          <w:i/>
        </w:rPr>
        <w:t>Id.</w:t>
      </w:r>
      <w:r>
        <w:t xml:space="preserve"> at 2.</w:t>
      </w:r>
    </w:p>
  </w:footnote>
  <w:footnote w:id="10">
    <w:p w:rsidR="000821EB" w:rsidRPr="000821EB" w:rsidRDefault="000821EB">
      <w:pPr>
        <w:pStyle w:val="FootnoteText"/>
      </w:pPr>
      <w:r>
        <w:rPr>
          <w:rStyle w:val="FootnoteReference"/>
        </w:rPr>
        <w:footnoteRef/>
      </w:r>
      <w:r>
        <w:t xml:space="preserve"> </w:t>
      </w:r>
      <w:r>
        <w:rPr>
          <w:i/>
        </w:rPr>
        <w:t xml:space="preserve">Id. </w:t>
      </w:r>
      <w:r>
        <w:t>at 1–2.</w:t>
      </w:r>
    </w:p>
  </w:footnote>
  <w:footnote w:id="11">
    <w:p w:rsidR="000821EB" w:rsidRPr="000821EB" w:rsidRDefault="000821EB">
      <w:pPr>
        <w:pStyle w:val="FootnoteText"/>
      </w:pPr>
      <w:r>
        <w:rPr>
          <w:rStyle w:val="FootnoteReference"/>
        </w:rPr>
        <w:footnoteRef/>
      </w:r>
      <w:r>
        <w:t xml:space="preserve"> </w:t>
      </w:r>
      <w:r>
        <w:rPr>
          <w:i/>
        </w:rPr>
        <w:t xml:space="preserve">Id. </w:t>
      </w:r>
      <w:r>
        <w:t>at 2.</w:t>
      </w:r>
    </w:p>
  </w:footnote>
  <w:footnote w:id="12">
    <w:p w:rsidR="00E273E3" w:rsidRPr="00344C0B" w:rsidRDefault="00E273E3" w:rsidP="006168A4">
      <w:pPr>
        <w:pStyle w:val="FootnoteText"/>
      </w:pPr>
      <w:r w:rsidRPr="00344C0B">
        <w:rPr>
          <w:rStyle w:val="FootnoteReference"/>
        </w:rPr>
        <w:footnoteRef/>
      </w:r>
      <w:r w:rsidRPr="00344C0B">
        <w:t xml:space="preserve"> </w:t>
      </w:r>
      <w:r w:rsidRPr="00344C0B">
        <w:rPr>
          <w:color w:val="000000"/>
        </w:rPr>
        <w:t>47 U.S.C. § 503(b).</w:t>
      </w:r>
    </w:p>
  </w:footnote>
  <w:footnote w:id="13">
    <w:p w:rsidR="00E273E3" w:rsidRPr="00344C0B" w:rsidRDefault="00E273E3" w:rsidP="006168A4">
      <w:pPr>
        <w:pStyle w:val="FootnoteText"/>
      </w:pPr>
      <w:r w:rsidRPr="00344C0B">
        <w:rPr>
          <w:rStyle w:val="FootnoteReference"/>
        </w:rPr>
        <w:footnoteRef/>
      </w:r>
      <w:r w:rsidRPr="00344C0B">
        <w:t xml:space="preserve"> 47 C.F.R. § 1.80.</w:t>
      </w:r>
    </w:p>
  </w:footnote>
  <w:footnote w:id="14">
    <w:p w:rsidR="00E273E3" w:rsidRPr="00344C0B" w:rsidRDefault="00E273E3" w:rsidP="006168A4">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15">
    <w:p w:rsidR="00E273E3" w:rsidRPr="00344C0B" w:rsidRDefault="00E273E3" w:rsidP="006168A4">
      <w:pPr>
        <w:pStyle w:val="FootnoteText"/>
      </w:pPr>
      <w:r w:rsidRPr="00344C0B">
        <w:rPr>
          <w:rStyle w:val="FootnoteReference"/>
        </w:rPr>
        <w:footnoteRef/>
      </w:r>
      <w:r w:rsidRPr="00344C0B">
        <w:t xml:space="preserve"> 47 U.S.C. § 503(b)(2)(E).</w:t>
      </w:r>
    </w:p>
  </w:footnote>
  <w:footnote w:id="16">
    <w:p w:rsidR="001B0733" w:rsidRPr="00A675CC" w:rsidRDefault="001B0733">
      <w:pPr>
        <w:pStyle w:val="FootnoteText"/>
      </w:pPr>
      <w:r>
        <w:rPr>
          <w:rStyle w:val="FootnoteReference"/>
        </w:rPr>
        <w:footnoteRef/>
      </w:r>
      <w:r w:rsidR="00C87A33">
        <w:t xml:space="preserve"> </w:t>
      </w:r>
      <w:r w:rsidR="00C87A33" w:rsidRPr="00550AD2">
        <w:rPr>
          <w:i/>
        </w:rPr>
        <w:t>NAL</w:t>
      </w:r>
      <w:r w:rsidR="00A675CC">
        <w:t>, 27 FCC Rcd at 10055–56, paras. 5–7.</w:t>
      </w:r>
    </w:p>
  </w:footnote>
  <w:footnote w:id="17">
    <w:p w:rsidR="00550AD2" w:rsidRPr="00550AD2" w:rsidRDefault="00550AD2">
      <w:pPr>
        <w:pStyle w:val="FootnoteText"/>
      </w:pPr>
      <w:r>
        <w:rPr>
          <w:rStyle w:val="FootnoteReference"/>
        </w:rPr>
        <w:footnoteRef/>
      </w:r>
      <w:r>
        <w:t xml:space="preserve"> </w:t>
      </w:r>
      <w:r w:rsidR="00A675CC" w:rsidRPr="00550AD2">
        <w:rPr>
          <w:i/>
        </w:rPr>
        <w:t>NAL Response</w:t>
      </w:r>
      <w:r w:rsidR="00A675CC">
        <w:t xml:space="preserve"> at 1–2.</w:t>
      </w:r>
    </w:p>
  </w:footnote>
  <w:footnote w:id="18">
    <w:p w:rsidR="00A675CC" w:rsidRPr="00D91DA3" w:rsidRDefault="00A675CC" w:rsidP="00A675CC">
      <w:pPr>
        <w:pStyle w:val="FootnoteText"/>
      </w:pPr>
      <w:r w:rsidRPr="00D91DA3">
        <w:rPr>
          <w:rStyle w:val="FootnoteReference"/>
        </w:rPr>
        <w:footnoteRef/>
      </w:r>
      <w:r w:rsidRPr="00D91DA3">
        <w:t xml:space="preserve"> </w:t>
      </w:r>
      <w:r w:rsidRPr="00D91DA3">
        <w:rPr>
          <w:i/>
        </w:rPr>
        <w:t>See, e.g.</w:t>
      </w:r>
      <w:r w:rsidRPr="00D91DA3">
        <w:t xml:space="preserve">, </w:t>
      </w:r>
      <w:r w:rsidRPr="00D91DA3">
        <w:rPr>
          <w:rStyle w:val="Emphasis"/>
        </w:rPr>
        <w:t>Sutro Corp.</w:t>
      </w:r>
      <w:r w:rsidRPr="00D91DA3">
        <w:t xml:space="preserve">, Memorandum Opinion and Order, 19 FCC Rcd 15274, 15277, para. 10 (2004) (stating that the Commission will generally reduce a forfeiture “based on the good faith corrective efforts of a violator when those corrective efforts were taken prior to Commission notification of the violation”); </w:t>
      </w:r>
      <w:r w:rsidRPr="00D91DA3">
        <w:rPr>
          <w:i/>
        </w:rPr>
        <w:t>Catholic Radio Network of Loveland, Inc.</w:t>
      </w:r>
      <w:r w:rsidRPr="00D91DA3">
        <w:t xml:space="preserve">, Forfeiture Order, 29 FCC Rcd 121, 122–23, para. 5 (Enf. Bur. 2014) (“The Commission will generally reduce an assessed forfeiture based on the good faith corrective efforts of a violator when those corrective efforts were taken </w:t>
      </w:r>
      <w:r w:rsidRPr="00D91DA3">
        <w:rPr>
          <w:rStyle w:val="Emphasis"/>
        </w:rPr>
        <w:t>prior</w:t>
      </w:r>
      <w:r w:rsidRPr="00D91DA3">
        <w:t xml:space="preserve"> to Commission notification of the violation.”) (emphasis in original); </w:t>
      </w:r>
      <w:r w:rsidRPr="00D91DA3">
        <w:rPr>
          <w:i/>
        </w:rPr>
        <w:t>Argos Net, Inc.</w:t>
      </w:r>
      <w:r w:rsidRPr="00D91DA3">
        <w:t xml:space="preserve">, Forfeiture Order, 28 FCC Rcd 1126, 1127, para. 4 (Enf. Bur. 2013) (“[C]orrective action taken after notification or inspection by the Commission does not mitigate the violation . . . .”).  </w:t>
      </w:r>
    </w:p>
  </w:footnote>
  <w:footnote w:id="19">
    <w:p w:rsidR="00A675CC" w:rsidRPr="00D91DA3" w:rsidRDefault="00A675CC" w:rsidP="00A675CC">
      <w:pPr>
        <w:pStyle w:val="FootnoteText"/>
      </w:pPr>
      <w:r w:rsidRPr="00D91DA3">
        <w:rPr>
          <w:rStyle w:val="FootnoteReference"/>
        </w:rPr>
        <w:footnoteRef/>
      </w:r>
      <w:r w:rsidRPr="00D91DA3">
        <w:t xml:space="preserve"> </w:t>
      </w:r>
      <w:r w:rsidRPr="00D91DA3">
        <w:rPr>
          <w:i/>
          <w:iCs/>
        </w:rPr>
        <w:t>See, e.g.</w:t>
      </w:r>
      <w:r w:rsidRPr="00D91DA3">
        <w:t>,</w:t>
      </w:r>
      <w:r w:rsidRPr="00D91DA3">
        <w:rPr>
          <w:i/>
          <w:iCs/>
        </w:rPr>
        <w:t xml:space="preserve"> Seawest Yacht Brokers</w:t>
      </w:r>
      <w:r w:rsidRPr="00D91DA3">
        <w:rPr>
          <w:iCs/>
        </w:rPr>
        <w:t xml:space="preserve">, </w:t>
      </w:r>
      <w:r w:rsidRPr="00D91DA3">
        <w:t>Notice of Forfeiture</w:t>
      </w:r>
      <w:r w:rsidRPr="00D91DA3">
        <w:rPr>
          <w:iCs/>
        </w:rPr>
        <w:t xml:space="preserve">, 9 FCC Rcd 6099, 6099, para. 7 (1994) </w:t>
      </w:r>
      <w:r w:rsidRPr="00D91DA3">
        <w:t>(</w:t>
      </w:r>
      <w:r w:rsidRPr="00D91DA3">
        <w:rPr>
          <w:iCs/>
        </w:rPr>
        <w:t>citations omitted)</w:t>
      </w:r>
      <w:r w:rsidRPr="00D91DA3">
        <w:t xml:space="preserve">; </w:t>
      </w:r>
      <w:r w:rsidRPr="00D91DA3">
        <w:rPr>
          <w:i/>
          <w:iCs/>
        </w:rPr>
        <w:t>Exec. Broad. Corp.</w:t>
      </w:r>
      <w:r w:rsidRPr="00D91DA3">
        <w:t>, 3 FCC 2d 699, 700, para. 6 (1966) (“The fact that prompt corrective action was taken . . . does not excuse the prior violations.”).</w:t>
      </w:r>
    </w:p>
  </w:footnote>
  <w:footnote w:id="20">
    <w:p w:rsidR="00470504" w:rsidRDefault="00470504" w:rsidP="00470504">
      <w:pPr>
        <w:pStyle w:val="FootnoteText"/>
      </w:pPr>
      <w:r>
        <w:rPr>
          <w:rStyle w:val="FootnoteReference"/>
        </w:rPr>
        <w:footnoteRef/>
      </w:r>
      <w:r>
        <w:t xml:space="preserve"> </w:t>
      </w:r>
      <w:r w:rsidRPr="00901D16">
        <w:rPr>
          <w:i/>
        </w:rPr>
        <w:t>See</w:t>
      </w:r>
      <w:r>
        <w:t xml:space="preserve"> NAL Respon</w:t>
      </w:r>
      <w:r w:rsidR="00A03E93">
        <w:t xml:space="preserve">se at 1; Universal Licensing System, Unprocessable Filing, Reference Number 0004526267 (on file in </w:t>
      </w:r>
      <w:r w:rsidR="00A03E93" w:rsidRPr="00A03E93">
        <w:t>EB-FIELDNER-12-00004568</w:t>
      </w:r>
      <w:r w:rsidR="00A03E93">
        <w:t>).</w:t>
      </w:r>
    </w:p>
  </w:footnote>
  <w:footnote w:id="21">
    <w:p w:rsidR="00135542" w:rsidRDefault="00135542">
      <w:pPr>
        <w:pStyle w:val="FootnoteText"/>
      </w:pPr>
      <w:r>
        <w:rPr>
          <w:rStyle w:val="FootnoteReference"/>
        </w:rPr>
        <w:footnoteRef/>
      </w:r>
      <w:r>
        <w:t xml:space="preserve"> </w:t>
      </w:r>
      <w:r w:rsidRPr="00AC263D">
        <w:rPr>
          <w:i/>
        </w:rPr>
        <w:t>See</w:t>
      </w:r>
      <w:r>
        <w:t xml:space="preserve"> Notice of Immediate Dismissal, FCC Form 694, </w:t>
      </w:r>
      <w:r w:rsidR="00AC263D">
        <w:t>sent to</w:t>
      </w:r>
      <w:r>
        <w:t xml:space="preserve"> </w:t>
      </w:r>
      <w:r w:rsidR="00AC263D">
        <w:t>Gerald Hackman</w:t>
      </w:r>
      <w:r w:rsidR="00A675CC">
        <w:t>, President, J &amp; J Broadcasting, Inc.</w:t>
      </w:r>
      <w:r>
        <w:t xml:space="preserve"> (Dec</w:t>
      </w:r>
      <w:r w:rsidR="006A25C2">
        <w:t>.</w:t>
      </w:r>
      <w:r>
        <w:t xml:space="preserve"> 9, 2010)</w:t>
      </w:r>
      <w:r w:rsidR="00A675CC">
        <w:t xml:space="preserve"> (on file in </w:t>
      </w:r>
      <w:r w:rsidR="00A675CC" w:rsidRPr="00A03E93">
        <w:t>EB-FIELDNER-12-00004568</w:t>
      </w:r>
      <w:r w:rsidR="00A675CC">
        <w:t>)</w:t>
      </w:r>
      <w:r>
        <w:t>.</w:t>
      </w:r>
    </w:p>
  </w:footnote>
  <w:footnote w:id="22">
    <w:p w:rsidR="00FC7E66" w:rsidRPr="00A54D85" w:rsidRDefault="00FC7E66">
      <w:pPr>
        <w:pStyle w:val="FootnoteText"/>
      </w:pPr>
      <w:r>
        <w:rPr>
          <w:rStyle w:val="FootnoteReference"/>
        </w:rPr>
        <w:footnoteRef/>
      </w:r>
      <w:r>
        <w:t xml:space="preserve"> </w:t>
      </w:r>
      <w:r w:rsidR="00A54D85">
        <w:rPr>
          <w:i/>
        </w:rPr>
        <w:t>See</w:t>
      </w:r>
      <w:r w:rsidR="00A54D85">
        <w:t xml:space="preserve"> </w:t>
      </w:r>
      <w:r w:rsidR="00160D69" w:rsidRPr="00A675CC">
        <w:rPr>
          <w:i/>
        </w:rPr>
        <w:t>NAL Response</w:t>
      </w:r>
      <w:r w:rsidR="00160D69">
        <w:t xml:space="preserve"> at 3.</w:t>
      </w:r>
    </w:p>
  </w:footnote>
  <w:footnote w:id="23">
    <w:p w:rsidR="00A03E93" w:rsidRDefault="00A03E93">
      <w:pPr>
        <w:pStyle w:val="FootnoteText"/>
      </w:pPr>
      <w:r>
        <w:rPr>
          <w:rStyle w:val="FootnoteReference"/>
        </w:rPr>
        <w:footnoteRef/>
      </w:r>
      <w:r>
        <w:t xml:space="preserve"> </w:t>
      </w:r>
      <w:r>
        <w:rPr>
          <w:i/>
        </w:rPr>
        <w:t>See</w:t>
      </w:r>
      <w:r>
        <w:t xml:space="preserve"> </w:t>
      </w:r>
      <w:r w:rsidRPr="00470504">
        <w:rPr>
          <w:i/>
        </w:rPr>
        <w:t>Sutro Corp.</w:t>
      </w:r>
      <w:r w:rsidRPr="00470504">
        <w:t>,</w:t>
      </w:r>
      <w:r w:rsidR="00802AC3">
        <w:t xml:space="preserve"> 19 FCC Rcd</w:t>
      </w:r>
      <w:r>
        <w:t xml:space="preserve"> at 15277, para. 10 (finding that “periodic unsuccessful attemp</w:t>
      </w:r>
      <w:r w:rsidR="00802AC3">
        <w:t>ts to register the tower do not</w:t>
      </w:r>
      <w:r>
        <w:t xml:space="preserve"> rise to the level of good faith efforts to comply that would entitle [filer] to further mitigation of</w:t>
      </w:r>
      <w:r w:rsidR="00704D7D">
        <w:t xml:space="preserve"> the assessed forfeiture amount</w:t>
      </w:r>
      <w:r>
        <w:t>”).</w:t>
      </w:r>
    </w:p>
  </w:footnote>
  <w:footnote w:id="24">
    <w:p w:rsidR="00802AC3" w:rsidRPr="00802AC3" w:rsidRDefault="00802AC3">
      <w:pPr>
        <w:pStyle w:val="FootnoteText"/>
      </w:pPr>
      <w:r>
        <w:rPr>
          <w:rStyle w:val="FootnoteReference"/>
        </w:rPr>
        <w:footnoteRef/>
      </w:r>
      <w:r>
        <w:t xml:space="preserve"> </w:t>
      </w:r>
      <w:r>
        <w:rPr>
          <w:i/>
        </w:rPr>
        <w:t xml:space="preserve">NAL Response </w:t>
      </w:r>
      <w:r>
        <w:t>at 2.</w:t>
      </w:r>
    </w:p>
  </w:footnote>
  <w:footnote w:id="25">
    <w:p w:rsidR="00802AC3" w:rsidRPr="00E355D6" w:rsidRDefault="00802AC3" w:rsidP="00802AC3">
      <w:pPr>
        <w:pStyle w:val="FootnoteText"/>
      </w:pPr>
      <w:r w:rsidRPr="00E355D6">
        <w:rPr>
          <w:rStyle w:val="FootnoteReference"/>
        </w:rPr>
        <w:footnoteRef/>
      </w:r>
      <w:r w:rsidRPr="00E355D6">
        <w:t xml:space="preserve"> </w:t>
      </w:r>
      <w:r w:rsidRPr="00E355D6">
        <w:rPr>
          <w:rStyle w:val="Emphasis"/>
        </w:rPr>
        <w:t>See, e.g.,</w:t>
      </w:r>
      <w:r w:rsidRPr="00E355D6">
        <w:rPr>
          <w:rStyle w:val="apple-converted-space"/>
        </w:rPr>
        <w:t> </w:t>
      </w:r>
      <w:r w:rsidRPr="00E355D6">
        <w:rPr>
          <w:rStyle w:val="Emphasis"/>
        </w:rPr>
        <w:t>Vernon Broad., Inc.</w:t>
      </w:r>
      <w:r w:rsidRPr="00E355D6">
        <w:t>, Memorandum Opinion and Order, 60 Rad. Reg. 2d 1275 (1986)</w:t>
      </w:r>
      <w:r w:rsidRPr="00E355D6">
        <w:rPr>
          <w:rStyle w:val="apple-converted-space"/>
        </w:rPr>
        <w:t> </w:t>
      </w:r>
      <w:r w:rsidRPr="00E355D6">
        <w:t xml:space="preserve">(cancelling a $1,000 AM tower fencing violation where the evidence indicated that the fencing was vandalized just prior to inspection). </w:t>
      </w:r>
    </w:p>
  </w:footnote>
  <w:footnote w:id="26">
    <w:p w:rsidR="00802AC3" w:rsidRDefault="00802AC3">
      <w:pPr>
        <w:pStyle w:val="FootnoteText"/>
      </w:pPr>
      <w:r>
        <w:rPr>
          <w:rStyle w:val="FootnoteReference"/>
        </w:rPr>
        <w:footnoteRef/>
      </w:r>
      <w:r>
        <w:t xml:space="preserve"> </w:t>
      </w:r>
      <w:r>
        <w:rPr>
          <w:i/>
        </w:rPr>
        <w:t xml:space="preserve">NAL Response </w:t>
      </w:r>
      <w:r>
        <w:t>at 2.</w:t>
      </w:r>
    </w:p>
  </w:footnote>
  <w:footnote w:id="27">
    <w:p w:rsidR="00802AC3" w:rsidRDefault="00802AC3" w:rsidP="00802AC3">
      <w:pPr>
        <w:pStyle w:val="FootnoteText"/>
      </w:pPr>
      <w:r>
        <w:rPr>
          <w:rStyle w:val="FootnoteReference"/>
        </w:rPr>
        <w:footnoteRef/>
      </w:r>
      <w:r>
        <w:t xml:space="preserve"> </w:t>
      </w:r>
      <w:r>
        <w:rPr>
          <w:i/>
        </w:rPr>
        <w:t>See, e.g.</w:t>
      </w:r>
      <w:r>
        <w:t>,</w:t>
      </w:r>
      <w:r>
        <w:rPr>
          <w:i/>
        </w:rPr>
        <w:t xml:space="preserve"> </w:t>
      </w:r>
      <w:r w:rsidRPr="00411BA6">
        <w:rPr>
          <w:i/>
        </w:rPr>
        <w:t>Discussion Radio, Inc</w:t>
      </w:r>
      <w:r w:rsidRPr="00411BA6">
        <w:t>., Memorandum Opinion and Order and Notice of Apparent Liability, 19 FCC Rcd 7433, 7437, para. 12 (2004)</w:t>
      </w:r>
      <w:r>
        <w:t>.</w:t>
      </w:r>
    </w:p>
  </w:footnote>
  <w:footnote w:id="28">
    <w:p w:rsidR="00F61F24" w:rsidRPr="00671D28" w:rsidRDefault="00F61F24" w:rsidP="00F61F24">
      <w:pPr>
        <w:pStyle w:val="FootnoteText"/>
      </w:pPr>
      <w:r>
        <w:rPr>
          <w:rStyle w:val="FootnoteReference"/>
        </w:rPr>
        <w:footnoteRef/>
      </w:r>
      <w:r>
        <w:t xml:space="preserve"> </w:t>
      </w:r>
      <w:r>
        <w:rPr>
          <w:i/>
        </w:rPr>
        <w:t xml:space="preserve">See </w:t>
      </w:r>
      <w:r w:rsidR="00BB667D" w:rsidRPr="00E355D6">
        <w:rPr>
          <w:i/>
        </w:rPr>
        <w:t>Steckline Commc’ns, Inc.</w:t>
      </w:r>
      <w:r w:rsidR="00BB667D" w:rsidRPr="00E355D6">
        <w:t>, Forfeiture Order, 29 FCC Rcd 1082,</w:t>
      </w:r>
      <w:r w:rsidR="00BB667D">
        <w:t xml:space="preserve"> 1084, para. 5 (Enf. Bur. 2014) </w:t>
      </w:r>
      <w:r>
        <w:t>(finding violations willful even in the event of third-party tampering with station equipment because the party continued to operate the station at variance from authorized parameters).</w:t>
      </w:r>
    </w:p>
  </w:footnote>
  <w:footnote w:id="29">
    <w:p w:rsidR="00191615" w:rsidRPr="00386080" w:rsidRDefault="00191615" w:rsidP="00191615">
      <w:pPr>
        <w:pStyle w:val="FootnoteText"/>
      </w:pPr>
      <w:r>
        <w:rPr>
          <w:rStyle w:val="FootnoteReference"/>
        </w:rPr>
        <w:footnoteRef/>
      </w:r>
      <w:r>
        <w:t xml:space="preserve"> </w:t>
      </w:r>
      <w:r>
        <w:rPr>
          <w:i/>
        </w:rPr>
        <w:t xml:space="preserve">See </w:t>
      </w:r>
      <w:r w:rsidRPr="00C979D1">
        <w:rPr>
          <w:i/>
        </w:rPr>
        <w:t>id.</w:t>
      </w:r>
      <w:r w:rsidR="00F61F24">
        <w:t xml:space="preserve"> at 1–</w:t>
      </w:r>
      <w:r>
        <w:t>2.</w:t>
      </w:r>
    </w:p>
  </w:footnote>
  <w:footnote w:id="30">
    <w:p w:rsidR="00F61F24" w:rsidRPr="00D91DA3" w:rsidRDefault="00F61F24" w:rsidP="00F61F24">
      <w:pPr>
        <w:pStyle w:val="FootnoteText"/>
      </w:pPr>
      <w:r w:rsidRPr="00D91DA3">
        <w:rPr>
          <w:rStyle w:val="FootnoteCharacters"/>
        </w:rPr>
        <w:footnoteRef/>
      </w:r>
      <w:r w:rsidRPr="00D91DA3">
        <w:rPr>
          <w:i/>
        </w:rPr>
        <w:t xml:space="preserve"> See Local Long Distance, Inc.</w:t>
      </w:r>
      <w:r w:rsidRPr="00D91DA3">
        <w:t>,</w:t>
      </w:r>
      <w:r w:rsidRPr="00D91DA3">
        <w:rPr>
          <w:i/>
        </w:rPr>
        <w:t xml:space="preserve"> </w:t>
      </w:r>
      <w:r w:rsidRPr="00D91DA3">
        <w:t>Order of Forfeiture, 15 FCC Rcd 24385 (2000) (forfeiture not deemed excessive where it represented approximately 7.9 percent of</w:t>
      </w:r>
      <w:r>
        <w:t xml:space="preserve"> the violator’s gross revenues); </w:t>
      </w:r>
      <w:r>
        <w:rPr>
          <w:i/>
        </w:rPr>
        <w:t>s</w:t>
      </w:r>
      <w:r w:rsidRPr="00D91DA3">
        <w:rPr>
          <w:i/>
        </w:rPr>
        <w:t>ee also Tommie Salter</w:t>
      </w:r>
      <w:r w:rsidRPr="00D91DA3">
        <w:t>, Forfeiture Order, 30 FCC Rcd 1041 (Enf. Bur. 2015) (finding reduced forfeiture fell within the percentag</w:t>
      </w:r>
      <w:r>
        <w:t xml:space="preserve">e range that the Commission </w:t>
      </w:r>
      <w:r w:rsidRPr="00D91DA3">
        <w:t xml:space="preserve">previously found acceptable).   </w:t>
      </w:r>
    </w:p>
  </w:footnote>
  <w:footnote w:id="31">
    <w:p w:rsidR="009D2BA1" w:rsidRPr="009D2BA1" w:rsidRDefault="009D2BA1">
      <w:pPr>
        <w:pStyle w:val="FootnoteText"/>
      </w:pPr>
      <w:r>
        <w:rPr>
          <w:rStyle w:val="FootnoteReference"/>
        </w:rPr>
        <w:footnoteRef/>
      </w:r>
      <w:r>
        <w:t xml:space="preserve"> </w:t>
      </w:r>
      <w:r>
        <w:rPr>
          <w:i/>
        </w:rPr>
        <w:t>See e.g.</w:t>
      </w:r>
      <w:r>
        <w:t xml:space="preserve">, </w:t>
      </w:r>
      <w:r>
        <w:rPr>
          <w:i/>
        </w:rPr>
        <w:t>First Greenville Corp.</w:t>
      </w:r>
      <w:r>
        <w:t xml:space="preserve">, Memorandum Opinion and Order and Forfeiture Order, 11 FCC Rcd 7399 (1996); </w:t>
      </w:r>
      <w:r>
        <w:rPr>
          <w:i/>
        </w:rPr>
        <w:t>Benito Rish</w:t>
      </w:r>
      <w:r>
        <w:t>, Memorandum Opinion and Order, 10 FCC Rcd 2861 (1995).</w:t>
      </w:r>
    </w:p>
  </w:footnote>
  <w:footnote w:id="32">
    <w:p w:rsidR="00F61F24" w:rsidRDefault="00F61F24" w:rsidP="00F61F24">
      <w:pPr>
        <w:pStyle w:val="FootnoteText"/>
      </w:pPr>
      <w:r>
        <w:rPr>
          <w:rStyle w:val="FootnoteReference"/>
        </w:rPr>
        <w:footnoteRef/>
      </w:r>
      <w:r>
        <w:t xml:space="preserve"> </w:t>
      </w:r>
      <w:r w:rsidRPr="00E50835">
        <w:rPr>
          <w:i/>
        </w:rPr>
        <w:t>See, e.g.</w:t>
      </w:r>
      <w:r w:rsidRPr="00E50835">
        <w:t xml:space="preserve">, </w:t>
      </w:r>
      <w:r w:rsidRPr="00E50835">
        <w:rPr>
          <w:i/>
        </w:rPr>
        <w:t>Martin Broad</w:t>
      </w:r>
      <w:r>
        <w:rPr>
          <w:i/>
        </w:rPr>
        <w:t>.</w:t>
      </w:r>
      <w:r w:rsidRPr="00E50835">
        <w:rPr>
          <w:i/>
        </w:rPr>
        <w:t>, Inc.</w:t>
      </w:r>
      <w:r w:rsidRPr="00E50835">
        <w:t>, Forfeiture Order, 28 FCC Rcd 1923</w:t>
      </w:r>
      <w:r>
        <w:t>, 1925, para. 5</w:t>
      </w:r>
      <w:r w:rsidRPr="00E50835">
        <w:t xml:space="preserve"> (Enf. Bur. 2013) (three years of an operating loss or no taxable income does not qualify as severe financial distress warranting deviation from gross revenues policy).</w:t>
      </w:r>
    </w:p>
  </w:footnote>
  <w:footnote w:id="33">
    <w:p w:rsidR="00191615" w:rsidRDefault="00191615" w:rsidP="00191615">
      <w:pPr>
        <w:pStyle w:val="FootnoteText"/>
      </w:pPr>
      <w:r>
        <w:rPr>
          <w:rStyle w:val="FootnoteReference"/>
        </w:rPr>
        <w:footnoteRef/>
      </w:r>
      <w:r>
        <w:t xml:space="preserve"> </w:t>
      </w:r>
      <w:r w:rsidRPr="00E50835">
        <w:t xml:space="preserve">The </w:t>
      </w:r>
      <w:r w:rsidRPr="00B85A0A">
        <w:t xml:space="preserve">forfeiture falls within the percentage range that the Commission has previously found acceptable. </w:t>
      </w:r>
      <w:r w:rsidR="00DF5941">
        <w:t xml:space="preserve"> </w:t>
      </w:r>
      <w:r w:rsidRPr="00B85A0A">
        <w:rPr>
          <w:i/>
        </w:rPr>
        <w:t>See supra</w:t>
      </w:r>
      <w:r w:rsidR="00012A54">
        <w:t xml:space="preserve"> note 31</w:t>
      </w:r>
      <w:r w:rsidRPr="00B85A0A">
        <w:t xml:space="preserve">.  </w:t>
      </w:r>
      <w:r>
        <w:t xml:space="preserve">If J </w:t>
      </w:r>
      <w:r w:rsidRPr="00E50835">
        <w:t>&amp;</w:t>
      </w:r>
      <w:r>
        <w:t xml:space="preserve"> J</w:t>
      </w:r>
      <w:r w:rsidRPr="00E50835">
        <w:t xml:space="preserve"> finds it financially infeasible to make full payment of the forfeiture amount within 30 days, it </w:t>
      </w:r>
      <w:r w:rsidR="00DF5941">
        <w:t>can request an installment plan, as described in paragraph 14 of this Forfeiture Order</w:t>
      </w:r>
      <w:r w:rsidRPr="00E50835">
        <w:t>.</w:t>
      </w:r>
    </w:p>
  </w:footnote>
  <w:footnote w:id="34">
    <w:p w:rsidR="007C2CD5" w:rsidRPr="007C2CD5" w:rsidRDefault="007C2CD5">
      <w:pPr>
        <w:pStyle w:val="FootnoteText"/>
      </w:pPr>
      <w:r>
        <w:rPr>
          <w:rStyle w:val="FootnoteReference"/>
        </w:rPr>
        <w:footnoteRef/>
      </w:r>
      <w:r>
        <w:t xml:space="preserve"> </w:t>
      </w:r>
      <w:r>
        <w:rPr>
          <w:i/>
        </w:rPr>
        <w:t xml:space="preserve">NAL Response </w:t>
      </w:r>
      <w:r>
        <w:t>at 2.</w:t>
      </w:r>
    </w:p>
  </w:footnote>
  <w:footnote w:id="35">
    <w:p w:rsidR="00386080" w:rsidRDefault="00386080">
      <w:pPr>
        <w:pStyle w:val="FootnoteText"/>
      </w:pPr>
      <w:r>
        <w:rPr>
          <w:rStyle w:val="FootnoteReference"/>
        </w:rPr>
        <w:footnoteRef/>
      </w:r>
      <w:r>
        <w:t xml:space="preserve"> </w:t>
      </w:r>
      <w:r w:rsidR="00FC7E66">
        <w:rPr>
          <w:i/>
        </w:rPr>
        <w:t>See</w:t>
      </w:r>
      <w:r w:rsidR="007B2BE6">
        <w:rPr>
          <w:i/>
        </w:rPr>
        <w:t>, e.g.</w:t>
      </w:r>
      <w:r w:rsidR="007B2BE6">
        <w:t>,</w:t>
      </w:r>
      <w:r>
        <w:t xml:space="preserve"> </w:t>
      </w:r>
      <w:r w:rsidR="007B2BE6">
        <w:rPr>
          <w:i/>
        </w:rPr>
        <w:t>Ohana Media Grp.</w:t>
      </w:r>
      <w:r w:rsidR="006A25C2" w:rsidRPr="006A25C2">
        <w:rPr>
          <w:i/>
        </w:rPr>
        <w:t>, LLC</w:t>
      </w:r>
      <w:r w:rsidR="007B2BE6">
        <w:t>, Forfeiture Order, 30 FCC Rcd</w:t>
      </w:r>
      <w:r w:rsidR="006A25C2">
        <w:t xml:space="preserve"> 109, 111, para. 6 (</w:t>
      </w:r>
      <w:r w:rsidR="007B2BE6">
        <w:t xml:space="preserve">Enf. Bur. </w:t>
      </w:r>
      <w:r w:rsidR="006A25C2">
        <w:t xml:space="preserve">2015) (reducing forfeiture for history of </w:t>
      </w:r>
      <w:r w:rsidR="007B2BE6">
        <w:t>compliance</w:t>
      </w:r>
      <w:r w:rsidR="006A25C2">
        <w:t xml:space="preserve">); </w:t>
      </w:r>
      <w:r w:rsidR="007B2BE6">
        <w:rPr>
          <w:i/>
        </w:rPr>
        <w:t>Duhamel Broad. Enter</w:t>
      </w:r>
      <w:r w:rsidR="006A25C2" w:rsidRPr="006A25C2">
        <w:rPr>
          <w:i/>
        </w:rPr>
        <w:t>s</w:t>
      </w:r>
      <w:r w:rsidR="007B2BE6">
        <w:rPr>
          <w:i/>
        </w:rPr>
        <w:t>.</w:t>
      </w:r>
      <w:r w:rsidR="006A25C2">
        <w:t>, 30 FCC Rcd 101, 103, para. 6 (</w:t>
      </w:r>
      <w:r w:rsidR="007B2BE6">
        <w:t xml:space="preserve">Enf. Bur. </w:t>
      </w:r>
      <w:r w:rsidR="006A25C2">
        <w:t xml:space="preserve">2015) (same); </w:t>
      </w:r>
      <w:r w:rsidR="007B2BE6">
        <w:rPr>
          <w:i/>
        </w:rPr>
        <w:t>Alpha &amp; Omega Commc’ns</w:t>
      </w:r>
      <w:r w:rsidRPr="00E50835">
        <w:rPr>
          <w:i/>
        </w:rPr>
        <w:t>, LLC</w:t>
      </w:r>
      <w:r>
        <w:t xml:space="preserve">, </w:t>
      </w:r>
      <w:r w:rsidR="00E50835">
        <w:t xml:space="preserve">Forfeiture Order, </w:t>
      </w:r>
      <w:r w:rsidR="007B2BE6">
        <w:t>29 FCC Rcd</w:t>
      </w:r>
      <w:r w:rsidR="006A25C2">
        <w:t xml:space="preserve"> 9502, </w:t>
      </w:r>
      <w:r w:rsidR="00E96FE1">
        <w:t xml:space="preserve">9504, </w:t>
      </w:r>
      <w:r w:rsidR="006A25C2">
        <w:t>para. 8</w:t>
      </w:r>
      <w:r>
        <w:t xml:space="preserve"> (2014)</w:t>
      </w:r>
      <w:r w:rsidR="00E50835">
        <w:t xml:space="preserve"> (</w:t>
      </w:r>
      <w:r w:rsidR="006A25C2">
        <w:t>same</w:t>
      </w:r>
      <w:r w:rsidR="00E50835">
        <w:t>)</w:t>
      </w:r>
      <w:r w:rsidR="006A25C2">
        <w:t>.</w:t>
      </w:r>
    </w:p>
  </w:footnote>
  <w:footnote w:id="36">
    <w:p w:rsidR="003343CA" w:rsidRPr="00344C0B" w:rsidRDefault="003343CA" w:rsidP="003343CA">
      <w:pPr>
        <w:pStyle w:val="FootnoteText"/>
      </w:pPr>
      <w:r w:rsidRPr="00344C0B">
        <w:rPr>
          <w:rStyle w:val="FootnoteReference"/>
        </w:rPr>
        <w:footnoteRef/>
      </w:r>
      <w:r w:rsidRPr="00344C0B">
        <w:t xml:space="preserve"> 47 U.S.C. § 503(b).</w:t>
      </w:r>
    </w:p>
  </w:footnote>
  <w:footnote w:id="37">
    <w:p w:rsidR="003343CA" w:rsidRPr="00344C0B" w:rsidRDefault="003343CA" w:rsidP="003343CA">
      <w:pPr>
        <w:pStyle w:val="FootnoteText"/>
      </w:pPr>
      <w:r w:rsidRPr="00344C0B">
        <w:rPr>
          <w:rStyle w:val="FootnoteReference"/>
        </w:rPr>
        <w:footnoteRef/>
      </w:r>
      <w:r w:rsidRPr="00344C0B">
        <w:t xml:space="preserve"> 47 C.F.R. § 1.80.</w:t>
      </w:r>
    </w:p>
  </w:footnote>
  <w:footnote w:id="38">
    <w:p w:rsidR="005224ED" w:rsidRDefault="005224ED">
      <w:pPr>
        <w:pStyle w:val="FootnoteText"/>
      </w:pPr>
      <w:r>
        <w:rPr>
          <w:rStyle w:val="FootnoteReference"/>
        </w:rPr>
        <w:footnoteRef/>
      </w:r>
      <w:r>
        <w:t xml:space="preserve"> 47</w:t>
      </w:r>
      <w:r>
        <w:rPr>
          <w:color w:val="FF0000"/>
        </w:rPr>
        <w:t xml:space="preserve"> </w:t>
      </w:r>
      <w:r>
        <w:t>C.F.R. §§ 17.57, 73.3526(e)(12).</w:t>
      </w:r>
    </w:p>
  </w:footnote>
  <w:footnote w:id="39">
    <w:p w:rsidR="003343CA" w:rsidRPr="00344C0B" w:rsidRDefault="003343CA" w:rsidP="003343CA">
      <w:pPr>
        <w:pStyle w:val="FootnoteText"/>
      </w:pPr>
      <w:r w:rsidRPr="00344C0B">
        <w:rPr>
          <w:rStyle w:val="FootnoteReference"/>
        </w:rPr>
        <w:footnoteRef/>
      </w:r>
      <w:r w:rsidRPr="00344C0B">
        <w:t xml:space="preserve"> </w:t>
      </w:r>
      <w:r w:rsidR="005224ED" w:rsidRPr="00344C0B">
        <w:t>47 C.F.R. § 1.80.</w:t>
      </w:r>
    </w:p>
  </w:footnote>
  <w:footnote w:id="40">
    <w:p w:rsidR="003343CA" w:rsidRPr="00344C0B" w:rsidRDefault="003343CA" w:rsidP="003343CA">
      <w:pPr>
        <w:pStyle w:val="FootnoteText"/>
      </w:pPr>
      <w:r w:rsidRPr="00344C0B">
        <w:rPr>
          <w:rStyle w:val="FootnoteReference"/>
        </w:rPr>
        <w:footnoteRef/>
      </w:r>
      <w:r w:rsidRPr="00344C0B">
        <w:t xml:space="preserve"> 47 U.S.C. § 504(a).</w:t>
      </w:r>
    </w:p>
  </w:footnote>
  <w:footnote w:id="41">
    <w:p w:rsidR="003343CA" w:rsidRPr="00344C0B" w:rsidRDefault="003343CA" w:rsidP="003343CA">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42">
    <w:p w:rsidR="00F23F1E" w:rsidRPr="0030738C" w:rsidRDefault="00F23F1E" w:rsidP="00F23F1E">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09" w:rsidRDefault="00353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81" w:rsidRPr="001B048F" w:rsidRDefault="00670F81" w:rsidP="00670F81">
    <w:pPr>
      <w:pStyle w:val="Header"/>
      <w:rPr>
        <w:b w:val="0"/>
      </w:rPr>
    </w:pPr>
    <w:r>
      <w:rPr>
        <w:noProof/>
      </w:rPr>
      <mc:AlternateContent>
        <mc:Choice Requires="wps">
          <w:drawing>
            <wp:anchor distT="0" distB="0" distL="114300" distR="114300" simplePos="0" relativeHeight="251659264" behindDoc="1" locked="0" layoutInCell="0" allowOverlap="1" wp14:anchorId="50BB1FAB" wp14:editId="35BABA91">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9FB3FA" id="Rectangle 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15-772</w:t>
    </w:r>
  </w:p>
  <w:p w:rsidR="00E273E3" w:rsidRPr="00670F81" w:rsidRDefault="00E273E3" w:rsidP="00670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Pr="001B048F" w:rsidRDefault="006D2212" w:rsidP="001B048F">
    <w:pPr>
      <w:pStyle w:val="Header"/>
      <w:rPr>
        <w:b w:val="0"/>
      </w:rPr>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0D8131"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670F81">
      <w:t>DA 15-772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73889"/>
    <w:multiLevelType w:val="hybridMultilevel"/>
    <w:tmpl w:val="CBDE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C03EC2">
      <w:start w:val="4"/>
      <w:numFmt w:val="bullet"/>
      <w:lvlText w:val="—"/>
      <w:lvlJc w:val="left"/>
      <w:pPr>
        <w:ind w:left="2160" w:hanging="360"/>
      </w:pPr>
      <w:rPr>
        <w:rFonts w:ascii="Times New Roman" w:eastAsia="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93665"/>
    <w:multiLevelType w:val="hybridMultilevel"/>
    <w:tmpl w:val="1D3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0810CC"/>
    <w:multiLevelType w:val="hybridMultilevel"/>
    <w:tmpl w:val="3B1E5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736FC6"/>
    <w:multiLevelType w:val="hybridMultilevel"/>
    <w:tmpl w:val="93F0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27E7E"/>
    <w:multiLevelType w:val="hybridMultilevel"/>
    <w:tmpl w:val="B8180428"/>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B1B4D7FC">
      <w:start w:val="15"/>
      <w:numFmt w:val="decimal"/>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2">
    <w:nsid w:val="432817C4"/>
    <w:multiLevelType w:val="multilevel"/>
    <w:tmpl w:val="1F78C3F8"/>
    <w:lvl w:ilvl="0">
      <w:start w:val="17"/>
      <w:numFmt w:val="decimal"/>
      <w:lvlText w:val="%1."/>
      <w:lvlJc w:val="left"/>
      <w:pPr>
        <w:tabs>
          <w:tab w:val="num" w:pos="1080"/>
        </w:tabs>
        <w:ind w:left="0" w:firstLine="720"/>
      </w:pPr>
      <w:rPr>
        <w:rFonts w:cs="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3">
    <w:nsid w:val="4C483DAF"/>
    <w:multiLevelType w:val="hybridMultilevel"/>
    <w:tmpl w:val="54B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5183D8B"/>
    <w:multiLevelType w:val="hybridMultilevel"/>
    <w:tmpl w:val="5928C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3A1979"/>
    <w:multiLevelType w:val="hybridMultilevel"/>
    <w:tmpl w:val="D1DC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A06DBA"/>
    <w:multiLevelType w:val="hybridMultilevel"/>
    <w:tmpl w:val="697A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FF1F81"/>
    <w:multiLevelType w:val="hybridMultilevel"/>
    <w:tmpl w:val="A75C035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20"/>
  </w:num>
  <w:num w:numId="3">
    <w:abstractNumId w:val="9"/>
  </w:num>
  <w:num w:numId="4">
    <w:abstractNumId w:val="14"/>
  </w:num>
  <w:num w:numId="5">
    <w:abstractNumId w:val="8"/>
  </w:num>
  <w:num w:numId="6">
    <w:abstractNumId w:val="4"/>
  </w:num>
  <w:num w:numId="7">
    <w:abstractNumId w:val="20"/>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11"/>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9"/>
  </w:num>
  <w:num w:numId="31">
    <w:abstractNumId w:val="9"/>
  </w:num>
  <w:num w:numId="32">
    <w:abstractNumId w:val="9"/>
  </w:num>
  <w:num w:numId="33">
    <w:abstractNumId w:val="20"/>
  </w:num>
  <w:num w:numId="34">
    <w:abstractNumId w:val="3"/>
  </w:num>
  <w:num w:numId="35">
    <w:abstractNumId w:val="13"/>
  </w:num>
  <w:num w:numId="36">
    <w:abstractNumId w:val="2"/>
  </w:num>
  <w:num w:numId="37">
    <w:abstractNumId w:val="10"/>
  </w:num>
  <w:num w:numId="38">
    <w:abstractNumId w:val="0"/>
    <w:lvlOverride w:ilvl="0">
      <w:lvl w:ilvl="0">
        <w:numFmt w:val="bullet"/>
        <w:pStyle w:val="par1"/>
        <w:lvlText w:val=""/>
        <w:legacy w:legacy="1" w:legacySpace="0" w:legacyIndent="360"/>
        <w:lvlJc w:val="left"/>
        <w:rPr>
          <w:rFonts w:ascii="Symbol" w:hAnsi="Symbol" w:hint="default"/>
        </w:rPr>
      </w:lvl>
    </w:lvlOverride>
  </w:num>
  <w:num w:numId="39">
    <w:abstractNumId w:val="15"/>
  </w:num>
  <w:num w:numId="40">
    <w:abstractNumId w:val="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7"/>
  </w:num>
  <w:num w:numId="44">
    <w:abstractNumId w:val="6"/>
  </w:num>
  <w:num w:numId="45">
    <w:abstractNumId w:val="18"/>
  </w:num>
  <w:num w:numId="46">
    <w:abstractNumId w:val="1"/>
  </w:num>
  <w:num w:numId="47">
    <w:abstractNumId w:val="16"/>
  </w:num>
  <w:num w:numId="48">
    <w:abstractNumId w:val="2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0624E"/>
    <w:rsid w:val="00012A54"/>
    <w:rsid w:val="00014462"/>
    <w:rsid w:val="000145C6"/>
    <w:rsid w:val="000174F9"/>
    <w:rsid w:val="000264B4"/>
    <w:rsid w:val="00031AE8"/>
    <w:rsid w:val="00036D58"/>
    <w:rsid w:val="00043C9B"/>
    <w:rsid w:val="00046801"/>
    <w:rsid w:val="000604EB"/>
    <w:rsid w:val="00062C44"/>
    <w:rsid w:val="000649FE"/>
    <w:rsid w:val="00071E3F"/>
    <w:rsid w:val="00072D7D"/>
    <w:rsid w:val="00074717"/>
    <w:rsid w:val="0007571D"/>
    <w:rsid w:val="00076092"/>
    <w:rsid w:val="00080535"/>
    <w:rsid w:val="000821EB"/>
    <w:rsid w:val="000853AD"/>
    <w:rsid w:val="00086824"/>
    <w:rsid w:val="00091AE4"/>
    <w:rsid w:val="00092506"/>
    <w:rsid w:val="000962DF"/>
    <w:rsid w:val="00096611"/>
    <w:rsid w:val="00097F82"/>
    <w:rsid w:val="000A3E68"/>
    <w:rsid w:val="000A4776"/>
    <w:rsid w:val="000B14C3"/>
    <w:rsid w:val="000B1C2B"/>
    <w:rsid w:val="000B29ED"/>
    <w:rsid w:val="000B7657"/>
    <w:rsid w:val="000C092B"/>
    <w:rsid w:val="000C6050"/>
    <w:rsid w:val="000D03AE"/>
    <w:rsid w:val="000D1391"/>
    <w:rsid w:val="000D5138"/>
    <w:rsid w:val="000E1951"/>
    <w:rsid w:val="000E2707"/>
    <w:rsid w:val="000E3613"/>
    <w:rsid w:val="000F1155"/>
    <w:rsid w:val="00100646"/>
    <w:rsid w:val="00105A35"/>
    <w:rsid w:val="001067B6"/>
    <w:rsid w:val="0011337B"/>
    <w:rsid w:val="0011687C"/>
    <w:rsid w:val="001205FE"/>
    <w:rsid w:val="0012427E"/>
    <w:rsid w:val="00126C88"/>
    <w:rsid w:val="001339C3"/>
    <w:rsid w:val="00135542"/>
    <w:rsid w:val="00135F7F"/>
    <w:rsid w:val="00136476"/>
    <w:rsid w:val="00140ABB"/>
    <w:rsid w:val="001426F0"/>
    <w:rsid w:val="00145E08"/>
    <w:rsid w:val="001532B1"/>
    <w:rsid w:val="00153904"/>
    <w:rsid w:val="00153CE0"/>
    <w:rsid w:val="00154A5C"/>
    <w:rsid w:val="00160D69"/>
    <w:rsid w:val="00162161"/>
    <w:rsid w:val="00164D9B"/>
    <w:rsid w:val="001715BD"/>
    <w:rsid w:val="00172581"/>
    <w:rsid w:val="001740BB"/>
    <w:rsid w:val="00180026"/>
    <w:rsid w:val="001819AF"/>
    <w:rsid w:val="00184C75"/>
    <w:rsid w:val="00184F64"/>
    <w:rsid w:val="00191615"/>
    <w:rsid w:val="00196E93"/>
    <w:rsid w:val="001A29EF"/>
    <w:rsid w:val="001A2F40"/>
    <w:rsid w:val="001A69BA"/>
    <w:rsid w:val="001A79FB"/>
    <w:rsid w:val="001B048F"/>
    <w:rsid w:val="001B0733"/>
    <w:rsid w:val="001C3156"/>
    <w:rsid w:val="001C3B35"/>
    <w:rsid w:val="001C42B3"/>
    <w:rsid w:val="001D1CEF"/>
    <w:rsid w:val="001E0F74"/>
    <w:rsid w:val="001E135C"/>
    <w:rsid w:val="001E1906"/>
    <w:rsid w:val="001E401B"/>
    <w:rsid w:val="001F2B76"/>
    <w:rsid w:val="001F5AA4"/>
    <w:rsid w:val="001F7EE0"/>
    <w:rsid w:val="002037C2"/>
    <w:rsid w:val="0021315C"/>
    <w:rsid w:val="002146E2"/>
    <w:rsid w:val="0021598D"/>
    <w:rsid w:val="00223173"/>
    <w:rsid w:val="00225854"/>
    <w:rsid w:val="002260E3"/>
    <w:rsid w:val="00226191"/>
    <w:rsid w:val="0022665A"/>
    <w:rsid w:val="00236820"/>
    <w:rsid w:val="0024077E"/>
    <w:rsid w:val="00246222"/>
    <w:rsid w:val="00250EDF"/>
    <w:rsid w:val="002523B2"/>
    <w:rsid w:val="00252799"/>
    <w:rsid w:val="00256904"/>
    <w:rsid w:val="00256B42"/>
    <w:rsid w:val="002659F3"/>
    <w:rsid w:val="00265FC9"/>
    <w:rsid w:val="00270CD1"/>
    <w:rsid w:val="002710C5"/>
    <w:rsid w:val="002718D7"/>
    <w:rsid w:val="00272C96"/>
    <w:rsid w:val="00283E59"/>
    <w:rsid w:val="00287564"/>
    <w:rsid w:val="00293ACC"/>
    <w:rsid w:val="002966A1"/>
    <w:rsid w:val="00297424"/>
    <w:rsid w:val="002A1963"/>
    <w:rsid w:val="002B17E2"/>
    <w:rsid w:val="002B7493"/>
    <w:rsid w:val="002C079C"/>
    <w:rsid w:val="002C12AD"/>
    <w:rsid w:val="002C66A2"/>
    <w:rsid w:val="002D3A88"/>
    <w:rsid w:val="002D4CD9"/>
    <w:rsid w:val="002D6A81"/>
    <w:rsid w:val="002D74C4"/>
    <w:rsid w:val="002E046E"/>
    <w:rsid w:val="002E1671"/>
    <w:rsid w:val="002E43B6"/>
    <w:rsid w:val="002E6027"/>
    <w:rsid w:val="002F2ACB"/>
    <w:rsid w:val="00306C34"/>
    <w:rsid w:val="00306C50"/>
    <w:rsid w:val="0032053D"/>
    <w:rsid w:val="00321E26"/>
    <w:rsid w:val="0032244D"/>
    <w:rsid w:val="00325463"/>
    <w:rsid w:val="00331B47"/>
    <w:rsid w:val="00331D4E"/>
    <w:rsid w:val="003343CA"/>
    <w:rsid w:val="00335814"/>
    <w:rsid w:val="003368A3"/>
    <w:rsid w:val="003368E2"/>
    <w:rsid w:val="003400E9"/>
    <w:rsid w:val="00340246"/>
    <w:rsid w:val="00344871"/>
    <w:rsid w:val="00344C0B"/>
    <w:rsid w:val="00345F40"/>
    <w:rsid w:val="00346DCB"/>
    <w:rsid w:val="003472A7"/>
    <w:rsid w:val="00347397"/>
    <w:rsid w:val="00353709"/>
    <w:rsid w:val="00353E9D"/>
    <w:rsid w:val="003563C1"/>
    <w:rsid w:val="00361B43"/>
    <w:rsid w:val="003623B1"/>
    <w:rsid w:val="0038136A"/>
    <w:rsid w:val="00386080"/>
    <w:rsid w:val="0039768C"/>
    <w:rsid w:val="003A07BF"/>
    <w:rsid w:val="003A4346"/>
    <w:rsid w:val="003A4767"/>
    <w:rsid w:val="003A5530"/>
    <w:rsid w:val="003A6DD7"/>
    <w:rsid w:val="003A6F0A"/>
    <w:rsid w:val="003B4544"/>
    <w:rsid w:val="003B5341"/>
    <w:rsid w:val="003B5EF6"/>
    <w:rsid w:val="003B6421"/>
    <w:rsid w:val="003B6F75"/>
    <w:rsid w:val="003C0BCF"/>
    <w:rsid w:val="003C5EF1"/>
    <w:rsid w:val="003C6559"/>
    <w:rsid w:val="003D5B63"/>
    <w:rsid w:val="003D5BD6"/>
    <w:rsid w:val="003E36EC"/>
    <w:rsid w:val="003E4BA1"/>
    <w:rsid w:val="003E5CB1"/>
    <w:rsid w:val="003E62E0"/>
    <w:rsid w:val="003E7003"/>
    <w:rsid w:val="003F2F66"/>
    <w:rsid w:val="004016AD"/>
    <w:rsid w:val="00403291"/>
    <w:rsid w:val="00403B86"/>
    <w:rsid w:val="00416F51"/>
    <w:rsid w:val="004200CE"/>
    <w:rsid w:val="0042056B"/>
    <w:rsid w:val="00431572"/>
    <w:rsid w:val="00431824"/>
    <w:rsid w:val="00436A9E"/>
    <w:rsid w:val="00441CED"/>
    <w:rsid w:val="00445D82"/>
    <w:rsid w:val="00452C14"/>
    <w:rsid w:val="00454EFD"/>
    <w:rsid w:val="0045522C"/>
    <w:rsid w:val="00457AE7"/>
    <w:rsid w:val="00466CC6"/>
    <w:rsid w:val="00470504"/>
    <w:rsid w:val="004736A1"/>
    <w:rsid w:val="00493B9B"/>
    <w:rsid w:val="00493EB0"/>
    <w:rsid w:val="004961DE"/>
    <w:rsid w:val="004C0831"/>
    <w:rsid w:val="004C1903"/>
    <w:rsid w:val="004C3EDB"/>
    <w:rsid w:val="004C4957"/>
    <w:rsid w:val="004C7C5C"/>
    <w:rsid w:val="004D3709"/>
    <w:rsid w:val="004E218D"/>
    <w:rsid w:val="004E4FD9"/>
    <w:rsid w:val="004E5D01"/>
    <w:rsid w:val="004F0990"/>
    <w:rsid w:val="00505616"/>
    <w:rsid w:val="00512A5C"/>
    <w:rsid w:val="00514466"/>
    <w:rsid w:val="00514B5F"/>
    <w:rsid w:val="005214C9"/>
    <w:rsid w:val="005224ED"/>
    <w:rsid w:val="00522727"/>
    <w:rsid w:val="00526086"/>
    <w:rsid w:val="00526174"/>
    <w:rsid w:val="00535D18"/>
    <w:rsid w:val="00537EE6"/>
    <w:rsid w:val="005415C8"/>
    <w:rsid w:val="0054220C"/>
    <w:rsid w:val="005440C1"/>
    <w:rsid w:val="00545EF8"/>
    <w:rsid w:val="00547654"/>
    <w:rsid w:val="00550AD2"/>
    <w:rsid w:val="00552923"/>
    <w:rsid w:val="00557BF1"/>
    <w:rsid w:val="00560703"/>
    <w:rsid w:val="0056704D"/>
    <w:rsid w:val="00567C95"/>
    <w:rsid w:val="00567D8D"/>
    <w:rsid w:val="0059732E"/>
    <w:rsid w:val="005A72DD"/>
    <w:rsid w:val="005B2779"/>
    <w:rsid w:val="005B3158"/>
    <w:rsid w:val="005B4CEA"/>
    <w:rsid w:val="005B67ED"/>
    <w:rsid w:val="005C2A5A"/>
    <w:rsid w:val="005C30D4"/>
    <w:rsid w:val="005D250F"/>
    <w:rsid w:val="005D364B"/>
    <w:rsid w:val="005D4F7D"/>
    <w:rsid w:val="005E0F17"/>
    <w:rsid w:val="005E3D9F"/>
    <w:rsid w:val="005F1288"/>
    <w:rsid w:val="006020E8"/>
    <w:rsid w:val="00603106"/>
    <w:rsid w:val="006168A4"/>
    <w:rsid w:val="00622396"/>
    <w:rsid w:val="00624EEA"/>
    <w:rsid w:val="0063038A"/>
    <w:rsid w:val="00634F84"/>
    <w:rsid w:val="00637D3F"/>
    <w:rsid w:val="00640EAA"/>
    <w:rsid w:val="00644983"/>
    <w:rsid w:val="0064498D"/>
    <w:rsid w:val="006472F4"/>
    <w:rsid w:val="00650C92"/>
    <w:rsid w:val="00653DFB"/>
    <w:rsid w:val="006557D7"/>
    <w:rsid w:val="00655B5D"/>
    <w:rsid w:val="0065677C"/>
    <w:rsid w:val="006579F4"/>
    <w:rsid w:val="006606A3"/>
    <w:rsid w:val="00661DE5"/>
    <w:rsid w:val="0066537F"/>
    <w:rsid w:val="006662A3"/>
    <w:rsid w:val="00670F81"/>
    <w:rsid w:val="00671666"/>
    <w:rsid w:val="00672014"/>
    <w:rsid w:val="006729CB"/>
    <w:rsid w:val="006733A8"/>
    <w:rsid w:val="00673674"/>
    <w:rsid w:val="00674B18"/>
    <w:rsid w:val="00683E53"/>
    <w:rsid w:val="00686968"/>
    <w:rsid w:val="006877E7"/>
    <w:rsid w:val="006A25C2"/>
    <w:rsid w:val="006A5CC7"/>
    <w:rsid w:val="006A5CE2"/>
    <w:rsid w:val="006A6FD0"/>
    <w:rsid w:val="006B080E"/>
    <w:rsid w:val="006B685D"/>
    <w:rsid w:val="006C163E"/>
    <w:rsid w:val="006C39C8"/>
    <w:rsid w:val="006D2212"/>
    <w:rsid w:val="006D550A"/>
    <w:rsid w:val="006D7FF3"/>
    <w:rsid w:val="006E3B0D"/>
    <w:rsid w:val="006E6868"/>
    <w:rsid w:val="006E728E"/>
    <w:rsid w:val="00704843"/>
    <w:rsid w:val="00704D7D"/>
    <w:rsid w:val="007101A5"/>
    <w:rsid w:val="007112FE"/>
    <w:rsid w:val="007115F7"/>
    <w:rsid w:val="00714FD7"/>
    <w:rsid w:val="00715666"/>
    <w:rsid w:val="0072776E"/>
    <w:rsid w:val="00731211"/>
    <w:rsid w:val="007325C3"/>
    <w:rsid w:val="0073326F"/>
    <w:rsid w:val="00737276"/>
    <w:rsid w:val="00743885"/>
    <w:rsid w:val="00743CDB"/>
    <w:rsid w:val="00745AB4"/>
    <w:rsid w:val="007470E1"/>
    <w:rsid w:val="007479D6"/>
    <w:rsid w:val="00752D0E"/>
    <w:rsid w:val="00755564"/>
    <w:rsid w:val="00757E63"/>
    <w:rsid w:val="00765619"/>
    <w:rsid w:val="0077103F"/>
    <w:rsid w:val="007811A5"/>
    <w:rsid w:val="00781BFC"/>
    <w:rsid w:val="00782257"/>
    <w:rsid w:val="00785772"/>
    <w:rsid w:val="0078649E"/>
    <w:rsid w:val="00787DBC"/>
    <w:rsid w:val="00790B4B"/>
    <w:rsid w:val="00791577"/>
    <w:rsid w:val="00792AD9"/>
    <w:rsid w:val="007A2AF2"/>
    <w:rsid w:val="007A400F"/>
    <w:rsid w:val="007B1B20"/>
    <w:rsid w:val="007B25BE"/>
    <w:rsid w:val="007B2BE6"/>
    <w:rsid w:val="007C0F54"/>
    <w:rsid w:val="007C197B"/>
    <w:rsid w:val="007C2CD5"/>
    <w:rsid w:val="007C3802"/>
    <w:rsid w:val="007C3FB4"/>
    <w:rsid w:val="007C416C"/>
    <w:rsid w:val="007D5BA0"/>
    <w:rsid w:val="007E10B6"/>
    <w:rsid w:val="007E39BB"/>
    <w:rsid w:val="007F29BF"/>
    <w:rsid w:val="007F3C22"/>
    <w:rsid w:val="0080144D"/>
    <w:rsid w:val="00802AC3"/>
    <w:rsid w:val="00804AA7"/>
    <w:rsid w:val="00806AEF"/>
    <w:rsid w:val="00813F43"/>
    <w:rsid w:val="00817123"/>
    <w:rsid w:val="008218CC"/>
    <w:rsid w:val="00823395"/>
    <w:rsid w:val="00834EA2"/>
    <w:rsid w:val="00836DF6"/>
    <w:rsid w:val="00854197"/>
    <w:rsid w:val="00862B6D"/>
    <w:rsid w:val="008635E6"/>
    <w:rsid w:val="008666BC"/>
    <w:rsid w:val="00867A33"/>
    <w:rsid w:val="00870AE8"/>
    <w:rsid w:val="008742A5"/>
    <w:rsid w:val="00874CFC"/>
    <w:rsid w:val="00890DC3"/>
    <w:rsid w:val="008A0B16"/>
    <w:rsid w:val="008A1A2C"/>
    <w:rsid w:val="008B1964"/>
    <w:rsid w:val="008D1BE7"/>
    <w:rsid w:val="008D6AFE"/>
    <w:rsid w:val="008E0D87"/>
    <w:rsid w:val="008F0587"/>
    <w:rsid w:val="008F0F79"/>
    <w:rsid w:val="009012DC"/>
    <w:rsid w:val="00901D16"/>
    <w:rsid w:val="00901EA9"/>
    <w:rsid w:val="00910008"/>
    <w:rsid w:val="00913674"/>
    <w:rsid w:val="009150E9"/>
    <w:rsid w:val="00920FB9"/>
    <w:rsid w:val="00922BC7"/>
    <w:rsid w:val="00924198"/>
    <w:rsid w:val="009244F0"/>
    <w:rsid w:val="00932FF9"/>
    <w:rsid w:val="0093638C"/>
    <w:rsid w:val="00937A4E"/>
    <w:rsid w:val="00955661"/>
    <w:rsid w:val="00957948"/>
    <w:rsid w:val="00966093"/>
    <w:rsid w:val="009708B5"/>
    <w:rsid w:val="009714F0"/>
    <w:rsid w:val="00974A8A"/>
    <w:rsid w:val="0097633D"/>
    <w:rsid w:val="00980AA0"/>
    <w:rsid w:val="00981A39"/>
    <w:rsid w:val="009847FB"/>
    <w:rsid w:val="00985084"/>
    <w:rsid w:val="00990196"/>
    <w:rsid w:val="009904CF"/>
    <w:rsid w:val="00992A29"/>
    <w:rsid w:val="00993B75"/>
    <w:rsid w:val="009A09C6"/>
    <w:rsid w:val="009A2403"/>
    <w:rsid w:val="009A323D"/>
    <w:rsid w:val="009A3AE5"/>
    <w:rsid w:val="009A4C09"/>
    <w:rsid w:val="009B0223"/>
    <w:rsid w:val="009B1061"/>
    <w:rsid w:val="009B2C59"/>
    <w:rsid w:val="009B3E58"/>
    <w:rsid w:val="009B6F55"/>
    <w:rsid w:val="009C2411"/>
    <w:rsid w:val="009C3321"/>
    <w:rsid w:val="009C46AB"/>
    <w:rsid w:val="009C6AD9"/>
    <w:rsid w:val="009D0C63"/>
    <w:rsid w:val="009D2BA1"/>
    <w:rsid w:val="009D5355"/>
    <w:rsid w:val="009E44EE"/>
    <w:rsid w:val="009E708F"/>
    <w:rsid w:val="009E788E"/>
    <w:rsid w:val="00A002F4"/>
    <w:rsid w:val="00A00AE0"/>
    <w:rsid w:val="00A01D1A"/>
    <w:rsid w:val="00A020A9"/>
    <w:rsid w:val="00A02148"/>
    <w:rsid w:val="00A03E93"/>
    <w:rsid w:val="00A047AF"/>
    <w:rsid w:val="00A0567A"/>
    <w:rsid w:val="00A10460"/>
    <w:rsid w:val="00A14E35"/>
    <w:rsid w:val="00A174D4"/>
    <w:rsid w:val="00A204BA"/>
    <w:rsid w:val="00A20570"/>
    <w:rsid w:val="00A223C9"/>
    <w:rsid w:val="00A230E1"/>
    <w:rsid w:val="00A24336"/>
    <w:rsid w:val="00A24CD1"/>
    <w:rsid w:val="00A26C54"/>
    <w:rsid w:val="00A27B8A"/>
    <w:rsid w:val="00A3796D"/>
    <w:rsid w:val="00A41565"/>
    <w:rsid w:val="00A42341"/>
    <w:rsid w:val="00A45420"/>
    <w:rsid w:val="00A52CEE"/>
    <w:rsid w:val="00A54D85"/>
    <w:rsid w:val="00A675CC"/>
    <w:rsid w:val="00A86F4E"/>
    <w:rsid w:val="00A95983"/>
    <w:rsid w:val="00AA19E7"/>
    <w:rsid w:val="00AA1C42"/>
    <w:rsid w:val="00AA614F"/>
    <w:rsid w:val="00AB2A81"/>
    <w:rsid w:val="00AB3FF0"/>
    <w:rsid w:val="00AC08EF"/>
    <w:rsid w:val="00AC0A30"/>
    <w:rsid w:val="00AC263D"/>
    <w:rsid w:val="00AC7682"/>
    <w:rsid w:val="00AC7905"/>
    <w:rsid w:val="00AD32EA"/>
    <w:rsid w:val="00AD35D3"/>
    <w:rsid w:val="00AD525D"/>
    <w:rsid w:val="00AE4E71"/>
    <w:rsid w:val="00AE6CDF"/>
    <w:rsid w:val="00AF2483"/>
    <w:rsid w:val="00AF3324"/>
    <w:rsid w:val="00AF6122"/>
    <w:rsid w:val="00B046DF"/>
    <w:rsid w:val="00B0601B"/>
    <w:rsid w:val="00B102D9"/>
    <w:rsid w:val="00B106C6"/>
    <w:rsid w:val="00B20811"/>
    <w:rsid w:val="00B21753"/>
    <w:rsid w:val="00B246DD"/>
    <w:rsid w:val="00B26603"/>
    <w:rsid w:val="00B307A4"/>
    <w:rsid w:val="00B5182F"/>
    <w:rsid w:val="00B52F5E"/>
    <w:rsid w:val="00B661C1"/>
    <w:rsid w:val="00B70A0B"/>
    <w:rsid w:val="00B7385F"/>
    <w:rsid w:val="00B759D4"/>
    <w:rsid w:val="00B84DAA"/>
    <w:rsid w:val="00B85A0A"/>
    <w:rsid w:val="00B86B94"/>
    <w:rsid w:val="00BA0DEA"/>
    <w:rsid w:val="00BB18C9"/>
    <w:rsid w:val="00BB2B10"/>
    <w:rsid w:val="00BB369A"/>
    <w:rsid w:val="00BB4888"/>
    <w:rsid w:val="00BB667D"/>
    <w:rsid w:val="00BB6D6F"/>
    <w:rsid w:val="00BC3C88"/>
    <w:rsid w:val="00BC3FB6"/>
    <w:rsid w:val="00BD5C10"/>
    <w:rsid w:val="00BD747D"/>
    <w:rsid w:val="00BE0581"/>
    <w:rsid w:val="00BF0CB5"/>
    <w:rsid w:val="00BF689C"/>
    <w:rsid w:val="00C02572"/>
    <w:rsid w:val="00C063BE"/>
    <w:rsid w:val="00C11CF4"/>
    <w:rsid w:val="00C135FF"/>
    <w:rsid w:val="00C138D9"/>
    <w:rsid w:val="00C14EBB"/>
    <w:rsid w:val="00C15447"/>
    <w:rsid w:val="00C16C03"/>
    <w:rsid w:val="00C211BD"/>
    <w:rsid w:val="00C23262"/>
    <w:rsid w:val="00C23391"/>
    <w:rsid w:val="00C2400C"/>
    <w:rsid w:val="00C2483C"/>
    <w:rsid w:val="00C25EAE"/>
    <w:rsid w:val="00C26770"/>
    <w:rsid w:val="00C26850"/>
    <w:rsid w:val="00C30B5C"/>
    <w:rsid w:val="00C32B5E"/>
    <w:rsid w:val="00C339C4"/>
    <w:rsid w:val="00C37DEA"/>
    <w:rsid w:val="00C5575E"/>
    <w:rsid w:val="00C710A4"/>
    <w:rsid w:val="00C7583B"/>
    <w:rsid w:val="00C7593B"/>
    <w:rsid w:val="00C771F0"/>
    <w:rsid w:val="00C80AB7"/>
    <w:rsid w:val="00C81248"/>
    <w:rsid w:val="00C81DFC"/>
    <w:rsid w:val="00C82A24"/>
    <w:rsid w:val="00C835A2"/>
    <w:rsid w:val="00C855E5"/>
    <w:rsid w:val="00C87A33"/>
    <w:rsid w:val="00C90207"/>
    <w:rsid w:val="00C9559E"/>
    <w:rsid w:val="00C9673A"/>
    <w:rsid w:val="00C979D1"/>
    <w:rsid w:val="00C97F25"/>
    <w:rsid w:val="00CA60E2"/>
    <w:rsid w:val="00CA74A0"/>
    <w:rsid w:val="00CB6E37"/>
    <w:rsid w:val="00CC3E7E"/>
    <w:rsid w:val="00CC48B6"/>
    <w:rsid w:val="00CC660D"/>
    <w:rsid w:val="00CC6B2D"/>
    <w:rsid w:val="00CD01AA"/>
    <w:rsid w:val="00CD7A1B"/>
    <w:rsid w:val="00CE3B63"/>
    <w:rsid w:val="00CE57A9"/>
    <w:rsid w:val="00CF0BCD"/>
    <w:rsid w:val="00CF2340"/>
    <w:rsid w:val="00CF537E"/>
    <w:rsid w:val="00CF6B67"/>
    <w:rsid w:val="00D130B5"/>
    <w:rsid w:val="00D137D5"/>
    <w:rsid w:val="00D15C2F"/>
    <w:rsid w:val="00D23943"/>
    <w:rsid w:val="00D249F3"/>
    <w:rsid w:val="00D3067E"/>
    <w:rsid w:val="00D417DA"/>
    <w:rsid w:val="00D55192"/>
    <w:rsid w:val="00D70FC6"/>
    <w:rsid w:val="00D75D1C"/>
    <w:rsid w:val="00D77881"/>
    <w:rsid w:val="00D93747"/>
    <w:rsid w:val="00DA4A80"/>
    <w:rsid w:val="00DA67BE"/>
    <w:rsid w:val="00DB04B0"/>
    <w:rsid w:val="00DB110F"/>
    <w:rsid w:val="00DB209B"/>
    <w:rsid w:val="00DC68F5"/>
    <w:rsid w:val="00DD066D"/>
    <w:rsid w:val="00DD17B4"/>
    <w:rsid w:val="00DD2152"/>
    <w:rsid w:val="00DD355E"/>
    <w:rsid w:val="00DD7B34"/>
    <w:rsid w:val="00DF2FC3"/>
    <w:rsid w:val="00DF3333"/>
    <w:rsid w:val="00DF49C5"/>
    <w:rsid w:val="00DF5941"/>
    <w:rsid w:val="00E03C5E"/>
    <w:rsid w:val="00E03D76"/>
    <w:rsid w:val="00E0401A"/>
    <w:rsid w:val="00E136B4"/>
    <w:rsid w:val="00E16A05"/>
    <w:rsid w:val="00E20614"/>
    <w:rsid w:val="00E216B3"/>
    <w:rsid w:val="00E273E3"/>
    <w:rsid w:val="00E32B89"/>
    <w:rsid w:val="00E3390D"/>
    <w:rsid w:val="00E40344"/>
    <w:rsid w:val="00E41348"/>
    <w:rsid w:val="00E44BA5"/>
    <w:rsid w:val="00E47846"/>
    <w:rsid w:val="00E50835"/>
    <w:rsid w:val="00E51553"/>
    <w:rsid w:val="00E51F9F"/>
    <w:rsid w:val="00E57ED1"/>
    <w:rsid w:val="00E6009E"/>
    <w:rsid w:val="00E61780"/>
    <w:rsid w:val="00E650AE"/>
    <w:rsid w:val="00E6792A"/>
    <w:rsid w:val="00E74600"/>
    <w:rsid w:val="00E85E97"/>
    <w:rsid w:val="00E9402D"/>
    <w:rsid w:val="00E95342"/>
    <w:rsid w:val="00E96FE1"/>
    <w:rsid w:val="00EA6F7A"/>
    <w:rsid w:val="00EA7BC5"/>
    <w:rsid w:val="00EB5C8E"/>
    <w:rsid w:val="00EC01C8"/>
    <w:rsid w:val="00EC389E"/>
    <w:rsid w:val="00EC59F7"/>
    <w:rsid w:val="00EC6192"/>
    <w:rsid w:val="00ED001A"/>
    <w:rsid w:val="00ED50F4"/>
    <w:rsid w:val="00ED7F11"/>
    <w:rsid w:val="00EE05DB"/>
    <w:rsid w:val="00EE194C"/>
    <w:rsid w:val="00EE7218"/>
    <w:rsid w:val="00EF23E9"/>
    <w:rsid w:val="00EF2D22"/>
    <w:rsid w:val="00EF3412"/>
    <w:rsid w:val="00EF49F0"/>
    <w:rsid w:val="00EF5B91"/>
    <w:rsid w:val="00F0262C"/>
    <w:rsid w:val="00F03DF9"/>
    <w:rsid w:val="00F07C8E"/>
    <w:rsid w:val="00F122FD"/>
    <w:rsid w:val="00F156C3"/>
    <w:rsid w:val="00F15E74"/>
    <w:rsid w:val="00F16485"/>
    <w:rsid w:val="00F210F9"/>
    <w:rsid w:val="00F21DEF"/>
    <w:rsid w:val="00F23F1E"/>
    <w:rsid w:val="00F35991"/>
    <w:rsid w:val="00F368C8"/>
    <w:rsid w:val="00F4328D"/>
    <w:rsid w:val="00F51AF3"/>
    <w:rsid w:val="00F55465"/>
    <w:rsid w:val="00F61F24"/>
    <w:rsid w:val="00F647BE"/>
    <w:rsid w:val="00F80BCB"/>
    <w:rsid w:val="00F83951"/>
    <w:rsid w:val="00F84343"/>
    <w:rsid w:val="00F8613C"/>
    <w:rsid w:val="00F90362"/>
    <w:rsid w:val="00F90375"/>
    <w:rsid w:val="00F93126"/>
    <w:rsid w:val="00F9326A"/>
    <w:rsid w:val="00F968BB"/>
    <w:rsid w:val="00FA2BC9"/>
    <w:rsid w:val="00FA3463"/>
    <w:rsid w:val="00FA581C"/>
    <w:rsid w:val="00FB450C"/>
    <w:rsid w:val="00FC1C58"/>
    <w:rsid w:val="00FC7E66"/>
    <w:rsid w:val="00FD2585"/>
    <w:rsid w:val="00FE74AF"/>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45D82"/>
    <w:pPr>
      <w:widowControl w:val="0"/>
    </w:pPr>
    <w:rPr>
      <w:snapToGrid w:val="0"/>
      <w:kern w:val="28"/>
      <w:szCs w:val="20"/>
    </w:rPr>
  </w:style>
  <w:style w:type="paragraph" w:styleId="Heading1">
    <w:name w:val="heading 1"/>
    <w:basedOn w:val="Normal"/>
    <w:next w:val="ParaNum"/>
    <w:link w:val="Heading1Char"/>
    <w:qFormat/>
    <w:rsid w:val="00445D8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45D82"/>
    <w:pPr>
      <w:keepNext/>
      <w:numPr>
        <w:ilvl w:val="1"/>
        <w:numId w:val="3"/>
      </w:numPr>
      <w:spacing w:after="120"/>
      <w:outlineLvl w:val="1"/>
    </w:pPr>
    <w:rPr>
      <w:b/>
    </w:rPr>
  </w:style>
  <w:style w:type="paragraph" w:styleId="Heading3">
    <w:name w:val="heading 3"/>
    <w:basedOn w:val="Normal"/>
    <w:next w:val="ParaNum"/>
    <w:link w:val="Heading3Char"/>
    <w:qFormat/>
    <w:rsid w:val="00445D82"/>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45D82"/>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45D8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45D82"/>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45D8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45D8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45D8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45D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5D82"/>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445D82"/>
    <w:pPr>
      <w:numPr>
        <w:numId w:val="2"/>
      </w:numPr>
      <w:tabs>
        <w:tab w:val="clear" w:pos="1080"/>
        <w:tab w:val="num" w:pos="1440"/>
      </w:tabs>
      <w:spacing w:after="120"/>
    </w:pPr>
  </w:style>
  <w:style w:type="paragraph" w:styleId="EndnoteText">
    <w:name w:val="endnote text"/>
    <w:basedOn w:val="Normal"/>
    <w:link w:val="EndnoteTextChar"/>
    <w:semiHidden/>
    <w:rsid w:val="00445D82"/>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445D82"/>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445D82"/>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445D82"/>
    <w:rPr>
      <w:rFonts w:ascii="Times New Roman" w:hAnsi="Times New Roman"/>
      <w:dstrike w:val="0"/>
      <w:color w:val="auto"/>
      <w:sz w:val="20"/>
      <w:vertAlign w:val="superscript"/>
    </w:rPr>
  </w:style>
  <w:style w:type="paragraph" w:styleId="TOC1">
    <w:name w:val="toc 1"/>
    <w:basedOn w:val="Normal"/>
    <w:next w:val="Normal"/>
    <w:rsid w:val="00445D8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45D82"/>
    <w:pPr>
      <w:tabs>
        <w:tab w:val="left" w:pos="720"/>
        <w:tab w:val="right" w:leader="dot" w:pos="9360"/>
      </w:tabs>
      <w:suppressAutoHyphens/>
      <w:ind w:left="720" w:right="720" w:hanging="360"/>
    </w:pPr>
    <w:rPr>
      <w:noProof/>
    </w:rPr>
  </w:style>
  <w:style w:type="paragraph" w:styleId="TOC3">
    <w:name w:val="toc 3"/>
    <w:basedOn w:val="Normal"/>
    <w:next w:val="Normal"/>
    <w:semiHidden/>
    <w:rsid w:val="00445D8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45D8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45D8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45D8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45D8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45D8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45D8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45D82"/>
    <w:pPr>
      <w:tabs>
        <w:tab w:val="right" w:pos="9360"/>
      </w:tabs>
      <w:suppressAutoHyphens/>
    </w:pPr>
  </w:style>
  <w:style w:type="character" w:customStyle="1" w:styleId="EquationCaption">
    <w:name w:val="_Equation Caption"/>
    <w:rsid w:val="00445D82"/>
  </w:style>
  <w:style w:type="paragraph" w:styleId="Header">
    <w:name w:val="header"/>
    <w:basedOn w:val="Normal"/>
    <w:link w:val="HeaderChar"/>
    <w:autoRedefine/>
    <w:rsid w:val="00445D82"/>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445D82"/>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445D82"/>
  </w:style>
  <w:style w:type="paragraph" w:styleId="BlockText">
    <w:name w:val="Block Text"/>
    <w:basedOn w:val="Normal"/>
    <w:rsid w:val="00445D82"/>
    <w:pPr>
      <w:spacing w:after="240"/>
      <w:ind w:left="1440" w:right="1440"/>
    </w:pPr>
  </w:style>
  <w:style w:type="paragraph" w:customStyle="1" w:styleId="Paratitle">
    <w:name w:val="Para title"/>
    <w:basedOn w:val="Normal"/>
    <w:rsid w:val="00445D82"/>
    <w:pPr>
      <w:tabs>
        <w:tab w:val="center" w:pos="9270"/>
      </w:tabs>
      <w:spacing w:after="240"/>
    </w:pPr>
    <w:rPr>
      <w:spacing w:val="-2"/>
    </w:rPr>
  </w:style>
  <w:style w:type="paragraph" w:customStyle="1" w:styleId="Bullet">
    <w:name w:val="Bullet"/>
    <w:basedOn w:val="Normal"/>
    <w:rsid w:val="00445D82"/>
    <w:pPr>
      <w:tabs>
        <w:tab w:val="left" w:pos="2160"/>
      </w:tabs>
      <w:spacing w:after="220"/>
      <w:ind w:left="2160" w:hanging="720"/>
    </w:pPr>
  </w:style>
  <w:style w:type="paragraph" w:customStyle="1" w:styleId="TableFormat">
    <w:name w:val="TableFormat"/>
    <w:basedOn w:val="Bullet"/>
    <w:rsid w:val="00445D82"/>
    <w:pPr>
      <w:tabs>
        <w:tab w:val="clear" w:pos="2160"/>
        <w:tab w:val="left" w:pos="5040"/>
      </w:tabs>
      <w:ind w:left="5040" w:hanging="3600"/>
    </w:pPr>
  </w:style>
  <w:style w:type="paragraph" w:customStyle="1" w:styleId="TOCTitle">
    <w:name w:val="TOC Title"/>
    <w:basedOn w:val="Normal"/>
    <w:rsid w:val="00445D8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45D82"/>
    <w:pPr>
      <w:jc w:val="center"/>
    </w:pPr>
    <w:rPr>
      <w:rFonts w:ascii="Times New Roman Bold" w:hAnsi="Times New Roman Bold"/>
      <w:b/>
      <w:bCs/>
      <w:caps/>
      <w:szCs w:val="22"/>
    </w:rPr>
  </w:style>
  <w:style w:type="character" w:styleId="Hyperlink">
    <w:name w:val="Hyperlink"/>
    <w:rsid w:val="00445D82"/>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 w:type="character" w:styleId="Emphasis">
    <w:name w:val="Emphasis"/>
    <w:basedOn w:val="DefaultParagraphFont"/>
    <w:uiPriority w:val="20"/>
    <w:qFormat/>
    <w:locked/>
    <w:rsid w:val="00A675CC"/>
    <w:rPr>
      <w:i/>
      <w:iCs/>
    </w:rPr>
  </w:style>
  <w:style w:type="character" w:customStyle="1" w:styleId="apple-converted-space">
    <w:name w:val="apple-converted-space"/>
    <w:basedOn w:val="DefaultParagraphFont"/>
    <w:rsid w:val="00802AC3"/>
  </w:style>
  <w:style w:type="character" w:customStyle="1" w:styleId="cosearchterm">
    <w:name w:val="co_searchterm"/>
    <w:basedOn w:val="DefaultParagraphFont"/>
    <w:rsid w:val="00802AC3"/>
  </w:style>
  <w:style w:type="character" w:customStyle="1" w:styleId="FootnoteCharacters">
    <w:name w:val="Footnote Characters"/>
    <w:uiPriority w:val="99"/>
    <w:rsid w:val="00F61F24"/>
    <w:rPr>
      <w:rFonts w:ascii="Times New Roman" w:hAnsi="Times New Roman"/>
      <w:color w:val="auto"/>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45D82"/>
    <w:pPr>
      <w:widowControl w:val="0"/>
    </w:pPr>
    <w:rPr>
      <w:snapToGrid w:val="0"/>
      <w:kern w:val="28"/>
      <w:szCs w:val="20"/>
    </w:rPr>
  </w:style>
  <w:style w:type="paragraph" w:styleId="Heading1">
    <w:name w:val="heading 1"/>
    <w:basedOn w:val="Normal"/>
    <w:next w:val="ParaNum"/>
    <w:link w:val="Heading1Char"/>
    <w:qFormat/>
    <w:rsid w:val="00445D8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45D82"/>
    <w:pPr>
      <w:keepNext/>
      <w:numPr>
        <w:ilvl w:val="1"/>
        <w:numId w:val="3"/>
      </w:numPr>
      <w:spacing w:after="120"/>
      <w:outlineLvl w:val="1"/>
    </w:pPr>
    <w:rPr>
      <w:b/>
    </w:rPr>
  </w:style>
  <w:style w:type="paragraph" w:styleId="Heading3">
    <w:name w:val="heading 3"/>
    <w:basedOn w:val="Normal"/>
    <w:next w:val="ParaNum"/>
    <w:link w:val="Heading3Char"/>
    <w:qFormat/>
    <w:rsid w:val="00445D82"/>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45D82"/>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45D8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45D82"/>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45D8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45D8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45D8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45D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5D82"/>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445D82"/>
    <w:pPr>
      <w:numPr>
        <w:numId w:val="2"/>
      </w:numPr>
      <w:tabs>
        <w:tab w:val="clear" w:pos="1080"/>
        <w:tab w:val="num" w:pos="1440"/>
      </w:tabs>
      <w:spacing w:after="120"/>
    </w:pPr>
  </w:style>
  <w:style w:type="paragraph" w:styleId="EndnoteText">
    <w:name w:val="endnote text"/>
    <w:basedOn w:val="Normal"/>
    <w:link w:val="EndnoteTextChar"/>
    <w:semiHidden/>
    <w:rsid w:val="00445D82"/>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445D82"/>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445D82"/>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445D82"/>
    <w:rPr>
      <w:rFonts w:ascii="Times New Roman" w:hAnsi="Times New Roman"/>
      <w:dstrike w:val="0"/>
      <w:color w:val="auto"/>
      <w:sz w:val="20"/>
      <w:vertAlign w:val="superscript"/>
    </w:rPr>
  </w:style>
  <w:style w:type="paragraph" w:styleId="TOC1">
    <w:name w:val="toc 1"/>
    <w:basedOn w:val="Normal"/>
    <w:next w:val="Normal"/>
    <w:rsid w:val="00445D8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45D82"/>
    <w:pPr>
      <w:tabs>
        <w:tab w:val="left" w:pos="720"/>
        <w:tab w:val="right" w:leader="dot" w:pos="9360"/>
      </w:tabs>
      <w:suppressAutoHyphens/>
      <w:ind w:left="720" w:right="720" w:hanging="360"/>
    </w:pPr>
    <w:rPr>
      <w:noProof/>
    </w:rPr>
  </w:style>
  <w:style w:type="paragraph" w:styleId="TOC3">
    <w:name w:val="toc 3"/>
    <w:basedOn w:val="Normal"/>
    <w:next w:val="Normal"/>
    <w:semiHidden/>
    <w:rsid w:val="00445D8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45D8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45D8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45D8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45D8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45D8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45D8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45D82"/>
    <w:pPr>
      <w:tabs>
        <w:tab w:val="right" w:pos="9360"/>
      </w:tabs>
      <w:suppressAutoHyphens/>
    </w:pPr>
  </w:style>
  <w:style w:type="character" w:customStyle="1" w:styleId="EquationCaption">
    <w:name w:val="_Equation Caption"/>
    <w:rsid w:val="00445D82"/>
  </w:style>
  <w:style w:type="paragraph" w:styleId="Header">
    <w:name w:val="header"/>
    <w:basedOn w:val="Normal"/>
    <w:link w:val="HeaderChar"/>
    <w:autoRedefine/>
    <w:rsid w:val="00445D82"/>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445D82"/>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445D82"/>
  </w:style>
  <w:style w:type="paragraph" w:styleId="BlockText">
    <w:name w:val="Block Text"/>
    <w:basedOn w:val="Normal"/>
    <w:rsid w:val="00445D82"/>
    <w:pPr>
      <w:spacing w:after="240"/>
      <w:ind w:left="1440" w:right="1440"/>
    </w:pPr>
  </w:style>
  <w:style w:type="paragraph" w:customStyle="1" w:styleId="Paratitle">
    <w:name w:val="Para title"/>
    <w:basedOn w:val="Normal"/>
    <w:rsid w:val="00445D82"/>
    <w:pPr>
      <w:tabs>
        <w:tab w:val="center" w:pos="9270"/>
      </w:tabs>
      <w:spacing w:after="240"/>
    </w:pPr>
    <w:rPr>
      <w:spacing w:val="-2"/>
    </w:rPr>
  </w:style>
  <w:style w:type="paragraph" w:customStyle="1" w:styleId="Bullet">
    <w:name w:val="Bullet"/>
    <w:basedOn w:val="Normal"/>
    <w:rsid w:val="00445D82"/>
    <w:pPr>
      <w:tabs>
        <w:tab w:val="left" w:pos="2160"/>
      </w:tabs>
      <w:spacing w:after="220"/>
      <w:ind w:left="2160" w:hanging="720"/>
    </w:pPr>
  </w:style>
  <w:style w:type="paragraph" w:customStyle="1" w:styleId="TableFormat">
    <w:name w:val="TableFormat"/>
    <w:basedOn w:val="Bullet"/>
    <w:rsid w:val="00445D82"/>
    <w:pPr>
      <w:tabs>
        <w:tab w:val="clear" w:pos="2160"/>
        <w:tab w:val="left" w:pos="5040"/>
      </w:tabs>
      <w:ind w:left="5040" w:hanging="3600"/>
    </w:pPr>
  </w:style>
  <w:style w:type="paragraph" w:customStyle="1" w:styleId="TOCTitle">
    <w:name w:val="TOC Title"/>
    <w:basedOn w:val="Normal"/>
    <w:rsid w:val="00445D8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45D82"/>
    <w:pPr>
      <w:jc w:val="center"/>
    </w:pPr>
    <w:rPr>
      <w:rFonts w:ascii="Times New Roman Bold" w:hAnsi="Times New Roman Bold"/>
      <w:b/>
      <w:bCs/>
      <w:caps/>
      <w:szCs w:val="22"/>
    </w:rPr>
  </w:style>
  <w:style w:type="character" w:styleId="Hyperlink">
    <w:name w:val="Hyperlink"/>
    <w:rsid w:val="00445D82"/>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 w:type="character" w:styleId="Emphasis">
    <w:name w:val="Emphasis"/>
    <w:basedOn w:val="DefaultParagraphFont"/>
    <w:uiPriority w:val="20"/>
    <w:qFormat/>
    <w:locked/>
    <w:rsid w:val="00A675CC"/>
    <w:rPr>
      <w:i/>
      <w:iCs/>
    </w:rPr>
  </w:style>
  <w:style w:type="character" w:customStyle="1" w:styleId="apple-converted-space">
    <w:name w:val="apple-converted-space"/>
    <w:basedOn w:val="DefaultParagraphFont"/>
    <w:rsid w:val="00802AC3"/>
  </w:style>
  <w:style w:type="character" w:customStyle="1" w:styleId="cosearchterm">
    <w:name w:val="co_searchterm"/>
    <w:basedOn w:val="DefaultParagraphFont"/>
    <w:rsid w:val="00802AC3"/>
  </w:style>
  <w:style w:type="character" w:customStyle="1" w:styleId="FootnoteCharacters">
    <w:name w:val="Footnote Characters"/>
    <w:uiPriority w:val="99"/>
    <w:rsid w:val="00F61F24"/>
    <w:rPr>
      <w:rFonts w:ascii="Times New Roman" w:hAnsi="Times New Roman"/>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1931</Words>
  <Characters>10130</Characters>
  <Application>Microsoft Office Word</Application>
  <DocSecurity>0</DocSecurity>
  <Lines>169</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12072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2015-06-30T12:35:00Z</dcterms:created>
  <dcterms:modified xsi:type="dcterms:W3CDTF">2015-06-30T12:35:00Z</dcterms:modified>
  <cp:category> </cp:category>
  <cp:contentStatus> </cp:contentStatus>
</cp:coreProperties>
</file>