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08214" w14:textId="77777777" w:rsidR="00CC446D" w:rsidRDefault="00CC446D" w:rsidP="00CC446D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14:paraId="205B3F9D" w14:textId="77777777" w:rsidR="00CC446D" w:rsidRDefault="00CC446D" w:rsidP="00CC446D">
      <w:pPr>
        <w:jc w:val="center"/>
        <w:rPr>
          <w:b/>
        </w:rPr>
      </w:pPr>
      <w:r>
        <w:rPr>
          <w:b/>
        </w:rPr>
        <w:t>Federal Communications Commission</w:t>
      </w:r>
    </w:p>
    <w:p w14:paraId="67A437BC" w14:textId="77777777" w:rsidR="00CC446D" w:rsidRDefault="00CC446D" w:rsidP="00CC446D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14:paraId="21FB0F00" w14:textId="77777777" w:rsidR="00CC446D" w:rsidRDefault="00CC446D" w:rsidP="00CC446D">
      <w:pPr>
        <w:jc w:val="center"/>
      </w:pPr>
    </w:p>
    <w:p w14:paraId="377B3576" w14:textId="77777777" w:rsidR="00CC446D" w:rsidRDefault="00CC446D" w:rsidP="00CC446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720"/>
        <w:gridCol w:w="4230"/>
      </w:tblGrid>
      <w:tr w:rsidR="00CC446D" w14:paraId="66978467" w14:textId="77777777" w:rsidTr="003E2E65">
        <w:tc>
          <w:tcPr>
            <w:tcW w:w="4698" w:type="dxa"/>
          </w:tcPr>
          <w:p w14:paraId="0CBECE21" w14:textId="77777777" w:rsidR="00CC446D" w:rsidRDefault="00CC446D" w:rsidP="003E2E65">
            <w:pPr>
              <w:ind w:right="-18"/>
            </w:pPr>
            <w:r>
              <w:t>In the Matter of</w:t>
            </w:r>
          </w:p>
          <w:p w14:paraId="0EF68ECD" w14:textId="77777777" w:rsidR="00CC446D" w:rsidRDefault="00CC446D" w:rsidP="003E2E65">
            <w:pPr>
              <w:ind w:right="-18"/>
            </w:pPr>
          </w:p>
          <w:p w14:paraId="23D0F48A" w14:textId="77777777" w:rsidR="00CC446D" w:rsidRDefault="00CC446D" w:rsidP="003E2E65">
            <w:pPr>
              <w:ind w:right="-18"/>
            </w:pPr>
            <w:r>
              <w:t>Connect America Fund</w:t>
            </w:r>
          </w:p>
          <w:p w14:paraId="2242101A" w14:textId="77777777" w:rsidR="00CC446D" w:rsidRDefault="00CC446D" w:rsidP="003E2E65">
            <w:pPr>
              <w:ind w:right="-18"/>
            </w:pPr>
          </w:p>
        </w:tc>
        <w:tc>
          <w:tcPr>
            <w:tcW w:w="720" w:type="dxa"/>
          </w:tcPr>
          <w:p w14:paraId="5B70713D" w14:textId="77777777" w:rsidR="00CC446D" w:rsidRDefault="00CC446D" w:rsidP="003E2E65">
            <w:pPr>
              <w:rPr>
                <w:b/>
              </w:rPr>
            </w:pPr>
            <w:r>
              <w:rPr>
                <w:b/>
              </w:rPr>
              <w:t>)</w:t>
            </w:r>
          </w:p>
          <w:p w14:paraId="03B5090E" w14:textId="77777777" w:rsidR="00CC446D" w:rsidRDefault="00CC446D" w:rsidP="003E2E65">
            <w:pPr>
              <w:rPr>
                <w:b/>
              </w:rPr>
            </w:pPr>
            <w:r>
              <w:rPr>
                <w:b/>
              </w:rPr>
              <w:t>)</w:t>
            </w:r>
          </w:p>
          <w:p w14:paraId="53291409" w14:textId="77777777" w:rsidR="00CC446D" w:rsidRDefault="00CC446D" w:rsidP="003E2E65">
            <w:pPr>
              <w:rPr>
                <w:b/>
              </w:rPr>
            </w:pPr>
            <w:r>
              <w:rPr>
                <w:b/>
              </w:rPr>
              <w:t>)</w:t>
            </w:r>
          </w:p>
          <w:p w14:paraId="69F26EB7" w14:textId="77777777" w:rsidR="00CC446D" w:rsidRDefault="00CC446D" w:rsidP="003E2E65">
            <w:pPr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230" w:type="dxa"/>
          </w:tcPr>
          <w:p w14:paraId="148E4D55" w14:textId="77777777" w:rsidR="00CC446D" w:rsidRDefault="00CC446D" w:rsidP="003E2E65"/>
          <w:p w14:paraId="32396A1B" w14:textId="77777777" w:rsidR="00CC446D" w:rsidRDefault="00CC446D" w:rsidP="003E2E65"/>
          <w:p w14:paraId="5FA85870" w14:textId="77777777" w:rsidR="00CC446D" w:rsidRDefault="00CC446D" w:rsidP="003E2E65">
            <w:pPr>
              <w:rPr>
                <w:spacing w:val="-2"/>
              </w:rPr>
            </w:pPr>
            <w:r>
              <w:rPr>
                <w:spacing w:val="-2"/>
              </w:rPr>
              <w:t>WC Docket No 10-90</w:t>
            </w:r>
          </w:p>
          <w:p w14:paraId="5855973B" w14:textId="77777777" w:rsidR="00CC446D" w:rsidRDefault="00CC446D" w:rsidP="003E2E65"/>
        </w:tc>
      </w:tr>
    </w:tbl>
    <w:p w14:paraId="5DBF58AE" w14:textId="77777777" w:rsidR="00CC446D" w:rsidRDefault="00CC446D" w:rsidP="00CC446D">
      <w:pPr>
        <w:tabs>
          <w:tab w:val="left" w:pos="5760"/>
        </w:tabs>
      </w:pPr>
    </w:p>
    <w:p w14:paraId="10B9EF51" w14:textId="77777777" w:rsidR="00CC446D" w:rsidRPr="00CC446D" w:rsidRDefault="00CC446D" w:rsidP="00CC446D">
      <w:pPr>
        <w:jc w:val="center"/>
        <w:rPr>
          <w:b/>
        </w:rPr>
      </w:pPr>
      <w:r w:rsidRPr="00CC446D">
        <w:rPr>
          <w:b/>
        </w:rPr>
        <w:t>ORDER</w:t>
      </w:r>
    </w:p>
    <w:p w14:paraId="481EC3AD" w14:textId="77777777" w:rsidR="00CC446D" w:rsidRDefault="00CC446D" w:rsidP="00CC446D">
      <w:pPr>
        <w:rPr>
          <w:b/>
        </w:rPr>
      </w:pPr>
    </w:p>
    <w:p w14:paraId="5F45A81A" w14:textId="0796824E" w:rsidR="00CC446D" w:rsidRDefault="00CC446D" w:rsidP="00CC446D">
      <w:pPr>
        <w:rPr>
          <w:b/>
        </w:rPr>
      </w:pPr>
      <w:r>
        <w:rPr>
          <w:b/>
        </w:rPr>
        <w:t xml:space="preserve">Adopted:  </w:t>
      </w:r>
      <w:r w:rsidR="00A97C0C">
        <w:rPr>
          <w:b/>
          <w:spacing w:val="-2"/>
        </w:rPr>
        <w:t>July 1,</w:t>
      </w:r>
      <w:r>
        <w:rPr>
          <w:b/>
          <w:spacing w:val="-2"/>
        </w:rPr>
        <w:t xml:space="preserve"> 2015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A97C0C">
        <w:rPr>
          <w:b/>
        </w:rPr>
        <w:tab/>
      </w:r>
      <w:r w:rsidR="00A97C0C">
        <w:rPr>
          <w:b/>
        </w:rPr>
        <w:tab/>
      </w:r>
      <w:r>
        <w:rPr>
          <w:b/>
        </w:rPr>
        <w:t xml:space="preserve">Released:  </w:t>
      </w:r>
      <w:r>
        <w:rPr>
          <w:b/>
          <w:spacing w:val="-2"/>
        </w:rPr>
        <w:t>Ju</w:t>
      </w:r>
      <w:r w:rsidR="00A97C0C">
        <w:rPr>
          <w:b/>
          <w:spacing w:val="-2"/>
        </w:rPr>
        <w:t>ly 1</w:t>
      </w:r>
      <w:r>
        <w:rPr>
          <w:b/>
          <w:spacing w:val="-2"/>
        </w:rPr>
        <w:t>, 2015</w:t>
      </w:r>
    </w:p>
    <w:p w14:paraId="0E4EC8A3" w14:textId="77777777" w:rsidR="00CC446D" w:rsidRDefault="00CC446D" w:rsidP="00CC446D">
      <w:pPr>
        <w:tabs>
          <w:tab w:val="left" w:pos="5760"/>
        </w:tabs>
        <w:rPr>
          <w:b/>
        </w:rPr>
      </w:pPr>
    </w:p>
    <w:p w14:paraId="7F73CADC" w14:textId="77777777" w:rsidR="00CC446D" w:rsidRDefault="00CC446D" w:rsidP="00A97C0C">
      <w:pPr>
        <w:tabs>
          <w:tab w:val="left" w:pos="5760"/>
        </w:tabs>
        <w:spacing w:after="240"/>
      </w:pPr>
      <w:r>
        <w:t xml:space="preserve">By the Deputy Chief, Wireline Competition Bureau: </w:t>
      </w:r>
    </w:p>
    <w:p w14:paraId="183A5C3A" w14:textId="71A393E2" w:rsidR="00CC446D" w:rsidRDefault="00DF730C" w:rsidP="008418D2">
      <w:pPr>
        <w:spacing w:after="120"/>
      </w:pPr>
      <w:r w:rsidRPr="00DF730C">
        <w:rPr>
          <w:b/>
        </w:rPr>
        <w:t>I.</w:t>
      </w:r>
      <w:r>
        <w:rPr>
          <w:b/>
        </w:rPr>
        <w:tab/>
        <w:t>INTRODUCTION</w:t>
      </w:r>
    </w:p>
    <w:p w14:paraId="5DC564CE" w14:textId="6408D68C" w:rsidR="00946BD6" w:rsidRDefault="00CC446D" w:rsidP="008418D2">
      <w:pPr>
        <w:pStyle w:val="ListParagraph"/>
        <w:numPr>
          <w:ilvl w:val="0"/>
          <w:numId w:val="2"/>
        </w:numPr>
        <w:spacing w:after="120"/>
        <w:ind w:left="0" w:firstLine="720"/>
        <w:contextualSpacing w:val="0"/>
      </w:pPr>
      <w:r>
        <w:t>In this Order, the Wireline Competition Bureau (Bureau)</w:t>
      </w:r>
      <w:r w:rsidR="00A4745E">
        <w:t xml:space="preserve"> </w:t>
      </w:r>
      <w:r w:rsidR="008418D2">
        <w:t xml:space="preserve">grants a limited, partial </w:t>
      </w:r>
      <w:r w:rsidR="00A4745E">
        <w:t>waive</w:t>
      </w:r>
      <w:r w:rsidR="008418D2">
        <w:t>r of</w:t>
      </w:r>
      <w:r>
        <w:t xml:space="preserve"> </w:t>
      </w:r>
      <w:r w:rsidR="008418D2">
        <w:t xml:space="preserve">the July 1, 2015 filing deadline for two eligible telecommunications carriers (ETCs) to file </w:t>
      </w:r>
      <w:r w:rsidR="00B11631">
        <w:t xml:space="preserve">a portion of </w:t>
      </w:r>
      <w:r w:rsidR="008418D2">
        <w:t>their annual reports</w:t>
      </w:r>
      <w:r w:rsidR="00B11631">
        <w:t>, FCC Form 481</w:t>
      </w:r>
      <w:r w:rsidR="008418D2">
        <w:t xml:space="preserve">. </w:t>
      </w:r>
      <w:r w:rsidR="00643A7E">
        <w:t xml:space="preserve"> </w:t>
      </w:r>
      <w:r w:rsidR="008418D2">
        <w:t xml:space="preserve">First, </w:t>
      </w:r>
      <w:r w:rsidR="00C605D8">
        <w:t xml:space="preserve">on </w:t>
      </w:r>
      <w:r w:rsidR="00225188">
        <w:t>our</w:t>
      </w:r>
      <w:r w:rsidR="00C605D8">
        <w:t xml:space="preserve"> own motion</w:t>
      </w:r>
      <w:r w:rsidR="008418D2">
        <w:t>, we waive</w:t>
      </w:r>
      <w:r w:rsidR="00C605D8">
        <w:t xml:space="preserve"> </w:t>
      </w:r>
      <w:r>
        <w:t>the requirement that Frontier Communications</w:t>
      </w:r>
      <w:r w:rsidR="00CE51D1">
        <w:t xml:space="preserve"> Corporation (Frontier)</w:t>
      </w:r>
      <w:r>
        <w:t xml:space="preserve"> file a five-year build-out plan</w:t>
      </w:r>
      <w:r w:rsidR="007F2F9D">
        <w:t xml:space="preserve"> (five-year plan)</w:t>
      </w:r>
      <w:r>
        <w:t xml:space="preserve"> by July 1, 2015</w:t>
      </w:r>
      <w:r w:rsidR="00732727">
        <w:t xml:space="preserve"> for each of the 28 states where it has accepted </w:t>
      </w:r>
      <w:r w:rsidR="00643A7E">
        <w:t xml:space="preserve">Connect America </w:t>
      </w:r>
      <w:r w:rsidR="00732727">
        <w:t>Phase II model-based support</w:t>
      </w:r>
      <w:r>
        <w:t>.</w:t>
      </w:r>
      <w:r w:rsidR="008418D2">
        <w:t xml:space="preserve">  Second, we </w:t>
      </w:r>
      <w:r w:rsidR="00946BD6">
        <w:t xml:space="preserve">grant a petition filed by </w:t>
      </w:r>
      <w:r w:rsidR="00092889">
        <w:t>Comporium, Inc. (Comporium) re</w:t>
      </w:r>
      <w:r w:rsidR="00A31D7E">
        <w:t xml:space="preserve">questing a </w:t>
      </w:r>
      <w:r w:rsidR="001D4A1C">
        <w:t xml:space="preserve">two month </w:t>
      </w:r>
      <w:r w:rsidR="00A31D7E">
        <w:t xml:space="preserve">limited waiver of </w:t>
      </w:r>
      <w:r w:rsidR="00B11631">
        <w:t>the requirement to file audited financial statements,</w:t>
      </w:r>
      <w:r w:rsidR="00B11631">
        <w:rPr>
          <w:rStyle w:val="FootnoteReference"/>
        </w:rPr>
        <w:footnoteReference w:id="1"/>
      </w:r>
      <w:r w:rsidR="00B11631">
        <w:t xml:space="preserve"> conditioned on its filing draft, unaudited statements with its FCC Form 481.</w:t>
      </w:r>
      <w:r w:rsidR="00A31D7E">
        <w:t xml:space="preserve"> </w:t>
      </w:r>
      <w:r w:rsidR="00AF2B31">
        <w:t xml:space="preserve">  </w:t>
      </w:r>
    </w:p>
    <w:p w14:paraId="5BD811AD" w14:textId="5D7F89E0" w:rsidR="00DF730C" w:rsidRPr="008418D2" w:rsidRDefault="00DF730C" w:rsidP="008418D2">
      <w:pPr>
        <w:spacing w:after="120"/>
        <w:rPr>
          <w:b/>
        </w:rPr>
      </w:pPr>
      <w:r>
        <w:rPr>
          <w:b/>
        </w:rPr>
        <w:t>II.</w:t>
      </w:r>
      <w:r>
        <w:rPr>
          <w:b/>
        </w:rPr>
        <w:tab/>
        <w:t>BACKGROUND</w:t>
      </w:r>
    </w:p>
    <w:p w14:paraId="78B92DCA" w14:textId="091E83AA" w:rsidR="002F1678" w:rsidRDefault="008418D2" w:rsidP="006700B4">
      <w:pPr>
        <w:pStyle w:val="ListParagraph"/>
        <w:numPr>
          <w:ilvl w:val="0"/>
          <w:numId w:val="2"/>
        </w:numPr>
        <w:spacing w:after="120"/>
        <w:ind w:left="0" w:firstLine="720"/>
        <w:contextualSpacing w:val="0"/>
      </w:pPr>
      <w:r>
        <w:t xml:space="preserve">In the </w:t>
      </w:r>
      <w:r>
        <w:rPr>
          <w:i/>
        </w:rPr>
        <w:t>USF/ICC Transformation Order</w:t>
      </w:r>
      <w:r>
        <w:t>, the Commission adopted several reforms to harmonize and update annual ETC reporting requirements.</w:t>
      </w:r>
      <w:r>
        <w:rPr>
          <w:rStyle w:val="FootnoteReference"/>
        </w:rPr>
        <w:footnoteReference w:id="2"/>
      </w:r>
      <w:r>
        <w:t xml:space="preserve">  Among other things, i</w:t>
      </w:r>
      <w:r w:rsidR="002F1678">
        <w:t xml:space="preserve">n order to account for the new broadband obligations established in the </w:t>
      </w:r>
      <w:r w:rsidR="002F1678">
        <w:rPr>
          <w:i/>
        </w:rPr>
        <w:t>USF/ICC Transformation Order</w:t>
      </w:r>
      <w:r w:rsidR="002F1678">
        <w:t xml:space="preserve">, the Commission mandated that all </w:t>
      </w:r>
      <w:r w:rsidR="006D2335">
        <w:t>eligible telecommunications carrier</w:t>
      </w:r>
      <w:r w:rsidR="002F1678">
        <w:t>s</w:t>
      </w:r>
      <w:r w:rsidR="006D2335">
        <w:t xml:space="preserve"> (ETCs)</w:t>
      </w:r>
      <w:r w:rsidR="002F1678">
        <w:t xml:space="preserve"> subject to those obligations file a new five-year pl</w:t>
      </w:r>
      <w:r w:rsidR="00211D3C">
        <w:t>an in a manner consistent with</w:t>
      </w:r>
      <w:r w:rsidR="002F1678">
        <w:t xml:space="preserve"> section 54.202(a)(1)(ii) of the Commission’s rules, and annual progress reports thereafter.</w:t>
      </w:r>
      <w:r w:rsidR="002F1678">
        <w:rPr>
          <w:rStyle w:val="FootnoteReference"/>
        </w:rPr>
        <w:footnoteReference w:id="3"/>
      </w:r>
      <w:r w:rsidR="00792818">
        <w:t xml:space="preserve">  In 2014, the Bureau waived the five-year plan filing deadline for price cap carriers until the July 1</w:t>
      </w:r>
      <w:r w:rsidR="00792818" w:rsidRPr="00A4745E">
        <w:rPr>
          <w:vertAlign w:val="superscript"/>
        </w:rPr>
        <w:t>st</w:t>
      </w:r>
      <w:r w:rsidR="00792818">
        <w:t xml:space="preserve"> following their acceptance of model-based support.</w:t>
      </w:r>
      <w:r w:rsidR="00792818">
        <w:rPr>
          <w:rStyle w:val="FootnoteReference"/>
        </w:rPr>
        <w:footnoteReference w:id="4"/>
      </w:r>
      <w:r w:rsidR="00DF730C">
        <w:t xml:space="preserve"> </w:t>
      </w:r>
    </w:p>
    <w:p w14:paraId="731EA15B" w14:textId="77777777" w:rsidR="00CE51D1" w:rsidRDefault="00CE51D1" w:rsidP="006700B4">
      <w:pPr>
        <w:pStyle w:val="ListParagraph"/>
        <w:numPr>
          <w:ilvl w:val="0"/>
          <w:numId w:val="2"/>
        </w:numPr>
        <w:spacing w:after="120"/>
        <w:ind w:left="0" w:firstLine="720"/>
        <w:contextualSpacing w:val="0"/>
      </w:pPr>
      <w:r>
        <w:t>On April 29, 2015, the Bureau released a public notice announcing the offers of model-based Phase II support to each price cap carrier to fund the deployment of voice and broadband-capable networks in their service territories.</w:t>
      </w:r>
      <w:r>
        <w:rPr>
          <w:rStyle w:val="FootnoteReference"/>
        </w:rPr>
        <w:footnoteReference w:id="5"/>
      </w:r>
      <w:r>
        <w:t xml:space="preserve">  </w:t>
      </w:r>
      <w:r w:rsidR="001C535C">
        <w:t>The Bureau gave the carriers until August 27, 2015 (120 days) to decide whether to accept the offers on a state-by-state basis.</w:t>
      </w:r>
      <w:r w:rsidR="001C535C">
        <w:rPr>
          <w:rStyle w:val="FootnoteReference"/>
        </w:rPr>
        <w:footnoteReference w:id="6"/>
      </w:r>
      <w:r w:rsidR="001C535C">
        <w:t xml:space="preserve"> </w:t>
      </w:r>
      <w:r w:rsidR="00071479">
        <w:t xml:space="preserve"> </w:t>
      </w:r>
      <w:r>
        <w:t>On June 15, 2015, Frontier submitted a letter to the Commission accepting model-based support for each of the 28 states it serves and committing to satisfy the service obligations for Phase II.</w:t>
      </w:r>
      <w:r>
        <w:rPr>
          <w:rStyle w:val="FootnoteReference"/>
        </w:rPr>
        <w:footnoteReference w:id="7"/>
      </w:r>
    </w:p>
    <w:p w14:paraId="1E92F4A2" w14:textId="544EF83F" w:rsidR="00225188" w:rsidRDefault="00FD53CA">
      <w:pPr>
        <w:pStyle w:val="ListParagraph"/>
        <w:numPr>
          <w:ilvl w:val="0"/>
          <w:numId w:val="2"/>
        </w:numPr>
        <w:spacing w:after="120"/>
        <w:ind w:left="0" w:firstLine="720"/>
        <w:contextualSpacing w:val="0"/>
      </w:pPr>
      <w:r>
        <w:t xml:space="preserve">In addition, the </w:t>
      </w:r>
      <w:r>
        <w:rPr>
          <w:i/>
        </w:rPr>
        <w:t>USF/ICC Transformation Order</w:t>
      </w:r>
      <w:r w:rsidR="005E63B5">
        <w:t xml:space="preserve"> </w:t>
      </w:r>
      <w:r w:rsidR="0086622B">
        <w:t xml:space="preserve">adopted </w:t>
      </w:r>
      <w:r w:rsidR="00E207E7">
        <w:t xml:space="preserve">financial reporting obligations </w:t>
      </w:r>
      <w:r w:rsidR="005E63B5">
        <w:t>for</w:t>
      </w:r>
      <w:r w:rsidR="00E207E7">
        <w:t xml:space="preserve"> ETCs that are privately-held rate-of-return companies.</w:t>
      </w:r>
      <w:r w:rsidR="00E207E7">
        <w:rPr>
          <w:rStyle w:val="FootnoteReference"/>
        </w:rPr>
        <w:footnoteReference w:id="8"/>
      </w:r>
      <w:r>
        <w:t xml:space="preserve"> </w:t>
      </w:r>
      <w:r w:rsidR="00E207E7">
        <w:t xml:space="preserve"> It stated that</w:t>
      </w:r>
      <w:r>
        <w:t xml:space="preserve"> all privately-held rate-of-return carriers </w:t>
      </w:r>
      <w:r w:rsidR="00E207E7">
        <w:t xml:space="preserve">must </w:t>
      </w:r>
      <w:r>
        <w:t>file a</w:t>
      </w:r>
      <w:r w:rsidR="00E45C3D">
        <w:t xml:space="preserve"> full and complete</w:t>
      </w:r>
      <w:r>
        <w:t xml:space="preserve"> annual audited financial report</w:t>
      </w:r>
      <w:r w:rsidR="00BE0A91">
        <w:t xml:space="preserve"> with the Commission.</w:t>
      </w:r>
      <w:r w:rsidR="00BE0A91">
        <w:rPr>
          <w:rStyle w:val="FootnoteReference"/>
        </w:rPr>
        <w:footnoteReference w:id="9"/>
      </w:r>
      <w:r w:rsidR="009B28EF">
        <w:t xml:space="preserve">  </w:t>
      </w:r>
      <w:r w:rsidR="00BE0A91">
        <w:t>The Commission revised these requirements i</w:t>
      </w:r>
      <w:r w:rsidR="00A147F2">
        <w:t xml:space="preserve">n the </w:t>
      </w:r>
      <w:r w:rsidR="00A147F2" w:rsidRPr="009B28EF">
        <w:rPr>
          <w:i/>
        </w:rPr>
        <w:t>Fifth Order on Reconsideration</w:t>
      </w:r>
      <w:r w:rsidR="00A147F2">
        <w:t>,</w:t>
      </w:r>
      <w:r w:rsidR="009B28EF">
        <w:t xml:space="preserve"> </w:t>
      </w:r>
      <w:r w:rsidR="00B11631">
        <w:t xml:space="preserve">among other changes allowing </w:t>
      </w:r>
      <w:r w:rsidR="009B28EF">
        <w:t xml:space="preserve">privately held carriers with study areas under common ownership or control </w:t>
      </w:r>
      <w:r w:rsidR="00B11631">
        <w:t xml:space="preserve">to </w:t>
      </w:r>
      <w:r w:rsidR="009B28EF">
        <w:t>prepare a consolidated audit report.</w:t>
      </w:r>
      <w:r w:rsidR="009B28EF">
        <w:rPr>
          <w:rStyle w:val="FootnoteReference"/>
        </w:rPr>
        <w:footnoteReference w:id="10"/>
      </w:r>
      <w:r w:rsidR="00A147F2">
        <w:t xml:space="preserve"> </w:t>
      </w:r>
      <w:r w:rsidR="009B28EF">
        <w:t xml:space="preserve"> Comporium has since been filing a consolidated audit report</w:t>
      </w:r>
      <w:r w:rsidR="00E8323E">
        <w:t>, pursuant to section 54.313(f)(2)(ii),</w:t>
      </w:r>
      <w:r w:rsidR="009B28EF">
        <w:t xml:space="preserve"> prepared by an external auditing </w:t>
      </w:r>
      <w:r w:rsidR="00E8323E">
        <w:t>firm, KPMP, LLP (KPMG)</w:t>
      </w:r>
      <w:r w:rsidR="009B28EF">
        <w:t>.</w:t>
      </w:r>
      <w:r w:rsidR="009B28EF">
        <w:rPr>
          <w:rStyle w:val="FootnoteReference"/>
        </w:rPr>
        <w:footnoteReference w:id="11"/>
      </w:r>
      <w:r w:rsidR="00E8323E">
        <w:t xml:space="preserve">  </w:t>
      </w:r>
    </w:p>
    <w:p w14:paraId="4CF05015" w14:textId="7496602D" w:rsidR="00DF730C" w:rsidRDefault="00E8323E">
      <w:pPr>
        <w:pStyle w:val="ListParagraph"/>
        <w:numPr>
          <w:ilvl w:val="0"/>
          <w:numId w:val="2"/>
        </w:numPr>
        <w:spacing w:after="120"/>
        <w:ind w:left="0" w:firstLine="720"/>
        <w:contextualSpacing w:val="0"/>
      </w:pPr>
      <w:r>
        <w:t xml:space="preserve">On June 22, 2015, Comporium filed a </w:t>
      </w:r>
      <w:r w:rsidR="0086622B">
        <w:t>p</w:t>
      </w:r>
      <w:r>
        <w:t>etition to waive section 54.313(f)(2)(ii) due to delays in obtaining audited financial statements from a joint investment, Tide Mobility, LLC (Tide).</w:t>
      </w:r>
      <w:r>
        <w:rPr>
          <w:rStyle w:val="FootnoteReference"/>
        </w:rPr>
        <w:footnoteReference w:id="12"/>
      </w:r>
      <w:r>
        <w:t xml:space="preserve">  Tide is audited by a </w:t>
      </w:r>
      <w:r w:rsidR="00225188">
        <w:t xml:space="preserve">different </w:t>
      </w:r>
      <w:r>
        <w:t xml:space="preserve">auditing firm, which </w:t>
      </w:r>
      <w:r w:rsidR="001D4A1C">
        <w:t>has</w:t>
      </w:r>
      <w:r>
        <w:t xml:space="preserve"> not provide</w:t>
      </w:r>
      <w:r w:rsidR="001D4A1C">
        <w:t>d</w:t>
      </w:r>
      <w:r>
        <w:t xml:space="preserve"> pertinent financial information to KPMG in order for KPMG to complete the audit for Comporium.</w:t>
      </w:r>
      <w:r>
        <w:rPr>
          <w:rStyle w:val="FootnoteReference"/>
        </w:rPr>
        <w:footnoteReference w:id="13"/>
      </w:r>
      <w:r>
        <w:t xml:space="preserve">  As a result, KPMG is unable to finalize the financial statement for Comporium to file before the July 1, 2015 deadline.  Thus, Comporium is seeking a two month limited waiver of the July 1, 2015 to submit a consolidated audit report, pursuant to 54.313(f)(2)(ii).</w:t>
      </w:r>
      <w:r>
        <w:rPr>
          <w:rStyle w:val="FootnoteReference"/>
        </w:rPr>
        <w:footnoteReference w:id="14"/>
      </w:r>
      <w:r w:rsidR="0086622B">
        <w:t xml:space="preserve">  In the meantime, Comporium committed to include draft audited financials with its July 1 filing.</w:t>
      </w:r>
      <w:r w:rsidR="0086622B">
        <w:rPr>
          <w:rStyle w:val="FootnoteReference"/>
        </w:rPr>
        <w:footnoteReference w:id="15"/>
      </w:r>
    </w:p>
    <w:p w14:paraId="00D93251" w14:textId="0072BE04" w:rsidR="00DF730C" w:rsidRPr="00DF730C" w:rsidRDefault="00DF730C" w:rsidP="008418D2">
      <w:pPr>
        <w:spacing w:after="120"/>
      </w:pPr>
      <w:r>
        <w:rPr>
          <w:b/>
        </w:rPr>
        <w:t>III.</w:t>
      </w:r>
      <w:r>
        <w:rPr>
          <w:b/>
        </w:rPr>
        <w:tab/>
        <w:t>DISCUSSION</w:t>
      </w:r>
    </w:p>
    <w:p w14:paraId="79210D60" w14:textId="40422625" w:rsidR="00211D3C" w:rsidRDefault="0086622B" w:rsidP="006700B4">
      <w:pPr>
        <w:pStyle w:val="ListParagraph"/>
        <w:numPr>
          <w:ilvl w:val="0"/>
          <w:numId w:val="2"/>
        </w:numPr>
        <w:spacing w:after="120"/>
        <w:ind w:left="0" w:firstLine="720"/>
        <w:contextualSpacing w:val="0"/>
      </w:pPr>
      <w:r>
        <w:t>We find that there is good cause to grant a limited, partial waiver to both ETCs.</w:t>
      </w:r>
      <w:r w:rsidR="001C535C">
        <w:rPr>
          <w:rStyle w:val="FootnoteReference"/>
        </w:rPr>
        <w:footnoteReference w:id="16"/>
      </w:r>
      <w:r w:rsidR="00F87710">
        <w:t xml:space="preserve">  </w:t>
      </w:r>
      <w:r>
        <w:t xml:space="preserve">First, we find that there is good cause to waive for Frontier the requirement to file five-year plans because </w:t>
      </w:r>
      <w:r w:rsidR="00F87710">
        <w:t>Frontier submitted its</w:t>
      </w:r>
      <w:r w:rsidR="00211D3C">
        <w:t xml:space="preserve"> Phase II support</w:t>
      </w:r>
      <w:r w:rsidR="00F87710">
        <w:t xml:space="preserve"> acceptance </w:t>
      </w:r>
      <w:r w:rsidR="00C605D8">
        <w:t>12</w:t>
      </w:r>
      <w:r w:rsidR="00F87710">
        <w:t xml:space="preserve"> business days before</w:t>
      </w:r>
      <w:r w:rsidR="006D2335">
        <w:t xml:space="preserve"> the</w:t>
      </w:r>
      <w:r w:rsidR="00F87710">
        <w:t xml:space="preserve"> July 1, 2015</w:t>
      </w:r>
      <w:r w:rsidR="006D2335">
        <w:t xml:space="preserve"> </w:t>
      </w:r>
      <w:r>
        <w:t xml:space="preserve">filing </w:t>
      </w:r>
      <w:r w:rsidR="006D2335">
        <w:t>deadline</w:t>
      </w:r>
      <w:r>
        <w:t xml:space="preserve"> for annual reports</w:t>
      </w:r>
      <w:r w:rsidR="00F87710">
        <w:t>.</w:t>
      </w:r>
      <w:r w:rsidR="00211D3C">
        <w:rPr>
          <w:rStyle w:val="FootnoteReference"/>
        </w:rPr>
        <w:footnoteReference w:id="17"/>
      </w:r>
      <w:r w:rsidR="00F87710">
        <w:t xml:space="preserve">  </w:t>
      </w:r>
      <w:r w:rsidR="00C6289F">
        <w:t xml:space="preserve">If Frontier had waited two weeks to </w:t>
      </w:r>
      <w:r>
        <w:t>accept</w:t>
      </w:r>
      <w:r w:rsidR="00C6289F">
        <w:t>, it would be subject to the July 1, 2016 deadline, like any other price cap carrier that accepts after July 1, 2015</w:t>
      </w:r>
      <w:r w:rsidR="00211D3C">
        <w:t>.</w:t>
      </w:r>
      <w:r w:rsidR="00C6289F">
        <w:t xml:space="preserve">  For administrative ease, we </w:t>
      </w:r>
      <w:r w:rsidR="00F157CF">
        <w:t xml:space="preserve">allow Frontier to file in </w:t>
      </w:r>
      <w:r w:rsidR="00B549FF">
        <w:t>2016 like</w:t>
      </w:r>
      <w:r w:rsidR="00B11631">
        <w:t xml:space="preserve"> </w:t>
      </w:r>
      <w:r w:rsidR="00C6289F">
        <w:t>other price cap carriers</w:t>
      </w:r>
      <w:r w:rsidR="00F157CF">
        <w:t xml:space="preserve"> that accept Phase II support</w:t>
      </w:r>
      <w:r w:rsidR="00C6289F">
        <w:t>.</w:t>
      </w:r>
      <w:r w:rsidR="00F87710">
        <w:t xml:space="preserve">  </w:t>
      </w:r>
      <w:r w:rsidR="00211D3C">
        <w:t>The Bureau therefore waives the July 1, 2015 deadline for Frontier’s five-year plan</w:t>
      </w:r>
      <w:r w:rsidR="00732727">
        <w:t>s</w:t>
      </w:r>
      <w:r w:rsidR="00792818">
        <w:t xml:space="preserve"> and directs </w:t>
      </w:r>
      <w:r w:rsidR="00211D3C">
        <w:t xml:space="preserve">Frontier </w:t>
      </w:r>
      <w:r w:rsidR="00792818">
        <w:t xml:space="preserve">to </w:t>
      </w:r>
      <w:r w:rsidR="00211D3C">
        <w:t>file its five-year plan</w:t>
      </w:r>
      <w:r w:rsidR="00732727">
        <w:t>s</w:t>
      </w:r>
      <w:r w:rsidR="00211D3C">
        <w:t xml:space="preserve"> in its next</w:t>
      </w:r>
      <w:r w:rsidR="008A1F86">
        <w:t xml:space="preserve"> annual report</w:t>
      </w:r>
      <w:r w:rsidR="00C605D8">
        <w:t xml:space="preserve"> due July 1, 2016</w:t>
      </w:r>
      <w:r w:rsidR="00990D49">
        <w:t xml:space="preserve"> pursuant to section 54.313 of the Commission’s rules</w:t>
      </w:r>
      <w:r w:rsidR="006656DF">
        <w:t>.</w:t>
      </w:r>
      <w:r w:rsidR="00990D49">
        <w:rPr>
          <w:rStyle w:val="FootnoteReference"/>
        </w:rPr>
        <w:footnoteReference w:id="18"/>
      </w:r>
    </w:p>
    <w:p w14:paraId="6DC4D769" w14:textId="0A4EFB12" w:rsidR="001D4A1C" w:rsidRDefault="0086622B" w:rsidP="006700B4">
      <w:pPr>
        <w:pStyle w:val="ListParagraph"/>
        <w:numPr>
          <w:ilvl w:val="0"/>
          <w:numId w:val="2"/>
        </w:numPr>
        <w:spacing w:after="120"/>
        <w:ind w:left="0" w:firstLine="720"/>
        <w:contextualSpacing w:val="0"/>
      </w:pPr>
      <w:r>
        <w:t>Second, w</w:t>
      </w:r>
      <w:r w:rsidR="001D4A1C">
        <w:t xml:space="preserve">e grant Comporium’s petition for limited waiver as it has demonstrated special circumstances </w:t>
      </w:r>
      <w:r w:rsidR="005D6435">
        <w:t xml:space="preserve">beyond its control </w:t>
      </w:r>
      <w:r w:rsidR="001D4A1C">
        <w:t>that preclude it from</w:t>
      </w:r>
      <w:r w:rsidR="00E45C3D">
        <w:t xml:space="preserve"> filing a full and complete audited financial statement</w:t>
      </w:r>
      <w:r w:rsidR="001D4A1C">
        <w:t xml:space="preserve"> </w:t>
      </w:r>
      <w:r w:rsidR="00E45C3D">
        <w:t>by</w:t>
      </w:r>
      <w:r w:rsidR="001D4A1C">
        <w:t xml:space="preserve"> the July 1, 2015 deadline</w:t>
      </w:r>
      <w:r w:rsidR="00E45C3D">
        <w:t>.</w:t>
      </w:r>
      <w:r w:rsidR="00F75914">
        <w:rPr>
          <w:rStyle w:val="FootnoteReference"/>
        </w:rPr>
        <w:footnoteReference w:id="19"/>
      </w:r>
      <w:r w:rsidR="00E45C3D">
        <w:t xml:space="preserve">  The Bureau therefore grants a limited waiver of section 54.313(f)(2)(ii) </w:t>
      </w:r>
      <w:r w:rsidR="00B11631">
        <w:t>conditioned on Comporium filing its draft financial statements with its FCC Form 481 on July 1</w:t>
      </w:r>
      <w:r w:rsidR="00B11631" w:rsidRPr="00B549FF">
        <w:rPr>
          <w:vertAlign w:val="superscript"/>
        </w:rPr>
        <w:t>st</w:t>
      </w:r>
      <w:r w:rsidR="00B11631">
        <w:t xml:space="preserve"> </w:t>
      </w:r>
      <w:r w:rsidR="00E45C3D">
        <w:t xml:space="preserve">and extends Comporium’s filing deadline </w:t>
      </w:r>
      <w:r w:rsidR="00B11631">
        <w:t xml:space="preserve">for the audited statements </w:t>
      </w:r>
      <w:r w:rsidR="00E45C3D">
        <w:t>to September 1, 2015.</w:t>
      </w:r>
      <w:r>
        <w:t xml:space="preserve">  Both ETCs must comply with all other elements of their annual reporting obligations by July 1, 2015.</w:t>
      </w:r>
    </w:p>
    <w:p w14:paraId="1E212ADF" w14:textId="1FD93C2A" w:rsidR="00E04C9B" w:rsidRPr="00E04C9B" w:rsidRDefault="00E04C9B" w:rsidP="008418D2">
      <w:pPr>
        <w:spacing w:after="120"/>
      </w:pPr>
      <w:r>
        <w:rPr>
          <w:b/>
        </w:rPr>
        <w:t>IV.</w:t>
      </w:r>
      <w:r>
        <w:rPr>
          <w:b/>
        </w:rPr>
        <w:tab/>
        <w:t>ORDERING CLAUSES</w:t>
      </w:r>
    </w:p>
    <w:p w14:paraId="040B1CAE" w14:textId="77777777" w:rsidR="00930BB4" w:rsidRDefault="00930BB4" w:rsidP="006700B4">
      <w:pPr>
        <w:pStyle w:val="ListParagraph"/>
        <w:numPr>
          <w:ilvl w:val="0"/>
          <w:numId w:val="2"/>
        </w:numPr>
        <w:spacing w:after="120"/>
        <w:ind w:left="0" w:firstLine="720"/>
        <w:contextualSpacing w:val="0"/>
      </w:pPr>
      <w:r>
        <w:t>Accordingly, IT IS ORDERED that, pursuant to the authority contained in sections 0.91, 0.291, and 1.3 of the Commission’s rules, 47 C.F.R. §§ 0.91, 0.291, 1.3, the requirement that Frontier Communications Corporation file a new five-year build-out plan by July 1, 2015, IS WAIVED, to the extent described herein.</w:t>
      </w:r>
    </w:p>
    <w:p w14:paraId="3F7E6D15" w14:textId="2441B25E" w:rsidR="00F75914" w:rsidRDefault="00F75914">
      <w:pPr>
        <w:pStyle w:val="ListParagraph"/>
        <w:numPr>
          <w:ilvl w:val="0"/>
          <w:numId w:val="2"/>
        </w:numPr>
        <w:spacing w:after="120"/>
        <w:ind w:left="0" w:firstLine="720"/>
        <w:contextualSpacing w:val="0"/>
      </w:pPr>
      <w:r>
        <w:t xml:space="preserve">IT IS FURTHER ORDERED that, pursuant to the authority contained in sections 0.91, 0.291, and 1.3 of the Commission’s rules, 47 C.F.R. §§ 0.91, 0.291, 1.3, </w:t>
      </w:r>
      <w:r w:rsidR="0086622B">
        <w:t xml:space="preserve">Comporium’s Petition for Waiver </w:t>
      </w:r>
      <w:r>
        <w:t xml:space="preserve">IS </w:t>
      </w:r>
      <w:r w:rsidR="0086622B">
        <w:t>GRANTED</w:t>
      </w:r>
      <w:r>
        <w:t>, to the extent described herein.</w:t>
      </w:r>
    </w:p>
    <w:p w14:paraId="3957FBFB" w14:textId="0F67B8EB" w:rsidR="00930BB4" w:rsidRDefault="00930BB4" w:rsidP="006700B4">
      <w:pPr>
        <w:pStyle w:val="ListParagraph"/>
        <w:numPr>
          <w:ilvl w:val="0"/>
          <w:numId w:val="2"/>
        </w:numPr>
        <w:spacing w:after="120"/>
        <w:ind w:left="0" w:firstLine="720"/>
        <w:contextualSpacing w:val="0"/>
      </w:pPr>
      <w:r>
        <w:t xml:space="preserve">IT IS </w:t>
      </w:r>
      <w:r w:rsidR="00545AFC">
        <w:t>FURTHER</w:t>
      </w:r>
      <w:r>
        <w:t xml:space="preserve"> ORDERED that, pursuant to the authority contained in section 1.102 of the Commission’s rules, 47 C.F.R. §</w:t>
      </w:r>
      <w:r w:rsidR="00783EFE">
        <w:t xml:space="preserve"> </w:t>
      </w:r>
      <w:r>
        <w:t>1.102, this Order SHALL BE EFFECTIVE upon release.</w:t>
      </w:r>
    </w:p>
    <w:p w14:paraId="7F6A8B92" w14:textId="77777777" w:rsidR="00CC446D" w:rsidRDefault="00CC446D" w:rsidP="00CC446D">
      <w:pPr>
        <w:pStyle w:val="Heading1"/>
        <w:numPr>
          <w:ilvl w:val="0"/>
          <w:numId w:val="0"/>
        </w:numPr>
        <w:ind w:left="720"/>
        <w:jc w:val="center"/>
      </w:pPr>
    </w:p>
    <w:p w14:paraId="35795381" w14:textId="77777777" w:rsidR="00A63F81" w:rsidRDefault="00A63F81" w:rsidP="00A63F81">
      <w:pPr>
        <w:spacing w:after="120"/>
        <w:ind w:left="4320"/>
      </w:pPr>
      <w:r>
        <w:t>FEDERAL COMMUNICATIONS COMMISSION</w:t>
      </w:r>
    </w:p>
    <w:p w14:paraId="0A855242" w14:textId="77777777" w:rsidR="00A63F81" w:rsidRDefault="00A63F81" w:rsidP="00A63F81">
      <w:pPr>
        <w:spacing w:after="120"/>
      </w:pPr>
    </w:p>
    <w:p w14:paraId="37B17203" w14:textId="77777777" w:rsidR="00A63F81" w:rsidRDefault="00A63F81" w:rsidP="00A63F81">
      <w:pPr>
        <w:spacing w:after="120"/>
      </w:pPr>
    </w:p>
    <w:p w14:paraId="2D6FB43C" w14:textId="77777777" w:rsidR="00A63F81" w:rsidRDefault="00A63F81" w:rsidP="00A63F81"/>
    <w:p w14:paraId="31621ECA" w14:textId="77777777" w:rsidR="00A63F81" w:rsidRDefault="006656DF" w:rsidP="00A63F81">
      <w:r>
        <w:tab/>
      </w:r>
      <w:r>
        <w:tab/>
      </w:r>
      <w:r>
        <w:tab/>
      </w:r>
      <w:r>
        <w:tab/>
      </w:r>
      <w:r>
        <w:tab/>
      </w:r>
      <w:r>
        <w:tab/>
        <w:t>Carol E. Mattey</w:t>
      </w:r>
    </w:p>
    <w:p w14:paraId="77B476F2" w14:textId="24299CEE" w:rsidR="00A63F81" w:rsidRDefault="00A63F81" w:rsidP="00A63F81">
      <w:r>
        <w:tab/>
      </w:r>
      <w:r>
        <w:tab/>
      </w:r>
      <w:r>
        <w:tab/>
      </w:r>
      <w:r>
        <w:tab/>
      </w:r>
      <w:r>
        <w:tab/>
      </w:r>
      <w:r>
        <w:tab/>
      </w:r>
      <w:r w:rsidR="006656DF">
        <w:t xml:space="preserve">Deputy </w:t>
      </w:r>
      <w:r>
        <w:t>Chief</w:t>
      </w:r>
    </w:p>
    <w:p w14:paraId="61441FB8" w14:textId="77777777" w:rsidR="00A63F81" w:rsidRDefault="00A63F81" w:rsidP="00A63F81">
      <w:r>
        <w:tab/>
      </w:r>
      <w:r>
        <w:tab/>
      </w:r>
      <w:r>
        <w:tab/>
      </w:r>
      <w:r>
        <w:tab/>
      </w:r>
      <w:r>
        <w:tab/>
      </w:r>
      <w:r>
        <w:tab/>
        <w:t>Wireline Competition Bureau</w:t>
      </w:r>
    </w:p>
    <w:p w14:paraId="0D81AEC9" w14:textId="77777777" w:rsidR="00F72607" w:rsidRDefault="00F72607"/>
    <w:sectPr w:rsidR="00F72607" w:rsidSect="00D64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D46BF" w14:textId="77777777" w:rsidR="0039052D" w:rsidRDefault="0039052D" w:rsidP="002F1678">
      <w:r>
        <w:separator/>
      </w:r>
    </w:p>
  </w:endnote>
  <w:endnote w:type="continuationSeparator" w:id="0">
    <w:p w14:paraId="6164A7BC" w14:textId="77777777" w:rsidR="0039052D" w:rsidRDefault="0039052D" w:rsidP="002F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697B0" w14:textId="77777777" w:rsidR="003C1B94" w:rsidRDefault="003C1B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374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4683B" w14:textId="77777777" w:rsidR="00A043F1" w:rsidRDefault="00A043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9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2F77D9" w14:textId="77777777" w:rsidR="00A043F1" w:rsidRDefault="00A043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0159A" w14:textId="77777777" w:rsidR="003C1B94" w:rsidRDefault="003C1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F2BC3" w14:textId="77777777" w:rsidR="0039052D" w:rsidRDefault="0039052D" w:rsidP="002F1678">
      <w:r>
        <w:separator/>
      </w:r>
    </w:p>
  </w:footnote>
  <w:footnote w:type="continuationSeparator" w:id="0">
    <w:p w14:paraId="7E5C0327" w14:textId="77777777" w:rsidR="0039052D" w:rsidRDefault="0039052D" w:rsidP="002F1678">
      <w:r>
        <w:continuationSeparator/>
      </w:r>
    </w:p>
  </w:footnote>
  <w:footnote w:id="1">
    <w:p w14:paraId="189028CA" w14:textId="0DE2A63D" w:rsidR="00B11631" w:rsidRDefault="00B11631" w:rsidP="00B11631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47 C.F.R. §</w:t>
      </w:r>
      <w:r w:rsidR="00B549FF">
        <w:t xml:space="preserve"> 54.313</w:t>
      </w:r>
      <w:r>
        <w:t>(f)(2)(ii).</w:t>
      </w:r>
    </w:p>
  </w:footnote>
  <w:footnote w:id="2">
    <w:p w14:paraId="3CA0D36A" w14:textId="7F98A648" w:rsidR="008418D2" w:rsidRPr="00FA4A72" w:rsidRDefault="008418D2" w:rsidP="00643A7E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Connect America Fund et al.</w:t>
      </w:r>
      <w:r>
        <w:t>, WC Docket No. 10-90 et al., Report and Order and Further Notice of Proposed Rulemaking, 26 FCC Rcd 17663, 17852, para. 579 (2011) (</w:t>
      </w:r>
      <w:r>
        <w:rPr>
          <w:i/>
        </w:rPr>
        <w:t>USF/ICC Transformation Order</w:t>
      </w:r>
      <w:r>
        <w:t>)</w:t>
      </w:r>
      <w:r w:rsidR="00FA4A72">
        <w:t xml:space="preserve">, </w:t>
      </w:r>
      <w:r w:rsidR="00FA4A72">
        <w:rPr>
          <w:i/>
        </w:rPr>
        <w:t>pets. for review denied sub nom. In re FCC 11-161</w:t>
      </w:r>
      <w:r w:rsidR="00FA4A72">
        <w:t>, 753 F.3d 1015 (10th Cir. 2014).</w:t>
      </w:r>
    </w:p>
  </w:footnote>
  <w:footnote w:id="3">
    <w:p w14:paraId="177E2785" w14:textId="793B823E" w:rsidR="002F1678" w:rsidRPr="002F1678" w:rsidRDefault="002F1678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8418D2">
        <w:rPr>
          <w:i/>
        </w:rPr>
        <w:t xml:space="preserve">Id. </w:t>
      </w:r>
      <w:r w:rsidR="008418D2">
        <w:t xml:space="preserve">at </w:t>
      </w:r>
      <w:r>
        <w:t>17854, para. 587</w:t>
      </w:r>
      <w:r w:rsidR="006656DF">
        <w:t xml:space="preserve">; </w:t>
      </w:r>
      <w:r w:rsidR="00C6289F">
        <w:rPr>
          <w:i/>
        </w:rPr>
        <w:t xml:space="preserve"> see </w:t>
      </w:r>
      <w:r w:rsidR="008418D2">
        <w:rPr>
          <w:i/>
        </w:rPr>
        <w:t xml:space="preserve">also </w:t>
      </w:r>
      <w:r w:rsidR="006656DF">
        <w:t>47 C.F.R. §</w:t>
      </w:r>
      <w:r w:rsidR="00792818">
        <w:t xml:space="preserve">§ 54.313(a)(1), </w:t>
      </w:r>
      <w:r w:rsidR="006656DF">
        <w:t>54.202(a)(1)(ii)</w:t>
      </w:r>
      <w:r w:rsidR="00C6289F">
        <w:t xml:space="preserve"> (requiring that five-year plans “describe[] with specificity proposed improvements or upgrades to the applicant’s network throughout its proposed service area” and “estimate the area and population that will be served as a result of the improvements”)</w:t>
      </w:r>
      <w:r>
        <w:t xml:space="preserve">. </w:t>
      </w:r>
      <w:r w:rsidR="00BE0785">
        <w:t xml:space="preserve"> </w:t>
      </w:r>
    </w:p>
  </w:footnote>
  <w:footnote w:id="4">
    <w:p w14:paraId="5DBECB71" w14:textId="77777777" w:rsidR="00792818" w:rsidRDefault="00792818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A4745E">
        <w:rPr>
          <w:i/>
        </w:rPr>
        <w:t>Connect America Fund</w:t>
      </w:r>
      <w:r>
        <w:t xml:space="preserve">, WC Docket No. 10-90, Order, 29 FCC Rcd 4898, </w:t>
      </w:r>
      <w:r w:rsidR="009B55D2">
        <w:t>4898-99, para. 3 (Wireline Comp. Bur. 2014).</w:t>
      </w:r>
    </w:p>
  </w:footnote>
  <w:footnote w:id="5">
    <w:p w14:paraId="7B8F9BBE" w14:textId="6DF2A2CE" w:rsidR="00CE51D1" w:rsidRPr="00CE51D1" w:rsidRDefault="00CE51D1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Wireline Competition Bureau Announces Connect America Phase II Support Amounts Offered to Price Cap Carriers to Expand Rural Broadband</w:t>
      </w:r>
      <w:r>
        <w:t>, WC Docket No. 10-90, Public Notice, 30 FCC Rcd 3905 (Wireline Comp. Bur. 2015)</w:t>
      </w:r>
      <w:r w:rsidR="008F02E7">
        <w:t>.</w:t>
      </w:r>
    </w:p>
  </w:footnote>
  <w:footnote w:id="6">
    <w:p w14:paraId="4F56C53A" w14:textId="77777777" w:rsidR="001C535C" w:rsidRPr="001C535C" w:rsidRDefault="001C535C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C605D8">
        <w:rPr>
          <w:i/>
        </w:rPr>
        <w:t>Id.</w:t>
      </w:r>
    </w:p>
  </w:footnote>
  <w:footnote w:id="7">
    <w:p w14:paraId="4ED92FFD" w14:textId="7B008519" w:rsidR="00CE51D1" w:rsidRDefault="00CE51D1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Letter from John Lass, Executive Vice President, Field Operations, Frontier Communications Corporation, to Marlene H. Dortch, Secretary, FCC, WC Docket No. 10-90 (filed June 15, 2015)</w:t>
      </w:r>
      <w:r w:rsidR="00C605D8">
        <w:t xml:space="preserve"> (Frontier </w:t>
      </w:r>
      <w:r w:rsidR="0086622B">
        <w:t xml:space="preserve">Phase II </w:t>
      </w:r>
      <w:r w:rsidR="00C605D8">
        <w:t>Acceptance Letter)</w:t>
      </w:r>
      <w:r>
        <w:t>.</w:t>
      </w:r>
    </w:p>
  </w:footnote>
  <w:footnote w:id="8">
    <w:p w14:paraId="0FCC9C2C" w14:textId="25EBD949" w:rsidR="00E207E7" w:rsidRDefault="00E207E7" w:rsidP="008418D2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USF/ICC Transformation Order¸</w:t>
      </w:r>
      <w:r>
        <w:t>26 FCC Rcd at 17857, para. 599.</w:t>
      </w:r>
    </w:p>
  </w:footnote>
  <w:footnote w:id="9">
    <w:p w14:paraId="7F83EB3D" w14:textId="2A904C0D" w:rsidR="00BE0A91" w:rsidRPr="008418D2" w:rsidRDefault="00BE0A91" w:rsidP="008418D2">
      <w:pPr>
        <w:pStyle w:val="FootnoteText"/>
        <w:spacing w:after="120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="002366B0">
        <w:rPr>
          <w:i/>
        </w:rPr>
        <w:t>Id.</w:t>
      </w:r>
      <w:r>
        <w:t xml:space="preserve"> at 17857, para. 598.</w:t>
      </w:r>
    </w:p>
  </w:footnote>
  <w:footnote w:id="10">
    <w:p w14:paraId="1CAC49BB" w14:textId="0E01BAF8" w:rsidR="009B28EF" w:rsidRDefault="009B28EF" w:rsidP="008418D2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Connect America Fund et al.,</w:t>
      </w:r>
      <w:r>
        <w:t xml:space="preserve"> WC Docket No. 10-90 et al., Fifth Order on Reconsideration, 27 FCC 14549, 14554, para. 14 (2012) (</w:t>
      </w:r>
      <w:r>
        <w:rPr>
          <w:i/>
        </w:rPr>
        <w:t>Fifth Order on Reconsideration</w:t>
      </w:r>
      <w:r>
        <w:t>).</w:t>
      </w:r>
    </w:p>
  </w:footnote>
  <w:footnote w:id="11">
    <w:p w14:paraId="54193F5B" w14:textId="2751448C" w:rsidR="009B28EF" w:rsidRDefault="009B28EF" w:rsidP="008418D2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Petition for Limited Waiver of Section 54.313(f)(2)(ii) by Comporium, Inc., WC Docket No. 14-58,</w:t>
      </w:r>
      <w:r w:rsidR="00E8323E">
        <w:t xml:space="preserve"> at 2 (filed June 22, 2015) (Comporium Petition).</w:t>
      </w:r>
    </w:p>
  </w:footnote>
  <w:footnote w:id="12">
    <w:p w14:paraId="1E726EDF" w14:textId="5DE7F81E" w:rsidR="00E8323E" w:rsidRDefault="00E8323E" w:rsidP="008418D2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096AB7">
        <w:rPr>
          <w:i/>
        </w:rPr>
        <w:t>Id.</w:t>
      </w:r>
      <w:r w:rsidR="00096AB7">
        <w:t xml:space="preserve"> at 3.</w:t>
      </w:r>
    </w:p>
  </w:footnote>
  <w:footnote w:id="13">
    <w:p w14:paraId="05980137" w14:textId="4592EDF8" w:rsidR="00E8323E" w:rsidRDefault="00E8323E" w:rsidP="008418D2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096AB7">
        <w:rPr>
          <w:i/>
        </w:rPr>
        <w:t>Id.</w:t>
      </w:r>
    </w:p>
  </w:footnote>
  <w:footnote w:id="14">
    <w:p w14:paraId="1E74756B" w14:textId="0747CDFC" w:rsidR="00E8323E" w:rsidRDefault="00E8323E" w:rsidP="008418D2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096AB7">
        <w:rPr>
          <w:i/>
        </w:rPr>
        <w:t>Id.</w:t>
      </w:r>
      <w:r w:rsidR="00096AB7">
        <w:t xml:space="preserve"> at 1.</w:t>
      </w:r>
    </w:p>
  </w:footnote>
  <w:footnote w:id="15">
    <w:p w14:paraId="2D278B83" w14:textId="1672CE4D" w:rsidR="0086622B" w:rsidRPr="001D4A1C" w:rsidRDefault="0086622B" w:rsidP="0086622B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</w:t>
      </w:r>
      <w:r>
        <w:rPr>
          <w:i/>
        </w:rPr>
        <w:t xml:space="preserve">id. </w:t>
      </w:r>
      <w:r>
        <w:t>at 2-3.</w:t>
      </w:r>
    </w:p>
  </w:footnote>
  <w:footnote w:id="16">
    <w:p w14:paraId="7D12E8A7" w14:textId="1ABFC6CD" w:rsidR="001C535C" w:rsidRPr="001C535C" w:rsidRDefault="001C535C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Generally, the Commission’s rules may be waived if good cause is shown.  47 C.F.R. § 1.3.  The Commission may exercise its discretion to waive a rule where the particular facts make strict compliance inconsistent with the public interest.  </w:t>
      </w:r>
      <w:r>
        <w:rPr>
          <w:i/>
        </w:rPr>
        <w:t>Northeast Cellular Telephone Co. v. FCC</w:t>
      </w:r>
      <w:r>
        <w:t>, 897 F.2d 1164, 1166 (D.C. Cir. 1990) (</w:t>
      </w:r>
      <w:r>
        <w:rPr>
          <w:i/>
        </w:rPr>
        <w:t>Northeast Cellular</w:t>
      </w:r>
      <w:r>
        <w:t xml:space="preserve">). In addition, the Commission may take into account considerations of hardship, equity, or more effective implementation of overall policy on an individual basis.  </w:t>
      </w:r>
      <w:r>
        <w:rPr>
          <w:i/>
        </w:rPr>
        <w:t>WAIT Radio v. FCC</w:t>
      </w:r>
      <w:r>
        <w:t>, 418 F.2d 1153, 1159 (D.C. Cir. 1969)</w:t>
      </w:r>
      <w:r w:rsidR="00096AB7">
        <w:t xml:space="preserve"> (</w:t>
      </w:r>
      <w:r w:rsidR="00096AB7">
        <w:rPr>
          <w:i/>
        </w:rPr>
        <w:t>WAIT Radio</w:t>
      </w:r>
      <w:r w:rsidR="00096AB7">
        <w:t>)</w:t>
      </w:r>
      <w:r>
        <w:t xml:space="preserve">; </w:t>
      </w:r>
      <w:r>
        <w:rPr>
          <w:i/>
        </w:rPr>
        <w:t>Northeast Cellular</w:t>
      </w:r>
      <w:r>
        <w:t xml:space="preserve">, 897 F.2d at 1166.  Waiver of the Commission’s rules is appropriate if special circumstances warrant a deviation from the general rule, and such deviation will serve the public interest.  </w:t>
      </w:r>
      <w:r>
        <w:rPr>
          <w:i/>
        </w:rPr>
        <w:t>Northeast Cellular</w:t>
      </w:r>
      <w:r>
        <w:t>, 897 F.2d at 1166.</w:t>
      </w:r>
    </w:p>
  </w:footnote>
  <w:footnote w:id="17">
    <w:p w14:paraId="59745683" w14:textId="5DFF0498" w:rsidR="00211D3C" w:rsidRDefault="00211D3C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</w:t>
      </w:r>
      <w:r w:rsidR="00C605D8">
        <w:t xml:space="preserve">Frontier </w:t>
      </w:r>
      <w:r w:rsidR="0086622B">
        <w:t xml:space="preserve">Phase II </w:t>
      </w:r>
      <w:r w:rsidR="00C605D8">
        <w:t>Acceptance Letter</w:t>
      </w:r>
      <w:r>
        <w:t xml:space="preserve">.  </w:t>
      </w:r>
    </w:p>
  </w:footnote>
  <w:footnote w:id="18">
    <w:p w14:paraId="5F27C591" w14:textId="00A51A44" w:rsidR="00990D49" w:rsidRDefault="00990D49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47 C.F.R. § 54.313</w:t>
      </w:r>
      <w:r w:rsidR="008A1F86">
        <w:t xml:space="preserve">(a)(1). </w:t>
      </w:r>
      <w:r w:rsidR="00792818">
        <w:t xml:space="preserve"> </w:t>
      </w:r>
    </w:p>
  </w:footnote>
  <w:footnote w:id="19">
    <w:p w14:paraId="5BC304BF" w14:textId="69FD950A" w:rsidR="00F75914" w:rsidRPr="008418D2" w:rsidRDefault="00F75914" w:rsidP="008418D2">
      <w:pPr>
        <w:pStyle w:val="FootnoteText"/>
        <w:spacing w:after="120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 w:rsidR="00096AB7">
        <w:rPr>
          <w:i/>
        </w:rPr>
        <w:t>WAIT Radio</w:t>
      </w:r>
      <w:r>
        <w:t xml:space="preserve">, 418 F.2d </w:t>
      </w:r>
      <w:r w:rsidR="00096AB7">
        <w:t>at</w:t>
      </w:r>
      <w:r>
        <w:t xml:space="preserve"> 1159; </w:t>
      </w:r>
      <w:r>
        <w:rPr>
          <w:i/>
        </w:rPr>
        <w:t>Northeast Cellular</w:t>
      </w:r>
      <w:r>
        <w:t>, 897 F.2d at 1166.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A6D05" w14:textId="77777777" w:rsidR="003C1B94" w:rsidRDefault="003C1B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EB662" w14:textId="643F0705" w:rsidR="00A043F1" w:rsidRPr="002366B0" w:rsidRDefault="00A043F1" w:rsidP="00A043F1">
    <w:pPr>
      <w:pStyle w:val="Head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FE435FD" wp14:editId="60F7E8B9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5B70C16" id="Rectangle 3" o:spid="_x0000_s1026" style="position:absolute;margin-left:.6pt;margin-top:12.65pt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>
      <w:tab/>
    </w:r>
    <w:r w:rsidRPr="002366B0">
      <w:rPr>
        <w:b/>
      </w:rPr>
      <w:t>Federal Communications Commission</w:t>
    </w:r>
    <w:r w:rsidRPr="002366B0">
      <w:rPr>
        <w:b/>
      </w:rPr>
      <w:tab/>
    </w:r>
    <w:r w:rsidR="002366B0" w:rsidRPr="002366B0">
      <w:rPr>
        <w:b/>
        <w:spacing w:val="-2"/>
      </w:rPr>
      <w:t>DA 15</w:t>
    </w:r>
    <w:r w:rsidRPr="002366B0">
      <w:rPr>
        <w:b/>
        <w:spacing w:val="-2"/>
      </w:rPr>
      <w:t>-</w:t>
    </w:r>
    <w:r w:rsidR="00D64071">
      <w:rPr>
        <w:b/>
        <w:spacing w:val="-2"/>
      </w:rPr>
      <w:t>779</w:t>
    </w:r>
  </w:p>
  <w:p w14:paraId="44C7B8D3" w14:textId="77777777" w:rsidR="00A043F1" w:rsidRDefault="00A043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F1AF7" w14:textId="5C7830B8" w:rsidR="00D64071" w:rsidRDefault="00D64071" w:rsidP="00D64071">
    <w:pPr>
      <w:pStyle w:val="Header"/>
      <w:jc w:val="center"/>
    </w:pPr>
    <w:r>
      <w:rPr>
        <w:b/>
      </w:rPr>
      <w:tab/>
    </w:r>
    <w:r w:rsidRPr="002366B0">
      <w:rPr>
        <w:b/>
      </w:rPr>
      <w:t>Federal Communications Commission</w:t>
    </w:r>
    <w:r w:rsidRPr="002366B0">
      <w:rPr>
        <w:b/>
      </w:rPr>
      <w:tab/>
    </w:r>
    <w:r w:rsidRPr="002366B0">
      <w:rPr>
        <w:b/>
        <w:spacing w:val="-2"/>
      </w:rPr>
      <w:t>DA 15-</w:t>
    </w:r>
    <w:r>
      <w:rPr>
        <w:b/>
        <w:spacing w:val="-2"/>
      </w:rPr>
      <w:t>779</w:t>
    </w:r>
  </w:p>
  <w:p w14:paraId="046F10DE" w14:textId="549A781A" w:rsidR="00D64071" w:rsidRDefault="00D640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4FE6FA3" wp14:editId="700D9328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72488EB" id="Rectangle 3" o:spid="_x0000_s1026" style="position:absolute;margin-left:0;margin-top:0;width:468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RmV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" o:allowincell="f" fillcolor="black" stroked="f" strokeweight=".05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36DE9"/>
    <w:multiLevelType w:val="hybridMultilevel"/>
    <w:tmpl w:val="8B6E9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A6906"/>
    <w:multiLevelType w:val="hybridMultilevel"/>
    <w:tmpl w:val="C3705D04"/>
    <w:lvl w:ilvl="0" w:tplc="F9C0F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F6B38"/>
    <w:multiLevelType w:val="multilevel"/>
    <w:tmpl w:val="D892E40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3">
    <w:nsid w:val="60CD59B9"/>
    <w:multiLevelType w:val="hybridMultilevel"/>
    <w:tmpl w:val="F52C55FC"/>
    <w:lvl w:ilvl="0" w:tplc="88EA1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6D"/>
    <w:rsid w:val="00071479"/>
    <w:rsid w:val="00092889"/>
    <w:rsid w:val="00096AB7"/>
    <w:rsid w:val="000A5943"/>
    <w:rsid w:val="001A0212"/>
    <w:rsid w:val="001C3C8F"/>
    <w:rsid w:val="001C535C"/>
    <w:rsid w:val="001D4A1C"/>
    <w:rsid w:val="00211D3C"/>
    <w:rsid w:val="00221F57"/>
    <w:rsid w:val="00225188"/>
    <w:rsid w:val="002366B0"/>
    <w:rsid w:val="002A07E4"/>
    <w:rsid w:val="002D433C"/>
    <w:rsid w:val="002E0F07"/>
    <w:rsid w:val="002F1678"/>
    <w:rsid w:val="00310A32"/>
    <w:rsid w:val="0039052D"/>
    <w:rsid w:val="003C10A4"/>
    <w:rsid w:val="003C1B94"/>
    <w:rsid w:val="003E2B08"/>
    <w:rsid w:val="00545AFC"/>
    <w:rsid w:val="00552074"/>
    <w:rsid w:val="005D6435"/>
    <w:rsid w:val="005E63B5"/>
    <w:rsid w:val="005F50C3"/>
    <w:rsid w:val="00623E68"/>
    <w:rsid w:val="00632FB8"/>
    <w:rsid w:val="0063325F"/>
    <w:rsid w:val="00643A7E"/>
    <w:rsid w:val="00647E14"/>
    <w:rsid w:val="006656DF"/>
    <w:rsid w:val="006700B4"/>
    <w:rsid w:val="006D2335"/>
    <w:rsid w:val="0071551F"/>
    <w:rsid w:val="0072604F"/>
    <w:rsid w:val="00732727"/>
    <w:rsid w:val="00783EFE"/>
    <w:rsid w:val="00792818"/>
    <w:rsid w:val="007F2F9D"/>
    <w:rsid w:val="008418D2"/>
    <w:rsid w:val="0086622B"/>
    <w:rsid w:val="00875E52"/>
    <w:rsid w:val="008A1F86"/>
    <w:rsid w:val="008F02E7"/>
    <w:rsid w:val="00930BB4"/>
    <w:rsid w:val="00946BD6"/>
    <w:rsid w:val="00990D49"/>
    <w:rsid w:val="009B28EF"/>
    <w:rsid w:val="009B55D2"/>
    <w:rsid w:val="00A043F1"/>
    <w:rsid w:val="00A147F2"/>
    <w:rsid w:val="00A31D7E"/>
    <w:rsid w:val="00A36CF1"/>
    <w:rsid w:val="00A4745E"/>
    <w:rsid w:val="00A542F6"/>
    <w:rsid w:val="00A6244A"/>
    <w:rsid w:val="00A63F81"/>
    <w:rsid w:val="00A97C0C"/>
    <w:rsid w:val="00AF2B31"/>
    <w:rsid w:val="00AF5F45"/>
    <w:rsid w:val="00B11631"/>
    <w:rsid w:val="00B549FF"/>
    <w:rsid w:val="00BD09D4"/>
    <w:rsid w:val="00BE0785"/>
    <w:rsid w:val="00BE0A91"/>
    <w:rsid w:val="00C605D8"/>
    <w:rsid w:val="00C6289F"/>
    <w:rsid w:val="00CC2129"/>
    <w:rsid w:val="00CC446D"/>
    <w:rsid w:val="00CE51D1"/>
    <w:rsid w:val="00D40CC9"/>
    <w:rsid w:val="00D64071"/>
    <w:rsid w:val="00DB3D59"/>
    <w:rsid w:val="00DF730C"/>
    <w:rsid w:val="00E04C9B"/>
    <w:rsid w:val="00E207E7"/>
    <w:rsid w:val="00E45C3D"/>
    <w:rsid w:val="00E8323E"/>
    <w:rsid w:val="00E950A5"/>
    <w:rsid w:val="00F157CF"/>
    <w:rsid w:val="00F72607"/>
    <w:rsid w:val="00F75914"/>
    <w:rsid w:val="00F87710"/>
    <w:rsid w:val="00F968A0"/>
    <w:rsid w:val="00FA4A72"/>
    <w:rsid w:val="00FA5A47"/>
    <w:rsid w:val="00FD2F76"/>
    <w:rsid w:val="00FD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ocId w14:val="41E29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6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446D"/>
    <w:pPr>
      <w:keepNext/>
      <w:widowControl w:val="0"/>
      <w:numPr>
        <w:numId w:val="1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446D"/>
    <w:pPr>
      <w:keepNext/>
      <w:widowControl w:val="0"/>
      <w:numPr>
        <w:ilvl w:val="1"/>
        <w:numId w:val="1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446D"/>
    <w:pPr>
      <w:keepNext/>
      <w:widowControl w:val="0"/>
      <w:numPr>
        <w:ilvl w:val="2"/>
        <w:numId w:val="1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446D"/>
    <w:pPr>
      <w:keepNext/>
      <w:widowControl w:val="0"/>
      <w:numPr>
        <w:ilvl w:val="3"/>
        <w:numId w:val="1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446D"/>
    <w:pPr>
      <w:keepNext/>
      <w:widowControl w:val="0"/>
      <w:numPr>
        <w:ilvl w:val="4"/>
        <w:numId w:val="1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446D"/>
    <w:pPr>
      <w:widowControl w:val="0"/>
      <w:numPr>
        <w:ilvl w:val="5"/>
        <w:numId w:val="1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446D"/>
    <w:pPr>
      <w:widowControl w:val="0"/>
      <w:numPr>
        <w:ilvl w:val="6"/>
        <w:numId w:val="1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CC446D"/>
    <w:pPr>
      <w:widowControl w:val="0"/>
      <w:numPr>
        <w:ilvl w:val="7"/>
        <w:numId w:val="1"/>
      </w:numPr>
      <w:spacing w:after="2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446D"/>
    <w:pPr>
      <w:widowControl w:val="0"/>
      <w:numPr>
        <w:ilvl w:val="8"/>
        <w:numId w:val="1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C446D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CC446D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CC446D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CC446D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CC446D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CC446D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CC446D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CC446D"/>
    <w:rPr>
      <w:rFonts w:ascii="Times New Roman" w:eastAsia="Times New Roman" w:hAnsi="Times New Roman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CC446D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C446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167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167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167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04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3F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3F1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D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56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0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2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2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21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6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446D"/>
    <w:pPr>
      <w:keepNext/>
      <w:widowControl w:val="0"/>
      <w:numPr>
        <w:numId w:val="1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446D"/>
    <w:pPr>
      <w:keepNext/>
      <w:widowControl w:val="0"/>
      <w:numPr>
        <w:ilvl w:val="1"/>
        <w:numId w:val="1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446D"/>
    <w:pPr>
      <w:keepNext/>
      <w:widowControl w:val="0"/>
      <w:numPr>
        <w:ilvl w:val="2"/>
        <w:numId w:val="1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446D"/>
    <w:pPr>
      <w:keepNext/>
      <w:widowControl w:val="0"/>
      <w:numPr>
        <w:ilvl w:val="3"/>
        <w:numId w:val="1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446D"/>
    <w:pPr>
      <w:keepNext/>
      <w:widowControl w:val="0"/>
      <w:numPr>
        <w:ilvl w:val="4"/>
        <w:numId w:val="1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446D"/>
    <w:pPr>
      <w:widowControl w:val="0"/>
      <w:numPr>
        <w:ilvl w:val="5"/>
        <w:numId w:val="1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446D"/>
    <w:pPr>
      <w:widowControl w:val="0"/>
      <w:numPr>
        <w:ilvl w:val="6"/>
        <w:numId w:val="1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CC446D"/>
    <w:pPr>
      <w:widowControl w:val="0"/>
      <w:numPr>
        <w:ilvl w:val="7"/>
        <w:numId w:val="1"/>
      </w:numPr>
      <w:spacing w:after="2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446D"/>
    <w:pPr>
      <w:widowControl w:val="0"/>
      <w:numPr>
        <w:ilvl w:val="8"/>
        <w:numId w:val="1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C446D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CC446D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CC446D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CC446D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CC446D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CC446D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CC446D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CC446D"/>
    <w:rPr>
      <w:rFonts w:ascii="Times New Roman" w:eastAsia="Times New Roman" w:hAnsi="Times New Roman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CC446D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C446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167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167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167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04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3F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3F1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D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56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0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2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2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21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4982</Characters>
  <Application>Microsoft Office Word</Application>
  <DocSecurity>0</DocSecurity>
  <Lines>94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5928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2015-06-25T19:04:00Z</cp:lastPrinted>
  <dcterms:created xsi:type="dcterms:W3CDTF">2015-07-01T19:47:00Z</dcterms:created>
  <dcterms:modified xsi:type="dcterms:W3CDTF">2015-07-01T19:47:00Z</dcterms:modified>
  <cp:category> </cp:category>
  <cp:contentStatus> </cp:contentStatus>
</cp:coreProperties>
</file>