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2E5FF" w14:textId="77777777" w:rsidR="00050854" w:rsidRPr="00331410" w:rsidRDefault="00050854" w:rsidP="00BF1922">
      <w:pPr>
        <w:widowControl/>
        <w:tabs>
          <w:tab w:val="center" w:pos="4770"/>
        </w:tabs>
        <w:suppressAutoHyphens/>
        <w:jc w:val="center"/>
        <w:outlineLvl w:val="0"/>
        <w:rPr>
          <w:b/>
          <w:spacing w:val="-2"/>
          <w:sz w:val="22"/>
          <w:szCs w:val="22"/>
        </w:rPr>
      </w:pPr>
      <w:bookmarkStart w:id="0" w:name="_GoBack"/>
      <w:bookmarkEnd w:id="0"/>
      <w:r w:rsidRPr="00331410">
        <w:rPr>
          <w:b/>
          <w:spacing w:val="-2"/>
          <w:sz w:val="22"/>
          <w:szCs w:val="22"/>
        </w:rPr>
        <w:t>Before the</w:t>
      </w:r>
    </w:p>
    <w:p w14:paraId="6A1E27B3" w14:textId="77777777"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14:paraId="21E5E37B" w14:textId="77777777" w:rsidR="00050854" w:rsidRPr="00331410" w:rsidRDefault="004C6D99" w:rsidP="00BF1922">
      <w:pPr>
        <w:widowControl/>
        <w:tabs>
          <w:tab w:val="center" w:pos="4770"/>
        </w:tabs>
        <w:suppressAutoHyphens/>
        <w:jc w:val="center"/>
        <w:outlineLvl w:val="0"/>
        <w:rPr>
          <w:b/>
          <w:sz w:val="22"/>
          <w:szCs w:val="22"/>
        </w:rPr>
      </w:pPr>
      <w:r w:rsidRPr="00331410">
        <w:rPr>
          <w:b/>
          <w:sz w:val="22"/>
          <w:szCs w:val="22"/>
        </w:rPr>
        <w:t>Washington</w:t>
      </w:r>
      <w:r w:rsidR="00BA4145">
        <w:rPr>
          <w:b/>
          <w:sz w:val="22"/>
          <w:szCs w:val="22"/>
        </w:rPr>
        <w:t>, DC</w:t>
      </w:r>
      <w:r w:rsidRPr="00331410">
        <w:rPr>
          <w:b/>
          <w:sz w:val="22"/>
          <w:szCs w:val="22"/>
        </w:rPr>
        <w:t xml:space="preserve"> 20554</w:t>
      </w:r>
    </w:p>
    <w:p w14:paraId="0B54BD47" w14:textId="77777777" w:rsidR="00050854" w:rsidRDefault="00050854" w:rsidP="00BF1922">
      <w:pPr>
        <w:widowControl/>
        <w:tabs>
          <w:tab w:val="center" w:pos="4680"/>
        </w:tabs>
        <w:suppressAutoHyphens/>
        <w:spacing w:line="240" w:lineRule="atLeast"/>
        <w:jc w:val="both"/>
        <w:outlineLvl w:val="0"/>
        <w:rPr>
          <w:b/>
          <w:spacing w:val="-2"/>
          <w:sz w:val="24"/>
        </w:rPr>
      </w:pPr>
    </w:p>
    <w:tbl>
      <w:tblPr>
        <w:tblW w:w="9720" w:type="dxa"/>
        <w:jc w:val="center"/>
        <w:tblLayout w:type="fixed"/>
        <w:tblLook w:val="0000" w:firstRow="0" w:lastRow="0" w:firstColumn="0" w:lastColumn="0" w:noHBand="0" w:noVBand="0"/>
      </w:tblPr>
      <w:tblGrid>
        <w:gridCol w:w="4770"/>
        <w:gridCol w:w="270"/>
        <w:gridCol w:w="4680"/>
      </w:tblGrid>
      <w:tr w:rsidR="00050854" w:rsidRPr="00E34AAE" w14:paraId="45451F8F" w14:textId="77777777" w:rsidTr="00571009">
        <w:trPr>
          <w:jc w:val="center"/>
        </w:trPr>
        <w:tc>
          <w:tcPr>
            <w:tcW w:w="4770" w:type="dxa"/>
          </w:tcPr>
          <w:p w14:paraId="4CEE0D3B" w14:textId="77777777" w:rsidR="00050854" w:rsidRPr="00E34AAE" w:rsidRDefault="00050854" w:rsidP="00303D60">
            <w:pPr>
              <w:widowControl/>
              <w:rPr>
                <w:sz w:val="22"/>
                <w:szCs w:val="22"/>
              </w:rPr>
            </w:pPr>
            <w:r w:rsidRPr="00E34AAE">
              <w:rPr>
                <w:spacing w:val="-2"/>
                <w:sz w:val="22"/>
                <w:szCs w:val="22"/>
              </w:rPr>
              <w:t>In the Matter of</w:t>
            </w:r>
            <w:r w:rsidRPr="00E34AAE">
              <w:rPr>
                <w:sz w:val="22"/>
                <w:szCs w:val="22"/>
              </w:rPr>
              <w:t xml:space="preserve"> </w:t>
            </w:r>
          </w:p>
          <w:p w14:paraId="637E725D" w14:textId="77777777" w:rsidR="00050854" w:rsidRPr="00E34AAE" w:rsidRDefault="00050854" w:rsidP="00BF1922">
            <w:pPr>
              <w:widowControl/>
              <w:rPr>
                <w:sz w:val="22"/>
                <w:szCs w:val="22"/>
              </w:rPr>
            </w:pPr>
          </w:p>
          <w:p w14:paraId="04F64323" w14:textId="77777777" w:rsidR="00050854" w:rsidRPr="00303D60" w:rsidRDefault="007409C1" w:rsidP="00303D60">
            <w:pPr>
              <w:widowControl/>
              <w:rPr>
                <w:spacing w:val="-2"/>
                <w:sz w:val="22"/>
                <w:szCs w:val="22"/>
              </w:rPr>
            </w:pPr>
            <w:r>
              <w:rPr>
                <w:spacing w:val="-2"/>
                <w:sz w:val="22"/>
                <w:szCs w:val="22"/>
              </w:rPr>
              <w:t>Mobile Relay Associates</w:t>
            </w:r>
          </w:p>
          <w:p w14:paraId="767A5806" w14:textId="77777777" w:rsidR="00303D60" w:rsidRDefault="00303D60" w:rsidP="00303D60">
            <w:pPr>
              <w:widowControl/>
              <w:rPr>
                <w:sz w:val="22"/>
                <w:szCs w:val="22"/>
              </w:rPr>
            </w:pPr>
          </w:p>
          <w:p w14:paraId="4E8FD4DE" w14:textId="77777777" w:rsidR="007409C1" w:rsidRDefault="007409C1" w:rsidP="00303D60">
            <w:pPr>
              <w:widowControl/>
              <w:rPr>
                <w:sz w:val="22"/>
                <w:szCs w:val="22"/>
              </w:rPr>
            </w:pPr>
            <w:r>
              <w:rPr>
                <w:sz w:val="22"/>
                <w:szCs w:val="22"/>
              </w:rPr>
              <w:t>Licensee of WPPF234</w:t>
            </w:r>
          </w:p>
          <w:p w14:paraId="7EE617B2" w14:textId="77777777" w:rsidR="00050854" w:rsidRPr="003407D0" w:rsidRDefault="00A919E1" w:rsidP="00A919E1">
            <w:pPr>
              <w:widowControl/>
              <w:rPr>
                <w:sz w:val="22"/>
              </w:rPr>
            </w:pPr>
            <w:r>
              <w:rPr>
                <w:sz w:val="22"/>
                <w:szCs w:val="22"/>
              </w:rPr>
              <w:t>Malibu</w:t>
            </w:r>
            <w:r w:rsidR="007409C1">
              <w:rPr>
                <w:sz w:val="22"/>
                <w:szCs w:val="22"/>
              </w:rPr>
              <w:t>, California</w:t>
            </w:r>
          </w:p>
        </w:tc>
        <w:tc>
          <w:tcPr>
            <w:tcW w:w="270" w:type="dxa"/>
          </w:tcPr>
          <w:p w14:paraId="5C27F9B4" w14:textId="77777777"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14:paraId="04A359EB" w14:textId="77777777"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14:paraId="09BD3297" w14:textId="77777777"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14:paraId="3A4A7065" w14:textId="77777777"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14:paraId="54C6AC9B" w14:textId="77777777" w:rsidR="00050854"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14:paraId="64D88EF2" w14:textId="77777777" w:rsidR="007409C1" w:rsidRDefault="007409C1" w:rsidP="00BF1922">
            <w:pPr>
              <w:widowControl/>
              <w:tabs>
                <w:tab w:val="center" w:pos="4680"/>
              </w:tabs>
              <w:suppressAutoHyphens/>
              <w:spacing w:line="240" w:lineRule="atLeast"/>
              <w:jc w:val="both"/>
              <w:outlineLvl w:val="0"/>
              <w:rPr>
                <w:sz w:val="22"/>
                <w:szCs w:val="22"/>
              </w:rPr>
            </w:pPr>
            <w:r>
              <w:rPr>
                <w:sz w:val="22"/>
                <w:szCs w:val="22"/>
              </w:rPr>
              <w:t>)</w:t>
            </w:r>
          </w:p>
          <w:p w14:paraId="62F0D58B" w14:textId="77777777" w:rsidR="007409C1" w:rsidRPr="00E34AAE" w:rsidRDefault="007409C1" w:rsidP="00BF1922">
            <w:pPr>
              <w:widowControl/>
              <w:tabs>
                <w:tab w:val="center" w:pos="4680"/>
              </w:tabs>
              <w:suppressAutoHyphens/>
              <w:spacing w:line="240" w:lineRule="atLeast"/>
              <w:jc w:val="both"/>
              <w:outlineLvl w:val="0"/>
              <w:rPr>
                <w:sz w:val="22"/>
                <w:szCs w:val="22"/>
              </w:rPr>
            </w:pPr>
          </w:p>
        </w:tc>
        <w:tc>
          <w:tcPr>
            <w:tcW w:w="4680" w:type="dxa"/>
          </w:tcPr>
          <w:p w14:paraId="4C3D2A75" w14:textId="77777777" w:rsidR="003E2AD5" w:rsidRDefault="003E2AD5" w:rsidP="00BF1922">
            <w:pPr>
              <w:widowControl/>
              <w:rPr>
                <w:spacing w:val="-2"/>
                <w:sz w:val="22"/>
                <w:szCs w:val="22"/>
              </w:rPr>
            </w:pPr>
          </w:p>
          <w:p w14:paraId="6192B919" w14:textId="77777777" w:rsidR="005F002F" w:rsidRDefault="005F002F" w:rsidP="00BF1922">
            <w:pPr>
              <w:widowControl/>
              <w:ind w:left="702"/>
              <w:rPr>
                <w:spacing w:val="-2"/>
                <w:sz w:val="22"/>
                <w:szCs w:val="22"/>
              </w:rPr>
            </w:pPr>
          </w:p>
          <w:p w14:paraId="54D3D1D1" w14:textId="77777777" w:rsidR="00780C18" w:rsidRPr="00303D60" w:rsidRDefault="00050854" w:rsidP="00303D60">
            <w:pPr>
              <w:widowControl/>
              <w:ind w:left="706"/>
              <w:rPr>
                <w:sz w:val="22"/>
                <w:szCs w:val="22"/>
              </w:rPr>
            </w:pPr>
            <w:r w:rsidRPr="00303D60">
              <w:rPr>
                <w:sz w:val="22"/>
                <w:szCs w:val="22"/>
              </w:rPr>
              <w:t>File N</w:t>
            </w:r>
            <w:r w:rsidR="00A16AF9" w:rsidRPr="00303D60">
              <w:rPr>
                <w:sz w:val="22"/>
                <w:szCs w:val="22"/>
              </w:rPr>
              <w:t>o.</w:t>
            </w:r>
            <w:r w:rsidR="003E2AD5" w:rsidRPr="00303D60">
              <w:rPr>
                <w:sz w:val="22"/>
                <w:szCs w:val="22"/>
              </w:rPr>
              <w:t xml:space="preserve">:  </w:t>
            </w:r>
            <w:r w:rsidR="00780C18" w:rsidRPr="00303D60">
              <w:rPr>
                <w:sz w:val="22"/>
                <w:szCs w:val="22"/>
              </w:rPr>
              <w:t>EB-FIELD</w:t>
            </w:r>
            <w:r w:rsidR="007409C1">
              <w:rPr>
                <w:sz w:val="22"/>
                <w:szCs w:val="22"/>
              </w:rPr>
              <w:t>WR</w:t>
            </w:r>
            <w:r w:rsidR="00245B5D" w:rsidRPr="00303D60">
              <w:rPr>
                <w:sz w:val="22"/>
                <w:szCs w:val="22"/>
              </w:rPr>
              <w:t>-1</w:t>
            </w:r>
            <w:r w:rsidR="00C5037A">
              <w:rPr>
                <w:sz w:val="22"/>
                <w:szCs w:val="22"/>
              </w:rPr>
              <w:t>3</w:t>
            </w:r>
            <w:r w:rsidR="00245B5D" w:rsidRPr="00303D60">
              <w:rPr>
                <w:sz w:val="22"/>
                <w:szCs w:val="22"/>
              </w:rPr>
              <w:t>-</w:t>
            </w:r>
            <w:r w:rsidR="00240958">
              <w:rPr>
                <w:sz w:val="22"/>
                <w:szCs w:val="22"/>
              </w:rPr>
              <w:t>0</w:t>
            </w:r>
            <w:r w:rsidR="007409C1">
              <w:rPr>
                <w:sz w:val="22"/>
                <w:szCs w:val="22"/>
              </w:rPr>
              <w:t>0006950</w:t>
            </w:r>
            <w:r w:rsidR="00780C18" w:rsidRPr="00303D60">
              <w:rPr>
                <w:sz w:val="22"/>
                <w:szCs w:val="22"/>
              </w:rPr>
              <w:t xml:space="preserve"> </w:t>
            </w:r>
          </w:p>
          <w:p w14:paraId="5D2521AE" w14:textId="14BBDF1E" w:rsidR="00050854" w:rsidRPr="00303D60" w:rsidRDefault="00050854" w:rsidP="00303D60">
            <w:pPr>
              <w:widowControl/>
              <w:ind w:left="706"/>
              <w:rPr>
                <w:sz w:val="22"/>
                <w:szCs w:val="22"/>
              </w:rPr>
            </w:pPr>
            <w:r w:rsidRPr="00303D60">
              <w:rPr>
                <w:sz w:val="22"/>
                <w:szCs w:val="22"/>
              </w:rPr>
              <w:t>NAL/Acct. No.</w:t>
            </w:r>
            <w:r w:rsidR="003E2AD5" w:rsidRPr="00303D60">
              <w:rPr>
                <w:sz w:val="22"/>
                <w:szCs w:val="22"/>
              </w:rPr>
              <w:t>:</w:t>
            </w:r>
            <w:r w:rsidR="00E847E3" w:rsidRPr="00303D60">
              <w:rPr>
                <w:sz w:val="22"/>
                <w:szCs w:val="22"/>
              </w:rPr>
              <w:t xml:space="preserve">  </w:t>
            </w:r>
            <w:r w:rsidR="00EE1725" w:rsidRPr="003817A3">
              <w:rPr>
                <w:sz w:val="22"/>
                <w:szCs w:val="22"/>
              </w:rPr>
              <w:t>201</w:t>
            </w:r>
            <w:r w:rsidR="00EE1725">
              <w:rPr>
                <w:sz w:val="22"/>
                <w:szCs w:val="22"/>
              </w:rPr>
              <w:t>5</w:t>
            </w:r>
            <w:r w:rsidR="00EE1725" w:rsidRPr="003817A3">
              <w:rPr>
                <w:sz w:val="22"/>
                <w:szCs w:val="22"/>
              </w:rPr>
              <w:t>32</w:t>
            </w:r>
            <w:r w:rsidR="007409C1">
              <w:rPr>
                <w:sz w:val="22"/>
                <w:szCs w:val="22"/>
              </w:rPr>
              <w:t>9</w:t>
            </w:r>
            <w:r w:rsidR="00EE1725" w:rsidRPr="003817A3">
              <w:rPr>
                <w:sz w:val="22"/>
                <w:szCs w:val="22"/>
              </w:rPr>
              <w:t>0</w:t>
            </w:r>
            <w:r w:rsidR="009D6111">
              <w:rPr>
                <w:sz w:val="22"/>
                <w:szCs w:val="22"/>
              </w:rPr>
              <w:t>0</w:t>
            </w:r>
            <w:r w:rsidR="00EE1725" w:rsidRPr="003817A3">
              <w:rPr>
                <w:sz w:val="22"/>
                <w:szCs w:val="22"/>
              </w:rPr>
              <w:t>00</w:t>
            </w:r>
            <w:r w:rsidR="00BC0718">
              <w:rPr>
                <w:sz w:val="22"/>
                <w:szCs w:val="22"/>
              </w:rPr>
              <w:t>1</w:t>
            </w:r>
          </w:p>
          <w:p w14:paraId="7489F97B" w14:textId="77777777" w:rsidR="008B58B7" w:rsidRPr="00303D60" w:rsidRDefault="00303D60" w:rsidP="00303D60">
            <w:pPr>
              <w:widowControl/>
              <w:ind w:left="706"/>
              <w:rPr>
                <w:sz w:val="22"/>
                <w:szCs w:val="22"/>
              </w:rPr>
            </w:pPr>
            <w:r w:rsidRPr="00303D60">
              <w:rPr>
                <w:sz w:val="22"/>
                <w:szCs w:val="22"/>
              </w:rPr>
              <w:t>FRN</w:t>
            </w:r>
            <w:r w:rsidR="005F002F" w:rsidRPr="00303D60">
              <w:rPr>
                <w:sz w:val="22"/>
                <w:szCs w:val="22"/>
              </w:rPr>
              <w:t xml:space="preserve">:  </w:t>
            </w:r>
            <w:r w:rsidR="001F7834" w:rsidRPr="001F7834">
              <w:rPr>
                <w:sz w:val="22"/>
                <w:szCs w:val="22"/>
              </w:rPr>
              <w:t>0001532027</w:t>
            </w:r>
          </w:p>
          <w:p w14:paraId="6C34EBC0" w14:textId="77777777" w:rsidR="00050854" w:rsidRPr="008B58B7" w:rsidRDefault="00050854" w:rsidP="00BF1922">
            <w:pPr>
              <w:widowControl/>
              <w:rPr>
                <w:color w:val="FF00FF"/>
                <w:sz w:val="22"/>
                <w:szCs w:val="22"/>
              </w:rPr>
            </w:pPr>
          </w:p>
        </w:tc>
      </w:tr>
    </w:tbl>
    <w:p w14:paraId="07D87FB4" w14:textId="77777777" w:rsidR="00050854" w:rsidRPr="00331410" w:rsidRDefault="00050854" w:rsidP="000C5769">
      <w:pPr>
        <w:pStyle w:val="Heading2"/>
        <w:widowControl/>
        <w:numPr>
          <w:ilvl w:val="0"/>
          <w:numId w:val="0"/>
        </w:numPr>
        <w:jc w:val="center"/>
        <w:rPr>
          <w:sz w:val="22"/>
          <w:szCs w:val="22"/>
        </w:rPr>
      </w:pPr>
      <w:r w:rsidRPr="00331410">
        <w:rPr>
          <w:sz w:val="22"/>
          <w:szCs w:val="22"/>
        </w:rPr>
        <w:t>NOTICE OF APPARENT LIABILITY FOR FORFEITURE</w:t>
      </w:r>
    </w:p>
    <w:p w14:paraId="17A7CC33" w14:textId="72C940BE" w:rsidR="00050854" w:rsidRPr="004251DE" w:rsidRDefault="007E2E05" w:rsidP="00BF1922">
      <w:pPr>
        <w:widowControl/>
        <w:rPr>
          <w:b/>
          <w:color w:val="000000" w:themeColor="text1"/>
          <w:spacing w:val="-2"/>
          <w:sz w:val="22"/>
          <w:szCs w:val="22"/>
        </w:rPr>
      </w:pPr>
      <w:r w:rsidRPr="00382459">
        <w:rPr>
          <w:b/>
          <w:sz w:val="22"/>
          <w:szCs w:val="22"/>
        </w:rPr>
        <w:t>Adopted:</w:t>
      </w:r>
      <w:r w:rsidR="004251DE" w:rsidRPr="00382459">
        <w:rPr>
          <w:b/>
          <w:sz w:val="22"/>
          <w:szCs w:val="22"/>
        </w:rPr>
        <w:t xml:space="preserve">  </w:t>
      </w:r>
      <w:r w:rsidR="00BC0718">
        <w:rPr>
          <w:b/>
          <w:sz w:val="22"/>
          <w:szCs w:val="22"/>
        </w:rPr>
        <w:t>July 6, 2015</w:t>
      </w:r>
      <w:r>
        <w:rPr>
          <w:sz w:val="22"/>
          <w:szCs w:val="22"/>
        </w:rPr>
        <w:tab/>
      </w:r>
      <w:r>
        <w:rPr>
          <w:sz w:val="22"/>
          <w:szCs w:val="22"/>
        </w:rPr>
        <w:tab/>
      </w:r>
      <w:r>
        <w:rPr>
          <w:sz w:val="22"/>
          <w:szCs w:val="22"/>
        </w:rPr>
        <w:tab/>
      </w:r>
      <w:r>
        <w:rPr>
          <w:sz w:val="22"/>
          <w:szCs w:val="22"/>
        </w:rPr>
        <w:tab/>
      </w:r>
      <w:r>
        <w:rPr>
          <w:sz w:val="22"/>
          <w:szCs w:val="22"/>
        </w:rPr>
        <w:tab/>
      </w:r>
      <w:r w:rsidR="004251DE">
        <w:rPr>
          <w:sz w:val="22"/>
          <w:szCs w:val="22"/>
        </w:rPr>
        <w:tab/>
      </w:r>
      <w:r w:rsidR="007409C1">
        <w:rPr>
          <w:sz w:val="22"/>
          <w:szCs w:val="22"/>
        </w:rPr>
        <w:tab/>
      </w:r>
      <w:r w:rsidR="00050854" w:rsidRPr="00382459">
        <w:rPr>
          <w:b/>
          <w:sz w:val="22"/>
          <w:szCs w:val="22"/>
        </w:rPr>
        <w:t>Released</w:t>
      </w:r>
      <w:r w:rsidR="00050854" w:rsidRPr="00382459">
        <w:rPr>
          <w:b/>
          <w:color w:val="000000" w:themeColor="text1"/>
          <w:sz w:val="22"/>
          <w:szCs w:val="22"/>
        </w:rPr>
        <w:t xml:space="preserve">: </w:t>
      </w:r>
      <w:r w:rsidR="004251DE" w:rsidRPr="00382459">
        <w:rPr>
          <w:b/>
          <w:color w:val="000000" w:themeColor="text1"/>
          <w:sz w:val="22"/>
          <w:szCs w:val="22"/>
        </w:rPr>
        <w:t xml:space="preserve"> </w:t>
      </w:r>
      <w:r w:rsidR="00BC0718">
        <w:rPr>
          <w:b/>
          <w:color w:val="000000" w:themeColor="text1"/>
          <w:sz w:val="22"/>
          <w:szCs w:val="22"/>
        </w:rPr>
        <w:t>July 7, 2015</w:t>
      </w:r>
    </w:p>
    <w:p w14:paraId="1B516FA9" w14:textId="77777777" w:rsidR="00050854" w:rsidRPr="004251DE" w:rsidRDefault="00050854" w:rsidP="00BF1922">
      <w:pPr>
        <w:widowControl/>
        <w:tabs>
          <w:tab w:val="left" w:pos="0"/>
          <w:tab w:val="left" w:pos="720"/>
          <w:tab w:val="left" w:pos="5760"/>
        </w:tabs>
        <w:suppressAutoHyphens/>
        <w:spacing w:line="240" w:lineRule="atLeast"/>
        <w:jc w:val="both"/>
        <w:rPr>
          <w:color w:val="000000" w:themeColor="text1"/>
          <w:spacing w:val="-2"/>
          <w:sz w:val="22"/>
          <w:szCs w:val="22"/>
        </w:rPr>
      </w:pPr>
    </w:p>
    <w:p w14:paraId="1E35638A" w14:textId="77777777" w:rsidR="00C5037A" w:rsidRPr="00C5037A" w:rsidRDefault="00C5037A" w:rsidP="00C5037A">
      <w:pPr>
        <w:widowControl/>
        <w:tabs>
          <w:tab w:val="left" w:pos="0"/>
          <w:tab w:val="left" w:pos="720"/>
          <w:tab w:val="left" w:pos="5760"/>
        </w:tabs>
        <w:suppressAutoHyphens/>
        <w:spacing w:line="240" w:lineRule="atLeast"/>
        <w:rPr>
          <w:spacing w:val="-2"/>
          <w:sz w:val="22"/>
          <w:szCs w:val="22"/>
        </w:rPr>
      </w:pPr>
      <w:r w:rsidRPr="00C5037A">
        <w:rPr>
          <w:spacing w:val="-2"/>
          <w:sz w:val="22"/>
          <w:szCs w:val="22"/>
        </w:rPr>
        <w:t xml:space="preserve">By the District Director, </w:t>
      </w:r>
      <w:r w:rsidR="007409C1">
        <w:rPr>
          <w:spacing w:val="-2"/>
          <w:sz w:val="22"/>
          <w:szCs w:val="22"/>
        </w:rPr>
        <w:t xml:space="preserve">Los Angeles </w:t>
      </w:r>
      <w:r w:rsidRPr="00C5037A">
        <w:rPr>
          <w:spacing w:val="-2"/>
          <w:sz w:val="22"/>
          <w:szCs w:val="22"/>
        </w:rPr>
        <w:t xml:space="preserve">Office, </w:t>
      </w:r>
      <w:r w:rsidR="007409C1">
        <w:rPr>
          <w:spacing w:val="-2"/>
          <w:sz w:val="22"/>
          <w:szCs w:val="22"/>
        </w:rPr>
        <w:t>Western</w:t>
      </w:r>
      <w:r w:rsidRPr="00C5037A">
        <w:rPr>
          <w:spacing w:val="-2"/>
          <w:sz w:val="22"/>
          <w:szCs w:val="22"/>
        </w:rPr>
        <w:t xml:space="preserve"> Region, Enforcement Bureau:</w:t>
      </w:r>
    </w:p>
    <w:p w14:paraId="01386101" w14:textId="77777777" w:rsidR="00AE3A0F" w:rsidRPr="00E34AAE" w:rsidRDefault="00AE3A0F" w:rsidP="00BF1922">
      <w:pPr>
        <w:widowControl/>
        <w:tabs>
          <w:tab w:val="left" w:pos="0"/>
        </w:tabs>
        <w:suppressAutoHyphens/>
        <w:spacing w:line="240" w:lineRule="atLeast"/>
        <w:jc w:val="both"/>
        <w:rPr>
          <w:sz w:val="22"/>
          <w:szCs w:val="22"/>
        </w:rPr>
      </w:pPr>
    </w:p>
    <w:p w14:paraId="6AEE1BDB" w14:textId="77777777" w:rsidR="00990FB6" w:rsidRPr="002A6200" w:rsidRDefault="00990FB6" w:rsidP="004A326D">
      <w:pPr>
        <w:pStyle w:val="Heading1"/>
        <w:widowControl/>
        <w:spacing w:after="120"/>
        <w:rPr>
          <w:sz w:val="22"/>
          <w:szCs w:val="22"/>
        </w:rPr>
      </w:pPr>
      <w:r w:rsidRPr="002A6200">
        <w:rPr>
          <w:sz w:val="22"/>
          <w:szCs w:val="22"/>
        </w:rPr>
        <w:t>INTRODUCTION</w:t>
      </w:r>
    </w:p>
    <w:p w14:paraId="4BAF9F1D" w14:textId="06856E45" w:rsidR="00050854" w:rsidRPr="0031433F" w:rsidRDefault="0057443E" w:rsidP="0031433F">
      <w:pPr>
        <w:widowControl/>
        <w:numPr>
          <w:ilvl w:val="0"/>
          <w:numId w:val="22"/>
        </w:numPr>
        <w:tabs>
          <w:tab w:val="clear" w:pos="1260"/>
          <w:tab w:val="left" w:pos="0"/>
          <w:tab w:val="num" w:pos="1440"/>
        </w:tabs>
        <w:suppressAutoHyphens/>
        <w:spacing w:after="120"/>
        <w:ind w:left="0"/>
        <w:rPr>
          <w:spacing w:val="-2"/>
          <w:sz w:val="22"/>
          <w:szCs w:val="22"/>
        </w:rPr>
      </w:pPr>
      <w:r w:rsidRPr="002A6200">
        <w:rPr>
          <w:spacing w:val="-2"/>
          <w:sz w:val="22"/>
          <w:szCs w:val="22"/>
        </w:rPr>
        <w:t>We propose a penalty of $</w:t>
      </w:r>
      <w:r w:rsidR="006177AD">
        <w:rPr>
          <w:spacing w:val="-2"/>
          <w:sz w:val="22"/>
          <w:szCs w:val="22"/>
        </w:rPr>
        <w:t>25</w:t>
      </w:r>
      <w:r w:rsidRPr="002A6200">
        <w:rPr>
          <w:spacing w:val="-2"/>
          <w:sz w:val="22"/>
          <w:szCs w:val="22"/>
        </w:rPr>
        <w:t xml:space="preserve">,000 against </w:t>
      </w:r>
      <w:r w:rsidR="00801E22">
        <w:rPr>
          <w:spacing w:val="-2"/>
          <w:sz w:val="22"/>
          <w:szCs w:val="22"/>
        </w:rPr>
        <w:t xml:space="preserve">Mobile Relay Associates (MRA), licensee of </w:t>
      </w:r>
      <w:r w:rsidR="00314112">
        <w:rPr>
          <w:spacing w:val="-2"/>
          <w:sz w:val="22"/>
          <w:szCs w:val="22"/>
        </w:rPr>
        <w:t>p</w:t>
      </w:r>
      <w:r w:rsidR="00801E22">
        <w:rPr>
          <w:spacing w:val="-2"/>
          <w:sz w:val="22"/>
          <w:szCs w:val="22"/>
        </w:rPr>
        <w:t>rivate land mobile radio</w:t>
      </w:r>
      <w:r w:rsidR="00E1466F">
        <w:rPr>
          <w:spacing w:val="-2"/>
          <w:sz w:val="22"/>
          <w:szCs w:val="22"/>
        </w:rPr>
        <w:t xml:space="preserve"> (P</w:t>
      </w:r>
      <w:r w:rsidR="00CC6DAC">
        <w:rPr>
          <w:spacing w:val="-2"/>
          <w:sz w:val="22"/>
          <w:szCs w:val="22"/>
        </w:rPr>
        <w:t>L</w:t>
      </w:r>
      <w:r w:rsidR="00E1466F">
        <w:rPr>
          <w:spacing w:val="-2"/>
          <w:sz w:val="22"/>
          <w:szCs w:val="22"/>
        </w:rPr>
        <w:t>MR) station WPPF234</w:t>
      </w:r>
      <w:r w:rsidR="00801E22">
        <w:rPr>
          <w:spacing w:val="-2"/>
          <w:sz w:val="22"/>
          <w:szCs w:val="22"/>
        </w:rPr>
        <w:t xml:space="preserve">, </w:t>
      </w:r>
      <w:r w:rsidR="00A919E1">
        <w:rPr>
          <w:spacing w:val="-2"/>
          <w:sz w:val="22"/>
          <w:szCs w:val="22"/>
        </w:rPr>
        <w:t>Malibu</w:t>
      </w:r>
      <w:r w:rsidR="00801E22">
        <w:rPr>
          <w:spacing w:val="-2"/>
          <w:sz w:val="22"/>
          <w:szCs w:val="22"/>
        </w:rPr>
        <w:t xml:space="preserve">, California, </w:t>
      </w:r>
      <w:r w:rsidRPr="002A6200">
        <w:rPr>
          <w:spacing w:val="-2"/>
          <w:sz w:val="22"/>
          <w:szCs w:val="22"/>
        </w:rPr>
        <w:t>f</w:t>
      </w:r>
      <w:r w:rsidR="002A6200" w:rsidRPr="002A6200">
        <w:rPr>
          <w:spacing w:val="-2"/>
          <w:sz w:val="22"/>
          <w:szCs w:val="22"/>
        </w:rPr>
        <w:t xml:space="preserve">or </w:t>
      </w:r>
      <w:r w:rsidR="00801E22">
        <w:rPr>
          <w:spacing w:val="-2"/>
          <w:sz w:val="22"/>
          <w:szCs w:val="22"/>
        </w:rPr>
        <w:t>failing to mon</w:t>
      </w:r>
      <w:r w:rsidR="00B66207">
        <w:rPr>
          <w:spacing w:val="-2"/>
          <w:sz w:val="22"/>
          <w:szCs w:val="22"/>
        </w:rPr>
        <w:t>itor and take other precautions</w:t>
      </w:r>
      <w:r w:rsidR="001116A5">
        <w:rPr>
          <w:spacing w:val="-2"/>
          <w:sz w:val="22"/>
          <w:szCs w:val="22"/>
        </w:rPr>
        <w:t xml:space="preserve"> to avoid causing </w:t>
      </w:r>
      <w:r w:rsidR="00B66207">
        <w:rPr>
          <w:spacing w:val="-2"/>
          <w:sz w:val="22"/>
          <w:szCs w:val="22"/>
        </w:rPr>
        <w:t xml:space="preserve">harmful </w:t>
      </w:r>
      <w:r w:rsidR="00801E22">
        <w:rPr>
          <w:spacing w:val="-2"/>
          <w:sz w:val="22"/>
          <w:szCs w:val="22"/>
        </w:rPr>
        <w:t xml:space="preserve">interference to </w:t>
      </w:r>
      <w:r w:rsidR="00B66207">
        <w:rPr>
          <w:spacing w:val="-2"/>
          <w:sz w:val="22"/>
          <w:szCs w:val="22"/>
        </w:rPr>
        <w:t>an</w:t>
      </w:r>
      <w:r w:rsidR="00801E22">
        <w:rPr>
          <w:spacing w:val="-2"/>
          <w:sz w:val="22"/>
          <w:szCs w:val="22"/>
        </w:rPr>
        <w:t xml:space="preserve">other licensed station </w:t>
      </w:r>
      <w:r w:rsidR="002A6200" w:rsidRPr="002A6200">
        <w:rPr>
          <w:spacing w:val="-2"/>
          <w:sz w:val="22"/>
          <w:szCs w:val="22"/>
        </w:rPr>
        <w:t xml:space="preserve">operating </w:t>
      </w:r>
      <w:r w:rsidR="00801E22">
        <w:rPr>
          <w:spacing w:val="-2"/>
          <w:sz w:val="22"/>
          <w:szCs w:val="22"/>
        </w:rPr>
        <w:t xml:space="preserve">on </w:t>
      </w:r>
      <w:r w:rsidR="00B66207">
        <w:rPr>
          <w:spacing w:val="-2"/>
          <w:sz w:val="22"/>
          <w:szCs w:val="22"/>
        </w:rPr>
        <w:t xml:space="preserve">a </w:t>
      </w:r>
      <w:r w:rsidR="00801E22">
        <w:rPr>
          <w:spacing w:val="-2"/>
          <w:sz w:val="22"/>
          <w:szCs w:val="22"/>
        </w:rPr>
        <w:t>shared frequenc</w:t>
      </w:r>
      <w:r w:rsidR="00B66207">
        <w:rPr>
          <w:spacing w:val="-2"/>
          <w:sz w:val="22"/>
          <w:szCs w:val="22"/>
        </w:rPr>
        <w:t>y</w:t>
      </w:r>
      <w:r w:rsidR="00801E22">
        <w:rPr>
          <w:spacing w:val="-2"/>
          <w:sz w:val="22"/>
          <w:szCs w:val="22"/>
        </w:rPr>
        <w:t xml:space="preserve"> in the Los Angeles area.</w:t>
      </w:r>
      <w:r w:rsidR="002A6200">
        <w:rPr>
          <w:spacing w:val="-2"/>
          <w:sz w:val="22"/>
          <w:szCs w:val="22"/>
        </w:rPr>
        <w:t xml:space="preserve"> </w:t>
      </w:r>
      <w:r w:rsidR="00676352">
        <w:rPr>
          <w:spacing w:val="-2"/>
          <w:sz w:val="22"/>
          <w:szCs w:val="22"/>
        </w:rPr>
        <w:t xml:space="preserve"> </w:t>
      </w:r>
      <w:r w:rsidRPr="0031433F">
        <w:rPr>
          <w:spacing w:val="-2"/>
          <w:sz w:val="22"/>
          <w:szCs w:val="22"/>
        </w:rPr>
        <w:t>The Commission</w:t>
      </w:r>
      <w:r w:rsidR="00803F94" w:rsidRPr="0031433F">
        <w:rPr>
          <w:spacing w:val="-2"/>
          <w:sz w:val="22"/>
          <w:szCs w:val="22"/>
        </w:rPr>
        <w:t xml:space="preserve"> </w:t>
      </w:r>
      <w:r w:rsidR="00801E22">
        <w:rPr>
          <w:spacing w:val="-2"/>
          <w:sz w:val="22"/>
          <w:szCs w:val="22"/>
        </w:rPr>
        <w:t>notified MRA that its operations were in violation of the Commission’s sharing and monitoring requirements for P</w:t>
      </w:r>
      <w:r w:rsidR="00CC6DAC">
        <w:rPr>
          <w:spacing w:val="-2"/>
          <w:sz w:val="22"/>
          <w:szCs w:val="22"/>
        </w:rPr>
        <w:t>LMR</w:t>
      </w:r>
      <w:r w:rsidR="00801E22">
        <w:rPr>
          <w:spacing w:val="-2"/>
          <w:sz w:val="22"/>
          <w:szCs w:val="22"/>
        </w:rPr>
        <w:t xml:space="preserve"> stations, however, MRA failed to modify its operations of the </w:t>
      </w:r>
      <w:r w:rsidR="001116A5">
        <w:rPr>
          <w:spacing w:val="-2"/>
          <w:sz w:val="22"/>
          <w:szCs w:val="22"/>
        </w:rPr>
        <w:t>s</w:t>
      </w:r>
      <w:r w:rsidR="00801E22">
        <w:rPr>
          <w:spacing w:val="-2"/>
          <w:sz w:val="22"/>
          <w:szCs w:val="22"/>
        </w:rPr>
        <w:t>tation</w:t>
      </w:r>
      <w:r w:rsidR="00B66207">
        <w:rPr>
          <w:spacing w:val="-2"/>
          <w:sz w:val="22"/>
          <w:szCs w:val="22"/>
        </w:rPr>
        <w:t xml:space="preserve"> to remedy the interference it was causing</w:t>
      </w:r>
      <w:r w:rsidR="00801E22">
        <w:rPr>
          <w:spacing w:val="-2"/>
          <w:sz w:val="22"/>
          <w:szCs w:val="22"/>
        </w:rPr>
        <w:t xml:space="preserve">.  </w:t>
      </w:r>
      <w:r w:rsidRPr="0031433F">
        <w:rPr>
          <w:spacing w:val="-2"/>
          <w:sz w:val="22"/>
          <w:szCs w:val="22"/>
        </w:rPr>
        <w:t>M</w:t>
      </w:r>
      <w:r w:rsidR="00801E22">
        <w:rPr>
          <w:spacing w:val="-2"/>
          <w:sz w:val="22"/>
          <w:szCs w:val="22"/>
        </w:rPr>
        <w:t>RA</w:t>
      </w:r>
      <w:r w:rsidRPr="0031433F">
        <w:rPr>
          <w:spacing w:val="-2"/>
          <w:sz w:val="22"/>
          <w:szCs w:val="22"/>
        </w:rPr>
        <w:t xml:space="preserve"> </w:t>
      </w:r>
      <w:r w:rsidR="002A6200" w:rsidRPr="0031433F">
        <w:rPr>
          <w:spacing w:val="-2"/>
          <w:sz w:val="22"/>
          <w:szCs w:val="22"/>
        </w:rPr>
        <w:t xml:space="preserve">continued to operate </w:t>
      </w:r>
      <w:r w:rsidR="00801E22">
        <w:rPr>
          <w:spacing w:val="-2"/>
          <w:sz w:val="22"/>
          <w:szCs w:val="22"/>
        </w:rPr>
        <w:t xml:space="preserve">the </w:t>
      </w:r>
      <w:r w:rsidR="001116A5">
        <w:rPr>
          <w:spacing w:val="-2"/>
          <w:sz w:val="22"/>
          <w:szCs w:val="22"/>
        </w:rPr>
        <w:t>s</w:t>
      </w:r>
      <w:r w:rsidR="00801E22">
        <w:rPr>
          <w:spacing w:val="-2"/>
          <w:sz w:val="22"/>
          <w:szCs w:val="22"/>
        </w:rPr>
        <w:t>tation</w:t>
      </w:r>
      <w:r w:rsidR="00435A64">
        <w:rPr>
          <w:spacing w:val="-2"/>
          <w:sz w:val="22"/>
          <w:szCs w:val="22"/>
        </w:rPr>
        <w:t>, causing harmful</w:t>
      </w:r>
      <w:r w:rsidR="00B66207">
        <w:rPr>
          <w:spacing w:val="-2"/>
          <w:sz w:val="22"/>
          <w:szCs w:val="22"/>
        </w:rPr>
        <w:t xml:space="preserve"> interference</w:t>
      </w:r>
      <w:r w:rsidR="00435A64">
        <w:rPr>
          <w:spacing w:val="-2"/>
          <w:sz w:val="22"/>
          <w:szCs w:val="22"/>
        </w:rPr>
        <w:t xml:space="preserve"> </w:t>
      </w:r>
      <w:r w:rsidR="006876EC" w:rsidRPr="0031433F">
        <w:rPr>
          <w:spacing w:val="-2"/>
          <w:sz w:val="22"/>
          <w:szCs w:val="22"/>
        </w:rPr>
        <w:t xml:space="preserve">warranting a </w:t>
      </w:r>
      <w:r w:rsidR="001116A5">
        <w:rPr>
          <w:spacing w:val="-2"/>
          <w:sz w:val="22"/>
          <w:szCs w:val="22"/>
        </w:rPr>
        <w:t xml:space="preserve">significant </w:t>
      </w:r>
      <w:r w:rsidR="00A919E1">
        <w:rPr>
          <w:spacing w:val="-2"/>
          <w:sz w:val="22"/>
          <w:szCs w:val="22"/>
        </w:rPr>
        <w:t>monetary</w:t>
      </w:r>
      <w:r w:rsidR="002A6200" w:rsidRPr="0031433F">
        <w:rPr>
          <w:spacing w:val="-2"/>
          <w:sz w:val="22"/>
          <w:szCs w:val="22"/>
        </w:rPr>
        <w:t xml:space="preserve"> penalty</w:t>
      </w:r>
      <w:r w:rsidRPr="0031433F">
        <w:rPr>
          <w:spacing w:val="-2"/>
          <w:sz w:val="22"/>
          <w:szCs w:val="22"/>
        </w:rPr>
        <w:t>.</w:t>
      </w:r>
      <w:r w:rsidR="003A7878" w:rsidRPr="0031433F">
        <w:rPr>
          <w:spacing w:val="-2"/>
          <w:sz w:val="22"/>
          <w:szCs w:val="22"/>
        </w:rPr>
        <w:t xml:space="preserve"> </w:t>
      </w:r>
    </w:p>
    <w:p w14:paraId="2B77F8F9" w14:textId="77777777" w:rsidR="00050854" w:rsidRPr="002A6200" w:rsidRDefault="00050854" w:rsidP="004A326D">
      <w:pPr>
        <w:pStyle w:val="Heading1"/>
        <w:widowControl/>
        <w:spacing w:after="120"/>
        <w:rPr>
          <w:spacing w:val="-2"/>
          <w:sz w:val="22"/>
          <w:szCs w:val="22"/>
        </w:rPr>
      </w:pPr>
      <w:r w:rsidRPr="002A6200">
        <w:rPr>
          <w:sz w:val="22"/>
          <w:szCs w:val="22"/>
        </w:rPr>
        <w:t>BACKGROUND</w:t>
      </w:r>
    </w:p>
    <w:p w14:paraId="34972F57" w14:textId="77777777" w:rsidR="00372131" w:rsidRPr="00372131" w:rsidRDefault="00382459" w:rsidP="00A41F66">
      <w:pPr>
        <w:widowControl/>
        <w:numPr>
          <w:ilvl w:val="0"/>
          <w:numId w:val="22"/>
        </w:numPr>
        <w:tabs>
          <w:tab w:val="clear" w:pos="1260"/>
          <w:tab w:val="left" w:pos="0"/>
          <w:tab w:val="num" w:pos="1440"/>
        </w:tabs>
        <w:suppressAutoHyphens/>
        <w:spacing w:after="120"/>
        <w:ind w:left="0"/>
        <w:rPr>
          <w:spacing w:val="-2"/>
          <w:sz w:val="22"/>
          <w:szCs w:val="22"/>
        </w:rPr>
      </w:pPr>
      <w:r w:rsidRPr="002A6200">
        <w:rPr>
          <w:color w:val="000000"/>
          <w:sz w:val="22"/>
          <w:szCs w:val="22"/>
        </w:rPr>
        <w:t>M</w:t>
      </w:r>
      <w:r w:rsidR="00801E22">
        <w:rPr>
          <w:color w:val="000000"/>
          <w:sz w:val="22"/>
          <w:szCs w:val="22"/>
        </w:rPr>
        <w:t>RA is the licensee of multiple P</w:t>
      </w:r>
      <w:r w:rsidR="00B66207">
        <w:rPr>
          <w:color w:val="000000"/>
          <w:sz w:val="22"/>
          <w:szCs w:val="22"/>
        </w:rPr>
        <w:t>L</w:t>
      </w:r>
      <w:r w:rsidR="00801E22">
        <w:rPr>
          <w:color w:val="000000"/>
          <w:sz w:val="22"/>
          <w:szCs w:val="22"/>
        </w:rPr>
        <w:t>MR stations in the Los Angeles area</w:t>
      </w:r>
      <w:r w:rsidR="00A919E1">
        <w:rPr>
          <w:color w:val="000000"/>
          <w:sz w:val="22"/>
          <w:szCs w:val="22"/>
        </w:rPr>
        <w:t>.</w:t>
      </w:r>
      <w:r w:rsidR="00A919E1">
        <w:rPr>
          <w:rStyle w:val="FootnoteReference"/>
          <w:color w:val="000000"/>
          <w:sz w:val="22"/>
          <w:szCs w:val="22"/>
        </w:rPr>
        <w:footnoteReference w:id="2"/>
      </w:r>
      <w:r w:rsidR="00801E22">
        <w:rPr>
          <w:color w:val="000000"/>
          <w:sz w:val="22"/>
          <w:szCs w:val="22"/>
        </w:rPr>
        <w:t xml:space="preserve"> </w:t>
      </w:r>
      <w:r w:rsidR="00A919E1">
        <w:rPr>
          <w:color w:val="000000"/>
          <w:sz w:val="22"/>
          <w:szCs w:val="22"/>
        </w:rPr>
        <w:t xml:space="preserve"> </w:t>
      </w:r>
      <w:r w:rsidR="00C0462C">
        <w:rPr>
          <w:color w:val="000000"/>
          <w:sz w:val="22"/>
          <w:szCs w:val="22"/>
        </w:rPr>
        <w:t>Frequencies assigned to PLMR stations are available on a shared basis, unless specified otherwise.</w:t>
      </w:r>
      <w:r w:rsidR="00C0462C" w:rsidRPr="00C0462C">
        <w:rPr>
          <w:color w:val="000000"/>
          <w:sz w:val="22"/>
          <w:szCs w:val="22"/>
          <w:vertAlign w:val="superscript"/>
        </w:rPr>
        <w:footnoteReference w:id="3"/>
      </w:r>
      <w:r w:rsidR="00C0462C">
        <w:rPr>
          <w:color w:val="000000"/>
          <w:sz w:val="22"/>
          <w:szCs w:val="22"/>
        </w:rPr>
        <w:t xml:space="preserve">  </w:t>
      </w:r>
      <w:r w:rsidR="00A919E1">
        <w:rPr>
          <w:color w:val="000000"/>
          <w:sz w:val="22"/>
          <w:szCs w:val="22"/>
        </w:rPr>
        <w:t>Station W</w:t>
      </w:r>
      <w:r w:rsidR="00D009D5">
        <w:rPr>
          <w:color w:val="000000"/>
          <w:sz w:val="22"/>
          <w:szCs w:val="22"/>
        </w:rPr>
        <w:t>PP</w:t>
      </w:r>
      <w:r w:rsidR="00A919E1">
        <w:rPr>
          <w:color w:val="000000"/>
          <w:sz w:val="22"/>
          <w:szCs w:val="22"/>
        </w:rPr>
        <w:t>F234</w:t>
      </w:r>
      <w:r w:rsidR="00E1466F">
        <w:rPr>
          <w:color w:val="000000"/>
          <w:sz w:val="22"/>
          <w:szCs w:val="22"/>
        </w:rPr>
        <w:t xml:space="preserve"> (Station)</w:t>
      </w:r>
      <w:r w:rsidR="00A919E1">
        <w:rPr>
          <w:color w:val="000000"/>
          <w:sz w:val="22"/>
          <w:szCs w:val="22"/>
        </w:rPr>
        <w:t xml:space="preserve"> is authorized to operate on </w:t>
      </w:r>
      <w:r w:rsidR="00D009D5">
        <w:rPr>
          <w:color w:val="000000"/>
          <w:sz w:val="22"/>
          <w:szCs w:val="22"/>
        </w:rPr>
        <w:t>six</w:t>
      </w:r>
      <w:r w:rsidR="00A919E1">
        <w:rPr>
          <w:color w:val="000000"/>
          <w:sz w:val="22"/>
          <w:szCs w:val="22"/>
        </w:rPr>
        <w:t xml:space="preserve"> frequencies from a fixed location on Saddle Peak in Malibu, California.</w:t>
      </w:r>
      <w:r w:rsidR="00F42826">
        <w:rPr>
          <w:rStyle w:val="FootnoteReference"/>
          <w:color w:val="000000"/>
          <w:sz w:val="22"/>
          <w:szCs w:val="22"/>
        </w:rPr>
        <w:footnoteReference w:id="4"/>
      </w:r>
      <w:r w:rsidR="00A919E1">
        <w:rPr>
          <w:color w:val="000000"/>
          <w:sz w:val="22"/>
          <w:szCs w:val="22"/>
        </w:rPr>
        <w:t xml:space="preserve"> </w:t>
      </w:r>
      <w:r w:rsidR="00E1466F">
        <w:rPr>
          <w:color w:val="000000"/>
          <w:sz w:val="22"/>
          <w:szCs w:val="22"/>
        </w:rPr>
        <w:t xml:space="preserve"> </w:t>
      </w:r>
      <w:r w:rsidR="00C0462C">
        <w:rPr>
          <w:color w:val="000000"/>
          <w:sz w:val="22"/>
          <w:szCs w:val="22"/>
        </w:rPr>
        <w:t xml:space="preserve">MRA is required to share two of the </w:t>
      </w:r>
      <w:r w:rsidR="004034FF">
        <w:rPr>
          <w:color w:val="000000"/>
          <w:sz w:val="22"/>
          <w:szCs w:val="22"/>
        </w:rPr>
        <w:t>Station’s assigned</w:t>
      </w:r>
      <w:r w:rsidR="000A3434">
        <w:rPr>
          <w:color w:val="000000"/>
          <w:sz w:val="22"/>
          <w:szCs w:val="22"/>
        </w:rPr>
        <w:t xml:space="preserve"> </w:t>
      </w:r>
      <w:r w:rsidR="009326F9">
        <w:rPr>
          <w:color w:val="000000"/>
          <w:sz w:val="22"/>
          <w:szCs w:val="22"/>
        </w:rPr>
        <w:t>frequencies</w:t>
      </w:r>
      <w:r w:rsidR="00E1466F">
        <w:rPr>
          <w:color w:val="000000"/>
          <w:sz w:val="22"/>
          <w:szCs w:val="22"/>
        </w:rPr>
        <w:t xml:space="preserve">, </w:t>
      </w:r>
      <w:r w:rsidR="00A41F66" w:rsidRPr="00A41F66">
        <w:rPr>
          <w:color w:val="000000"/>
          <w:sz w:val="22"/>
          <w:szCs w:val="22"/>
        </w:rPr>
        <w:t xml:space="preserve">151.7825 MHz </w:t>
      </w:r>
      <w:r w:rsidR="00A41F66">
        <w:rPr>
          <w:color w:val="000000"/>
          <w:sz w:val="22"/>
          <w:szCs w:val="22"/>
        </w:rPr>
        <w:t>and</w:t>
      </w:r>
      <w:r w:rsidR="00E1466F">
        <w:rPr>
          <w:color w:val="000000"/>
          <w:sz w:val="22"/>
          <w:szCs w:val="22"/>
        </w:rPr>
        <w:t xml:space="preserve"> 152.2925 MHz, </w:t>
      </w:r>
      <w:r w:rsidR="00C0462C">
        <w:rPr>
          <w:color w:val="000000"/>
          <w:sz w:val="22"/>
          <w:szCs w:val="22"/>
        </w:rPr>
        <w:t>with other co-channel licensees.</w:t>
      </w:r>
      <w:r w:rsidR="009326F9">
        <w:rPr>
          <w:rStyle w:val="FootnoteReference"/>
          <w:color w:val="000000"/>
          <w:sz w:val="22"/>
          <w:szCs w:val="22"/>
        </w:rPr>
        <w:footnoteReference w:id="5"/>
      </w:r>
      <w:r w:rsidR="00BC03DE">
        <w:rPr>
          <w:color w:val="000000"/>
          <w:sz w:val="22"/>
          <w:szCs w:val="22"/>
        </w:rPr>
        <w:t xml:space="preserve"> </w:t>
      </w:r>
      <w:r w:rsidR="00B66207">
        <w:rPr>
          <w:color w:val="000000"/>
          <w:sz w:val="22"/>
          <w:szCs w:val="22"/>
        </w:rPr>
        <w:t xml:space="preserve"> </w:t>
      </w:r>
      <w:r w:rsidR="001C63A7" w:rsidRPr="001C63A7">
        <w:rPr>
          <w:color w:val="000000"/>
          <w:sz w:val="22"/>
          <w:szCs w:val="22"/>
        </w:rPr>
        <w:t xml:space="preserve">The Station is </w:t>
      </w:r>
      <w:r w:rsidR="006669D9">
        <w:rPr>
          <w:color w:val="000000"/>
          <w:sz w:val="22"/>
          <w:szCs w:val="22"/>
        </w:rPr>
        <w:t>also</w:t>
      </w:r>
      <w:r w:rsidR="002A2521">
        <w:rPr>
          <w:color w:val="000000"/>
          <w:sz w:val="22"/>
          <w:szCs w:val="22"/>
        </w:rPr>
        <w:t xml:space="preserve"> required</w:t>
      </w:r>
      <w:r w:rsidR="00C0462C">
        <w:rPr>
          <w:color w:val="000000"/>
          <w:sz w:val="22"/>
          <w:szCs w:val="22"/>
        </w:rPr>
        <w:t xml:space="preserve"> to operate </w:t>
      </w:r>
      <w:r w:rsidR="001C63A7" w:rsidRPr="001C63A7">
        <w:rPr>
          <w:color w:val="000000"/>
          <w:sz w:val="22"/>
          <w:szCs w:val="22"/>
        </w:rPr>
        <w:t>as a trunked Industrial/Business Pool station.</w:t>
      </w:r>
      <w:r w:rsidR="001C63A7" w:rsidRPr="001C63A7">
        <w:rPr>
          <w:color w:val="000000"/>
          <w:sz w:val="22"/>
          <w:szCs w:val="22"/>
          <w:vertAlign w:val="superscript"/>
        </w:rPr>
        <w:footnoteReference w:id="6"/>
      </w:r>
      <w:r w:rsidR="001C63A7" w:rsidRPr="001C63A7">
        <w:rPr>
          <w:color w:val="000000"/>
          <w:sz w:val="22"/>
          <w:szCs w:val="22"/>
        </w:rPr>
        <w:t xml:space="preserve"> </w:t>
      </w:r>
      <w:r w:rsidR="006669D9">
        <w:rPr>
          <w:color w:val="000000"/>
          <w:sz w:val="22"/>
          <w:szCs w:val="22"/>
        </w:rPr>
        <w:t xml:space="preserve"> </w:t>
      </w:r>
      <w:r w:rsidR="004034FF">
        <w:rPr>
          <w:color w:val="000000"/>
          <w:sz w:val="22"/>
          <w:szCs w:val="22"/>
        </w:rPr>
        <w:t>M</w:t>
      </w:r>
      <w:r w:rsidR="006669D9">
        <w:rPr>
          <w:color w:val="000000"/>
          <w:sz w:val="22"/>
          <w:szCs w:val="22"/>
        </w:rPr>
        <w:t xml:space="preserve">onitoring requirements apply to all trunked operations on shared </w:t>
      </w:r>
      <w:r w:rsidR="006669D9">
        <w:rPr>
          <w:color w:val="000000"/>
          <w:sz w:val="22"/>
          <w:szCs w:val="22"/>
        </w:rPr>
        <w:lastRenderedPageBreak/>
        <w:t>channels.</w:t>
      </w:r>
      <w:r w:rsidR="006669D9">
        <w:rPr>
          <w:rStyle w:val="FootnoteReference"/>
          <w:color w:val="000000"/>
          <w:sz w:val="22"/>
          <w:szCs w:val="22"/>
        </w:rPr>
        <w:footnoteReference w:id="7"/>
      </w:r>
      <w:r w:rsidR="001C63A7" w:rsidRPr="001C63A7">
        <w:rPr>
          <w:color w:val="000000"/>
          <w:sz w:val="22"/>
          <w:szCs w:val="22"/>
        </w:rPr>
        <w:t xml:space="preserve"> </w:t>
      </w:r>
      <w:r w:rsidR="006669D9">
        <w:rPr>
          <w:color w:val="000000"/>
          <w:sz w:val="22"/>
          <w:szCs w:val="22"/>
        </w:rPr>
        <w:t xml:space="preserve"> </w:t>
      </w:r>
      <w:r w:rsidR="00DA1639">
        <w:rPr>
          <w:color w:val="000000"/>
          <w:sz w:val="22"/>
          <w:szCs w:val="22"/>
        </w:rPr>
        <w:t>T</w:t>
      </w:r>
      <w:r w:rsidR="006669D9">
        <w:rPr>
          <w:color w:val="000000"/>
          <w:sz w:val="22"/>
          <w:szCs w:val="22"/>
        </w:rPr>
        <w:t>he level of monitoring must be sufficient to avoid causing harmful interference to other systems.</w:t>
      </w:r>
      <w:r w:rsidR="006669D9">
        <w:rPr>
          <w:rStyle w:val="FootnoteReference"/>
          <w:color w:val="000000"/>
          <w:sz w:val="22"/>
          <w:szCs w:val="22"/>
        </w:rPr>
        <w:footnoteReference w:id="8"/>
      </w:r>
    </w:p>
    <w:p w14:paraId="26FFF001" w14:textId="3B8B084D" w:rsidR="008E19C8" w:rsidRPr="008E19C8" w:rsidRDefault="00FE47D9" w:rsidP="006E329C">
      <w:pPr>
        <w:widowControl/>
        <w:numPr>
          <w:ilvl w:val="0"/>
          <w:numId w:val="22"/>
        </w:numPr>
        <w:tabs>
          <w:tab w:val="clear" w:pos="1260"/>
          <w:tab w:val="left" w:pos="0"/>
          <w:tab w:val="num" w:pos="1440"/>
        </w:tabs>
        <w:suppressAutoHyphens/>
        <w:spacing w:after="120"/>
        <w:ind w:left="0"/>
        <w:rPr>
          <w:spacing w:val="-2"/>
          <w:sz w:val="22"/>
          <w:szCs w:val="22"/>
        </w:rPr>
      </w:pPr>
      <w:r>
        <w:rPr>
          <w:color w:val="000000"/>
          <w:sz w:val="22"/>
          <w:szCs w:val="22"/>
        </w:rPr>
        <w:t>On March 20, 2013, after investigati</w:t>
      </w:r>
      <w:r w:rsidR="00AB65AE">
        <w:rPr>
          <w:color w:val="000000"/>
          <w:sz w:val="22"/>
          <w:szCs w:val="22"/>
        </w:rPr>
        <w:t>ng</w:t>
      </w:r>
      <w:r>
        <w:rPr>
          <w:color w:val="000000"/>
          <w:sz w:val="22"/>
          <w:szCs w:val="22"/>
        </w:rPr>
        <w:t xml:space="preserve"> complaints of interference </w:t>
      </w:r>
      <w:r w:rsidR="00AB65AE">
        <w:rPr>
          <w:color w:val="000000"/>
          <w:sz w:val="22"/>
          <w:szCs w:val="22"/>
        </w:rPr>
        <w:t xml:space="preserve">against </w:t>
      </w:r>
      <w:r>
        <w:rPr>
          <w:color w:val="000000"/>
          <w:sz w:val="22"/>
          <w:szCs w:val="22"/>
        </w:rPr>
        <w:t>the Station,</w:t>
      </w:r>
      <w:r w:rsidR="00FC7A39">
        <w:rPr>
          <w:rStyle w:val="FootnoteReference"/>
          <w:color w:val="000000"/>
          <w:sz w:val="22"/>
          <w:szCs w:val="22"/>
        </w:rPr>
        <w:footnoteReference w:id="9"/>
      </w:r>
      <w:r>
        <w:rPr>
          <w:color w:val="000000"/>
          <w:sz w:val="22"/>
          <w:szCs w:val="22"/>
        </w:rPr>
        <w:t xml:space="preserve"> the Enforcement Bureau’s Los Ang</w:t>
      </w:r>
      <w:r w:rsidR="000366E9">
        <w:rPr>
          <w:color w:val="000000"/>
          <w:sz w:val="22"/>
          <w:szCs w:val="22"/>
        </w:rPr>
        <w:t>e</w:t>
      </w:r>
      <w:r>
        <w:rPr>
          <w:color w:val="000000"/>
          <w:sz w:val="22"/>
          <w:szCs w:val="22"/>
        </w:rPr>
        <w:t xml:space="preserve">les Office issued a </w:t>
      </w:r>
      <w:r w:rsidR="00F94D44" w:rsidRPr="00F94D44">
        <w:rPr>
          <w:color w:val="000000"/>
          <w:sz w:val="22"/>
          <w:szCs w:val="22"/>
        </w:rPr>
        <w:t xml:space="preserve">Notice of Violation </w:t>
      </w:r>
      <w:r>
        <w:rPr>
          <w:color w:val="000000"/>
          <w:sz w:val="22"/>
          <w:szCs w:val="22"/>
        </w:rPr>
        <w:t xml:space="preserve">to </w:t>
      </w:r>
      <w:r w:rsidR="000366E9">
        <w:rPr>
          <w:color w:val="000000"/>
          <w:sz w:val="22"/>
          <w:szCs w:val="22"/>
        </w:rPr>
        <w:t>MRA for violati</w:t>
      </w:r>
      <w:r w:rsidR="009F01D5">
        <w:rPr>
          <w:color w:val="000000"/>
          <w:sz w:val="22"/>
          <w:szCs w:val="22"/>
        </w:rPr>
        <w:t>ng</w:t>
      </w:r>
      <w:r w:rsidR="000366E9">
        <w:rPr>
          <w:color w:val="000000"/>
          <w:sz w:val="22"/>
          <w:szCs w:val="22"/>
        </w:rPr>
        <w:t xml:space="preserve"> </w:t>
      </w:r>
      <w:r w:rsidR="00AB65AE">
        <w:rPr>
          <w:color w:val="000000"/>
          <w:sz w:val="22"/>
          <w:szCs w:val="22"/>
        </w:rPr>
        <w:t>the Commission’s rules (Rules)</w:t>
      </w:r>
      <w:r w:rsidR="00314112">
        <w:rPr>
          <w:color w:val="000000"/>
          <w:sz w:val="22"/>
          <w:szCs w:val="22"/>
        </w:rPr>
        <w:t>.</w:t>
      </w:r>
      <w:r w:rsidR="000724D3" w:rsidRPr="00F94D44">
        <w:rPr>
          <w:color w:val="000000"/>
          <w:sz w:val="22"/>
          <w:szCs w:val="22"/>
          <w:vertAlign w:val="superscript"/>
        </w:rPr>
        <w:footnoteReference w:id="10"/>
      </w:r>
      <w:r w:rsidR="00AB65AE">
        <w:rPr>
          <w:color w:val="000000"/>
          <w:sz w:val="22"/>
          <w:szCs w:val="22"/>
        </w:rPr>
        <w:t xml:space="preserve"> </w:t>
      </w:r>
      <w:r w:rsidR="00314112">
        <w:rPr>
          <w:color w:val="000000"/>
          <w:sz w:val="22"/>
          <w:szCs w:val="22"/>
        </w:rPr>
        <w:t xml:space="preserve"> The Los Angeles Office found that the Station was operating nearly continuously on </w:t>
      </w:r>
      <w:r w:rsidR="006538FF">
        <w:rPr>
          <w:color w:val="000000"/>
          <w:sz w:val="22"/>
          <w:szCs w:val="22"/>
        </w:rPr>
        <w:t xml:space="preserve">the shared </w:t>
      </w:r>
      <w:r w:rsidR="00314112">
        <w:rPr>
          <w:color w:val="000000"/>
          <w:sz w:val="22"/>
          <w:szCs w:val="22"/>
        </w:rPr>
        <w:t>frequencies 151.7825 MHz and 152.2925 MHz, and therefore</w:t>
      </w:r>
      <w:r w:rsidR="00AB65AE">
        <w:rPr>
          <w:color w:val="000000"/>
          <w:sz w:val="22"/>
          <w:szCs w:val="22"/>
        </w:rPr>
        <w:t xml:space="preserve"> failing </w:t>
      </w:r>
      <w:r w:rsidR="00314112">
        <w:rPr>
          <w:color w:val="000000"/>
          <w:sz w:val="22"/>
          <w:szCs w:val="22"/>
        </w:rPr>
        <w:t xml:space="preserve">to </w:t>
      </w:r>
      <w:r w:rsidR="00AB65AE">
        <w:rPr>
          <w:color w:val="000000"/>
          <w:sz w:val="22"/>
          <w:szCs w:val="22"/>
        </w:rPr>
        <w:t>restrict it</w:t>
      </w:r>
      <w:r w:rsidR="00BC4232">
        <w:rPr>
          <w:color w:val="000000"/>
          <w:sz w:val="22"/>
          <w:szCs w:val="22"/>
        </w:rPr>
        <w:t>s</w:t>
      </w:r>
      <w:r w:rsidR="00AB65AE">
        <w:rPr>
          <w:color w:val="000000"/>
          <w:sz w:val="22"/>
          <w:szCs w:val="22"/>
        </w:rPr>
        <w:t xml:space="preserve"> transmission</w:t>
      </w:r>
      <w:r w:rsidR="006669D9">
        <w:rPr>
          <w:color w:val="000000"/>
          <w:sz w:val="22"/>
          <w:szCs w:val="22"/>
        </w:rPr>
        <w:t>s</w:t>
      </w:r>
      <w:r w:rsidR="00AB65AE">
        <w:rPr>
          <w:color w:val="000000"/>
          <w:sz w:val="22"/>
          <w:szCs w:val="22"/>
        </w:rPr>
        <w:t xml:space="preserve"> to the minimum practical transmission time</w:t>
      </w:r>
      <w:r w:rsidR="00314112">
        <w:rPr>
          <w:color w:val="000000"/>
          <w:sz w:val="22"/>
          <w:szCs w:val="22"/>
        </w:rPr>
        <w:t>;</w:t>
      </w:r>
      <w:r w:rsidR="00AB65AE">
        <w:rPr>
          <w:rStyle w:val="FootnoteReference"/>
          <w:color w:val="000000"/>
          <w:sz w:val="22"/>
          <w:szCs w:val="22"/>
        </w:rPr>
        <w:footnoteReference w:id="11"/>
      </w:r>
      <w:r w:rsidR="00314112">
        <w:rPr>
          <w:color w:val="000000"/>
          <w:sz w:val="22"/>
          <w:szCs w:val="22"/>
        </w:rPr>
        <w:t xml:space="preserve"> was</w:t>
      </w:r>
      <w:r w:rsidR="00AB65AE">
        <w:rPr>
          <w:color w:val="000000"/>
          <w:sz w:val="22"/>
          <w:szCs w:val="22"/>
        </w:rPr>
        <w:t xml:space="preserve"> </w:t>
      </w:r>
      <w:r w:rsidR="00B82462">
        <w:rPr>
          <w:color w:val="000000"/>
          <w:sz w:val="22"/>
          <w:szCs w:val="22"/>
        </w:rPr>
        <w:t xml:space="preserve">not monitoring the transmitting frequencies of other licensees or taking any other </w:t>
      </w:r>
      <w:r w:rsidR="00AB65AE">
        <w:rPr>
          <w:color w:val="000000"/>
          <w:sz w:val="22"/>
          <w:szCs w:val="22"/>
        </w:rPr>
        <w:t xml:space="preserve">reasonable precautions to avoid causing </w:t>
      </w:r>
      <w:r w:rsidR="00AB65AE">
        <w:rPr>
          <w:color w:val="000000"/>
          <w:sz w:val="22"/>
          <w:szCs w:val="22"/>
        </w:rPr>
        <w:lastRenderedPageBreak/>
        <w:t>harmful interference</w:t>
      </w:r>
      <w:r w:rsidR="00B82462">
        <w:rPr>
          <w:color w:val="000000"/>
          <w:sz w:val="22"/>
          <w:szCs w:val="22"/>
        </w:rPr>
        <w:t>;</w:t>
      </w:r>
      <w:r w:rsidR="00AB65AE">
        <w:rPr>
          <w:rStyle w:val="FootnoteReference"/>
          <w:color w:val="000000"/>
          <w:sz w:val="22"/>
          <w:szCs w:val="22"/>
        </w:rPr>
        <w:footnoteReference w:id="12"/>
      </w:r>
      <w:r w:rsidR="00AB65AE">
        <w:rPr>
          <w:color w:val="000000"/>
          <w:sz w:val="22"/>
          <w:szCs w:val="22"/>
        </w:rPr>
        <w:t xml:space="preserve"> and </w:t>
      </w:r>
      <w:r w:rsidR="00B82462">
        <w:rPr>
          <w:color w:val="000000"/>
          <w:sz w:val="22"/>
          <w:szCs w:val="22"/>
        </w:rPr>
        <w:t>was not operating its</w:t>
      </w:r>
      <w:r w:rsidR="00AB65AE">
        <w:rPr>
          <w:color w:val="000000"/>
          <w:sz w:val="22"/>
          <w:szCs w:val="22"/>
        </w:rPr>
        <w:t xml:space="preserve"> station in accordance with the Rules and the Station’s authorization, specifically, failing to operate using trunked technology.</w:t>
      </w:r>
      <w:r w:rsidR="00AB65AE">
        <w:rPr>
          <w:rStyle w:val="FootnoteReference"/>
          <w:color w:val="000000"/>
          <w:sz w:val="22"/>
          <w:szCs w:val="22"/>
        </w:rPr>
        <w:footnoteReference w:id="13"/>
      </w:r>
    </w:p>
    <w:p w14:paraId="43A71035" w14:textId="251AAFF5" w:rsidR="00F94D44" w:rsidRPr="00F94D44" w:rsidRDefault="00AB65AE" w:rsidP="00F838FF">
      <w:pPr>
        <w:widowControl/>
        <w:numPr>
          <w:ilvl w:val="0"/>
          <w:numId w:val="22"/>
        </w:numPr>
        <w:tabs>
          <w:tab w:val="clear" w:pos="1260"/>
          <w:tab w:val="left" w:pos="0"/>
          <w:tab w:val="num" w:pos="1440"/>
        </w:tabs>
        <w:suppressAutoHyphens/>
        <w:spacing w:after="120"/>
        <w:ind w:left="0"/>
        <w:rPr>
          <w:spacing w:val="-2"/>
          <w:sz w:val="22"/>
          <w:szCs w:val="22"/>
        </w:rPr>
      </w:pPr>
      <w:r>
        <w:rPr>
          <w:color w:val="000000"/>
          <w:sz w:val="22"/>
          <w:szCs w:val="22"/>
        </w:rPr>
        <w:t xml:space="preserve">MRA responded to the </w:t>
      </w:r>
      <w:r w:rsidR="00FD73B9">
        <w:rPr>
          <w:color w:val="000000"/>
          <w:sz w:val="22"/>
          <w:szCs w:val="22"/>
        </w:rPr>
        <w:t>NOV stating</w:t>
      </w:r>
      <w:r w:rsidR="00D4140C">
        <w:rPr>
          <w:color w:val="000000"/>
          <w:sz w:val="22"/>
          <w:szCs w:val="22"/>
        </w:rPr>
        <w:t xml:space="preserve"> </w:t>
      </w:r>
      <w:r w:rsidR="00314112">
        <w:rPr>
          <w:color w:val="000000"/>
          <w:sz w:val="22"/>
          <w:szCs w:val="22"/>
        </w:rPr>
        <w:t xml:space="preserve">that </w:t>
      </w:r>
      <w:r w:rsidR="00B82462">
        <w:rPr>
          <w:color w:val="000000"/>
          <w:sz w:val="22"/>
          <w:szCs w:val="22"/>
        </w:rPr>
        <w:t>the Sta</w:t>
      </w:r>
      <w:r w:rsidR="003E7EBF">
        <w:rPr>
          <w:color w:val="000000"/>
          <w:sz w:val="22"/>
          <w:szCs w:val="22"/>
        </w:rPr>
        <w:t>t</w:t>
      </w:r>
      <w:r w:rsidR="00B82462">
        <w:rPr>
          <w:color w:val="000000"/>
          <w:sz w:val="22"/>
          <w:szCs w:val="22"/>
        </w:rPr>
        <w:t>ion was not operating continuously, but that it was simply engaged in “heavy usage” of the shared frequencies.</w:t>
      </w:r>
      <w:r w:rsidR="00D4140C" w:rsidRPr="00F94D44">
        <w:rPr>
          <w:snapToGrid w:val="0"/>
          <w:kern w:val="28"/>
          <w:vertAlign w:val="superscript"/>
        </w:rPr>
        <w:footnoteReference w:id="14"/>
      </w:r>
      <w:r w:rsidR="00B82462">
        <w:rPr>
          <w:color w:val="000000"/>
          <w:sz w:val="22"/>
          <w:szCs w:val="22"/>
        </w:rPr>
        <w:t xml:space="preserve">  MRA</w:t>
      </w:r>
      <w:r w:rsidR="00A41F66">
        <w:rPr>
          <w:color w:val="000000"/>
          <w:sz w:val="22"/>
          <w:szCs w:val="22"/>
        </w:rPr>
        <w:t xml:space="preserve"> </w:t>
      </w:r>
      <w:r w:rsidR="00B82462">
        <w:rPr>
          <w:color w:val="000000"/>
          <w:sz w:val="22"/>
          <w:szCs w:val="22"/>
        </w:rPr>
        <w:t>sta</w:t>
      </w:r>
      <w:r w:rsidR="003E7EBF">
        <w:rPr>
          <w:color w:val="000000"/>
          <w:sz w:val="22"/>
          <w:szCs w:val="22"/>
        </w:rPr>
        <w:t>te</w:t>
      </w:r>
      <w:r w:rsidR="00B82462">
        <w:rPr>
          <w:color w:val="000000"/>
          <w:sz w:val="22"/>
          <w:szCs w:val="22"/>
        </w:rPr>
        <w:t>d that</w:t>
      </w:r>
      <w:r w:rsidR="003E7EBF">
        <w:rPr>
          <w:color w:val="000000"/>
          <w:sz w:val="22"/>
          <w:szCs w:val="22"/>
        </w:rPr>
        <w:t xml:space="preserve"> it</w:t>
      </w:r>
      <w:r w:rsidR="00B82462">
        <w:rPr>
          <w:color w:val="000000"/>
          <w:sz w:val="22"/>
          <w:szCs w:val="22"/>
        </w:rPr>
        <w:t xml:space="preserve"> had programmed the shared channels to allow for a pause of five secon</w:t>
      </w:r>
      <w:r w:rsidR="00A41F66">
        <w:rPr>
          <w:color w:val="000000"/>
          <w:sz w:val="22"/>
          <w:szCs w:val="22"/>
        </w:rPr>
        <w:t>d</w:t>
      </w:r>
      <w:r w:rsidR="00B82462">
        <w:rPr>
          <w:color w:val="000000"/>
          <w:sz w:val="22"/>
          <w:szCs w:val="22"/>
        </w:rPr>
        <w:t>s once every five minutes and that if a transmission begins d</w:t>
      </w:r>
      <w:r w:rsidR="00A41F66">
        <w:rPr>
          <w:color w:val="000000"/>
          <w:sz w:val="22"/>
          <w:szCs w:val="22"/>
        </w:rPr>
        <w:t>uring</w:t>
      </w:r>
      <w:r w:rsidR="00B82462">
        <w:rPr>
          <w:color w:val="000000"/>
          <w:sz w:val="22"/>
          <w:szCs w:val="22"/>
        </w:rPr>
        <w:t xml:space="preserve"> that five-s</w:t>
      </w:r>
      <w:r w:rsidR="00A41F66">
        <w:rPr>
          <w:color w:val="000000"/>
          <w:sz w:val="22"/>
          <w:szCs w:val="22"/>
        </w:rPr>
        <w:t>e</w:t>
      </w:r>
      <w:r w:rsidR="00B82462">
        <w:rPr>
          <w:color w:val="000000"/>
          <w:sz w:val="22"/>
          <w:szCs w:val="22"/>
        </w:rPr>
        <w:t>cond interval the system is programmed to prevent the tra</w:t>
      </w:r>
      <w:r w:rsidR="00A41F66">
        <w:rPr>
          <w:color w:val="000000"/>
          <w:sz w:val="22"/>
          <w:szCs w:val="22"/>
        </w:rPr>
        <w:t>n</w:t>
      </w:r>
      <w:r w:rsidR="00B82462">
        <w:rPr>
          <w:color w:val="000000"/>
          <w:sz w:val="22"/>
          <w:szCs w:val="22"/>
        </w:rPr>
        <w:t>s</w:t>
      </w:r>
      <w:r w:rsidR="00A41F66">
        <w:rPr>
          <w:color w:val="000000"/>
          <w:sz w:val="22"/>
          <w:szCs w:val="22"/>
        </w:rPr>
        <w:t>m</w:t>
      </w:r>
      <w:r w:rsidR="00B82462">
        <w:rPr>
          <w:color w:val="000000"/>
          <w:sz w:val="22"/>
          <w:szCs w:val="22"/>
        </w:rPr>
        <w:t>itter from resuming.</w:t>
      </w:r>
      <w:r w:rsidR="00B82462">
        <w:rPr>
          <w:rStyle w:val="FootnoteReference"/>
          <w:color w:val="000000"/>
          <w:sz w:val="22"/>
          <w:szCs w:val="22"/>
        </w:rPr>
        <w:footnoteReference w:id="15"/>
      </w:r>
      <w:r w:rsidR="00FD73B9">
        <w:rPr>
          <w:color w:val="000000"/>
          <w:sz w:val="22"/>
          <w:szCs w:val="22"/>
        </w:rPr>
        <w:t xml:space="preserve"> </w:t>
      </w:r>
      <w:r w:rsidR="00B82462">
        <w:rPr>
          <w:color w:val="000000"/>
          <w:sz w:val="22"/>
          <w:szCs w:val="22"/>
        </w:rPr>
        <w:t xml:space="preserve"> MRA argue</w:t>
      </w:r>
      <w:r w:rsidR="00A41F66">
        <w:rPr>
          <w:color w:val="000000"/>
          <w:sz w:val="22"/>
          <w:szCs w:val="22"/>
        </w:rPr>
        <w:t>d</w:t>
      </w:r>
      <w:r w:rsidR="00B82462">
        <w:rPr>
          <w:color w:val="000000"/>
          <w:sz w:val="22"/>
          <w:szCs w:val="22"/>
        </w:rPr>
        <w:t xml:space="preserve"> that its </w:t>
      </w:r>
      <w:r w:rsidR="00A41F66">
        <w:rPr>
          <w:color w:val="000000"/>
          <w:sz w:val="22"/>
          <w:szCs w:val="22"/>
        </w:rPr>
        <w:t>“</w:t>
      </w:r>
      <w:r w:rsidR="00B82462">
        <w:rPr>
          <w:color w:val="000000"/>
          <w:sz w:val="22"/>
          <w:szCs w:val="22"/>
        </w:rPr>
        <w:t>volunt</w:t>
      </w:r>
      <w:r w:rsidR="00A41F66">
        <w:rPr>
          <w:color w:val="000000"/>
          <w:sz w:val="22"/>
          <w:szCs w:val="22"/>
        </w:rPr>
        <w:t>a</w:t>
      </w:r>
      <w:r w:rsidR="00B82462">
        <w:rPr>
          <w:color w:val="000000"/>
          <w:sz w:val="22"/>
          <w:szCs w:val="22"/>
        </w:rPr>
        <w:t>ry</w:t>
      </w:r>
      <w:r w:rsidR="00A41F66">
        <w:rPr>
          <w:color w:val="000000"/>
          <w:sz w:val="22"/>
          <w:szCs w:val="22"/>
        </w:rPr>
        <w:t>”</w:t>
      </w:r>
      <w:r w:rsidR="00B82462">
        <w:rPr>
          <w:color w:val="000000"/>
          <w:sz w:val="22"/>
          <w:szCs w:val="22"/>
        </w:rPr>
        <w:t xml:space="preserve"> efforts </w:t>
      </w:r>
      <w:r w:rsidR="00A41F66">
        <w:rPr>
          <w:color w:val="000000"/>
          <w:sz w:val="22"/>
          <w:szCs w:val="22"/>
        </w:rPr>
        <w:t>were</w:t>
      </w:r>
      <w:r w:rsidR="00B82462">
        <w:rPr>
          <w:color w:val="000000"/>
          <w:sz w:val="22"/>
          <w:szCs w:val="22"/>
        </w:rPr>
        <w:t xml:space="preserve"> consist</w:t>
      </w:r>
      <w:r w:rsidR="00A41F66">
        <w:rPr>
          <w:color w:val="000000"/>
          <w:sz w:val="22"/>
          <w:szCs w:val="22"/>
        </w:rPr>
        <w:t>e</w:t>
      </w:r>
      <w:r w:rsidR="00B82462">
        <w:rPr>
          <w:color w:val="000000"/>
          <w:sz w:val="22"/>
          <w:szCs w:val="22"/>
        </w:rPr>
        <w:t>nt with S</w:t>
      </w:r>
      <w:r w:rsidR="00A41F66">
        <w:rPr>
          <w:color w:val="000000"/>
          <w:sz w:val="22"/>
          <w:szCs w:val="22"/>
        </w:rPr>
        <w:t>e</w:t>
      </w:r>
      <w:r w:rsidR="00B82462">
        <w:rPr>
          <w:color w:val="000000"/>
          <w:sz w:val="22"/>
          <w:szCs w:val="22"/>
        </w:rPr>
        <w:t>ctio</w:t>
      </w:r>
      <w:r w:rsidR="00A41F66">
        <w:rPr>
          <w:color w:val="000000"/>
          <w:sz w:val="22"/>
          <w:szCs w:val="22"/>
        </w:rPr>
        <w:t>n</w:t>
      </w:r>
      <w:r w:rsidR="00B82462">
        <w:rPr>
          <w:color w:val="000000"/>
          <w:sz w:val="22"/>
          <w:szCs w:val="22"/>
        </w:rPr>
        <w:t xml:space="preserve"> 90.403</w:t>
      </w:r>
      <w:r w:rsidR="00282F06">
        <w:rPr>
          <w:color w:val="000000"/>
          <w:sz w:val="22"/>
          <w:szCs w:val="22"/>
        </w:rPr>
        <w:t xml:space="preserve">(e) </w:t>
      </w:r>
      <w:r w:rsidR="00B82462">
        <w:rPr>
          <w:color w:val="000000"/>
          <w:sz w:val="22"/>
          <w:szCs w:val="22"/>
        </w:rPr>
        <w:t>and that there is no Commi</w:t>
      </w:r>
      <w:r w:rsidR="00A41F66">
        <w:rPr>
          <w:color w:val="000000"/>
          <w:sz w:val="22"/>
          <w:szCs w:val="22"/>
        </w:rPr>
        <w:t>s</w:t>
      </w:r>
      <w:r w:rsidR="00B82462">
        <w:rPr>
          <w:color w:val="000000"/>
          <w:sz w:val="22"/>
          <w:szCs w:val="22"/>
        </w:rPr>
        <w:t>sion “rule” that requires it</w:t>
      </w:r>
      <w:r w:rsidR="00A41F66">
        <w:rPr>
          <w:color w:val="000000"/>
          <w:sz w:val="22"/>
          <w:szCs w:val="22"/>
        </w:rPr>
        <w:t xml:space="preserve"> </w:t>
      </w:r>
      <w:r w:rsidR="00B82462">
        <w:rPr>
          <w:color w:val="000000"/>
          <w:sz w:val="22"/>
          <w:szCs w:val="22"/>
        </w:rPr>
        <w:t>to do more.</w:t>
      </w:r>
      <w:r w:rsidR="00B82462">
        <w:rPr>
          <w:rStyle w:val="FootnoteReference"/>
          <w:color w:val="000000"/>
          <w:sz w:val="22"/>
          <w:szCs w:val="22"/>
        </w:rPr>
        <w:footnoteReference w:id="16"/>
      </w:r>
      <w:r w:rsidR="00B82462">
        <w:rPr>
          <w:color w:val="000000"/>
          <w:sz w:val="22"/>
          <w:szCs w:val="22"/>
        </w:rPr>
        <w:t xml:space="preserve">  </w:t>
      </w:r>
      <w:r w:rsidR="008E19C8">
        <w:rPr>
          <w:color w:val="000000"/>
          <w:sz w:val="22"/>
          <w:szCs w:val="22"/>
        </w:rPr>
        <w:t xml:space="preserve">MRA contended that if the Commission wanted to create a “more precise rule” that “requires a licensee on a shared channel to force a pause in transmission at any particular interval” it is free to do so but must do so prospectively </w:t>
      </w:r>
      <w:r w:rsidR="00D30275">
        <w:rPr>
          <w:color w:val="000000"/>
          <w:sz w:val="22"/>
          <w:szCs w:val="22"/>
        </w:rPr>
        <w:t xml:space="preserve">through a rulemaking </w:t>
      </w:r>
      <w:r w:rsidR="008E19C8">
        <w:rPr>
          <w:color w:val="000000"/>
          <w:sz w:val="22"/>
          <w:szCs w:val="22"/>
        </w:rPr>
        <w:t>comply</w:t>
      </w:r>
      <w:r w:rsidR="00D30275">
        <w:rPr>
          <w:color w:val="000000"/>
          <w:sz w:val="22"/>
          <w:szCs w:val="22"/>
        </w:rPr>
        <w:t>ing</w:t>
      </w:r>
      <w:r w:rsidR="008E19C8">
        <w:rPr>
          <w:color w:val="000000"/>
          <w:sz w:val="22"/>
          <w:szCs w:val="22"/>
        </w:rPr>
        <w:t xml:space="preserve"> with the Administrative Procedures Act</w:t>
      </w:r>
      <w:r w:rsidR="00D30275">
        <w:rPr>
          <w:color w:val="000000"/>
          <w:sz w:val="22"/>
          <w:szCs w:val="22"/>
        </w:rPr>
        <w:t>.</w:t>
      </w:r>
      <w:r w:rsidR="008E19C8">
        <w:rPr>
          <w:rStyle w:val="FootnoteReference"/>
          <w:color w:val="000000"/>
          <w:sz w:val="22"/>
          <w:szCs w:val="22"/>
        </w:rPr>
        <w:footnoteReference w:id="17"/>
      </w:r>
      <w:r w:rsidR="008E19C8">
        <w:rPr>
          <w:color w:val="000000"/>
          <w:sz w:val="22"/>
          <w:szCs w:val="22"/>
        </w:rPr>
        <w:t xml:space="preserve">  </w:t>
      </w:r>
      <w:r w:rsidR="00B82462">
        <w:rPr>
          <w:color w:val="000000"/>
          <w:sz w:val="22"/>
          <w:szCs w:val="22"/>
        </w:rPr>
        <w:t xml:space="preserve">MRA also </w:t>
      </w:r>
      <w:r w:rsidR="00282F06">
        <w:rPr>
          <w:color w:val="000000"/>
          <w:sz w:val="22"/>
          <w:szCs w:val="22"/>
        </w:rPr>
        <w:t>state</w:t>
      </w:r>
      <w:r w:rsidR="00A41F66">
        <w:rPr>
          <w:color w:val="000000"/>
          <w:sz w:val="22"/>
          <w:szCs w:val="22"/>
        </w:rPr>
        <w:t>d</w:t>
      </w:r>
      <w:r w:rsidR="000A3434">
        <w:rPr>
          <w:color w:val="000000"/>
          <w:sz w:val="22"/>
          <w:szCs w:val="22"/>
        </w:rPr>
        <w:t xml:space="preserve"> that,</w:t>
      </w:r>
      <w:r w:rsidR="00282F06">
        <w:rPr>
          <w:color w:val="000000"/>
          <w:sz w:val="22"/>
          <w:szCs w:val="22"/>
        </w:rPr>
        <w:t xml:space="preserve"> in order to avoid causing interference it has reduced it</w:t>
      </w:r>
      <w:r w:rsidR="00A41F66">
        <w:rPr>
          <w:color w:val="000000"/>
          <w:sz w:val="22"/>
          <w:szCs w:val="22"/>
        </w:rPr>
        <w:t>s</w:t>
      </w:r>
      <w:r w:rsidR="00282F06">
        <w:rPr>
          <w:color w:val="000000"/>
          <w:sz w:val="22"/>
          <w:szCs w:val="22"/>
        </w:rPr>
        <w:t xml:space="preserve"> power and </w:t>
      </w:r>
      <w:r w:rsidR="000A3434">
        <w:rPr>
          <w:color w:val="000000"/>
          <w:sz w:val="22"/>
          <w:szCs w:val="22"/>
        </w:rPr>
        <w:t xml:space="preserve">that </w:t>
      </w:r>
      <w:r w:rsidR="00282F06">
        <w:rPr>
          <w:color w:val="000000"/>
          <w:sz w:val="22"/>
          <w:szCs w:val="22"/>
        </w:rPr>
        <w:t>it is in compliance with the monitoring requirement as specified by the fre</w:t>
      </w:r>
      <w:r w:rsidR="00FC7A39">
        <w:rPr>
          <w:color w:val="000000"/>
          <w:sz w:val="22"/>
          <w:szCs w:val="22"/>
        </w:rPr>
        <w:t>qu</w:t>
      </w:r>
      <w:r w:rsidR="00282F06">
        <w:rPr>
          <w:color w:val="000000"/>
          <w:sz w:val="22"/>
          <w:szCs w:val="22"/>
        </w:rPr>
        <w:t>ency coordinators.</w:t>
      </w:r>
      <w:r w:rsidR="00282F06">
        <w:rPr>
          <w:rStyle w:val="FootnoteReference"/>
          <w:color w:val="000000"/>
          <w:sz w:val="22"/>
          <w:szCs w:val="22"/>
        </w:rPr>
        <w:footnoteReference w:id="18"/>
      </w:r>
      <w:r w:rsidR="00282F06">
        <w:rPr>
          <w:color w:val="000000"/>
          <w:sz w:val="22"/>
          <w:szCs w:val="22"/>
        </w:rPr>
        <w:t xml:space="preserve">  Further, MRA </w:t>
      </w:r>
      <w:r w:rsidR="00A41F66">
        <w:rPr>
          <w:color w:val="000000"/>
          <w:sz w:val="22"/>
          <w:szCs w:val="22"/>
        </w:rPr>
        <w:t>asserted</w:t>
      </w:r>
      <w:r w:rsidR="00282F06">
        <w:rPr>
          <w:color w:val="000000"/>
          <w:sz w:val="22"/>
          <w:szCs w:val="22"/>
        </w:rPr>
        <w:t xml:space="preserve"> that the station “is employing a form o</w:t>
      </w:r>
      <w:r w:rsidR="00D009D5">
        <w:rPr>
          <w:color w:val="000000"/>
          <w:sz w:val="22"/>
          <w:szCs w:val="22"/>
        </w:rPr>
        <w:t>f</w:t>
      </w:r>
      <w:r w:rsidR="00282F06">
        <w:rPr>
          <w:color w:val="000000"/>
          <w:sz w:val="22"/>
          <w:szCs w:val="22"/>
        </w:rPr>
        <w:t xml:space="preserve"> trunking” and that even if its operation was deemed “conventional” it would not be a rule violation.</w:t>
      </w:r>
      <w:r w:rsidR="00282F06">
        <w:rPr>
          <w:rStyle w:val="FootnoteReference"/>
          <w:color w:val="000000"/>
          <w:sz w:val="22"/>
          <w:szCs w:val="22"/>
        </w:rPr>
        <w:footnoteReference w:id="19"/>
      </w:r>
    </w:p>
    <w:p w14:paraId="7B25A3C8" w14:textId="3D086EE7" w:rsidR="00FC7A39" w:rsidRPr="00FC7A39" w:rsidRDefault="00F94D44" w:rsidP="00BC03DE">
      <w:pPr>
        <w:widowControl/>
        <w:numPr>
          <w:ilvl w:val="0"/>
          <w:numId w:val="22"/>
        </w:numPr>
        <w:tabs>
          <w:tab w:val="clear" w:pos="1260"/>
          <w:tab w:val="left" w:pos="0"/>
          <w:tab w:val="num" w:pos="1440"/>
        </w:tabs>
        <w:suppressAutoHyphens/>
        <w:spacing w:after="120"/>
        <w:ind w:left="0"/>
        <w:rPr>
          <w:spacing w:val="-2"/>
          <w:sz w:val="22"/>
          <w:szCs w:val="22"/>
        </w:rPr>
      </w:pPr>
      <w:r w:rsidRPr="00D4140C">
        <w:rPr>
          <w:color w:val="000000"/>
          <w:sz w:val="22"/>
          <w:szCs w:val="22"/>
        </w:rPr>
        <w:t>On</w:t>
      </w:r>
      <w:r w:rsidR="00BC03DE">
        <w:rPr>
          <w:color w:val="000000"/>
          <w:sz w:val="22"/>
          <w:szCs w:val="22"/>
        </w:rPr>
        <w:t xml:space="preserve"> September</w:t>
      </w:r>
      <w:r w:rsidR="00BC03DE">
        <w:rPr>
          <w:spacing w:val="-2"/>
          <w:sz w:val="22"/>
          <w:szCs w:val="22"/>
        </w:rPr>
        <w:t xml:space="preserve"> 25, 2014, October 1, 2014, and May 7, 2015, ag</w:t>
      </w:r>
      <w:r w:rsidR="008E19C8">
        <w:rPr>
          <w:spacing w:val="-2"/>
          <w:sz w:val="22"/>
          <w:szCs w:val="22"/>
        </w:rPr>
        <w:t>e</w:t>
      </w:r>
      <w:r w:rsidR="00BC03DE">
        <w:rPr>
          <w:spacing w:val="-2"/>
          <w:sz w:val="22"/>
          <w:szCs w:val="22"/>
        </w:rPr>
        <w:t>nt</w:t>
      </w:r>
      <w:r w:rsidR="008E19C8">
        <w:rPr>
          <w:spacing w:val="-2"/>
          <w:sz w:val="22"/>
          <w:szCs w:val="22"/>
        </w:rPr>
        <w:t>s</w:t>
      </w:r>
      <w:r w:rsidR="00BC03DE">
        <w:rPr>
          <w:spacing w:val="-2"/>
          <w:sz w:val="22"/>
          <w:szCs w:val="22"/>
        </w:rPr>
        <w:t xml:space="preserve"> fr</w:t>
      </w:r>
      <w:r w:rsidR="008E19C8">
        <w:rPr>
          <w:spacing w:val="-2"/>
          <w:sz w:val="22"/>
          <w:szCs w:val="22"/>
        </w:rPr>
        <w:t>o</w:t>
      </w:r>
      <w:r w:rsidR="00BC03DE">
        <w:rPr>
          <w:spacing w:val="-2"/>
          <w:sz w:val="22"/>
          <w:szCs w:val="22"/>
        </w:rPr>
        <w:t>m the Los Angel</w:t>
      </w:r>
      <w:r w:rsidR="008E19C8">
        <w:rPr>
          <w:spacing w:val="-2"/>
          <w:sz w:val="22"/>
          <w:szCs w:val="22"/>
        </w:rPr>
        <w:t>es Office monitored</w:t>
      </w:r>
      <w:r w:rsidR="00BC03DE">
        <w:rPr>
          <w:spacing w:val="-2"/>
          <w:sz w:val="22"/>
          <w:szCs w:val="22"/>
        </w:rPr>
        <w:t xml:space="preserve"> the Station on frequency 152</w:t>
      </w:r>
      <w:r w:rsidR="003E7EBF">
        <w:rPr>
          <w:spacing w:val="-2"/>
          <w:sz w:val="22"/>
          <w:szCs w:val="22"/>
        </w:rPr>
        <w:t>.2925 MHz, an</w:t>
      </w:r>
      <w:r w:rsidR="00BC03DE">
        <w:rPr>
          <w:spacing w:val="-2"/>
          <w:sz w:val="22"/>
          <w:szCs w:val="22"/>
        </w:rPr>
        <w:t>d</w:t>
      </w:r>
      <w:r w:rsidR="003E7EBF">
        <w:rPr>
          <w:spacing w:val="-2"/>
          <w:sz w:val="22"/>
          <w:szCs w:val="22"/>
        </w:rPr>
        <w:t xml:space="preserve"> </w:t>
      </w:r>
      <w:r w:rsidR="00BC03DE">
        <w:rPr>
          <w:spacing w:val="-2"/>
          <w:sz w:val="22"/>
          <w:szCs w:val="22"/>
        </w:rPr>
        <w:t>determin</w:t>
      </w:r>
      <w:r w:rsidR="008E19C8">
        <w:rPr>
          <w:spacing w:val="-2"/>
          <w:sz w:val="22"/>
          <w:szCs w:val="22"/>
        </w:rPr>
        <w:t>e</w:t>
      </w:r>
      <w:r w:rsidR="00BC03DE">
        <w:rPr>
          <w:spacing w:val="-2"/>
          <w:sz w:val="22"/>
          <w:szCs w:val="22"/>
        </w:rPr>
        <w:t>d tha</w:t>
      </w:r>
      <w:r w:rsidR="008E19C8">
        <w:rPr>
          <w:spacing w:val="-2"/>
          <w:sz w:val="22"/>
          <w:szCs w:val="22"/>
        </w:rPr>
        <w:t>t</w:t>
      </w:r>
      <w:r w:rsidR="00BC03DE">
        <w:rPr>
          <w:spacing w:val="-2"/>
          <w:sz w:val="22"/>
          <w:szCs w:val="22"/>
        </w:rPr>
        <w:t xml:space="preserve"> the Station continued to operate in a nearly continuous mode, with a duty cycle of 96 to 98%.  </w:t>
      </w:r>
      <w:r w:rsidR="00BC03DE">
        <w:rPr>
          <w:color w:val="000000"/>
          <w:sz w:val="22"/>
          <w:szCs w:val="22"/>
        </w:rPr>
        <w:t>On May 8, 2015,</w:t>
      </w:r>
      <w:r w:rsidR="00ED5D4E">
        <w:rPr>
          <w:color w:val="000000"/>
          <w:sz w:val="22"/>
          <w:szCs w:val="22"/>
        </w:rPr>
        <w:t xml:space="preserve"> after</w:t>
      </w:r>
      <w:r w:rsidR="00BC03DE">
        <w:rPr>
          <w:color w:val="000000"/>
          <w:sz w:val="22"/>
          <w:szCs w:val="22"/>
        </w:rPr>
        <w:t xml:space="preserve"> the agent</w:t>
      </w:r>
      <w:r w:rsidR="003E7EBF">
        <w:rPr>
          <w:color w:val="000000"/>
          <w:sz w:val="22"/>
          <w:szCs w:val="22"/>
        </w:rPr>
        <w:t>s</w:t>
      </w:r>
      <w:r w:rsidR="00BC03DE">
        <w:rPr>
          <w:color w:val="000000"/>
          <w:sz w:val="22"/>
          <w:szCs w:val="22"/>
        </w:rPr>
        <w:t xml:space="preserve"> </w:t>
      </w:r>
      <w:r w:rsidR="003E7EBF">
        <w:rPr>
          <w:color w:val="000000"/>
          <w:sz w:val="22"/>
          <w:szCs w:val="22"/>
        </w:rPr>
        <w:t>monitored the Station again, finding that the duty cycle was 97 to 98%</w:t>
      </w:r>
      <w:r w:rsidR="00D30275">
        <w:rPr>
          <w:color w:val="000000"/>
          <w:sz w:val="22"/>
          <w:szCs w:val="22"/>
        </w:rPr>
        <w:t xml:space="preserve"> and</w:t>
      </w:r>
      <w:r w:rsidR="003E7EBF">
        <w:rPr>
          <w:color w:val="000000"/>
          <w:sz w:val="22"/>
          <w:szCs w:val="22"/>
        </w:rPr>
        <w:t xml:space="preserve"> </w:t>
      </w:r>
      <w:r w:rsidR="00ED5D4E">
        <w:rPr>
          <w:color w:val="000000"/>
          <w:sz w:val="22"/>
          <w:szCs w:val="22"/>
        </w:rPr>
        <w:t>observing</w:t>
      </w:r>
      <w:r w:rsidR="003E7EBF">
        <w:rPr>
          <w:color w:val="000000"/>
          <w:sz w:val="22"/>
          <w:szCs w:val="22"/>
        </w:rPr>
        <w:t xml:space="preserve"> transmission intervals of 120 seconds on and 3 seconds off</w:t>
      </w:r>
      <w:r w:rsidR="00ED5D4E">
        <w:rPr>
          <w:color w:val="000000"/>
          <w:sz w:val="22"/>
          <w:szCs w:val="22"/>
        </w:rPr>
        <w:t>, t</w:t>
      </w:r>
      <w:r w:rsidR="003E7EBF">
        <w:rPr>
          <w:color w:val="000000"/>
          <w:sz w:val="22"/>
          <w:szCs w:val="22"/>
        </w:rPr>
        <w:t xml:space="preserve">he agents </w:t>
      </w:r>
      <w:r w:rsidR="00BC03DE">
        <w:rPr>
          <w:color w:val="000000"/>
          <w:sz w:val="22"/>
          <w:szCs w:val="22"/>
        </w:rPr>
        <w:t xml:space="preserve">conducted an inspection of the </w:t>
      </w:r>
      <w:r w:rsidR="003E7EBF">
        <w:rPr>
          <w:color w:val="000000"/>
          <w:sz w:val="22"/>
          <w:szCs w:val="22"/>
        </w:rPr>
        <w:t>S</w:t>
      </w:r>
      <w:r w:rsidR="00BC03DE">
        <w:rPr>
          <w:color w:val="000000"/>
          <w:sz w:val="22"/>
          <w:szCs w:val="22"/>
        </w:rPr>
        <w:t>tation</w:t>
      </w:r>
      <w:r w:rsidR="00D4140C" w:rsidRPr="00BC03DE">
        <w:rPr>
          <w:color w:val="000000"/>
          <w:sz w:val="22"/>
          <w:szCs w:val="22"/>
        </w:rPr>
        <w:t xml:space="preserve"> accompanied by the owner of MRA.  </w:t>
      </w:r>
      <w:r w:rsidR="003E7EBF">
        <w:rPr>
          <w:color w:val="000000"/>
          <w:sz w:val="22"/>
          <w:szCs w:val="22"/>
        </w:rPr>
        <w:t xml:space="preserve">The agents observed that the Station was operating </w:t>
      </w:r>
      <w:r w:rsidR="008B36B8" w:rsidRPr="008B36B8">
        <w:rPr>
          <w:color w:val="000000"/>
          <w:sz w:val="22"/>
          <w:szCs w:val="22"/>
        </w:rPr>
        <w:t>on</w:t>
      </w:r>
      <w:r w:rsidR="00ED5D4E">
        <w:rPr>
          <w:color w:val="000000"/>
          <w:sz w:val="22"/>
          <w:szCs w:val="22"/>
        </w:rPr>
        <w:t xml:space="preserve"> shared frequencies</w:t>
      </w:r>
      <w:r w:rsidR="008B36B8" w:rsidRPr="008B36B8">
        <w:rPr>
          <w:color w:val="000000"/>
          <w:sz w:val="22"/>
          <w:szCs w:val="22"/>
        </w:rPr>
        <w:t xml:space="preserve"> 151.7825 MHz and 152.2925 MHz using the non-voice digital communications </w:t>
      </w:r>
      <w:r w:rsidR="003E7EBF">
        <w:rPr>
          <w:color w:val="000000"/>
          <w:sz w:val="22"/>
          <w:szCs w:val="22"/>
        </w:rPr>
        <w:t>Digital Dispatch System (DDS).</w:t>
      </w:r>
      <w:r w:rsidR="00FC7A39">
        <w:rPr>
          <w:rStyle w:val="FootnoteReference"/>
          <w:color w:val="000000"/>
          <w:sz w:val="22"/>
          <w:szCs w:val="22"/>
        </w:rPr>
        <w:footnoteReference w:id="20"/>
      </w:r>
      <w:r w:rsidR="003E7EBF">
        <w:rPr>
          <w:color w:val="000000"/>
          <w:sz w:val="22"/>
          <w:szCs w:val="22"/>
        </w:rPr>
        <w:t xml:space="preserve">  The </w:t>
      </w:r>
      <w:r w:rsidR="008E19C8">
        <w:rPr>
          <w:color w:val="000000"/>
          <w:sz w:val="22"/>
          <w:szCs w:val="22"/>
        </w:rPr>
        <w:t>agents observed that the</w:t>
      </w:r>
      <w:r w:rsidR="008B36B8">
        <w:rPr>
          <w:color w:val="000000"/>
          <w:sz w:val="22"/>
          <w:szCs w:val="22"/>
        </w:rPr>
        <w:t xml:space="preserve"> system</w:t>
      </w:r>
      <w:r w:rsidR="003E7EBF" w:rsidRPr="003E7EBF">
        <w:rPr>
          <w:color w:val="000000"/>
          <w:sz w:val="22"/>
          <w:szCs w:val="22"/>
        </w:rPr>
        <w:t xml:space="preserve"> transmits a synchronizing signal on the repeater output frequency nearly continuously to keep mobile units registered with the system.  Th</w:t>
      </w:r>
      <w:r w:rsidR="008E19C8">
        <w:rPr>
          <w:color w:val="000000"/>
          <w:sz w:val="22"/>
          <w:szCs w:val="22"/>
        </w:rPr>
        <w:t>e agents also observed the</w:t>
      </w:r>
      <w:r w:rsidR="003E7EBF" w:rsidRPr="003E7EBF">
        <w:rPr>
          <w:color w:val="000000"/>
          <w:sz w:val="22"/>
          <w:szCs w:val="22"/>
        </w:rPr>
        <w:t xml:space="preserve"> synchronizing signal </w:t>
      </w:r>
      <w:r w:rsidR="00ED5D4E">
        <w:rPr>
          <w:color w:val="000000"/>
          <w:sz w:val="22"/>
          <w:szCs w:val="22"/>
        </w:rPr>
        <w:t>only</w:t>
      </w:r>
      <w:r w:rsidR="003E7EBF" w:rsidRPr="003E7EBF">
        <w:rPr>
          <w:color w:val="000000"/>
          <w:sz w:val="22"/>
          <w:szCs w:val="22"/>
        </w:rPr>
        <w:t xml:space="preserve"> occasionally punctuated with data addressed to mobile units.  </w:t>
      </w:r>
      <w:r w:rsidR="00FC7A39">
        <w:rPr>
          <w:color w:val="000000"/>
          <w:sz w:val="22"/>
          <w:szCs w:val="22"/>
        </w:rPr>
        <w:t>At the</w:t>
      </w:r>
      <w:r w:rsidR="00AA7307">
        <w:rPr>
          <w:color w:val="000000"/>
          <w:sz w:val="22"/>
          <w:szCs w:val="22"/>
        </w:rPr>
        <w:t xml:space="preserve"> end o</w:t>
      </w:r>
      <w:r w:rsidR="00FC7A39">
        <w:rPr>
          <w:color w:val="000000"/>
          <w:sz w:val="22"/>
          <w:szCs w:val="22"/>
        </w:rPr>
        <w:t xml:space="preserve">f the inspection, </w:t>
      </w:r>
      <w:r w:rsidR="00873757">
        <w:rPr>
          <w:color w:val="000000"/>
          <w:sz w:val="22"/>
          <w:szCs w:val="22"/>
        </w:rPr>
        <w:t>MRA’s owners</w:t>
      </w:r>
      <w:r w:rsidR="00FC7A39">
        <w:rPr>
          <w:color w:val="000000"/>
          <w:sz w:val="22"/>
          <w:szCs w:val="22"/>
        </w:rPr>
        <w:t xml:space="preserve"> modified the Station</w:t>
      </w:r>
      <w:r w:rsidR="00873757">
        <w:rPr>
          <w:color w:val="000000"/>
          <w:sz w:val="22"/>
          <w:szCs w:val="22"/>
        </w:rPr>
        <w:t>’s</w:t>
      </w:r>
      <w:r w:rsidR="00FC7A39">
        <w:rPr>
          <w:color w:val="000000"/>
          <w:sz w:val="22"/>
          <w:szCs w:val="22"/>
        </w:rPr>
        <w:t xml:space="preserve"> transmi</w:t>
      </w:r>
      <w:r w:rsidR="00AA7307">
        <w:rPr>
          <w:color w:val="000000"/>
          <w:sz w:val="22"/>
          <w:szCs w:val="22"/>
        </w:rPr>
        <w:t>t</w:t>
      </w:r>
      <w:r w:rsidR="00FC7A39">
        <w:rPr>
          <w:color w:val="000000"/>
          <w:sz w:val="22"/>
          <w:szCs w:val="22"/>
        </w:rPr>
        <w:t>te</w:t>
      </w:r>
      <w:r w:rsidR="00AA7307">
        <w:rPr>
          <w:color w:val="000000"/>
          <w:sz w:val="22"/>
          <w:szCs w:val="22"/>
        </w:rPr>
        <w:t>r</w:t>
      </w:r>
      <w:r w:rsidR="00FC7A39">
        <w:rPr>
          <w:color w:val="000000"/>
          <w:sz w:val="22"/>
          <w:szCs w:val="22"/>
        </w:rPr>
        <w:t xml:space="preserve"> </w:t>
      </w:r>
      <w:r w:rsidR="008B36B8">
        <w:rPr>
          <w:color w:val="000000"/>
          <w:sz w:val="22"/>
          <w:szCs w:val="22"/>
        </w:rPr>
        <w:t>to transmit</w:t>
      </w:r>
      <w:r w:rsidR="00FC7A39">
        <w:rPr>
          <w:color w:val="000000"/>
          <w:sz w:val="22"/>
          <w:szCs w:val="22"/>
        </w:rPr>
        <w:t xml:space="preserve"> </w:t>
      </w:r>
      <w:r w:rsidR="00D009D5">
        <w:rPr>
          <w:color w:val="000000"/>
          <w:sz w:val="22"/>
          <w:szCs w:val="22"/>
        </w:rPr>
        <w:t>60</w:t>
      </w:r>
      <w:r w:rsidR="00FC7A39">
        <w:rPr>
          <w:color w:val="000000"/>
          <w:sz w:val="22"/>
          <w:szCs w:val="22"/>
        </w:rPr>
        <w:t xml:space="preserve"> secon</w:t>
      </w:r>
      <w:r w:rsidR="00AA7307">
        <w:rPr>
          <w:color w:val="000000"/>
          <w:sz w:val="22"/>
          <w:szCs w:val="22"/>
        </w:rPr>
        <w:t>d</w:t>
      </w:r>
      <w:r w:rsidR="00FC7A39">
        <w:rPr>
          <w:color w:val="000000"/>
          <w:sz w:val="22"/>
          <w:szCs w:val="22"/>
        </w:rPr>
        <w:t>s and remain off for three seconds, a 95% duty cycle.  Subsequent monitoring by the Los Angeles Of</w:t>
      </w:r>
      <w:r w:rsidR="00AA7307">
        <w:rPr>
          <w:color w:val="000000"/>
          <w:sz w:val="22"/>
          <w:szCs w:val="22"/>
        </w:rPr>
        <w:t>f</w:t>
      </w:r>
      <w:r w:rsidR="00FC7A39">
        <w:rPr>
          <w:color w:val="000000"/>
          <w:sz w:val="22"/>
          <w:szCs w:val="22"/>
        </w:rPr>
        <w:t xml:space="preserve">ice confirmed that the Station </w:t>
      </w:r>
      <w:r w:rsidR="00AA7307">
        <w:rPr>
          <w:color w:val="000000"/>
          <w:sz w:val="22"/>
          <w:szCs w:val="22"/>
        </w:rPr>
        <w:t xml:space="preserve">continues to </w:t>
      </w:r>
      <w:r w:rsidR="00FC7A39">
        <w:rPr>
          <w:color w:val="000000"/>
          <w:sz w:val="22"/>
          <w:szCs w:val="22"/>
        </w:rPr>
        <w:t>operat</w:t>
      </w:r>
      <w:r w:rsidR="00AA7307">
        <w:rPr>
          <w:color w:val="000000"/>
          <w:sz w:val="22"/>
          <w:szCs w:val="22"/>
        </w:rPr>
        <w:t>e</w:t>
      </w:r>
      <w:r w:rsidR="00FC7A39">
        <w:rPr>
          <w:color w:val="000000"/>
          <w:sz w:val="22"/>
          <w:szCs w:val="22"/>
        </w:rPr>
        <w:t xml:space="preserve"> with a 95% duty cycle.</w:t>
      </w:r>
    </w:p>
    <w:p w14:paraId="6E092A63" w14:textId="77777777" w:rsidR="00410F02" w:rsidRPr="00410F02" w:rsidRDefault="00FC7A39" w:rsidP="00BC03DE">
      <w:pPr>
        <w:widowControl/>
        <w:numPr>
          <w:ilvl w:val="0"/>
          <w:numId w:val="22"/>
        </w:numPr>
        <w:tabs>
          <w:tab w:val="clear" w:pos="1260"/>
          <w:tab w:val="left" w:pos="0"/>
          <w:tab w:val="num" w:pos="1440"/>
        </w:tabs>
        <w:suppressAutoHyphens/>
        <w:spacing w:after="120"/>
        <w:ind w:left="0"/>
        <w:rPr>
          <w:spacing w:val="-2"/>
          <w:sz w:val="22"/>
          <w:szCs w:val="22"/>
        </w:rPr>
      </w:pPr>
      <w:r>
        <w:rPr>
          <w:color w:val="000000"/>
          <w:sz w:val="22"/>
          <w:szCs w:val="22"/>
        </w:rPr>
        <w:t>On June 4, 2015, Eden Memorial Park</w:t>
      </w:r>
      <w:r w:rsidR="00AA7307">
        <w:rPr>
          <w:color w:val="000000"/>
          <w:sz w:val="22"/>
          <w:szCs w:val="22"/>
        </w:rPr>
        <w:t xml:space="preserve"> (Eden)</w:t>
      </w:r>
      <w:r>
        <w:rPr>
          <w:color w:val="000000"/>
          <w:sz w:val="22"/>
          <w:szCs w:val="22"/>
        </w:rPr>
        <w:t>, li</w:t>
      </w:r>
      <w:r w:rsidR="0018108F">
        <w:rPr>
          <w:color w:val="000000"/>
          <w:sz w:val="22"/>
          <w:szCs w:val="22"/>
        </w:rPr>
        <w:t>censee of P</w:t>
      </w:r>
      <w:r w:rsidR="008B36B8">
        <w:rPr>
          <w:color w:val="000000"/>
          <w:sz w:val="22"/>
          <w:szCs w:val="22"/>
        </w:rPr>
        <w:t>L</w:t>
      </w:r>
      <w:r w:rsidR="0018108F">
        <w:rPr>
          <w:color w:val="000000"/>
          <w:sz w:val="22"/>
          <w:szCs w:val="22"/>
        </w:rPr>
        <w:t>MR station WPWA436, Mission Hills, Cal</w:t>
      </w:r>
      <w:r w:rsidR="00AA7307">
        <w:rPr>
          <w:color w:val="000000"/>
          <w:sz w:val="22"/>
          <w:szCs w:val="22"/>
        </w:rPr>
        <w:t>i</w:t>
      </w:r>
      <w:r w:rsidR="0018108F">
        <w:rPr>
          <w:color w:val="000000"/>
          <w:sz w:val="22"/>
          <w:szCs w:val="22"/>
        </w:rPr>
        <w:t>fornia, reported to the Los Angeles Office that it continued to re</w:t>
      </w:r>
      <w:r w:rsidR="00AA7307">
        <w:rPr>
          <w:color w:val="000000"/>
          <w:sz w:val="22"/>
          <w:szCs w:val="22"/>
        </w:rPr>
        <w:t>c</w:t>
      </w:r>
      <w:r w:rsidR="0018108F">
        <w:rPr>
          <w:color w:val="000000"/>
          <w:sz w:val="22"/>
          <w:szCs w:val="22"/>
        </w:rPr>
        <w:t>eive harmful interference on frequency 152.2925 MH</w:t>
      </w:r>
      <w:r w:rsidR="009C1ACD">
        <w:rPr>
          <w:color w:val="000000"/>
          <w:sz w:val="22"/>
          <w:szCs w:val="22"/>
        </w:rPr>
        <w:t>z</w:t>
      </w:r>
      <w:r w:rsidR="0018108F">
        <w:rPr>
          <w:color w:val="000000"/>
          <w:sz w:val="22"/>
          <w:szCs w:val="22"/>
        </w:rPr>
        <w:t xml:space="preserve">, a frequency it shares with </w:t>
      </w:r>
      <w:r w:rsidR="00AA7307">
        <w:rPr>
          <w:color w:val="000000"/>
          <w:sz w:val="22"/>
          <w:szCs w:val="22"/>
        </w:rPr>
        <w:t>MRA’s</w:t>
      </w:r>
      <w:r w:rsidR="0018108F">
        <w:rPr>
          <w:color w:val="000000"/>
          <w:sz w:val="22"/>
          <w:szCs w:val="22"/>
        </w:rPr>
        <w:t xml:space="preserve"> Station.</w:t>
      </w:r>
      <w:r w:rsidR="000A3434">
        <w:rPr>
          <w:rStyle w:val="FootnoteReference"/>
          <w:color w:val="000000"/>
          <w:sz w:val="22"/>
          <w:szCs w:val="22"/>
        </w:rPr>
        <w:footnoteReference w:id="21"/>
      </w:r>
      <w:r w:rsidR="0018108F">
        <w:rPr>
          <w:color w:val="000000"/>
          <w:sz w:val="22"/>
          <w:szCs w:val="22"/>
        </w:rPr>
        <w:t xml:space="preserve"> </w:t>
      </w:r>
      <w:r w:rsidR="009C1ACD">
        <w:rPr>
          <w:color w:val="000000"/>
          <w:sz w:val="22"/>
          <w:szCs w:val="22"/>
        </w:rPr>
        <w:t xml:space="preserve"> Subsequently, on June 4, 2015, and June 8, 2015,</w:t>
      </w:r>
      <w:r w:rsidR="0018108F">
        <w:rPr>
          <w:color w:val="000000"/>
          <w:sz w:val="22"/>
          <w:szCs w:val="22"/>
        </w:rPr>
        <w:t xml:space="preserve"> Los Angeles agent</w:t>
      </w:r>
      <w:r w:rsidR="00AA7307">
        <w:rPr>
          <w:color w:val="000000"/>
          <w:sz w:val="22"/>
          <w:szCs w:val="22"/>
        </w:rPr>
        <w:t>s</w:t>
      </w:r>
      <w:r w:rsidR="0018108F">
        <w:rPr>
          <w:color w:val="000000"/>
          <w:sz w:val="22"/>
          <w:szCs w:val="22"/>
        </w:rPr>
        <w:t xml:space="preserve"> monitored 152.2925</w:t>
      </w:r>
      <w:r w:rsidR="009653DF">
        <w:rPr>
          <w:color w:val="000000"/>
          <w:sz w:val="22"/>
          <w:szCs w:val="22"/>
        </w:rPr>
        <w:t xml:space="preserve"> MHz</w:t>
      </w:r>
      <w:r w:rsidR="0018108F">
        <w:rPr>
          <w:color w:val="000000"/>
          <w:sz w:val="22"/>
          <w:szCs w:val="22"/>
        </w:rPr>
        <w:t xml:space="preserve"> </w:t>
      </w:r>
      <w:r w:rsidR="00AA7307">
        <w:rPr>
          <w:color w:val="000000"/>
          <w:sz w:val="22"/>
          <w:szCs w:val="22"/>
        </w:rPr>
        <w:t>near</w:t>
      </w:r>
      <w:r w:rsidR="0018108F">
        <w:rPr>
          <w:color w:val="000000"/>
          <w:sz w:val="22"/>
          <w:szCs w:val="22"/>
        </w:rPr>
        <w:t xml:space="preserve"> the Station WPWA436 </w:t>
      </w:r>
      <w:r w:rsidR="00AA7307">
        <w:rPr>
          <w:color w:val="000000"/>
          <w:sz w:val="22"/>
          <w:szCs w:val="22"/>
        </w:rPr>
        <w:t xml:space="preserve">fixed transmitter </w:t>
      </w:r>
      <w:r w:rsidR="0018108F">
        <w:rPr>
          <w:color w:val="000000"/>
          <w:sz w:val="22"/>
          <w:szCs w:val="22"/>
        </w:rPr>
        <w:t>site</w:t>
      </w:r>
      <w:r w:rsidR="00E47571">
        <w:rPr>
          <w:rStyle w:val="FootnoteReference"/>
          <w:color w:val="000000"/>
          <w:sz w:val="22"/>
          <w:szCs w:val="22"/>
        </w:rPr>
        <w:footnoteReference w:id="22"/>
      </w:r>
      <w:r w:rsidR="0018108F">
        <w:rPr>
          <w:color w:val="000000"/>
          <w:sz w:val="22"/>
          <w:szCs w:val="22"/>
        </w:rPr>
        <w:t xml:space="preserve"> and</w:t>
      </w:r>
      <w:r w:rsidR="00410F02">
        <w:rPr>
          <w:color w:val="000000"/>
          <w:sz w:val="22"/>
          <w:szCs w:val="22"/>
        </w:rPr>
        <w:t>, using directing finding techniques,</w:t>
      </w:r>
      <w:r w:rsidR="0018108F">
        <w:rPr>
          <w:color w:val="000000"/>
          <w:sz w:val="22"/>
          <w:szCs w:val="22"/>
        </w:rPr>
        <w:t xml:space="preserve"> </w:t>
      </w:r>
      <w:r w:rsidR="009C1ACD">
        <w:rPr>
          <w:color w:val="000000"/>
          <w:sz w:val="22"/>
          <w:szCs w:val="22"/>
        </w:rPr>
        <w:t xml:space="preserve">located co-channel transmissions to MRA’s Station on Saddle Peak in Malibu, California.  The agents </w:t>
      </w:r>
      <w:r w:rsidR="0018108F">
        <w:rPr>
          <w:color w:val="000000"/>
          <w:sz w:val="22"/>
          <w:szCs w:val="22"/>
        </w:rPr>
        <w:t>determined that</w:t>
      </w:r>
      <w:r w:rsidR="009C1ACD">
        <w:rPr>
          <w:color w:val="000000"/>
          <w:sz w:val="22"/>
          <w:szCs w:val="22"/>
        </w:rPr>
        <w:t>, on both days,</w:t>
      </w:r>
      <w:r w:rsidR="00410F02">
        <w:rPr>
          <w:color w:val="000000"/>
          <w:sz w:val="22"/>
          <w:szCs w:val="22"/>
        </w:rPr>
        <w:t xml:space="preserve"> MRA continued</w:t>
      </w:r>
      <w:r w:rsidR="00AA7307">
        <w:rPr>
          <w:color w:val="000000"/>
          <w:sz w:val="22"/>
          <w:szCs w:val="22"/>
        </w:rPr>
        <w:t xml:space="preserve"> </w:t>
      </w:r>
      <w:r w:rsidR="00410F02">
        <w:rPr>
          <w:color w:val="000000"/>
          <w:sz w:val="22"/>
          <w:szCs w:val="22"/>
        </w:rPr>
        <w:t>to operate</w:t>
      </w:r>
      <w:r w:rsidR="00AA7307">
        <w:rPr>
          <w:color w:val="000000"/>
          <w:sz w:val="22"/>
          <w:szCs w:val="22"/>
        </w:rPr>
        <w:t xml:space="preserve"> its</w:t>
      </w:r>
      <w:r w:rsidR="00410F02">
        <w:rPr>
          <w:color w:val="000000"/>
          <w:sz w:val="22"/>
          <w:szCs w:val="22"/>
        </w:rPr>
        <w:t xml:space="preserve"> Station in a nearly continuous mode, utilizing a 95% duty cycle, and</w:t>
      </w:r>
      <w:r w:rsidR="00AA7307">
        <w:rPr>
          <w:color w:val="000000"/>
          <w:sz w:val="22"/>
          <w:szCs w:val="22"/>
        </w:rPr>
        <w:t xml:space="preserve"> </w:t>
      </w:r>
      <w:r w:rsidR="00410F02">
        <w:rPr>
          <w:color w:val="000000"/>
          <w:sz w:val="22"/>
          <w:szCs w:val="22"/>
        </w:rPr>
        <w:t>tha</w:t>
      </w:r>
      <w:r w:rsidR="00AA7307">
        <w:rPr>
          <w:color w:val="000000"/>
          <w:sz w:val="22"/>
          <w:szCs w:val="22"/>
        </w:rPr>
        <w:t>t</w:t>
      </w:r>
      <w:r w:rsidR="00410F02">
        <w:rPr>
          <w:color w:val="000000"/>
          <w:sz w:val="22"/>
          <w:szCs w:val="22"/>
        </w:rPr>
        <w:t xml:space="preserve"> its transmissions were </w:t>
      </w:r>
      <w:r w:rsidR="00577C91">
        <w:rPr>
          <w:color w:val="000000"/>
          <w:sz w:val="22"/>
          <w:szCs w:val="22"/>
        </w:rPr>
        <w:t xml:space="preserve">seriously degrading </w:t>
      </w:r>
      <w:r w:rsidR="00AA7307">
        <w:rPr>
          <w:color w:val="000000"/>
          <w:sz w:val="22"/>
          <w:szCs w:val="22"/>
        </w:rPr>
        <w:t xml:space="preserve">Eden’s </w:t>
      </w:r>
      <w:r w:rsidR="00410F02">
        <w:rPr>
          <w:color w:val="000000"/>
          <w:sz w:val="22"/>
          <w:szCs w:val="22"/>
        </w:rPr>
        <w:t>co-channel operations on frequency 152.2925</w:t>
      </w:r>
      <w:r w:rsidR="00AA7307">
        <w:rPr>
          <w:color w:val="000000"/>
          <w:sz w:val="22"/>
          <w:szCs w:val="22"/>
        </w:rPr>
        <w:t xml:space="preserve"> MHz</w:t>
      </w:r>
      <w:r w:rsidR="00410F02">
        <w:rPr>
          <w:color w:val="000000"/>
          <w:sz w:val="22"/>
          <w:szCs w:val="22"/>
        </w:rPr>
        <w:t>.</w:t>
      </w:r>
      <w:r w:rsidR="00D45964">
        <w:rPr>
          <w:color w:val="000000"/>
          <w:sz w:val="22"/>
          <w:szCs w:val="22"/>
        </w:rPr>
        <w:t xml:space="preserve">  This included MRA’s near continual transmission of synchronizing signals, generally not containing data, on the shared frequency</w:t>
      </w:r>
      <w:r w:rsidR="002A2521">
        <w:rPr>
          <w:color w:val="000000"/>
          <w:sz w:val="22"/>
          <w:szCs w:val="22"/>
        </w:rPr>
        <w:t>, even when Eden attempted to utilize the channel</w:t>
      </w:r>
      <w:r w:rsidR="00D45964">
        <w:rPr>
          <w:color w:val="000000"/>
          <w:sz w:val="22"/>
          <w:szCs w:val="22"/>
        </w:rPr>
        <w:t>.</w:t>
      </w:r>
    </w:p>
    <w:p w14:paraId="70AC062F" w14:textId="77777777" w:rsidR="00050854" w:rsidRDefault="00050854" w:rsidP="004A326D">
      <w:pPr>
        <w:pStyle w:val="Heading1"/>
        <w:widowControl/>
        <w:spacing w:after="120"/>
        <w:rPr>
          <w:sz w:val="22"/>
          <w:szCs w:val="22"/>
        </w:rPr>
      </w:pPr>
      <w:r w:rsidRPr="003F3CFD">
        <w:rPr>
          <w:sz w:val="22"/>
          <w:szCs w:val="22"/>
        </w:rPr>
        <w:t>DISCUSSION</w:t>
      </w:r>
    </w:p>
    <w:p w14:paraId="12761A69" w14:textId="3A7E4DFE" w:rsidR="00092DD6" w:rsidRPr="00B02EF6" w:rsidRDefault="009659D2" w:rsidP="004A326D">
      <w:pPr>
        <w:widowControl/>
        <w:numPr>
          <w:ilvl w:val="0"/>
          <w:numId w:val="22"/>
        </w:numPr>
        <w:tabs>
          <w:tab w:val="clear" w:pos="1260"/>
          <w:tab w:val="num" w:pos="1440"/>
          <w:tab w:val="left" w:pos="4680"/>
          <w:tab w:val="left" w:pos="5760"/>
        </w:tabs>
        <w:spacing w:after="120"/>
        <w:ind w:left="0"/>
        <w:rPr>
          <w:spacing w:val="-3"/>
          <w:sz w:val="22"/>
          <w:szCs w:val="22"/>
        </w:rPr>
      </w:pPr>
      <w:r>
        <w:rPr>
          <w:spacing w:val="-3"/>
          <w:sz w:val="22"/>
          <w:szCs w:val="22"/>
        </w:rPr>
        <w:t>We find that MRA</w:t>
      </w:r>
      <w:r w:rsidR="000305FC">
        <w:rPr>
          <w:spacing w:val="-3"/>
          <w:sz w:val="22"/>
          <w:szCs w:val="22"/>
        </w:rPr>
        <w:t xml:space="preserve"> apparently willfully and repeatedly violated </w:t>
      </w:r>
      <w:r w:rsidRPr="009659D2">
        <w:rPr>
          <w:spacing w:val="-3"/>
          <w:sz w:val="22"/>
          <w:szCs w:val="22"/>
        </w:rPr>
        <w:t>of Sections 90.403(e)</w:t>
      </w:r>
      <w:r w:rsidR="0014204C">
        <w:rPr>
          <w:spacing w:val="-3"/>
          <w:sz w:val="22"/>
          <w:szCs w:val="22"/>
        </w:rPr>
        <w:t xml:space="preserve"> and</w:t>
      </w:r>
      <w:r w:rsidR="00280162">
        <w:rPr>
          <w:spacing w:val="-3"/>
          <w:sz w:val="22"/>
          <w:szCs w:val="22"/>
        </w:rPr>
        <w:t xml:space="preserve"> 90.187(b)</w:t>
      </w:r>
      <w:r w:rsidRPr="009659D2">
        <w:rPr>
          <w:spacing w:val="-3"/>
          <w:sz w:val="22"/>
          <w:szCs w:val="22"/>
        </w:rPr>
        <w:t xml:space="preserve"> of the Rules,</w:t>
      </w:r>
      <w:r>
        <w:rPr>
          <w:spacing w:val="-3"/>
          <w:sz w:val="22"/>
          <w:szCs w:val="22"/>
        </w:rPr>
        <w:t xml:space="preserve"> </w:t>
      </w:r>
      <w:r w:rsidR="00D67594">
        <w:rPr>
          <w:spacing w:val="-3"/>
          <w:sz w:val="22"/>
          <w:szCs w:val="22"/>
        </w:rPr>
        <w:t>by</w:t>
      </w:r>
      <w:r w:rsidR="00280162">
        <w:rPr>
          <w:spacing w:val="-3"/>
          <w:sz w:val="22"/>
          <w:szCs w:val="22"/>
        </w:rPr>
        <w:t xml:space="preserve"> </w:t>
      </w:r>
      <w:r w:rsidRPr="009659D2">
        <w:rPr>
          <w:spacing w:val="-3"/>
          <w:sz w:val="22"/>
          <w:szCs w:val="22"/>
        </w:rPr>
        <w:t>failing to take reasonable precautions to avoid causing harmful interference,</w:t>
      </w:r>
      <w:r w:rsidR="0014204C">
        <w:rPr>
          <w:spacing w:val="-3"/>
          <w:sz w:val="22"/>
          <w:szCs w:val="22"/>
        </w:rPr>
        <w:t xml:space="preserve"> and </w:t>
      </w:r>
      <w:r w:rsidR="00D67594">
        <w:rPr>
          <w:spacing w:val="-3"/>
          <w:sz w:val="22"/>
          <w:szCs w:val="22"/>
        </w:rPr>
        <w:t>by</w:t>
      </w:r>
      <w:r w:rsidRPr="009659D2">
        <w:rPr>
          <w:spacing w:val="-3"/>
          <w:sz w:val="22"/>
          <w:szCs w:val="22"/>
        </w:rPr>
        <w:t xml:space="preserve"> </w:t>
      </w:r>
      <w:r w:rsidR="00280162">
        <w:rPr>
          <w:spacing w:val="-3"/>
          <w:sz w:val="22"/>
          <w:szCs w:val="22"/>
        </w:rPr>
        <w:t>failing to monitor sufficiently to avoid harmful interference to</w:t>
      </w:r>
      <w:r w:rsidR="00410F02">
        <w:rPr>
          <w:spacing w:val="-3"/>
          <w:sz w:val="22"/>
          <w:szCs w:val="22"/>
        </w:rPr>
        <w:t xml:space="preserve"> </w:t>
      </w:r>
      <w:r w:rsidR="00280162">
        <w:rPr>
          <w:spacing w:val="-3"/>
          <w:sz w:val="22"/>
          <w:szCs w:val="22"/>
        </w:rPr>
        <w:t>other systems</w:t>
      </w:r>
      <w:r w:rsidR="0014204C">
        <w:rPr>
          <w:spacing w:val="-3"/>
          <w:sz w:val="22"/>
          <w:szCs w:val="22"/>
        </w:rPr>
        <w:t>.</w:t>
      </w:r>
      <w:r w:rsidR="00410F02">
        <w:rPr>
          <w:rStyle w:val="FootnoteReference"/>
          <w:spacing w:val="-3"/>
          <w:sz w:val="22"/>
          <w:szCs w:val="22"/>
        </w:rPr>
        <w:footnoteReference w:id="23"/>
      </w:r>
      <w:r>
        <w:rPr>
          <w:spacing w:val="-3"/>
          <w:sz w:val="22"/>
          <w:szCs w:val="22"/>
        </w:rPr>
        <w:t xml:space="preserve">  </w:t>
      </w:r>
      <w:r w:rsidR="008914FA" w:rsidRPr="00E34AAE">
        <w:rPr>
          <w:spacing w:val="-3"/>
          <w:sz w:val="22"/>
          <w:szCs w:val="22"/>
        </w:rPr>
        <w:t xml:space="preserve">Section 503(b) of the </w:t>
      </w:r>
      <w:r w:rsidR="00B017DF">
        <w:rPr>
          <w:spacing w:val="-3"/>
          <w:sz w:val="22"/>
          <w:szCs w:val="22"/>
        </w:rPr>
        <w:t xml:space="preserve">Communications </w:t>
      </w:r>
      <w:r w:rsidR="008914FA">
        <w:rPr>
          <w:spacing w:val="-3"/>
          <w:sz w:val="22"/>
          <w:szCs w:val="22"/>
        </w:rPr>
        <w:t>Act</w:t>
      </w:r>
      <w:r w:rsidR="00B017DF">
        <w:rPr>
          <w:spacing w:val="-3"/>
          <w:sz w:val="22"/>
          <w:szCs w:val="22"/>
        </w:rPr>
        <w:t xml:space="preserve"> of 1934, as amended (Act),</w:t>
      </w:r>
      <w:r w:rsidR="008914FA">
        <w:rPr>
          <w:spacing w:val="-3"/>
          <w:sz w:val="22"/>
          <w:szCs w:val="22"/>
        </w:rPr>
        <w:t xml:space="preserve"> </w:t>
      </w:r>
      <w:r w:rsidR="008914FA" w:rsidRPr="00E34AAE">
        <w:rPr>
          <w:spacing w:val="-3"/>
          <w:sz w:val="22"/>
          <w:szCs w:val="22"/>
        </w:rPr>
        <w:t xml:space="preserve">provides that any person who willfully </w:t>
      </w:r>
      <w:r w:rsidR="008914FA">
        <w:rPr>
          <w:spacing w:val="-3"/>
          <w:sz w:val="22"/>
          <w:szCs w:val="22"/>
        </w:rPr>
        <w:t xml:space="preserve">or repeatedly </w:t>
      </w:r>
      <w:r w:rsidR="008914FA" w:rsidRPr="00E34AAE">
        <w:rPr>
          <w:spacing w:val="-3"/>
          <w:sz w:val="22"/>
          <w:szCs w:val="22"/>
        </w:rPr>
        <w:t xml:space="preserve">fails to comply substantially with the terms and conditions of any license, or willfully </w:t>
      </w:r>
      <w:r w:rsidR="008914FA">
        <w:rPr>
          <w:spacing w:val="-3"/>
          <w:sz w:val="22"/>
          <w:szCs w:val="22"/>
        </w:rPr>
        <w:t xml:space="preserve">or repeatedly </w:t>
      </w:r>
      <w:r w:rsidR="008914FA" w:rsidRPr="00E34AAE">
        <w:rPr>
          <w:spacing w:val="-3"/>
          <w:sz w:val="22"/>
          <w:szCs w:val="22"/>
        </w:rPr>
        <w:t>fails to comply with any of the provisions of the Act or of any rule, regulation</w:t>
      </w:r>
      <w:r w:rsidR="008914FA">
        <w:rPr>
          <w:spacing w:val="-3"/>
          <w:sz w:val="22"/>
          <w:szCs w:val="22"/>
        </w:rPr>
        <w:t>,</w:t>
      </w:r>
      <w:r w:rsidR="008914FA" w:rsidRPr="00E34AAE">
        <w:rPr>
          <w:spacing w:val="-3"/>
          <w:sz w:val="22"/>
          <w:szCs w:val="22"/>
        </w:rPr>
        <w:t xml:space="preserve"> or order issued by the Commission thereunder, shall be liable for a forfeiture penalty.</w:t>
      </w:r>
      <w:r w:rsidR="008914FA">
        <w:rPr>
          <w:rStyle w:val="FootnoteReference"/>
          <w:spacing w:val="-3"/>
          <w:sz w:val="22"/>
          <w:szCs w:val="22"/>
        </w:rPr>
        <w:footnoteReference w:id="24"/>
      </w:r>
      <w:r w:rsidR="008914FA" w:rsidRPr="00E34AAE">
        <w:rPr>
          <w:spacing w:val="-3"/>
          <w:sz w:val="22"/>
          <w:szCs w:val="22"/>
        </w:rPr>
        <w:t xml:space="preserve">  </w:t>
      </w:r>
      <w:r w:rsidR="008914FA" w:rsidRPr="00A12D37">
        <w:rPr>
          <w:color w:val="000000"/>
          <w:spacing w:val="-3"/>
          <w:sz w:val="22"/>
          <w:szCs w:val="22"/>
        </w:rPr>
        <w:t xml:space="preserve">Section 312(f)(1) of the Act defines </w:t>
      </w:r>
      <w:r w:rsidR="008914FA">
        <w:rPr>
          <w:color w:val="000000"/>
          <w:spacing w:val="-3"/>
          <w:sz w:val="22"/>
          <w:szCs w:val="22"/>
        </w:rPr>
        <w:t>“</w:t>
      </w:r>
      <w:r w:rsidR="008914FA" w:rsidRPr="00A12D37">
        <w:rPr>
          <w:color w:val="000000"/>
          <w:spacing w:val="-3"/>
          <w:sz w:val="22"/>
          <w:szCs w:val="22"/>
        </w:rPr>
        <w:t>willful</w:t>
      </w:r>
      <w:r w:rsidR="008914FA">
        <w:rPr>
          <w:color w:val="000000"/>
          <w:spacing w:val="-3"/>
          <w:sz w:val="22"/>
          <w:szCs w:val="22"/>
        </w:rPr>
        <w:t>”</w:t>
      </w:r>
      <w:r w:rsidR="008914FA" w:rsidRPr="00A12D37">
        <w:rPr>
          <w:color w:val="000000"/>
          <w:spacing w:val="-3"/>
          <w:sz w:val="22"/>
          <w:szCs w:val="22"/>
        </w:rPr>
        <w:t xml:space="preserve"> as the “conscious and deliberate commission or omission of [any] act, irrespective of any intent to violate” the law.</w:t>
      </w:r>
      <w:r w:rsidR="008914FA" w:rsidRPr="00A12D37">
        <w:rPr>
          <w:rStyle w:val="FootnoteReference"/>
          <w:color w:val="000000"/>
          <w:spacing w:val="-3"/>
          <w:sz w:val="22"/>
          <w:szCs w:val="22"/>
        </w:rPr>
        <w:footnoteReference w:id="25"/>
      </w:r>
      <w:r w:rsidR="008914FA" w:rsidRPr="00A12D37">
        <w:rPr>
          <w:color w:val="000000"/>
          <w:spacing w:val="-3"/>
          <w:sz w:val="22"/>
          <w:szCs w:val="22"/>
        </w:rPr>
        <w:t xml:space="preserve">  The legislative history to </w:t>
      </w:r>
      <w:r w:rsidR="008914FA">
        <w:rPr>
          <w:color w:val="000000"/>
          <w:spacing w:val="-3"/>
          <w:sz w:val="22"/>
          <w:szCs w:val="22"/>
        </w:rPr>
        <w:t>S</w:t>
      </w:r>
      <w:r w:rsidR="008914FA" w:rsidRPr="00A12D37">
        <w:rPr>
          <w:color w:val="000000"/>
          <w:spacing w:val="-3"/>
          <w:sz w:val="22"/>
          <w:szCs w:val="22"/>
        </w:rPr>
        <w:t xml:space="preserve">ection 312(f)(1) of the Act clarifies that this definition of willful applies to both </w:t>
      </w:r>
      <w:r w:rsidR="008914FA">
        <w:rPr>
          <w:color w:val="000000"/>
          <w:spacing w:val="-3"/>
          <w:sz w:val="22"/>
          <w:szCs w:val="22"/>
        </w:rPr>
        <w:t>S</w:t>
      </w:r>
      <w:r w:rsidR="008914FA" w:rsidRPr="00A12D37">
        <w:rPr>
          <w:color w:val="000000"/>
          <w:spacing w:val="-3"/>
          <w:sz w:val="22"/>
          <w:szCs w:val="22"/>
        </w:rPr>
        <w:t>ection</w:t>
      </w:r>
      <w:r w:rsidR="008914FA">
        <w:rPr>
          <w:color w:val="000000"/>
          <w:spacing w:val="-3"/>
          <w:sz w:val="22"/>
          <w:szCs w:val="22"/>
        </w:rPr>
        <w:t>s</w:t>
      </w:r>
      <w:r w:rsidR="008914FA" w:rsidRPr="00A12D37">
        <w:rPr>
          <w:color w:val="000000"/>
          <w:spacing w:val="-3"/>
          <w:sz w:val="22"/>
          <w:szCs w:val="22"/>
        </w:rPr>
        <w:t xml:space="preserve"> 312 and 503(b) of the Act</w:t>
      </w:r>
      <w:r w:rsidR="008914FA">
        <w:rPr>
          <w:color w:val="000000"/>
          <w:spacing w:val="-3"/>
          <w:sz w:val="22"/>
          <w:szCs w:val="22"/>
        </w:rPr>
        <w:t>,</w:t>
      </w:r>
      <w:r w:rsidR="008914FA" w:rsidRPr="00A12D37">
        <w:rPr>
          <w:rStyle w:val="FootnoteReference"/>
          <w:color w:val="000000"/>
          <w:spacing w:val="-3"/>
          <w:sz w:val="22"/>
          <w:szCs w:val="22"/>
        </w:rPr>
        <w:footnoteReference w:id="26"/>
      </w:r>
      <w:r w:rsidR="008914FA" w:rsidRPr="00A12D37">
        <w:rPr>
          <w:color w:val="000000"/>
          <w:spacing w:val="-3"/>
          <w:sz w:val="22"/>
          <w:szCs w:val="22"/>
        </w:rPr>
        <w:t xml:space="preserve"> and the Commission has so interpreted the term in the </w:t>
      </w:r>
      <w:r w:rsidR="008914FA">
        <w:rPr>
          <w:color w:val="000000"/>
          <w:spacing w:val="-3"/>
          <w:sz w:val="22"/>
          <w:szCs w:val="22"/>
        </w:rPr>
        <w:t>S</w:t>
      </w:r>
      <w:r w:rsidR="008914FA" w:rsidRPr="00A12D37">
        <w:rPr>
          <w:color w:val="000000"/>
          <w:spacing w:val="-3"/>
          <w:sz w:val="22"/>
          <w:szCs w:val="22"/>
        </w:rPr>
        <w:t>ection 503(b) context.</w:t>
      </w:r>
      <w:r w:rsidR="008914FA" w:rsidRPr="00A12D37">
        <w:rPr>
          <w:rStyle w:val="FootnoteReference"/>
          <w:color w:val="000000"/>
          <w:spacing w:val="-3"/>
          <w:sz w:val="22"/>
          <w:szCs w:val="22"/>
        </w:rPr>
        <w:footnoteReference w:id="27"/>
      </w:r>
      <w:r w:rsidR="008914FA" w:rsidRPr="00A12D37">
        <w:rPr>
          <w:color w:val="000000"/>
          <w:spacing w:val="-3"/>
          <w:sz w:val="22"/>
          <w:szCs w:val="22"/>
        </w:rPr>
        <w:t xml:space="preserve">  </w:t>
      </w:r>
      <w:r w:rsidR="008914FA" w:rsidRPr="00A12D37">
        <w:rPr>
          <w:color w:val="000000"/>
          <w:sz w:val="22"/>
          <w:szCs w:val="22"/>
        </w:rPr>
        <w:t>The Commission may also assess a forfeiture for violations that are merely repeated, and not willful.</w:t>
      </w:r>
      <w:r w:rsidR="008914FA" w:rsidRPr="00A12D37">
        <w:rPr>
          <w:rStyle w:val="FootnoteReference"/>
          <w:color w:val="000000"/>
          <w:sz w:val="22"/>
          <w:szCs w:val="22"/>
        </w:rPr>
        <w:footnoteReference w:id="28"/>
      </w:r>
      <w:r w:rsidR="008914FA" w:rsidRPr="00A12D37">
        <w:rPr>
          <w:color w:val="000000"/>
        </w:rPr>
        <w:t xml:space="preserve">  </w:t>
      </w:r>
      <w:r w:rsidR="008914FA" w:rsidRPr="00A12D37">
        <w:rPr>
          <w:color w:val="000000"/>
          <w:spacing w:val="-3"/>
          <w:sz w:val="22"/>
          <w:szCs w:val="22"/>
        </w:rPr>
        <w:t>The term “repeated” means the commission or omission of such act more than once or for more than one day.</w:t>
      </w:r>
      <w:r w:rsidR="008914FA" w:rsidRPr="00A12D37">
        <w:rPr>
          <w:rStyle w:val="FootnoteReference"/>
          <w:color w:val="000000"/>
          <w:spacing w:val="-3"/>
          <w:sz w:val="22"/>
          <w:szCs w:val="22"/>
        </w:rPr>
        <w:footnoteReference w:id="29"/>
      </w:r>
      <w:r w:rsidR="008914FA" w:rsidRPr="00A12D37">
        <w:rPr>
          <w:color w:val="000000"/>
          <w:spacing w:val="-3"/>
          <w:sz w:val="22"/>
          <w:szCs w:val="22"/>
        </w:rPr>
        <w:t xml:space="preserve"> </w:t>
      </w:r>
    </w:p>
    <w:p w14:paraId="57DFDFD2" w14:textId="48BA5F91" w:rsidR="008914FA" w:rsidRPr="00E02219" w:rsidRDefault="008914FA" w:rsidP="0030752B">
      <w:pPr>
        <w:widowControl/>
        <w:spacing w:after="120"/>
        <w:ind w:left="1440" w:hanging="720"/>
        <w:rPr>
          <w:spacing w:val="-3"/>
          <w:sz w:val="22"/>
          <w:szCs w:val="22"/>
        </w:rPr>
      </w:pPr>
      <w:r w:rsidRPr="00E02219">
        <w:rPr>
          <w:b/>
          <w:spacing w:val="-3"/>
          <w:sz w:val="22"/>
          <w:szCs w:val="22"/>
        </w:rPr>
        <w:t>A.</w:t>
      </w:r>
      <w:r w:rsidRPr="00E02219">
        <w:rPr>
          <w:b/>
          <w:spacing w:val="-3"/>
          <w:sz w:val="22"/>
          <w:szCs w:val="22"/>
        </w:rPr>
        <w:tab/>
      </w:r>
      <w:r w:rsidR="0030752B">
        <w:rPr>
          <w:b/>
          <w:spacing w:val="-3"/>
          <w:sz w:val="22"/>
          <w:szCs w:val="22"/>
        </w:rPr>
        <w:t>M</w:t>
      </w:r>
      <w:r w:rsidR="009659D2">
        <w:rPr>
          <w:b/>
          <w:spacing w:val="-3"/>
          <w:sz w:val="22"/>
          <w:szCs w:val="22"/>
        </w:rPr>
        <w:t>RA</w:t>
      </w:r>
      <w:r w:rsidR="0030752B">
        <w:rPr>
          <w:b/>
          <w:spacing w:val="-3"/>
          <w:sz w:val="22"/>
          <w:szCs w:val="22"/>
        </w:rPr>
        <w:t xml:space="preserve"> Apparently Violated Section </w:t>
      </w:r>
      <w:r w:rsidR="009659D2">
        <w:rPr>
          <w:b/>
          <w:spacing w:val="-3"/>
          <w:sz w:val="22"/>
          <w:szCs w:val="22"/>
        </w:rPr>
        <w:t>90.403</w:t>
      </w:r>
      <w:r w:rsidR="00C23F2A">
        <w:rPr>
          <w:b/>
          <w:spacing w:val="-3"/>
          <w:sz w:val="22"/>
          <w:szCs w:val="22"/>
        </w:rPr>
        <w:t>(</w:t>
      </w:r>
      <w:r w:rsidR="008B55EB">
        <w:rPr>
          <w:b/>
          <w:spacing w:val="-3"/>
          <w:sz w:val="22"/>
          <w:szCs w:val="22"/>
        </w:rPr>
        <w:t>e</w:t>
      </w:r>
      <w:r w:rsidR="009659D2">
        <w:rPr>
          <w:b/>
          <w:spacing w:val="-3"/>
          <w:sz w:val="22"/>
          <w:szCs w:val="22"/>
        </w:rPr>
        <w:t>)</w:t>
      </w:r>
      <w:r w:rsidR="0030752B">
        <w:rPr>
          <w:b/>
          <w:spacing w:val="-3"/>
          <w:sz w:val="22"/>
          <w:szCs w:val="22"/>
        </w:rPr>
        <w:t xml:space="preserve"> of the </w:t>
      </w:r>
      <w:r w:rsidR="009659D2">
        <w:rPr>
          <w:b/>
          <w:spacing w:val="-3"/>
          <w:sz w:val="22"/>
          <w:szCs w:val="22"/>
        </w:rPr>
        <w:t>Rules</w:t>
      </w:r>
      <w:r w:rsidR="0030752B">
        <w:rPr>
          <w:b/>
          <w:spacing w:val="-3"/>
          <w:sz w:val="22"/>
          <w:szCs w:val="22"/>
        </w:rPr>
        <w:t xml:space="preserve"> by</w:t>
      </w:r>
      <w:r w:rsidR="009659D2">
        <w:rPr>
          <w:b/>
          <w:spacing w:val="-3"/>
          <w:sz w:val="22"/>
          <w:szCs w:val="22"/>
        </w:rPr>
        <w:t xml:space="preserve"> </w:t>
      </w:r>
      <w:r w:rsidR="008B55EB">
        <w:rPr>
          <w:b/>
          <w:spacing w:val="-3"/>
          <w:sz w:val="22"/>
          <w:szCs w:val="22"/>
        </w:rPr>
        <w:t xml:space="preserve">Failing to Take Reasonable Precautions to Avoid Causing </w:t>
      </w:r>
      <w:r w:rsidR="00010F36">
        <w:rPr>
          <w:b/>
          <w:spacing w:val="-3"/>
          <w:sz w:val="22"/>
          <w:szCs w:val="22"/>
        </w:rPr>
        <w:t xml:space="preserve">Harmful </w:t>
      </w:r>
      <w:r w:rsidR="008B55EB">
        <w:rPr>
          <w:b/>
          <w:spacing w:val="-3"/>
          <w:sz w:val="22"/>
          <w:szCs w:val="22"/>
        </w:rPr>
        <w:t>Interference</w:t>
      </w:r>
    </w:p>
    <w:p w14:paraId="429A658A" w14:textId="77777777" w:rsidR="00197229" w:rsidRPr="00197229" w:rsidRDefault="00EE5FE0" w:rsidP="00197229">
      <w:pPr>
        <w:widowControl/>
        <w:numPr>
          <w:ilvl w:val="0"/>
          <w:numId w:val="22"/>
        </w:numPr>
        <w:tabs>
          <w:tab w:val="clear" w:pos="1260"/>
          <w:tab w:val="num" w:pos="1440"/>
        </w:tabs>
        <w:spacing w:after="120"/>
        <w:ind w:left="0"/>
        <w:rPr>
          <w:b/>
        </w:rPr>
      </w:pPr>
      <w:r w:rsidRPr="00197229">
        <w:rPr>
          <w:color w:val="000000"/>
          <w:spacing w:val="-2"/>
          <w:sz w:val="22"/>
          <w:szCs w:val="22"/>
        </w:rPr>
        <w:t xml:space="preserve">We find that the </w:t>
      </w:r>
      <w:r w:rsidR="008914FA" w:rsidRPr="00197229">
        <w:rPr>
          <w:color w:val="000000"/>
          <w:spacing w:val="-2"/>
          <w:sz w:val="22"/>
          <w:szCs w:val="22"/>
        </w:rPr>
        <w:t>evidence in this case is sufficient to establish that M</w:t>
      </w:r>
      <w:r w:rsidR="00410F02" w:rsidRPr="00197229">
        <w:rPr>
          <w:color w:val="000000"/>
          <w:spacing w:val="-2"/>
          <w:sz w:val="22"/>
          <w:szCs w:val="22"/>
        </w:rPr>
        <w:t>RA</w:t>
      </w:r>
      <w:r w:rsidR="008914FA" w:rsidRPr="00197229">
        <w:rPr>
          <w:color w:val="000000"/>
          <w:spacing w:val="-2"/>
          <w:sz w:val="22"/>
          <w:szCs w:val="22"/>
        </w:rPr>
        <w:t xml:space="preserve"> </w:t>
      </w:r>
      <w:r w:rsidR="006C73C9" w:rsidRPr="00197229">
        <w:rPr>
          <w:color w:val="000000"/>
          <w:spacing w:val="-2"/>
          <w:sz w:val="22"/>
          <w:szCs w:val="22"/>
        </w:rPr>
        <w:t xml:space="preserve">willfully and repeatedly </w:t>
      </w:r>
      <w:r w:rsidR="008914FA" w:rsidRPr="00197229">
        <w:rPr>
          <w:color w:val="000000"/>
          <w:spacing w:val="-2"/>
          <w:sz w:val="22"/>
          <w:szCs w:val="22"/>
        </w:rPr>
        <w:t xml:space="preserve">violated Section </w:t>
      </w:r>
      <w:r w:rsidR="00410F02" w:rsidRPr="00197229">
        <w:rPr>
          <w:color w:val="000000"/>
          <w:spacing w:val="-2"/>
          <w:sz w:val="22"/>
          <w:szCs w:val="22"/>
        </w:rPr>
        <w:t>90.403(e) of the Rules</w:t>
      </w:r>
      <w:r w:rsidR="008914FA" w:rsidRPr="00197229">
        <w:rPr>
          <w:color w:val="000000"/>
          <w:spacing w:val="-2"/>
          <w:sz w:val="22"/>
          <w:szCs w:val="22"/>
        </w:rPr>
        <w:t xml:space="preserve">.  </w:t>
      </w:r>
      <w:r w:rsidR="008914FA" w:rsidRPr="00197229">
        <w:rPr>
          <w:spacing w:val="-3"/>
          <w:sz w:val="22"/>
          <w:szCs w:val="22"/>
        </w:rPr>
        <w:t xml:space="preserve">Section </w:t>
      </w:r>
      <w:r w:rsidR="00C5418B" w:rsidRPr="00197229">
        <w:rPr>
          <w:spacing w:val="-3"/>
          <w:sz w:val="22"/>
          <w:szCs w:val="22"/>
        </w:rPr>
        <w:t xml:space="preserve">90.403(e) of the Rules </w:t>
      </w:r>
      <w:r w:rsidR="008914FA" w:rsidRPr="00197229">
        <w:rPr>
          <w:spacing w:val="-3"/>
          <w:sz w:val="22"/>
          <w:szCs w:val="22"/>
        </w:rPr>
        <w:t xml:space="preserve">states that </w:t>
      </w:r>
      <w:r w:rsidR="00C5418B" w:rsidRPr="00197229">
        <w:rPr>
          <w:spacing w:val="-3"/>
          <w:sz w:val="22"/>
          <w:szCs w:val="22"/>
        </w:rPr>
        <w:t xml:space="preserve">“[l]icensees shall take reasonable precautions to avoid causing harmful interference. </w:t>
      </w:r>
      <w:r w:rsidR="00B017DF">
        <w:rPr>
          <w:spacing w:val="-3"/>
          <w:sz w:val="22"/>
          <w:szCs w:val="22"/>
        </w:rPr>
        <w:t xml:space="preserve"> </w:t>
      </w:r>
      <w:r w:rsidR="00C5418B" w:rsidRPr="00197229">
        <w:rPr>
          <w:spacing w:val="-3"/>
          <w:sz w:val="22"/>
          <w:szCs w:val="22"/>
        </w:rPr>
        <w:t>This includes monitoring the transmitting frequency for communications in progress and such other measures as may be necessary to minimize the potential for causing interference.”</w:t>
      </w:r>
      <w:r w:rsidR="00C5418B">
        <w:rPr>
          <w:rStyle w:val="FootnoteReference"/>
          <w:spacing w:val="-3"/>
          <w:sz w:val="22"/>
          <w:szCs w:val="22"/>
        </w:rPr>
        <w:footnoteReference w:id="30"/>
      </w:r>
      <w:r w:rsidR="00C5418B" w:rsidRPr="00197229">
        <w:rPr>
          <w:spacing w:val="-3"/>
          <w:sz w:val="22"/>
          <w:szCs w:val="22"/>
        </w:rPr>
        <w:t xml:space="preserve"> </w:t>
      </w:r>
      <w:r w:rsidR="004D3701">
        <w:rPr>
          <w:spacing w:val="-3"/>
          <w:sz w:val="22"/>
          <w:szCs w:val="22"/>
        </w:rPr>
        <w:t xml:space="preserve"> </w:t>
      </w:r>
      <w:r w:rsidR="0003441C" w:rsidRPr="00197229">
        <w:rPr>
          <w:color w:val="000000"/>
          <w:spacing w:val="-2"/>
          <w:sz w:val="22"/>
          <w:szCs w:val="22"/>
        </w:rPr>
        <w:t>Agent</w:t>
      </w:r>
      <w:r w:rsidR="00C5418B" w:rsidRPr="00197229">
        <w:rPr>
          <w:color w:val="000000"/>
          <w:spacing w:val="-2"/>
          <w:sz w:val="22"/>
          <w:szCs w:val="22"/>
        </w:rPr>
        <w:t xml:space="preserve">s from the Los Angeles Office </w:t>
      </w:r>
      <w:r w:rsidR="0030752B" w:rsidRPr="00197229">
        <w:rPr>
          <w:color w:val="000000"/>
          <w:spacing w:val="-2"/>
          <w:sz w:val="22"/>
          <w:szCs w:val="22"/>
        </w:rPr>
        <w:t xml:space="preserve">determined that </w:t>
      </w:r>
      <w:r w:rsidR="00C5418B" w:rsidRPr="00197229">
        <w:rPr>
          <w:color w:val="000000"/>
          <w:spacing w:val="-2"/>
          <w:sz w:val="22"/>
          <w:szCs w:val="22"/>
        </w:rPr>
        <w:t xml:space="preserve">MRA operated the Station on a nearly continual basis, giving co-channel users the opportunity to operate on the shared frequency of 152.2925 </w:t>
      </w:r>
      <w:r w:rsidR="00197229">
        <w:rPr>
          <w:color w:val="000000"/>
          <w:spacing w:val="-2"/>
          <w:sz w:val="22"/>
          <w:szCs w:val="22"/>
        </w:rPr>
        <w:t xml:space="preserve">MHz </w:t>
      </w:r>
      <w:r w:rsidR="00C5418B" w:rsidRPr="00197229">
        <w:rPr>
          <w:color w:val="000000"/>
          <w:spacing w:val="-2"/>
          <w:sz w:val="22"/>
          <w:szCs w:val="22"/>
        </w:rPr>
        <w:t xml:space="preserve">only 5% of </w:t>
      </w:r>
      <w:r w:rsidR="005D4794">
        <w:rPr>
          <w:color w:val="000000"/>
          <w:spacing w:val="-2"/>
          <w:sz w:val="22"/>
          <w:szCs w:val="22"/>
        </w:rPr>
        <w:t>any given interval</w:t>
      </w:r>
      <w:r w:rsidR="00C5418B" w:rsidRPr="00197229">
        <w:rPr>
          <w:color w:val="000000"/>
          <w:spacing w:val="-2"/>
          <w:sz w:val="22"/>
          <w:szCs w:val="22"/>
        </w:rPr>
        <w:t xml:space="preserve">.  MRA failed to </w:t>
      </w:r>
      <w:r w:rsidR="008B55EB" w:rsidRPr="00197229">
        <w:rPr>
          <w:color w:val="000000"/>
          <w:spacing w:val="-2"/>
          <w:sz w:val="22"/>
          <w:szCs w:val="22"/>
        </w:rPr>
        <w:t>take precautio</w:t>
      </w:r>
      <w:r w:rsidR="00C5418B" w:rsidRPr="00197229">
        <w:rPr>
          <w:color w:val="000000"/>
          <w:spacing w:val="-2"/>
          <w:sz w:val="22"/>
          <w:szCs w:val="22"/>
        </w:rPr>
        <w:t>n</w:t>
      </w:r>
      <w:r w:rsidR="008B55EB" w:rsidRPr="00197229">
        <w:rPr>
          <w:color w:val="000000"/>
          <w:spacing w:val="-2"/>
          <w:sz w:val="22"/>
          <w:szCs w:val="22"/>
        </w:rPr>
        <w:t>s</w:t>
      </w:r>
      <w:r w:rsidR="00C5418B" w:rsidRPr="00197229">
        <w:rPr>
          <w:color w:val="000000"/>
          <w:spacing w:val="-2"/>
          <w:sz w:val="22"/>
          <w:szCs w:val="22"/>
        </w:rPr>
        <w:t xml:space="preserve"> to avoid harmful interference and, consequently, its operation resulte</w:t>
      </w:r>
      <w:r w:rsidR="008B55EB" w:rsidRPr="00197229">
        <w:rPr>
          <w:color w:val="000000"/>
          <w:spacing w:val="-2"/>
          <w:sz w:val="22"/>
          <w:szCs w:val="22"/>
        </w:rPr>
        <w:t>d</w:t>
      </w:r>
      <w:r w:rsidR="00C5418B" w:rsidRPr="00197229">
        <w:rPr>
          <w:color w:val="000000"/>
          <w:spacing w:val="-2"/>
          <w:sz w:val="22"/>
          <w:szCs w:val="22"/>
        </w:rPr>
        <w:t xml:space="preserve"> in harmful interference to at least one co-channel licensee. </w:t>
      </w:r>
      <w:r w:rsidR="007B6335" w:rsidRPr="00197229">
        <w:rPr>
          <w:color w:val="000000"/>
          <w:spacing w:val="-2"/>
          <w:sz w:val="22"/>
          <w:szCs w:val="22"/>
        </w:rPr>
        <w:t xml:space="preserve"> When MRA was notif</w:t>
      </w:r>
      <w:r w:rsidR="00AA7307" w:rsidRPr="00197229">
        <w:rPr>
          <w:color w:val="000000"/>
          <w:spacing w:val="-2"/>
          <w:sz w:val="22"/>
          <w:szCs w:val="22"/>
        </w:rPr>
        <w:t>i</w:t>
      </w:r>
      <w:r w:rsidR="007B6335" w:rsidRPr="00197229">
        <w:rPr>
          <w:color w:val="000000"/>
          <w:spacing w:val="-2"/>
          <w:sz w:val="22"/>
          <w:szCs w:val="22"/>
        </w:rPr>
        <w:t>ed of this violation in the NOV, it responded that its voluntary efforts were consist</w:t>
      </w:r>
      <w:r w:rsidR="00AA7307" w:rsidRPr="00197229">
        <w:rPr>
          <w:color w:val="000000"/>
          <w:spacing w:val="-2"/>
          <w:sz w:val="22"/>
          <w:szCs w:val="22"/>
        </w:rPr>
        <w:t>e</w:t>
      </w:r>
      <w:r w:rsidR="007B6335" w:rsidRPr="00197229">
        <w:rPr>
          <w:color w:val="000000"/>
          <w:spacing w:val="-2"/>
          <w:sz w:val="22"/>
          <w:szCs w:val="22"/>
        </w:rPr>
        <w:t>nt with S</w:t>
      </w:r>
      <w:r w:rsidR="00AA7307" w:rsidRPr="00197229">
        <w:rPr>
          <w:color w:val="000000"/>
          <w:spacing w:val="-2"/>
          <w:sz w:val="22"/>
          <w:szCs w:val="22"/>
        </w:rPr>
        <w:t>e</w:t>
      </w:r>
      <w:r w:rsidR="007B6335" w:rsidRPr="00197229">
        <w:rPr>
          <w:color w:val="000000"/>
          <w:spacing w:val="-2"/>
          <w:sz w:val="22"/>
          <w:szCs w:val="22"/>
        </w:rPr>
        <w:t>ctio</w:t>
      </w:r>
      <w:r w:rsidR="00AA7307" w:rsidRPr="00197229">
        <w:rPr>
          <w:color w:val="000000"/>
          <w:spacing w:val="-2"/>
          <w:sz w:val="22"/>
          <w:szCs w:val="22"/>
        </w:rPr>
        <w:t>n</w:t>
      </w:r>
      <w:r w:rsidR="007B6335" w:rsidRPr="00197229">
        <w:rPr>
          <w:color w:val="000000"/>
          <w:spacing w:val="-2"/>
          <w:sz w:val="22"/>
          <w:szCs w:val="22"/>
        </w:rPr>
        <w:t xml:space="preserve"> 90.403(e)</w:t>
      </w:r>
      <w:r w:rsidR="00A66968" w:rsidRPr="00197229">
        <w:rPr>
          <w:color w:val="000000"/>
          <w:spacing w:val="-2"/>
          <w:sz w:val="22"/>
          <w:szCs w:val="22"/>
        </w:rPr>
        <w:t>,</w:t>
      </w:r>
      <w:r w:rsidR="007B6335" w:rsidRPr="00197229">
        <w:rPr>
          <w:color w:val="000000"/>
          <w:spacing w:val="-2"/>
          <w:sz w:val="22"/>
          <w:szCs w:val="22"/>
        </w:rPr>
        <w:t xml:space="preserve"> that there is no Commiss</w:t>
      </w:r>
      <w:r w:rsidR="00AA7307" w:rsidRPr="00197229">
        <w:rPr>
          <w:color w:val="000000"/>
          <w:spacing w:val="-2"/>
          <w:sz w:val="22"/>
          <w:szCs w:val="22"/>
        </w:rPr>
        <w:t>i</w:t>
      </w:r>
      <w:r w:rsidR="007B6335" w:rsidRPr="00197229">
        <w:rPr>
          <w:color w:val="000000"/>
          <w:spacing w:val="-2"/>
          <w:sz w:val="22"/>
          <w:szCs w:val="22"/>
        </w:rPr>
        <w:t>on “rule” that requires it to do more</w:t>
      </w:r>
      <w:r w:rsidR="00AA7307" w:rsidRPr="00197229">
        <w:rPr>
          <w:color w:val="000000"/>
          <w:spacing w:val="-2"/>
          <w:sz w:val="22"/>
          <w:szCs w:val="22"/>
        </w:rPr>
        <w:t>, and that a more precise requirement could only be enf</w:t>
      </w:r>
      <w:r w:rsidR="00B017DF">
        <w:rPr>
          <w:color w:val="000000"/>
          <w:spacing w:val="-2"/>
          <w:sz w:val="22"/>
          <w:szCs w:val="22"/>
        </w:rPr>
        <w:t>orced prospectively against MRA</w:t>
      </w:r>
      <w:r w:rsidR="00AA7307" w:rsidRPr="00197229">
        <w:rPr>
          <w:color w:val="000000"/>
          <w:spacing w:val="-2"/>
          <w:sz w:val="22"/>
          <w:szCs w:val="22"/>
        </w:rPr>
        <w:t xml:space="preserve"> after a rulemaking took place</w:t>
      </w:r>
      <w:r w:rsidR="007B6335" w:rsidRPr="00197229">
        <w:rPr>
          <w:color w:val="000000"/>
          <w:spacing w:val="-2"/>
          <w:sz w:val="22"/>
          <w:szCs w:val="22"/>
        </w:rPr>
        <w:t>.</w:t>
      </w:r>
      <w:r w:rsidR="007B6335" w:rsidRPr="007B6335">
        <w:rPr>
          <w:color w:val="000000"/>
          <w:spacing w:val="-2"/>
          <w:sz w:val="22"/>
          <w:szCs w:val="22"/>
          <w:vertAlign w:val="superscript"/>
        </w:rPr>
        <w:footnoteReference w:id="31"/>
      </w:r>
      <w:r w:rsidR="007B6335" w:rsidRPr="00197229">
        <w:rPr>
          <w:color w:val="000000"/>
          <w:spacing w:val="-2"/>
          <w:sz w:val="22"/>
          <w:szCs w:val="22"/>
        </w:rPr>
        <w:t xml:space="preserve">  It also stated th</w:t>
      </w:r>
      <w:r w:rsidR="00AA7307" w:rsidRPr="00197229">
        <w:rPr>
          <w:color w:val="000000"/>
          <w:spacing w:val="-2"/>
          <w:sz w:val="22"/>
          <w:szCs w:val="22"/>
        </w:rPr>
        <w:t>at</w:t>
      </w:r>
      <w:r w:rsidR="007B6335" w:rsidRPr="00197229">
        <w:rPr>
          <w:color w:val="000000"/>
          <w:spacing w:val="-2"/>
          <w:sz w:val="22"/>
          <w:szCs w:val="22"/>
        </w:rPr>
        <w:t xml:space="preserve"> it reduced the Station’s power to avoid</w:t>
      </w:r>
      <w:r w:rsidR="00AA7307" w:rsidRPr="00197229">
        <w:rPr>
          <w:color w:val="000000"/>
          <w:spacing w:val="-2"/>
          <w:sz w:val="22"/>
          <w:szCs w:val="22"/>
        </w:rPr>
        <w:t xml:space="preserve"> </w:t>
      </w:r>
      <w:r w:rsidR="007B6335" w:rsidRPr="00197229">
        <w:rPr>
          <w:color w:val="000000"/>
          <w:spacing w:val="-2"/>
          <w:sz w:val="22"/>
          <w:szCs w:val="22"/>
        </w:rPr>
        <w:t>interf</w:t>
      </w:r>
      <w:r w:rsidR="00AA7307" w:rsidRPr="00197229">
        <w:rPr>
          <w:color w:val="000000"/>
          <w:spacing w:val="-2"/>
          <w:sz w:val="22"/>
          <w:szCs w:val="22"/>
        </w:rPr>
        <w:t>e</w:t>
      </w:r>
      <w:r w:rsidR="007B6335" w:rsidRPr="00197229">
        <w:rPr>
          <w:color w:val="000000"/>
          <w:spacing w:val="-2"/>
          <w:sz w:val="22"/>
          <w:szCs w:val="22"/>
        </w:rPr>
        <w:t>rence,</w:t>
      </w:r>
      <w:r w:rsidR="009653DF" w:rsidRPr="009653DF">
        <w:rPr>
          <w:color w:val="000000"/>
          <w:spacing w:val="-2"/>
          <w:sz w:val="22"/>
          <w:szCs w:val="22"/>
          <w:vertAlign w:val="superscript"/>
        </w:rPr>
        <w:t xml:space="preserve"> </w:t>
      </w:r>
      <w:r w:rsidR="009653DF" w:rsidRPr="009653DF">
        <w:rPr>
          <w:color w:val="000000"/>
          <w:spacing w:val="-2"/>
          <w:sz w:val="22"/>
          <w:szCs w:val="22"/>
          <w:vertAlign w:val="superscript"/>
        </w:rPr>
        <w:footnoteReference w:id="32"/>
      </w:r>
      <w:r w:rsidR="007B6335" w:rsidRPr="00197229">
        <w:rPr>
          <w:color w:val="000000"/>
          <w:spacing w:val="-2"/>
          <w:sz w:val="22"/>
          <w:szCs w:val="22"/>
        </w:rPr>
        <w:t xml:space="preserve"> and recently </w:t>
      </w:r>
      <w:r w:rsidR="00D009D5">
        <w:rPr>
          <w:color w:val="000000"/>
          <w:spacing w:val="-2"/>
          <w:sz w:val="22"/>
          <w:szCs w:val="22"/>
        </w:rPr>
        <w:t xml:space="preserve">added </w:t>
      </w:r>
      <w:r w:rsidR="007B6335" w:rsidRPr="00197229">
        <w:rPr>
          <w:color w:val="000000"/>
          <w:spacing w:val="-2"/>
          <w:sz w:val="22"/>
          <w:szCs w:val="22"/>
        </w:rPr>
        <w:t xml:space="preserve">Level 2 </w:t>
      </w:r>
      <w:r w:rsidR="005F3653">
        <w:rPr>
          <w:color w:val="000000"/>
          <w:spacing w:val="-2"/>
          <w:sz w:val="22"/>
          <w:szCs w:val="22"/>
        </w:rPr>
        <w:t>M</w:t>
      </w:r>
      <w:r w:rsidR="007B6335" w:rsidRPr="00197229">
        <w:rPr>
          <w:color w:val="000000"/>
          <w:spacing w:val="-2"/>
          <w:sz w:val="22"/>
          <w:szCs w:val="22"/>
        </w:rPr>
        <w:t>onitoring at the Station.</w:t>
      </w:r>
    </w:p>
    <w:p w14:paraId="38362857" w14:textId="07935808" w:rsidR="00693BA0" w:rsidRPr="00197229" w:rsidRDefault="007B6335" w:rsidP="00197229">
      <w:pPr>
        <w:widowControl/>
        <w:numPr>
          <w:ilvl w:val="0"/>
          <w:numId w:val="22"/>
        </w:numPr>
        <w:tabs>
          <w:tab w:val="clear" w:pos="1260"/>
          <w:tab w:val="num" w:pos="1440"/>
        </w:tabs>
        <w:spacing w:after="120"/>
        <w:ind w:left="0"/>
        <w:rPr>
          <w:b/>
        </w:rPr>
      </w:pPr>
      <w:r w:rsidRPr="00197229">
        <w:rPr>
          <w:color w:val="000000"/>
          <w:spacing w:val="-2"/>
          <w:sz w:val="22"/>
          <w:szCs w:val="22"/>
        </w:rPr>
        <w:t>We find MRA’s efforts</w:t>
      </w:r>
      <w:r w:rsidR="00197229" w:rsidRPr="00197229">
        <w:rPr>
          <w:color w:val="000000"/>
          <w:spacing w:val="-2"/>
          <w:sz w:val="22"/>
          <w:szCs w:val="22"/>
        </w:rPr>
        <w:t xml:space="preserve"> failed to minimize the potential for causing interference as required by Section 90.403(e)</w:t>
      </w:r>
      <w:r w:rsidRPr="00197229">
        <w:rPr>
          <w:color w:val="000000"/>
          <w:spacing w:val="-2"/>
          <w:sz w:val="22"/>
          <w:szCs w:val="22"/>
        </w:rPr>
        <w:t xml:space="preserve">.  </w:t>
      </w:r>
      <w:r w:rsidR="00197229" w:rsidRPr="00197229">
        <w:rPr>
          <w:color w:val="000000"/>
          <w:spacing w:val="-2"/>
          <w:sz w:val="22"/>
          <w:szCs w:val="22"/>
        </w:rPr>
        <w:t>MRA’s</w:t>
      </w:r>
      <w:r w:rsidRPr="00197229">
        <w:rPr>
          <w:color w:val="000000"/>
          <w:spacing w:val="-2"/>
          <w:sz w:val="22"/>
          <w:szCs w:val="22"/>
        </w:rPr>
        <w:t xml:space="preserve"> chosen course of monopolizing a shared channel by utilizing it</w:t>
      </w:r>
      <w:r w:rsidR="005D4794">
        <w:rPr>
          <w:color w:val="000000"/>
          <w:spacing w:val="-2"/>
          <w:sz w:val="22"/>
          <w:szCs w:val="22"/>
        </w:rPr>
        <w:t xml:space="preserve"> with a </w:t>
      </w:r>
      <w:r w:rsidRPr="00197229">
        <w:rPr>
          <w:color w:val="000000"/>
          <w:spacing w:val="-2"/>
          <w:sz w:val="22"/>
          <w:szCs w:val="22"/>
        </w:rPr>
        <w:t>95%</w:t>
      </w:r>
      <w:r w:rsidR="005D4794">
        <w:rPr>
          <w:color w:val="000000"/>
          <w:spacing w:val="-2"/>
          <w:sz w:val="22"/>
          <w:szCs w:val="22"/>
        </w:rPr>
        <w:t xml:space="preserve"> duty cycle</w:t>
      </w:r>
      <w:r w:rsidRPr="00197229">
        <w:rPr>
          <w:color w:val="000000"/>
          <w:spacing w:val="-2"/>
          <w:sz w:val="22"/>
          <w:szCs w:val="22"/>
        </w:rPr>
        <w:t xml:space="preserve"> is unacceptable, </w:t>
      </w:r>
      <w:r w:rsidR="005D4794">
        <w:rPr>
          <w:color w:val="000000"/>
          <w:spacing w:val="-2"/>
          <w:sz w:val="22"/>
          <w:szCs w:val="22"/>
        </w:rPr>
        <w:t xml:space="preserve">regardless of </w:t>
      </w:r>
      <w:r w:rsidRPr="00197229">
        <w:rPr>
          <w:color w:val="000000"/>
          <w:spacing w:val="-2"/>
          <w:sz w:val="22"/>
          <w:szCs w:val="22"/>
        </w:rPr>
        <w:t xml:space="preserve">its monitoring efforts and power decrease.  </w:t>
      </w:r>
      <w:r w:rsidR="00AA7307" w:rsidRPr="00197229">
        <w:rPr>
          <w:color w:val="000000"/>
          <w:spacing w:val="-2"/>
          <w:sz w:val="22"/>
          <w:szCs w:val="22"/>
        </w:rPr>
        <w:t>We also disagree with MRA’s assertion that we cannot enforce this rule absent a rulemaking.  The Commission has already determined precisely what MRA must avoid: causing harmful interference.</w:t>
      </w:r>
      <w:r w:rsidR="0085752A">
        <w:rPr>
          <w:rStyle w:val="FootnoteReference"/>
          <w:color w:val="000000"/>
          <w:spacing w:val="-2"/>
          <w:sz w:val="22"/>
          <w:szCs w:val="22"/>
        </w:rPr>
        <w:footnoteReference w:id="33"/>
      </w:r>
      <w:r w:rsidR="00AA7307" w:rsidRPr="00197229">
        <w:rPr>
          <w:color w:val="000000"/>
          <w:spacing w:val="-2"/>
          <w:sz w:val="22"/>
          <w:szCs w:val="22"/>
        </w:rPr>
        <w:t xml:space="preserve">  </w:t>
      </w:r>
      <w:r w:rsidR="00197229" w:rsidRPr="00197229">
        <w:rPr>
          <w:color w:val="000000"/>
          <w:spacing w:val="-2"/>
          <w:sz w:val="22"/>
          <w:szCs w:val="22"/>
        </w:rPr>
        <w:t>For land mobile stations, h</w:t>
      </w:r>
      <w:r w:rsidR="00E457B2" w:rsidRPr="00197229">
        <w:rPr>
          <w:color w:val="000000"/>
          <w:spacing w:val="-2"/>
          <w:sz w:val="22"/>
          <w:szCs w:val="22"/>
        </w:rPr>
        <w:t>armful interference is defined as “</w:t>
      </w:r>
      <w:r w:rsidR="00197229" w:rsidRPr="00197229">
        <w:rPr>
          <w:color w:val="000000"/>
          <w:spacing w:val="-2"/>
          <w:sz w:val="22"/>
          <w:szCs w:val="22"/>
        </w:rPr>
        <w:t>any emission, radiation, or induction which specifically degrades, obstructs, or interrupts the service provided by such stations.”</w:t>
      </w:r>
      <w:r w:rsidR="00197229">
        <w:rPr>
          <w:rStyle w:val="FootnoteReference"/>
          <w:color w:val="000000"/>
          <w:spacing w:val="-2"/>
          <w:sz w:val="22"/>
          <w:szCs w:val="22"/>
        </w:rPr>
        <w:footnoteReference w:id="34"/>
      </w:r>
      <w:r w:rsidR="00197229" w:rsidRPr="00197229">
        <w:rPr>
          <w:color w:val="000000"/>
          <w:spacing w:val="-2"/>
          <w:sz w:val="22"/>
          <w:szCs w:val="22"/>
        </w:rPr>
        <w:t xml:space="preserve">  </w:t>
      </w:r>
      <w:r w:rsidR="00197229">
        <w:rPr>
          <w:color w:val="000000"/>
          <w:spacing w:val="-2"/>
          <w:sz w:val="22"/>
          <w:szCs w:val="22"/>
        </w:rPr>
        <w:t xml:space="preserve">The Los Angeles agents observed MRA’s transmissions on frequency </w:t>
      </w:r>
      <w:r w:rsidR="00197229" w:rsidRPr="00197229">
        <w:rPr>
          <w:color w:val="000000"/>
          <w:spacing w:val="-2"/>
          <w:sz w:val="22"/>
          <w:szCs w:val="22"/>
        </w:rPr>
        <w:t>152.2925</w:t>
      </w:r>
      <w:r w:rsidR="00197229">
        <w:rPr>
          <w:color w:val="000000"/>
          <w:spacing w:val="-2"/>
          <w:sz w:val="22"/>
          <w:szCs w:val="22"/>
        </w:rPr>
        <w:t xml:space="preserve"> MHz seriously degrading Eden’s co-channel transmission</w:t>
      </w:r>
      <w:r w:rsidR="005F3653">
        <w:rPr>
          <w:color w:val="000000"/>
          <w:spacing w:val="-2"/>
          <w:sz w:val="22"/>
          <w:szCs w:val="22"/>
        </w:rPr>
        <w:t>s</w:t>
      </w:r>
      <w:r w:rsidR="00197229">
        <w:rPr>
          <w:color w:val="000000"/>
          <w:spacing w:val="-2"/>
          <w:sz w:val="22"/>
          <w:szCs w:val="22"/>
        </w:rPr>
        <w:t>.  Further, t</w:t>
      </w:r>
      <w:r w:rsidR="00AA7307" w:rsidRPr="00197229">
        <w:rPr>
          <w:color w:val="000000"/>
          <w:spacing w:val="-2"/>
          <w:sz w:val="22"/>
          <w:szCs w:val="22"/>
        </w:rPr>
        <w:t>he investigation show</w:t>
      </w:r>
      <w:r w:rsidR="00E13767">
        <w:rPr>
          <w:color w:val="000000"/>
          <w:spacing w:val="-2"/>
          <w:sz w:val="22"/>
          <w:szCs w:val="22"/>
        </w:rPr>
        <w:t>ed</w:t>
      </w:r>
      <w:r w:rsidR="00AA7307" w:rsidRPr="00197229">
        <w:rPr>
          <w:color w:val="000000"/>
          <w:spacing w:val="-2"/>
          <w:sz w:val="22"/>
          <w:szCs w:val="22"/>
        </w:rPr>
        <w:t xml:space="preserve"> that MRA’s operation continued to cause harmful interference to Eden’s operations on frequency 152.2925 MHz, despite being notified of the interference </w:t>
      </w:r>
      <w:r w:rsidR="009653DF">
        <w:rPr>
          <w:color w:val="000000"/>
          <w:spacing w:val="-2"/>
          <w:sz w:val="22"/>
          <w:szCs w:val="22"/>
        </w:rPr>
        <w:t xml:space="preserve">more than </w:t>
      </w:r>
      <w:r w:rsidR="00AA7307" w:rsidRPr="00197229">
        <w:rPr>
          <w:color w:val="000000"/>
          <w:spacing w:val="-2"/>
          <w:sz w:val="22"/>
          <w:szCs w:val="22"/>
        </w:rPr>
        <w:t xml:space="preserve">two years </w:t>
      </w:r>
      <w:r w:rsidR="009653DF">
        <w:rPr>
          <w:color w:val="000000"/>
          <w:spacing w:val="-2"/>
          <w:sz w:val="22"/>
          <w:szCs w:val="22"/>
        </w:rPr>
        <w:t>earlier</w:t>
      </w:r>
      <w:r w:rsidR="00AA7307" w:rsidRPr="00197229">
        <w:rPr>
          <w:color w:val="000000"/>
          <w:spacing w:val="-2"/>
          <w:sz w:val="22"/>
          <w:szCs w:val="22"/>
        </w:rPr>
        <w:t xml:space="preserve">.  </w:t>
      </w:r>
      <w:r w:rsidR="00C1549C" w:rsidRPr="00197229">
        <w:rPr>
          <w:spacing w:val="-2"/>
          <w:sz w:val="22"/>
          <w:szCs w:val="22"/>
        </w:rPr>
        <w:t>As a result</w:t>
      </w:r>
      <w:r w:rsidR="008914FA" w:rsidRPr="00197229">
        <w:rPr>
          <w:spacing w:val="-2"/>
          <w:sz w:val="22"/>
          <w:szCs w:val="22"/>
        </w:rPr>
        <w:t>, we find that M</w:t>
      </w:r>
      <w:r w:rsidR="008B55EB" w:rsidRPr="00197229">
        <w:rPr>
          <w:spacing w:val="-2"/>
          <w:sz w:val="22"/>
          <w:szCs w:val="22"/>
        </w:rPr>
        <w:t>RA</w:t>
      </w:r>
      <w:r w:rsidR="0003441C" w:rsidRPr="00197229">
        <w:rPr>
          <w:spacing w:val="-2"/>
          <w:sz w:val="22"/>
          <w:szCs w:val="22"/>
        </w:rPr>
        <w:t xml:space="preserve"> </w:t>
      </w:r>
      <w:r w:rsidR="008914FA" w:rsidRPr="00197229">
        <w:rPr>
          <w:spacing w:val="-2"/>
          <w:sz w:val="22"/>
          <w:szCs w:val="22"/>
        </w:rPr>
        <w:t xml:space="preserve">apparently willfully and repeatedly violated Section </w:t>
      </w:r>
      <w:r w:rsidR="008B55EB" w:rsidRPr="00197229">
        <w:rPr>
          <w:spacing w:val="-2"/>
          <w:sz w:val="22"/>
          <w:szCs w:val="22"/>
        </w:rPr>
        <w:t>90.403(e)</w:t>
      </w:r>
      <w:r w:rsidR="008914FA" w:rsidRPr="00197229">
        <w:rPr>
          <w:spacing w:val="-2"/>
          <w:sz w:val="22"/>
          <w:szCs w:val="22"/>
        </w:rPr>
        <w:t xml:space="preserve"> of the </w:t>
      </w:r>
      <w:r w:rsidR="008B55EB" w:rsidRPr="00197229">
        <w:rPr>
          <w:spacing w:val="-2"/>
          <w:sz w:val="22"/>
          <w:szCs w:val="22"/>
        </w:rPr>
        <w:t>Rules</w:t>
      </w:r>
      <w:r w:rsidR="008914FA" w:rsidRPr="00197229">
        <w:rPr>
          <w:spacing w:val="-2"/>
          <w:sz w:val="22"/>
          <w:szCs w:val="22"/>
        </w:rPr>
        <w:t xml:space="preserve"> by </w:t>
      </w:r>
      <w:r w:rsidR="008B55EB" w:rsidRPr="00197229">
        <w:rPr>
          <w:spacing w:val="-2"/>
          <w:sz w:val="22"/>
          <w:szCs w:val="22"/>
        </w:rPr>
        <w:t>failing to take reasonable precautions to avoid causing harmful interference</w:t>
      </w:r>
      <w:r w:rsidR="008B55EB" w:rsidRPr="006E329C">
        <w:rPr>
          <w:spacing w:val="-2"/>
          <w:sz w:val="22"/>
          <w:szCs w:val="22"/>
        </w:rPr>
        <w:t>.</w:t>
      </w:r>
    </w:p>
    <w:p w14:paraId="10B656D8" w14:textId="77777777" w:rsidR="00F46870" w:rsidRDefault="00C23F2A" w:rsidP="00C23F2A">
      <w:pPr>
        <w:widowControl/>
        <w:numPr>
          <w:ilvl w:val="0"/>
          <w:numId w:val="25"/>
        </w:numPr>
        <w:tabs>
          <w:tab w:val="left" w:pos="0"/>
          <w:tab w:val="left" w:pos="720"/>
        </w:tabs>
        <w:suppressAutoHyphens/>
        <w:spacing w:after="120"/>
        <w:rPr>
          <w:b/>
          <w:spacing w:val="-2"/>
          <w:sz w:val="22"/>
          <w:szCs w:val="22"/>
        </w:rPr>
      </w:pPr>
      <w:r w:rsidRPr="00C23F2A">
        <w:rPr>
          <w:b/>
          <w:spacing w:val="-2"/>
          <w:sz w:val="22"/>
          <w:szCs w:val="22"/>
        </w:rPr>
        <w:t>MRA Apparently Violated Section 90.</w:t>
      </w:r>
      <w:r>
        <w:rPr>
          <w:b/>
          <w:spacing w:val="-2"/>
          <w:sz w:val="22"/>
          <w:szCs w:val="22"/>
        </w:rPr>
        <w:t>187</w:t>
      </w:r>
      <w:r w:rsidRPr="00C23F2A">
        <w:rPr>
          <w:b/>
          <w:spacing w:val="-2"/>
          <w:sz w:val="22"/>
          <w:szCs w:val="22"/>
        </w:rPr>
        <w:t>(</w:t>
      </w:r>
      <w:r>
        <w:rPr>
          <w:b/>
          <w:spacing w:val="-2"/>
          <w:sz w:val="22"/>
          <w:szCs w:val="22"/>
        </w:rPr>
        <w:t>b</w:t>
      </w:r>
      <w:r w:rsidRPr="00C23F2A">
        <w:rPr>
          <w:b/>
          <w:spacing w:val="-2"/>
          <w:sz w:val="22"/>
          <w:szCs w:val="22"/>
        </w:rPr>
        <w:t>) of the Rules by</w:t>
      </w:r>
      <w:r w:rsidR="00E73990">
        <w:rPr>
          <w:b/>
          <w:spacing w:val="-2"/>
          <w:sz w:val="22"/>
          <w:szCs w:val="22"/>
        </w:rPr>
        <w:t xml:space="preserve"> Failing to Employ Equipment and Engage in Monitoring Sufficient to Avoid Harmful Interference to Other Systems</w:t>
      </w:r>
    </w:p>
    <w:p w14:paraId="3E2E49A7" w14:textId="77777777" w:rsidR="00280162" w:rsidRPr="006175E3" w:rsidRDefault="00C23F2A" w:rsidP="006175E3">
      <w:pPr>
        <w:widowControl/>
        <w:numPr>
          <w:ilvl w:val="0"/>
          <w:numId w:val="22"/>
        </w:numPr>
        <w:tabs>
          <w:tab w:val="clear" w:pos="1260"/>
          <w:tab w:val="num" w:pos="1440"/>
        </w:tabs>
        <w:spacing w:after="120"/>
        <w:ind w:left="0"/>
        <w:rPr>
          <w:spacing w:val="-3"/>
          <w:sz w:val="22"/>
          <w:szCs w:val="22"/>
        </w:rPr>
      </w:pPr>
      <w:r w:rsidRPr="0021390F">
        <w:rPr>
          <w:color w:val="000000"/>
          <w:spacing w:val="-2"/>
          <w:sz w:val="22"/>
          <w:szCs w:val="22"/>
        </w:rPr>
        <w:t>We find that the evidence in this case is suf</w:t>
      </w:r>
      <w:r w:rsidR="008B55EB" w:rsidRPr="0021390F">
        <w:rPr>
          <w:color w:val="000000"/>
          <w:spacing w:val="-2"/>
          <w:sz w:val="22"/>
          <w:szCs w:val="22"/>
        </w:rPr>
        <w:t>ficient to establish that MRA</w:t>
      </w:r>
      <w:r w:rsidRPr="0021390F">
        <w:rPr>
          <w:color w:val="000000"/>
          <w:spacing w:val="-2"/>
          <w:sz w:val="22"/>
          <w:szCs w:val="22"/>
        </w:rPr>
        <w:t xml:space="preserve"> </w:t>
      </w:r>
      <w:r w:rsidRPr="00853F7D">
        <w:rPr>
          <w:color w:val="000000"/>
          <w:spacing w:val="-2"/>
          <w:sz w:val="22"/>
          <w:szCs w:val="22"/>
        </w:rPr>
        <w:t xml:space="preserve">willfully and repeatedly violated Section </w:t>
      </w:r>
      <w:r w:rsidR="008B55EB" w:rsidRPr="00853F7D">
        <w:rPr>
          <w:color w:val="000000"/>
          <w:spacing w:val="-2"/>
          <w:sz w:val="22"/>
          <w:szCs w:val="22"/>
        </w:rPr>
        <w:t>90.187(b) of the Rules</w:t>
      </w:r>
      <w:r w:rsidRPr="00853F7D">
        <w:rPr>
          <w:color w:val="000000"/>
          <w:spacing w:val="-2"/>
          <w:sz w:val="22"/>
          <w:szCs w:val="22"/>
        </w:rPr>
        <w:t xml:space="preserve">.  </w:t>
      </w:r>
      <w:r w:rsidRPr="00853F7D">
        <w:rPr>
          <w:spacing w:val="-3"/>
          <w:sz w:val="22"/>
          <w:szCs w:val="22"/>
        </w:rPr>
        <w:t xml:space="preserve">Section </w:t>
      </w:r>
      <w:r w:rsidR="008B55EB" w:rsidRPr="00853F7D">
        <w:rPr>
          <w:spacing w:val="-3"/>
          <w:sz w:val="22"/>
          <w:szCs w:val="22"/>
        </w:rPr>
        <w:t xml:space="preserve">90.187(b) </w:t>
      </w:r>
      <w:r w:rsidRPr="00853F7D">
        <w:rPr>
          <w:spacing w:val="-3"/>
          <w:sz w:val="22"/>
          <w:szCs w:val="22"/>
        </w:rPr>
        <w:t xml:space="preserve">of the </w:t>
      </w:r>
      <w:r w:rsidR="008B55EB" w:rsidRPr="00853F7D">
        <w:rPr>
          <w:spacing w:val="-3"/>
          <w:sz w:val="22"/>
          <w:szCs w:val="22"/>
        </w:rPr>
        <w:t xml:space="preserve">Rules </w:t>
      </w:r>
      <w:r w:rsidRPr="00853F7D">
        <w:rPr>
          <w:spacing w:val="-3"/>
          <w:sz w:val="22"/>
          <w:szCs w:val="22"/>
        </w:rPr>
        <w:t xml:space="preserve">states that </w:t>
      </w:r>
      <w:r w:rsidR="00C73EA3" w:rsidRPr="00853F7D">
        <w:rPr>
          <w:spacing w:val="-3"/>
          <w:sz w:val="22"/>
          <w:szCs w:val="22"/>
        </w:rPr>
        <w:t xml:space="preserve">“[e]xcept as provided in paragraphs (c) and (d) of this section, trunked systems operating under this section must employ equipment that prevents transmission on a trunked frequency if a signal from another system is present on that frequency. </w:t>
      </w:r>
      <w:r w:rsidR="00197229" w:rsidRPr="00853F7D">
        <w:rPr>
          <w:spacing w:val="-3"/>
          <w:sz w:val="22"/>
          <w:szCs w:val="22"/>
        </w:rPr>
        <w:t xml:space="preserve"> </w:t>
      </w:r>
      <w:r w:rsidR="00C73EA3" w:rsidRPr="00853F7D">
        <w:rPr>
          <w:spacing w:val="-3"/>
          <w:sz w:val="22"/>
          <w:szCs w:val="22"/>
        </w:rPr>
        <w:t>The level of monitoring must be sufficient to avoid harmful interference to other systems.”</w:t>
      </w:r>
      <w:r w:rsidR="00C73EA3">
        <w:rPr>
          <w:rStyle w:val="FootnoteReference"/>
          <w:spacing w:val="-3"/>
          <w:sz w:val="22"/>
          <w:szCs w:val="22"/>
        </w:rPr>
        <w:footnoteReference w:id="35"/>
      </w:r>
      <w:r w:rsidR="007B6335" w:rsidRPr="0021390F">
        <w:rPr>
          <w:spacing w:val="-3"/>
          <w:sz w:val="22"/>
          <w:szCs w:val="22"/>
        </w:rPr>
        <w:t xml:space="preserve">  Los Angeles ag</w:t>
      </w:r>
      <w:r w:rsidR="00C73EA3" w:rsidRPr="0021390F">
        <w:rPr>
          <w:spacing w:val="-3"/>
          <w:sz w:val="22"/>
          <w:szCs w:val="22"/>
        </w:rPr>
        <w:t>ents determined that MRA</w:t>
      </w:r>
      <w:r w:rsidR="00E73990" w:rsidRPr="00853F7D">
        <w:rPr>
          <w:spacing w:val="-3"/>
          <w:sz w:val="22"/>
          <w:szCs w:val="22"/>
        </w:rPr>
        <w:t xml:space="preserve"> </w:t>
      </w:r>
      <w:r w:rsidR="00C73EA3" w:rsidRPr="00853F7D">
        <w:rPr>
          <w:spacing w:val="-3"/>
          <w:sz w:val="22"/>
          <w:szCs w:val="22"/>
        </w:rPr>
        <w:t>operated the Station on a nearly continual basis, monitoring for co-channel use only 5% of</w:t>
      </w:r>
      <w:r w:rsidR="00D45964" w:rsidRPr="00853F7D">
        <w:rPr>
          <w:spacing w:val="-3"/>
          <w:sz w:val="22"/>
          <w:szCs w:val="22"/>
        </w:rPr>
        <w:t xml:space="preserve"> the time</w:t>
      </w:r>
      <w:r w:rsidR="00C73EA3" w:rsidRPr="00853F7D">
        <w:rPr>
          <w:spacing w:val="-3"/>
          <w:sz w:val="22"/>
          <w:szCs w:val="22"/>
        </w:rPr>
        <w:t xml:space="preserve">.  </w:t>
      </w:r>
      <w:r w:rsidR="002A2521" w:rsidRPr="002A2521">
        <w:rPr>
          <w:spacing w:val="-3"/>
          <w:sz w:val="22"/>
          <w:szCs w:val="22"/>
        </w:rPr>
        <w:t xml:space="preserve">The agents also determined that MRA’s synchronizing signal continued unabated even when the co-channel licensee, Eden, attempted to utilize the channel for voice communications.  </w:t>
      </w:r>
      <w:r w:rsidR="00C73EA3" w:rsidRPr="00853F7D">
        <w:rPr>
          <w:spacing w:val="-3"/>
          <w:sz w:val="22"/>
          <w:szCs w:val="22"/>
        </w:rPr>
        <w:t>Th</w:t>
      </w:r>
      <w:r w:rsidR="005D4794" w:rsidRPr="00853F7D">
        <w:rPr>
          <w:spacing w:val="-3"/>
          <w:sz w:val="22"/>
          <w:szCs w:val="22"/>
        </w:rPr>
        <w:t>e</w:t>
      </w:r>
      <w:r w:rsidR="00C73EA3" w:rsidRPr="00853F7D">
        <w:rPr>
          <w:spacing w:val="-3"/>
          <w:sz w:val="22"/>
          <w:szCs w:val="22"/>
        </w:rPr>
        <w:t xml:space="preserve"> investigation by the Los Angeles Office revealed that </w:t>
      </w:r>
      <w:r w:rsidR="00D45964" w:rsidRPr="00853F7D">
        <w:rPr>
          <w:spacing w:val="-3"/>
          <w:sz w:val="22"/>
          <w:szCs w:val="22"/>
        </w:rPr>
        <w:t>MRA’s</w:t>
      </w:r>
      <w:r w:rsidR="002A2521" w:rsidRPr="002A2521">
        <w:rPr>
          <w:spacing w:val="-3"/>
          <w:sz w:val="22"/>
          <w:szCs w:val="22"/>
        </w:rPr>
        <w:t xml:space="preserve"> system did</w:t>
      </w:r>
      <w:r w:rsidR="002A2521">
        <w:rPr>
          <w:spacing w:val="-3"/>
          <w:sz w:val="22"/>
          <w:szCs w:val="22"/>
        </w:rPr>
        <w:t xml:space="preserve"> not</w:t>
      </w:r>
      <w:r w:rsidR="002A2521" w:rsidRPr="002A2521">
        <w:rPr>
          <w:spacing w:val="-3"/>
          <w:sz w:val="22"/>
          <w:szCs w:val="22"/>
        </w:rPr>
        <w:t xml:space="preserve"> prevent its synchronizing signals from transmitting on the shared channels when a signal from another system was present and the </w:t>
      </w:r>
      <w:r w:rsidR="00C73EA3" w:rsidRPr="00853F7D">
        <w:rPr>
          <w:spacing w:val="-3"/>
          <w:sz w:val="22"/>
          <w:szCs w:val="22"/>
        </w:rPr>
        <w:t>lev</w:t>
      </w:r>
      <w:r w:rsidR="00E73990" w:rsidRPr="00853F7D">
        <w:rPr>
          <w:spacing w:val="-3"/>
          <w:sz w:val="22"/>
          <w:szCs w:val="22"/>
        </w:rPr>
        <w:t>e</w:t>
      </w:r>
      <w:r w:rsidR="00C73EA3" w:rsidRPr="00853F7D">
        <w:rPr>
          <w:spacing w:val="-3"/>
          <w:sz w:val="22"/>
          <w:szCs w:val="22"/>
        </w:rPr>
        <w:t>l of monitoring</w:t>
      </w:r>
      <w:r w:rsidR="002A2521">
        <w:rPr>
          <w:spacing w:val="-3"/>
          <w:sz w:val="22"/>
          <w:szCs w:val="22"/>
        </w:rPr>
        <w:t xml:space="preserve"> it employed</w:t>
      </w:r>
      <w:r w:rsidR="00E73990" w:rsidRPr="00853F7D">
        <w:rPr>
          <w:spacing w:val="-3"/>
          <w:sz w:val="22"/>
          <w:szCs w:val="22"/>
        </w:rPr>
        <w:t>, which amount</w:t>
      </w:r>
      <w:r w:rsidR="00D45964" w:rsidRPr="00853F7D">
        <w:rPr>
          <w:spacing w:val="-3"/>
          <w:sz w:val="22"/>
          <w:szCs w:val="22"/>
        </w:rPr>
        <w:t>ed</w:t>
      </w:r>
      <w:r w:rsidR="00E73990" w:rsidRPr="00853F7D">
        <w:rPr>
          <w:spacing w:val="-3"/>
          <w:sz w:val="22"/>
          <w:szCs w:val="22"/>
        </w:rPr>
        <w:t xml:space="preserve"> to </w:t>
      </w:r>
      <w:r w:rsidR="00D45964" w:rsidRPr="00853F7D">
        <w:rPr>
          <w:spacing w:val="-3"/>
          <w:sz w:val="22"/>
          <w:szCs w:val="22"/>
        </w:rPr>
        <w:t xml:space="preserve">five seconds every five minutes and later to </w:t>
      </w:r>
      <w:r w:rsidR="00E73990" w:rsidRPr="00853F7D">
        <w:rPr>
          <w:spacing w:val="-3"/>
          <w:sz w:val="22"/>
          <w:szCs w:val="22"/>
        </w:rPr>
        <w:t xml:space="preserve">three seconds every </w:t>
      </w:r>
      <w:r w:rsidR="00D009D5" w:rsidRPr="00853F7D">
        <w:rPr>
          <w:spacing w:val="-3"/>
          <w:sz w:val="22"/>
          <w:szCs w:val="22"/>
        </w:rPr>
        <w:t>60</w:t>
      </w:r>
      <w:r w:rsidR="00E73990" w:rsidRPr="00853F7D">
        <w:rPr>
          <w:spacing w:val="-3"/>
          <w:sz w:val="22"/>
          <w:szCs w:val="22"/>
        </w:rPr>
        <w:t xml:space="preserve"> seconds, resulted in harmful interference to </w:t>
      </w:r>
      <w:r w:rsidR="002A2521">
        <w:rPr>
          <w:spacing w:val="-3"/>
          <w:sz w:val="22"/>
          <w:szCs w:val="22"/>
        </w:rPr>
        <w:t xml:space="preserve">at least one </w:t>
      </w:r>
      <w:r w:rsidR="00E73990" w:rsidRPr="00853F7D">
        <w:rPr>
          <w:spacing w:val="-3"/>
          <w:sz w:val="22"/>
          <w:szCs w:val="22"/>
        </w:rPr>
        <w:t>other licensed station.</w:t>
      </w:r>
      <w:r w:rsidR="00197229">
        <w:rPr>
          <w:rStyle w:val="FootnoteReference"/>
          <w:spacing w:val="-3"/>
          <w:sz w:val="22"/>
          <w:szCs w:val="22"/>
        </w:rPr>
        <w:footnoteReference w:id="36"/>
      </w:r>
      <w:r w:rsidR="00E73990" w:rsidRPr="0021390F">
        <w:rPr>
          <w:spacing w:val="-3"/>
          <w:sz w:val="22"/>
          <w:szCs w:val="22"/>
        </w:rPr>
        <w:t xml:space="preserve">  </w:t>
      </w:r>
      <w:r w:rsidR="007B6335" w:rsidRPr="0021390F">
        <w:rPr>
          <w:spacing w:val="-3"/>
          <w:sz w:val="22"/>
          <w:szCs w:val="22"/>
        </w:rPr>
        <w:t>As stated above,</w:t>
      </w:r>
      <w:r w:rsidR="00197229">
        <w:rPr>
          <w:rStyle w:val="FootnoteReference"/>
          <w:spacing w:val="-3"/>
          <w:sz w:val="22"/>
          <w:szCs w:val="22"/>
        </w:rPr>
        <w:footnoteReference w:id="37"/>
      </w:r>
      <w:r w:rsidR="007B6335" w:rsidRPr="0021390F">
        <w:rPr>
          <w:spacing w:val="-3"/>
          <w:sz w:val="22"/>
          <w:szCs w:val="22"/>
        </w:rPr>
        <w:t xml:space="preserve"> MRA’s protestations to the contrary,</w:t>
      </w:r>
      <w:r w:rsidR="007B6335">
        <w:rPr>
          <w:rStyle w:val="FootnoteReference"/>
          <w:spacing w:val="-3"/>
          <w:sz w:val="22"/>
          <w:szCs w:val="22"/>
        </w:rPr>
        <w:footnoteReference w:id="38"/>
      </w:r>
      <w:r w:rsidR="007B6335" w:rsidRPr="0021390F">
        <w:rPr>
          <w:spacing w:val="-3"/>
          <w:sz w:val="22"/>
          <w:szCs w:val="22"/>
        </w:rPr>
        <w:t xml:space="preserve"> it is simply unacceptable for any licensee on a shared cha</w:t>
      </w:r>
      <w:r w:rsidR="005D4794" w:rsidRPr="00853F7D">
        <w:rPr>
          <w:spacing w:val="-3"/>
          <w:sz w:val="22"/>
          <w:szCs w:val="22"/>
        </w:rPr>
        <w:t xml:space="preserve">nnel to monopolize the channel at the levels </w:t>
      </w:r>
      <w:r w:rsidR="00853F7D">
        <w:rPr>
          <w:spacing w:val="-3"/>
          <w:sz w:val="22"/>
          <w:szCs w:val="22"/>
        </w:rPr>
        <w:t>attained</w:t>
      </w:r>
      <w:r w:rsidR="005D4794" w:rsidRPr="00853F7D">
        <w:rPr>
          <w:spacing w:val="-3"/>
          <w:sz w:val="22"/>
          <w:szCs w:val="22"/>
        </w:rPr>
        <w:t xml:space="preserve"> by MRA</w:t>
      </w:r>
      <w:r w:rsidR="00853F7D">
        <w:rPr>
          <w:spacing w:val="-3"/>
          <w:sz w:val="22"/>
          <w:szCs w:val="22"/>
        </w:rPr>
        <w:t xml:space="preserve">, particularly when the licensee is causing harmful interference to </w:t>
      </w:r>
      <w:r w:rsidR="00A97126">
        <w:rPr>
          <w:spacing w:val="-3"/>
          <w:sz w:val="22"/>
          <w:szCs w:val="22"/>
        </w:rPr>
        <w:t xml:space="preserve">a </w:t>
      </w:r>
      <w:r w:rsidR="00853F7D">
        <w:rPr>
          <w:spacing w:val="-3"/>
          <w:sz w:val="22"/>
          <w:szCs w:val="22"/>
        </w:rPr>
        <w:t>co-channel licensee</w:t>
      </w:r>
      <w:r w:rsidR="0021390F">
        <w:rPr>
          <w:spacing w:val="-3"/>
          <w:sz w:val="22"/>
          <w:szCs w:val="22"/>
        </w:rPr>
        <w:t>.</w:t>
      </w:r>
      <w:r w:rsidR="007B6335" w:rsidRPr="00853F7D">
        <w:rPr>
          <w:spacing w:val="-3"/>
          <w:sz w:val="22"/>
          <w:szCs w:val="22"/>
        </w:rPr>
        <w:t xml:space="preserve"> </w:t>
      </w:r>
      <w:r w:rsidR="0021390F">
        <w:rPr>
          <w:spacing w:val="-3"/>
          <w:sz w:val="22"/>
          <w:szCs w:val="22"/>
        </w:rPr>
        <w:t xml:space="preserve"> </w:t>
      </w:r>
      <w:r w:rsidR="00853F7D">
        <w:rPr>
          <w:spacing w:val="-3"/>
          <w:sz w:val="22"/>
          <w:szCs w:val="22"/>
        </w:rPr>
        <w:t xml:space="preserve">Neither </w:t>
      </w:r>
      <w:r w:rsidR="0021390F">
        <w:rPr>
          <w:spacing w:val="-3"/>
          <w:sz w:val="22"/>
          <w:szCs w:val="22"/>
        </w:rPr>
        <w:t xml:space="preserve">the equipment utilized </w:t>
      </w:r>
      <w:r w:rsidR="00853F7D">
        <w:rPr>
          <w:spacing w:val="-3"/>
          <w:sz w:val="22"/>
          <w:szCs w:val="22"/>
        </w:rPr>
        <w:t xml:space="preserve">nor </w:t>
      </w:r>
      <w:r w:rsidR="0021390F">
        <w:rPr>
          <w:spacing w:val="-3"/>
          <w:sz w:val="22"/>
          <w:szCs w:val="22"/>
        </w:rPr>
        <w:t xml:space="preserve">the </w:t>
      </w:r>
      <w:r w:rsidR="007B6335" w:rsidRPr="00853F7D">
        <w:rPr>
          <w:spacing w:val="-3"/>
          <w:sz w:val="22"/>
          <w:szCs w:val="22"/>
        </w:rPr>
        <w:t>level of monitoring</w:t>
      </w:r>
      <w:r w:rsidR="005D4794" w:rsidRPr="00853F7D">
        <w:rPr>
          <w:spacing w:val="-3"/>
          <w:sz w:val="22"/>
          <w:szCs w:val="22"/>
        </w:rPr>
        <w:t xml:space="preserve"> </w:t>
      </w:r>
      <w:r w:rsidR="0021390F">
        <w:rPr>
          <w:spacing w:val="-3"/>
          <w:sz w:val="22"/>
          <w:szCs w:val="22"/>
        </w:rPr>
        <w:t>employed</w:t>
      </w:r>
      <w:r w:rsidR="00853F7D">
        <w:rPr>
          <w:spacing w:val="-3"/>
          <w:sz w:val="22"/>
          <w:szCs w:val="22"/>
        </w:rPr>
        <w:t xml:space="preserve"> </w:t>
      </w:r>
      <w:r w:rsidR="007641A5">
        <w:rPr>
          <w:spacing w:val="-3"/>
          <w:sz w:val="22"/>
          <w:szCs w:val="22"/>
        </w:rPr>
        <w:t xml:space="preserve">ensured that </w:t>
      </w:r>
      <w:r w:rsidR="00853F7D">
        <w:rPr>
          <w:spacing w:val="-3"/>
          <w:sz w:val="22"/>
          <w:szCs w:val="22"/>
        </w:rPr>
        <w:t>MRA</w:t>
      </w:r>
      <w:r w:rsidR="0021390F">
        <w:rPr>
          <w:spacing w:val="-3"/>
          <w:sz w:val="22"/>
          <w:szCs w:val="22"/>
        </w:rPr>
        <w:t xml:space="preserve"> </w:t>
      </w:r>
      <w:r w:rsidR="007641A5">
        <w:rPr>
          <w:spacing w:val="-3"/>
          <w:sz w:val="22"/>
          <w:szCs w:val="22"/>
        </w:rPr>
        <w:t xml:space="preserve">avoided causing </w:t>
      </w:r>
      <w:r w:rsidR="00853F7D">
        <w:rPr>
          <w:spacing w:val="-3"/>
          <w:sz w:val="22"/>
          <w:szCs w:val="22"/>
        </w:rPr>
        <w:t>harmful interference to Eden</w:t>
      </w:r>
      <w:r w:rsidR="007B6335" w:rsidRPr="00853F7D">
        <w:rPr>
          <w:spacing w:val="-3"/>
          <w:sz w:val="22"/>
          <w:szCs w:val="22"/>
        </w:rPr>
        <w:t xml:space="preserve">.  </w:t>
      </w:r>
      <w:r w:rsidRPr="00853F7D">
        <w:rPr>
          <w:spacing w:val="-2"/>
          <w:sz w:val="22"/>
          <w:szCs w:val="22"/>
        </w:rPr>
        <w:t xml:space="preserve">As a result, </w:t>
      </w:r>
      <w:r w:rsidR="002A2521" w:rsidRPr="002A2521">
        <w:rPr>
          <w:spacing w:val="-2"/>
          <w:sz w:val="22"/>
          <w:szCs w:val="22"/>
        </w:rPr>
        <w:t xml:space="preserve">MRA continually operated its Station on </w:t>
      </w:r>
      <w:r w:rsidR="002A2521">
        <w:rPr>
          <w:spacing w:val="-2"/>
          <w:sz w:val="22"/>
          <w:szCs w:val="22"/>
        </w:rPr>
        <w:t xml:space="preserve">a </w:t>
      </w:r>
      <w:r w:rsidR="002A2521" w:rsidRPr="002A2521">
        <w:rPr>
          <w:spacing w:val="-2"/>
          <w:sz w:val="22"/>
          <w:szCs w:val="22"/>
        </w:rPr>
        <w:t>shared frequenc</w:t>
      </w:r>
      <w:r w:rsidR="002A2521">
        <w:rPr>
          <w:spacing w:val="-2"/>
          <w:sz w:val="22"/>
          <w:szCs w:val="22"/>
        </w:rPr>
        <w:t>y</w:t>
      </w:r>
      <w:r w:rsidR="002A2521" w:rsidRPr="002A2521">
        <w:rPr>
          <w:spacing w:val="-2"/>
          <w:sz w:val="22"/>
          <w:szCs w:val="22"/>
        </w:rPr>
        <w:t xml:space="preserve"> as if it were operating on </w:t>
      </w:r>
      <w:r w:rsidR="002A2521">
        <w:rPr>
          <w:spacing w:val="-2"/>
          <w:sz w:val="22"/>
          <w:szCs w:val="22"/>
        </w:rPr>
        <w:t xml:space="preserve">an </w:t>
      </w:r>
      <w:r w:rsidR="002A2521" w:rsidRPr="002A2521">
        <w:rPr>
          <w:spacing w:val="-2"/>
          <w:sz w:val="22"/>
          <w:szCs w:val="22"/>
        </w:rPr>
        <w:t>exclusive frequenc</w:t>
      </w:r>
      <w:r w:rsidR="002A2521">
        <w:rPr>
          <w:spacing w:val="-2"/>
          <w:sz w:val="22"/>
          <w:szCs w:val="22"/>
        </w:rPr>
        <w:t>y</w:t>
      </w:r>
      <w:r w:rsidR="002A2521" w:rsidRPr="002A2521">
        <w:rPr>
          <w:spacing w:val="-2"/>
          <w:sz w:val="22"/>
          <w:szCs w:val="22"/>
        </w:rPr>
        <w:t xml:space="preserve"> by occupying the channel with synchronizing signals, effectively disregarding the Commission’s requirements for </w:t>
      </w:r>
      <w:r w:rsidR="002A2521">
        <w:rPr>
          <w:spacing w:val="-2"/>
          <w:sz w:val="22"/>
          <w:szCs w:val="22"/>
        </w:rPr>
        <w:t xml:space="preserve">operators on </w:t>
      </w:r>
      <w:r w:rsidR="002A2521" w:rsidRPr="002A2521">
        <w:rPr>
          <w:spacing w:val="-2"/>
          <w:sz w:val="22"/>
          <w:szCs w:val="22"/>
        </w:rPr>
        <w:t xml:space="preserve">shared channels to monitor to avoid causing harmful interference.  Thus, </w:t>
      </w:r>
      <w:r w:rsidRPr="00853F7D">
        <w:rPr>
          <w:spacing w:val="-2"/>
          <w:sz w:val="22"/>
          <w:szCs w:val="22"/>
        </w:rPr>
        <w:t>we find that M</w:t>
      </w:r>
      <w:r w:rsidR="00E73990" w:rsidRPr="00853F7D">
        <w:rPr>
          <w:spacing w:val="-2"/>
          <w:sz w:val="22"/>
          <w:szCs w:val="22"/>
        </w:rPr>
        <w:t>RA</w:t>
      </w:r>
      <w:r w:rsidRPr="00853F7D">
        <w:rPr>
          <w:spacing w:val="-2"/>
          <w:sz w:val="22"/>
          <w:szCs w:val="22"/>
        </w:rPr>
        <w:t xml:space="preserve"> apparently willfully and repeatedly violated Section </w:t>
      </w:r>
      <w:r w:rsidR="00E73990" w:rsidRPr="00853F7D">
        <w:rPr>
          <w:spacing w:val="-2"/>
          <w:sz w:val="22"/>
          <w:szCs w:val="22"/>
        </w:rPr>
        <w:t>90.187</w:t>
      </w:r>
      <w:r w:rsidR="005F3653" w:rsidRPr="00853F7D">
        <w:rPr>
          <w:spacing w:val="-2"/>
          <w:sz w:val="22"/>
          <w:szCs w:val="22"/>
        </w:rPr>
        <w:t>(b)</w:t>
      </w:r>
      <w:r w:rsidRPr="00853F7D">
        <w:rPr>
          <w:spacing w:val="-2"/>
          <w:sz w:val="22"/>
          <w:szCs w:val="22"/>
        </w:rPr>
        <w:t xml:space="preserve"> of the </w:t>
      </w:r>
      <w:r w:rsidR="00E73990" w:rsidRPr="00853F7D">
        <w:rPr>
          <w:spacing w:val="-2"/>
          <w:sz w:val="22"/>
          <w:szCs w:val="22"/>
        </w:rPr>
        <w:t>Rules by failing to employ equipment and engage in monitoring that avoids harmful interference to other systems.</w:t>
      </w:r>
      <w:r w:rsidR="00280162" w:rsidRPr="008914FA">
        <w:t xml:space="preserve"> </w:t>
      </w:r>
    </w:p>
    <w:p w14:paraId="10CC5374" w14:textId="77777777" w:rsidR="00C23F2A" w:rsidRPr="00214820" w:rsidRDefault="00280162" w:rsidP="00C23F2A">
      <w:pPr>
        <w:widowControl/>
        <w:numPr>
          <w:ilvl w:val="0"/>
          <w:numId w:val="25"/>
        </w:numPr>
        <w:tabs>
          <w:tab w:val="left" w:pos="0"/>
          <w:tab w:val="left" w:pos="720"/>
        </w:tabs>
        <w:suppressAutoHyphens/>
        <w:spacing w:after="120"/>
        <w:rPr>
          <w:b/>
          <w:spacing w:val="-2"/>
          <w:sz w:val="22"/>
          <w:szCs w:val="22"/>
        </w:rPr>
      </w:pPr>
      <w:r>
        <w:rPr>
          <w:b/>
          <w:spacing w:val="-2"/>
          <w:sz w:val="22"/>
          <w:szCs w:val="22"/>
        </w:rPr>
        <w:t>Proposed Forfeiture</w:t>
      </w:r>
    </w:p>
    <w:p w14:paraId="09AA3D12" w14:textId="77777777" w:rsidR="000F21CD" w:rsidRPr="00280162" w:rsidRDefault="006175E3" w:rsidP="00280162">
      <w:pPr>
        <w:widowControl/>
        <w:numPr>
          <w:ilvl w:val="0"/>
          <w:numId w:val="22"/>
        </w:numPr>
        <w:tabs>
          <w:tab w:val="clear" w:pos="1260"/>
          <w:tab w:val="left" w:pos="0"/>
          <w:tab w:val="num" w:pos="1440"/>
        </w:tabs>
        <w:suppressAutoHyphens/>
        <w:spacing w:after="120"/>
        <w:ind w:left="0"/>
        <w:rPr>
          <w:spacing w:val="-2"/>
          <w:sz w:val="22"/>
          <w:szCs w:val="22"/>
        </w:rPr>
      </w:pPr>
      <w:r>
        <w:rPr>
          <w:spacing w:val="-2"/>
          <w:sz w:val="22"/>
          <w:szCs w:val="22"/>
        </w:rPr>
        <w:t>MRA</w:t>
      </w:r>
      <w:r w:rsidR="008E13EE" w:rsidRPr="00280162">
        <w:rPr>
          <w:spacing w:val="-2"/>
          <w:sz w:val="22"/>
          <w:szCs w:val="22"/>
        </w:rPr>
        <w:t xml:space="preserve">’s repeated </w:t>
      </w:r>
      <w:r w:rsidR="00A57847">
        <w:rPr>
          <w:spacing w:val="-2"/>
          <w:sz w:val="22"/>
          <w:szCs w:val="22"/>
        </w:rPr>
        <w:t xml:space="preserve">operation of </w:t>
      </w:r>
      <w:r w:rsidR="00407F8C">
        <w:rPr>
          <w:spacing w:val="-2"/>
          <w:sz w:val="22"/>
          <w:szCs w:val="22"/>
        </w:rPr>
        <w:t xml:space="preserve">its </w:t>
      </w:r>
      <w:r w:rsidR="00D76A87">
        <w:rPr>
          <w:spacing w:val="-2"/>
          <w:sz w:val="22"/>
          <w:szCs w:val="22"/>
        </w:rPr>
        <w:t xml:space="preserve">Station </w:t>
      </w:r>
      <w:r w:rsidR="0066538C">
        <w:rPr>
          <w:spacing w:val="-2"/>
          <w:sz w:val="22"/>
          <w:szCs w:val="22"/>
        </w:rPr>
        <w:t xml:space="preserve">without regard to the harmful interference it </w:t>
      </w:r>
      <w:r w:rsidR="00A57847">
        <w:rPr>
          <w:spacing w:val="-2"/>
          <w:sz w:val="22"/>
          <w:szCs w:val="22"/>
        </w:rPr>
        <w:t>is</w:t>
      </w:r>
      <w:r w:rsidR="0066538C">
        <w:rPr>
          <w:spacing w:val="-2"/>
          <w:sz w:val="22"/>
          <w:szCs w:val="22"/>
        </w:rPr>
        <w:t xml:space="preserve"> causing to a co-channel licensee</w:t>
      </w:r>
      <w:r w:rsidR="008E13EE" w:rsidRPr="00280162">
        <w:rPr>
          <w:spacing w:val="-2"/>
          <w:sz w:val="22"/>
          <w:szCs w:val="22"/>
        </w:rPr>
        <w:t xml:space="preserve"> warrant</w:t>
      </w:r>
      <w:r w:rsidR="006C73C9" w:rsidRPr="00280162">
        <w:rPr>
          <w:spacing w:val="-2"/>
          <w:sz w:val="22"/>
          <w:szCs w:val="22"/>
        </w:rPr>
        <w:t xml:space="preserve">s a significant penalty.  </w:t>
      </w:r>
      <w:r w:rsidR="008E13EE" w:rsidRPr="00280162">
        <w:rPr>
          <w:spacing w:val="-2"/>
          <w:sz w:val="22"/>
          <w:szCs w:val="22"/>
        </w:rPr>
        <w:t>Section 503(b)(2) of the Act authorizes us to assess a forfeiture against M</w:t>
      </w:r>
      <w:r w:rsidR="0066538C">
        <w:rPr>
          <w:spacing w:val="-2"/>
          <w:sz w:val="22"/>
          <w:szCs w:val="22"/>
        </w:rPr>
        <w:t>RA</w:t>
      </w:r>
      <w:r w:rsidR="008E13EE" w:rsidRPr="00280162">
        <w:rPr>
          <w:spacing w:val="-2"/>
          <w:sz w:val="22"/>
          <w:szCs w:val="22"/>
        </w:rPr>
        <w:t xml:space="preserve"> of up to $16,000 for each day of a continuing violation, up to a statutory maximum of $122,500 for a single act or failure to act.</w:t>
      </w:r>
      <w:r w:rsidR="008E13EE" w:rsidRPr="000F21CD">
        <w:rPr>
          <w:rStyle w:val="FootnoteReference"/>
          <w:spacing w:val="-2"/>
          <w:sz w:val="22"/>
          <w:szCs w:val="22"/>
        </w:rPr>
        <w:footnoteReference w:id="39"/>
      </w:r>
      <w:r w:rsidR="000F21CD" w:rsidRPr="00280162">
        <w:rPr>
          <w:spacing w:val="-2"/>
          <w:sz w:val="22"/>
          <w:szCs w:val="22"/>
        </w:rPr>
        <w:t xml:space="preserve">  </w:t>
      </w:r>
      <w:r w:rsidR="000F21CD" w:rsidRPr="00280162">
        <w:rPr>
          <w:sz w:val="22"/>
          <w:szCs w:val="22"/>
        </w:rPr>
        <w:t>In exercising our forfeiture authority, we must consider the “nature, circumstances, extent, and gravity of the violation and, with respect to the violator, the degree of culpability, any history of prior offenses, ability to pay, and such other matters as justice may require.”</w:t>
      </w:r>
      <w:r w:rsidR="000F21CD" w:rsidRPr="000F21CD">
        <w:rPr>
          <w:rStyle w:val="FootnoteReference"/>
          <w:color w:val="000000" w:themeColor="text1"/>
          <w:sz w:val="22"/>
          <w:szCs w:val="22"/>
        </w:rPr>
        <w:footnoteReference w:id="40"/>
      </w:r>
      <w:r w:rsidR="000F21CD" w:rsidRPr="00280162">
        <w:rPr>
          <w:spacing w:val="-2"/>
          <w:sz w:val="22"/>
          <w:szCs w:val="22"/>
        </w:rPr>
        <w:t xml:space="preserve">  </w:t>
      </w:r>
      <w:r w:rsidR="000F21CD" w:rsidRPr="00280162">
        <w:rPr>
          <w:sz w:val="22"/>
          <w:szCs w:val="22"/>
        </w:rPr>
        <w:t>In addition, the Commission has established forfeiture guidelines; they establish base penalties for certain violations and identify criteria that we consider when determining the appropriate penalty in any given case.</w:t>
      </w:r>
      <w:r w:rsidR="000F21CD" w:rsidRPr="000F21CD">
        <w:rPr>
          <w:rStyle w:val="FootnoteReference"/>
          <w:color w:val="000000" w:themeColor="text1"/>
          <w:sz w:val="22"/>
          <w:szCs w:val="22"/>
        </w:rPr>
        <w:footnoteReference w:id="41"/>
      </w:r>
      <w:r w:rsidR="000F21CD" w:rsidRPr="00280162">
        <w:rPr>
          <w:sz w:val="22"/>
          <w:szCs w:val="22"/>
        </w:rPr>
        <w:t xml:space="preserve">  Under these guidelines, we may adjust a forfeiture upward for violations that are egregious, intentional, or repeated, or that cause substantial harm or generate substantial economic gain for the violator.</w:t>
      </w:r>
      <w:r w:rsidR="000F21CD" w:rsidRPr="000F21CD">
        <w:rPr>
          <w:rStyle w:val="FootnoteReference"/>
          <w:color w:val="000000" w:themeColor="text1"/>
          <w:sz w:val="22"/>
          <w:szCs w:val="22"/>
        </w:rPr>
        <w:footnoteReference w:id="42"/>
      </w:r>
      <w:r w:rsidR="000F21CD" w:rsidRPr="00280162">
        <w:rPr>
          <w:sz w:val="22"/>
          <w:szCs w:val="22"/>
        </w:rPr>
        <w:t xml:space="preserve">  </w:t>
      </w:r>
    </w:p>
    <w:p w14:paraId="62F58A4B" w14:textId="1DC6AF36" w:rsidR="00050854" w:rsidRPr="000F21CD" w:rsidRDefault="000F21CD" w:rsidP="000F21CD">
      <w:pPr>
        <w:widowControl/>
        <w:numPr>
          <w:ilvl w:val="0"/>
          <w:numId w:val="22"/>
        </w:numPr>
        <w:tabs>
          <w:tab w:val="clear" w:pos="1260"/>
          <w:tab w:val="left" w:pos="0"/>
          <w:tab w:val="num" w:pos="1440"/>
        </w:tabs>
        <w:suppressAutoHyphens/>
        <w:spacing w:after="120"/>
        <w:ind w:left="0"/>
        <w:rPr>
          <w:spacing w:val="-2"/>
          <w:sz w:val="22"/>
          <w:szCs w:val="22"/>
        </w:rPr>
      </w:pPr>
      <w:r>
        <w:rPr>
          <w:sz w:val="22"/>
          <w:szCs w:val="22"/>
        </w:rPr>
        <w:t>T</w:t>
      </w:r>
      <w:r w:rsidR="00E168AE" w:rsidRPr="000F21CD">
        <w:rPr>
          <w:spacing w:val="-2"/>
          <w:sz w:val="22"/>
          <w:szCs w:val="22"/>
        </w:rPr>
        <w:t>he Commission’s</w:t>
      </w:r>
      <w:r w:rsidR="00E168AE" w:rsidRPr="000F21CD">
        <w:rPr>
          <w:i/>
          <w:spacing w:val="-2"/>
          <w:sz w:val="22"/>
          <w:szCs w:val="22"/>
        </w:rPr>
        <w:t xml:space="preserve"> Forfeiture Policy Statement</w:t>
      </w:r>
      <w:r>
        <w:rPr>
          <w:spacing w:val="-2"/>
          <w:sz w:val="22"/>
          <w:szCs w:val="22"/>
        </w:rPr>
        <w:t xml:space="preserve"> and Section 1.80 of the Rules set a base forfeiture of $</w:t>
      </w:r>
      <w:r w:rsidR="0066538C">
        <w:rPr>
          <w:spacing w:val="-2"/>
          <w:sz w:val="22"/>
          <w:szCs w:val="22"/>
        </w:rPr>
        <w:t>7</w:t>
      </w:r>
      <w:r>
        <w:rPr>
          <w:spacing w:val="-2"/>
          <w:sz w:val="22"/>
          <w:szCs w:val="22"/>
        </w:rPr>
        <w:t>,000 for</w:t>
      </w:r>
      <w:r w:rsidR="00E168AE" w:rsidRPr="000F21CD">
        <w:rPr>
          <w:spacing w:val="-2"/>
          <w:sz w:val="22"/>
          <w:szCs w:val="22"/>
        </w:rPr>
        <w:t xml:space="preserve"> </w:t>
      </w:r>
      <w:r w:rsidR="0066538C">
        <w:rPr>
          <w:spacing w:val="-2"/>
          <w:sz w:val="22"/>
          <w:szCs w:val="22"/>
        </w:rPr>
        <w:t>interference</w:t>
      </w:r>
      <w:r w:rsidR="00E168AE" w:rsidRPr="000F21CD">
        <w:rPr>
          <w:color w:val="000000"/>
          <w:spacing w:val="-2"/>
          <w:sz w:val="22"/>
          <w:szCs w:val="22"/>
        </w:rPr>
        <w:t>.</w:t>
      </w:r>
      <w:r w:rsidR="00E168AE" w:rsidRPr="006856C3">
        <w:rPr>
          <w:rStyle w:val="FootnoteReference"/>
          <w:color w:val="000000"/>
          <w:spacing w:val="-2"/>
          <w:sz w:val="22"/>
          <w:szCs w:val="22"/>
        </w:rPr>
        <w:footnoteReference w:id="43"/>
      </w:r>
      <w:r w:rsidR="00E168AE" w:rsidRPr="000F21CD">
        <w:rPr>
          <w:color w:val="000000"/>
          <w:spacing w:val="-2"/>
          <w:sz w:val="22"/>
          <w:szCs w:val="22"/>
        </w:rPr>
        <w:t xml:space="preserve">  </w:t>
      </w:r>
      <w:r w:rsidR="006177AD">
        <w:rPr>
          <w:color w:val="000000"/>
          <w:spacing w:val="-2"/>
          <w:sz w:val="22"/>
          <w:szCs w:val="22"/>
        </w:rPr>
        <w:t xml:space="preserve">The Los Angeles Office determined that </w:t>
      </w:r>
      <w:r w:rsidR="00CA197A">
        <w:rPr>
          <w:color w:val="000000"/>
          <w:spacing w:val="-2"/>
          <w:sz w:val="22"/>
          <w:szCs w:val="22"/>
        </w:rPr>
        <w:t xml:space="preserve">MRA’s operations, including its failure to employ an appropriate level of monitoring </w:t>
      </w:r>
      <w:r w:rsidR="006177AD">
        <w:rPr>
          <w:color w:val="000000"/>
          <w:spacing w:val="-2"/>
          <w:sz w:val="22"/>
          <w:szCs w:val="22"/>
        </w:rPr>
        <w:t xml:space="preserve">or take other precautions </w:t>
      </w:r>
      <w:r w:rsidR="00CA197A">
        <w:rPr>
          <w:color w:val="000000"/>
          <w:spacing w:val="-2"/>
          <w:sz w:val="22"/>
          <w:szCs w:val="22"/>
        </w:rPr>
        <w:t>to avoid causing harmful interference, resulted in harmful interference to a co-channel licensee</w:t>
      </w:r>
      <w:r w:rsidR="006177AD">
        <w:rPr>
          <w:color w:val="000000"/>
          <w:spacing w:val="-2"/>
          <w:sz w:val="22"/>
          <w:szCs w:val="22"/>
        </w:rPr>
        <w:t xml:space="preserve"> on June 4 and June 8, 2015.  This requires a base forfeiture amount of $14,000.  Because </w:t>
      </w:r>
      <w:r w:rsidR="00CA197A">
        <w:rPr>
          <w:color w:val="000000"/>
          <w:spacing w:val="-2"/>
          <w:sz w:val="22"/>
          <w:szCs w:val="22"/>
        </w:rPr>
        <w:t xml:space="preserve">MRA </w:t>
      </w:r>
      <w:r w:rsidR="00D0388A" w:rsidRPr="00D0388A">
        <w:rPr>
          <w:color w:val="000000"/>
          <w:spacing w:val="-2"/>
          <w:sz w:val="22"/>
          <w:szCs w:val="22"/>
        </w:rPr>
        <w:t xml:space="preserve">continued to operate its Station in this manner </w:t>
      </w:r>
      <w:r w:rsidR="00D0388A">
        <w:rPr>
          <w:color w:val="000000"/>
          <w:spacing w:val="-2"/>
          <w:sz w:val="22"/>
          <w:szCs w:val="22"/>
        </w:rPr>
        <w:t xml:space="preserve">despite being </w:t>
      </w:r>
      <w:r w:rsidR="006177AD">
        <w:rPr>
          <w:color w:val="000000"/>
          <w:spacing w:val="-2"/>
          <w:sz w:val="22"/>
          <w:szCs w:val="22"/>
        </w:rPr>
        <w:t>was notified by the Commission that its actions violated the Rules prior to the June 2015 investigation</w:t>
      </w:r>
      <w:r w:rsidR="00D0388A">
        <w:rPr>
          <w:color w:val="000000"/>
          <w:spacing w:val="-2"/>
          <w:sz w:val="22"/>
          <w:szCs w:val="22"/>
        </w:rPr>
        <w:t xml:space="preserve">, we find that </w:t>
      </w:r>
      <w:r w:rsidR="00CA197A">
        <w:rPr>
          <w:color w:val="000000"/>
          <w:spacing w:val="-2"/>
          <w:sz w:val="22"/>
          <w:szCs w:val="22"/>
        </w:rPr>
        <w:t>a</w:t>
      </w:r>
      <w:r>
        <w:rPr>
          <w:spacing w:val="-2"/>
          <w:sz w:val="22"/>
          <w:szCs w:val="22"/>
        </w:rPr>
        <w:t xml:space="preserve"> significant upward forfeiture adjustment</w:t>
      </w:r>
      <w:r w:rsidR="00D0388A">
        <w:rPr>
          <w:spacing w:val="-2"/>
          <w:sz w:val="22"/>
          <w:szCs w:val="22"/>
        </w:rPr>
        <w:t xml:space="preserve"> is warranted</w:t>
      </w:r>
      <w:r w:rsidRPr="000F21CD">
        <w:rPr>
          <w:spacing w:val="-2"/>
          <w:sz w:val="22"/>
          <w:szCs w:val="22"/>
        </w:rPr>
        <w:t>.</w:t>
      </w:r>
      <w:r w:rsidRPr="006856C3">
        <w:rPr>
          <w:rStyle w:val="FootnoteReference"/>
          <w:spacing w:val="-2"/>
          <w:sz w:val="22"/>
          <w:szCs w:val="22"/>
        </w:rPr>
        <w:footnoteReference w:id="44"/>
      </w:r>
      <w:r>
        <w:rPr>
          <w:spacing w:val="-2"/>
          <w:sz w:val="22"/>
          <w:szCs w:val="22"/>
        </w:rPr>
        <w:t xml:space="preserve">  </w:t>
      </w:r>
      <w:r w:rsidR="006C73C9">
        <w:rPr>
          <w:spacing w:val="-2"/>
          <w:sz w:val="22"/>
          <w:szCs w:val="22"/>
        </w:rPr>
        <w:t>Therefore</w:t>
      </w:r>
      <w:r w:rsidR="00E168AE" w:rsidRPr="000F21CD">
        <w:rPr>
          <w:spacing w:val="-2"/>
          <w:sz w:val="22"/>
          <w:szCs w:val="22"/>
        </w:rPr>
        <w:t xml:space="preserve">, applying the </w:t>
      </w:r>
      <w:r w:rsidR="00E168AE" w:rsidRPr="000F21CD">
        <w:rPr>
          <w:i/>
          <w:spacing w:val="-2"/>
          <w:sz w:val="22"/>
          <w:szCs w:val="22"/>
        </w:rPr>
        <w:t>Forfeiture Policy Statement</w:t>
      </w:r>
      <w:r w:rsidR="00E168AE" w:rsidRPr="000F21CD">
        <w:rPr>
          <w:spacing w:val="-2"/>
          <w:sz w:val="22"/>
          <w:szCs w:val="22"/>
        </w:rPr>
        <w:t>, Section 1.80 of the Rules, and the statutory factors to the instant case, we conclude that M</w:t>
      </w:r>
      <w:r w:rsidR="0066538C">
        <w:rPr>
          <w:spacing w:val="-2"/>
          <w:sz w:val="22"/>
          <w:szCs w:val="22"/>
        </w:rPr>
        <w:t>RA</w:t>
      </w:r>
      <w:r w:rsidR="00E168AE" w:rsidRPr="000F21CD">
        <w:rPr>
          <w:spacing w:val="-2"/>
          <w:sz w:val="22"/>
          <w:szCs w:val="22"/>
        </w:rPr>
        <w:t xml:space="preserve"> is apparently liable for a</w:t>
      </w:r>
      <w:r w:rsidR="00E168AE" w:rsidRPr="000F21CD">
        <w:rPr>
          <w:color w:val="FF00FF"/>
          <w:spacing w:val="-2"/>
          <w:sz w:val="22"/>
          <w:szCs w:val="22"/>
        </w:rPr>
        <w:t xml:space="preserve"> </w:t>
      </w:r>
      <w:r w:rsidR="00E168AE" w:rsidRPr="000F21CD">
        <w:rPr>
          <w:spacing w:val="-2"/>
          <w:sz w:val="22"/>
          <w:szCs w:val="22"/>
        </w:rPr>
        <w:t xml:space="preserve">forfeiture in the amount of </w:t>
      </w:r>
      <w:r w:rsidR="00010F36">
        <w:rPr>
          <w:spacing w:val="-2"/>
          <w:sz w:val="22"/>
          <w:szCs w:val="22"/>
        </w:rPr>
        <w:t>twenty-five</w:t>
      </w:r>
      <w:r w:rsidR="00E168AE" w:rsidRPr="000F21CD">
        <w:rPr>
          <w:spacing w:val="-2"/>
          <w:sz w:val="22"/>
          <w:szCs w:val="22"/>
        </w:rPr>
        <w:t xml:space="preserve"> thousand dollars ($</w:t>
      </w:r>
      <w:r w:rsidR="00010F36">
        <w:rPr>
          <w:spacing w:val="-2"/>
          <w:sz w:val="22"/>
          <w:szCs w:val="22"/>
        </w:rPr>
        <w:t>25</w:t>
      </w:r>
      <w:r w:rsidR="00E168AE" w:rsidRPr="000F21CD">
        <w:rPr>
          <w:spacing w:val="-2"/>
          <w:sz w:val="22"/>
          <w:szCs w:val="22"/>
        </w:rPr>
        <w:t>,000).</w:t>
      </w:r>
      <w:r w:rsidR="00050854" w:rsidRPr="000F21CD">
        <w:rPr>
          <w:spacing w:val="-2"/>
          <w:sz w:val="22"/>
          <w:szCs w:val="22"/>
        </w:rPr>
        <w:t xml:space="preserve">  </w:t>
      </w:r>
    </w:p>
    <w:p w14:paraId="00C74647" w14:textId="77777777" w:rsidR="00050854" w:rsidRPr="003F3CFD" w:rsidRDefault="00050854" w:rsidP="004A326D">
      <w:pPr>
        <w:pStyle w:val="Heading1"/>
        <w:widowControl/>
        <w:spacing w:after="120"/>
        <w:rPr>
          <w:sz w:val="22"/>
          <w:szCs w:val="22"/>
        </w:rPr>
      </w:pPr>
      <w:r w:rsidRPr="003F3CFD">
        <w:rPr>
          <w:sz w:val="22"/>
          <w:szCs w:val="22"/>
        </w:rPr>
        <w:t>ORDERING CLAUSES</w:t>
      </w:r>
    </w:p>
    <w:p w14:paraId="77DFBBE6" w14:textId="28AAB3A0" w:rsidR="00C46383" w:rsidRDefault="00050854" w:rsidP="004A326D">
      <w:pPr>
        <w:widowControl/>
        <w:numPr>
          <w:ilvl w:val="0"/>
          <w:numId w:val="22"/>
        </w:numPr>
        <w:tabs>
          <w:tab w:val="clear" w:pos="1260"/>
          <w:tab w:val="left" w:pos="0"/>
          <w:tab w:val="num" w:pos="1440"/>
        </w:tabs>
        <w:suppressAutoHyphens/>
        <w:spacing w:after="120"/>
        <w:ind w:left="0"/>
        <w:rPr>
          <w:spacing w:val="-2"/>
          <w:sz w:val="22"/>
          <w:szCs w:val="22"/>
        </w:rPr>
      </w:pPr>
      <w:r w:rsidRPr="00E34AAE">
        <w:rPr>
          <w:spacing w:val="-2"/>
          <w:sz w:val="22"/>
          <w:szCs w:val="22"/>
        </w:rPr>
        <w:t>Accordingly</w:t>
      </w:r>
      <w:r w:rsidRPr="006C72D8">
        <w:rPr>
          <w:spacing w:val="-2"/>
          <w:sz w:val="22"/>
          <w:szCs w:val="22"/>
        </w:rPr>
        <w:t>,</w:t>
      </w:r>
      <w:r w:rsidRPr="00145224">
        <w:rPr>
          <w:b/>
          <w:spacing w:val="-2"/>
          <w:sz w:val="22"/>
          <w:szCs w:val="22"/>
        </w:rPr>
        <w:t xml:space="preserve"> IT IS ORDERED</w:t>
      </w:r>
      <w:r w:rsidR="003F3CFD">
        <w:rPr>
          <w:spacing w:val="-2"/>
          <w:sz w:val="22"/>
          <w:szCs w:val="22"/>
        </w:rPr>
        <w:t xml:space="preserve"> that</w:t>
      </w:r>
      <w:r w:rsidR="00D57AE2">
        <w:rPr>
          <w:spacing w:val="-2"/>
          <w:sz w:val="22"/>
          <w:szCs w:val="22"/>
        </w:rPr>
        <w:t>, pursuant to S</w:t>
      </w:r>
      <w:r w:rsidRPr="00E34AAE">
        <w:rPr>
          <w:spacing w:val="-2"/>
          <w:sz w:val="22"/>
          <w:szCs w:val="22"/>
        </w:rPr>
        <w:t xml:space="preserve">ection 503(b) of the </w:t>
      </w:r>
      <w:r w:rsidR="000F21CD">
        <w:rPr>
          <w:spacing w:val="-2"/>
          <w:sz w:val="22"/>
          <w:szCs w:val="22"/>
        </w:rPr>
        <w:t>Act</w:t>
      </w:r>
      <w:r w:rsidR="00D57AE2">
        <w:rPr>
          <w:spacing w:val="-2"/>
          <w:sz w:val="22"/>
          <w:szCs w:val="22"/>
        </w:rPr>
        <w:t xml:space="preserve"> and S</w:t>
      </w:r>
      <w:r w:rsidRPr="00E34AAE">
        <w:rPr>
          <w:spacing w:val="-2"/>
          <w:sz w:val="22"/>
          <w:szCs w:val="22"/>
        </w:rPr>
        <w:t xml:space="preserve">ections 0.111, </w:t>
      </w:r>
      <w:r w:rsidR="00856437">
        <w:rPr>
          <w:spacing w:val="-2"/>
          <w:sz w:val="22"/>
          <w:szCs w:val="22"/>
        </w:rPr>
        <w:t xml:space="preserve">0.204, </w:t>
      </w:r>
      <w:r w:rsidRPr="00E34AAE">
        <w:rPr>
          <w:spacing w:val="-2"/>
          <w:sz w:val="22"/>
          <w:szCs w:val="22"/>
        </w:rPr>
        <w:t>0.311</w:t>
      </w:r>
      <w:r w:rsidR="00716561">
        <w:rPr>
          <w:spacing w:val="-2"/>
          <w:sz w:val="22"/>
          <w:szCs w:val="22"/>
        </w:rPr>
        <w:t>, 0.314</w:t>
      </w:r>
      <w:r w:rsidR="002C62DA">
        <w:rPr>
          <w:spacing w:val="-2"/>
          <w:sz w:val="22"/>
          <w:szCs w:val="22"/>
        </w:rPr>
        <w:t>,</w:t>
      </w:r>
      <w:r w:rsidR="003E2AD5">
        <w:rPr>
          <w:spacing w:val="-2"/>
          <w:sz w:val="22"/>
          <w:szCs w:val="22"/>
        </w:rPr>
        <w:t xml:space="preserve"> and 1.80 of the </w:t>
      </w:r>
      <w:r w:rsidR="008E2DF4">
        <w:rPr>
          <w:spacing w:val="-2"/>
          <w:sz w:val="22"/>
          <w:szCs w:val="22"/>
        </w:rPr>
        <w:t>R</w:t>
      </w:r>
      <w:r w:rsidRPr="00E34AAE">
        <w:rPr>
          <w:spacing w:val="-2"/>
          <w:sz w:val="22"/>
          <w:szCs w:val="22"/>
        </w:rPr>
        <w:t xml:space="preserve">ules, </w:t>
      </w:r>
      <w:r w:rsidR="0066538C">
        <w:rPr>
          <w:spacing w:val="-2"/>
          <w:sz w:val="22"/>
          <w:szCs w:val="22"/>
        </w:rPr>
        <w:t>Mobile Relay Associates</w:t>
      </w:r>
      <w:r w:rsidRPr="00E34AAE">
        <w:rPr>
          <w:spacing w:val="-2"/>
          <w:sz w:val="22"/>
          <w:szCs w:val="22"/>
        </w:rPr>
        <w:t xml:space="preserve"> is hereby </w:t>
      </w:r>
      <w:r w:rsidRPr="00145224">
        <w:rPr>
          <w:b/>
          <w:spacing w:val="-2"/>
          <w:sz w:val="22"/>
          <w:szCs w:val="22"/>
        </w:rPr>
        <w:t xml:space="preserve">NOTIFIED </w:t>
      </w:r>
      <w:r w:rsidRPr="00E34AAE">
        <w:rPr>
          <w:spacing w:val="-2"/>
          <w:sz w:val="22"/>
          <w:szCs w:val="22"/>
        </w:rPr>
        <w:t xml:space="preserve">of this </w:t>
      </w:r>
      <w:r w:rsidRPr="00145224">
        <w:rPr>
          <w:b/>
          <w:spacing w:val="-2"/>
          <w:sz w:val="22"/>
          <w:szCs w:val="22"/>
        </w:rPr>
        <w:t>APPARENT LIABILITY FOR A FORFEITURE</w:t>
      </w:r>
      <w:r w:rsidR="00484313">
        <w:rPr>
          <w:b/>
          <w:spacing w:val="-2"/>
          <w:sz w:val="22"/>
          <w:szCs w:val="22"/>
        </w:rPr>
        <w:t xml:space="preserve"> </w:t>
      </w:r>
      <w:r w:rsidRPr="00E34AAE">
        <w:rPr>
          <w:spacing w:val="-2"/>
          <w:sz w:val="22"/>
          <w:szCs w:val="22"/>
        </w:rPr>
        <w:t>in the amount of</w:t>
      </w:r>
      <w:r w:rsidRPr="00E34AAE">
        <w:rPr>
          <w:sz w:val="22"/>
          <w:szCs w:val="22"/>
        </w:rPr>
        <w:t xml:space="preserve"> </w:t>
      </w:r>
      <w:r w:rsidR="00D67594">
        <w:rPr>
          <w:sz w:val="22"/>
          <w:szCs w:val="22"/>
        </w:rPr>
        <w:t>twenty-five</w:t>
      </w:r>
      <w:r w:rsidR="00451653">
        <w:rPr>
          <w:sz w:val="22"/>
          <w:szCs w:val="22"/>
        </w:rPr>
        <w:t xml:space="preserve"> </w:t>
      </w:r>
      <w:r w:rsidRPr="0076715E">
        <w:rPr>
          <w:sz w:val="22"/>
          <w:szCs w:val="22"/>
        </w:rPr>
        <w:t>thousand dollars ($</w:t>
      </w:r>
      <w:r w:rsidR="00D67594">
        <w:rPr>
          <w:sz w:val="22"/>
          <w:szCs w:val="22"/>
        </w:rPr>
        <w:t>25</w:t>
      </w:r>
      <w:r w:rsidRPr="0076715E">
        <w:rPr>
          <w:sz w:val="22"/>
          <w:szCs w:val="22"/>
        </w:rPr>
        <w:t>,000)</w:t>
      </w:r>
      <w:r w:rsidR="000F21CD">
        <w:rPr>
          <w:sz w:val="22"/>
          <w:szCs w:val="22"/>
        </w:rPr>
        <w:t xml:space="preserve"> for willful and repeated violations of </w:t>
      </w:r>
      <w:r w:rsidR="00D57AE2">
        <w:rPr>
          <w:sz w:val="22"/>
          <w:szCs w:val="22"/>
        </w:rPr>
        <w:t>S</w:t>
      </w:r>
      <w:r w:rsidRPr="00E34AAE">
        <w:rPr>
          <w:sz w:val="22"/>
          <w:szCs w:val="22"/>
        </w:rPr>
        <w:t>ection</w:t>
      </w:r>
      <w:r w:rsidR="00451653">
        <w:rPr>
          <w:sz w:val="22"/>
          <w:szCs w:val="22"/>
        </w:rPr>
        <w:t>s 90.403</w:t>
      </w:r>
      <w:r w:rsidR="006472B7">
        <w:rPr>
          <w:sz w:val="22"/>
          <w:szCs w:val="22"/>
        </w:rPr>
        <w:t>(e)</w:t>
      </w:r>
      <w:r w:rsidR="0014204C">
        <w:rPr>
          <w:sz w:val="22"/>
          <w:szCs w:val="22"/>
        </w:rPr>
        <w:t xml:space="preserve"> and</w:t>
      </w:r>
      <w:r w:rsidR="00451653">
        <w:rPr>
          <w:sz w:val="22"/>
          <w:szCs w:val="22"/>
        </w:rPr>
        <w:t xml:space="preserve"> 90.187(b) </w:t>
      </w:r>
      <w:r w:rsidRPr="00E34AAE">
        <w:rPr>
          <w:spacing w:val="-2"/>
          <w:sz w:val="22"/>
          <w:szCs w:val="22"/>
        </w:rPr>
        <w:t>o</w:t>
      </w:r>
      <w:r w:rsidRPr="00E34AAE">
        <w:rPr>
          <w:sz w:val="22"/>
          <w:szCs w:val="22"/>
        </w:rPr>
        <w:t xml:space="preserve">f the </w:t>
      </w:r>
      <w:r w:rsidR="00451653">
        <w:rPr>
          <w:sz w:val="22"/>
          <w:szCs w:val="22"/>
        </w:rPr>
        <w:t>Rules</w:t>
      </w:r>
      <w:r w:rsidRPr="00E34AAE">
        <w:rPr>
          <w:sz w:val="22"/>
          <w:szCs w:val="22"/>
        </w:rPr>
        <w:t>.</w:t>
      </w:r>
      <w:r w:rsidRPr="00E34AAE">
        <w:rPr>
          <w:rStyle w:val="FootnoteReference"/>
          <w:sz w:val="22"/>
          <w:szCs w:val="22"/>
        </w:rPr>
        <w:footnoteReference w:id="45"/>
      </w:r>
    </w:p>
    <w:p w14:paraId="5D3869E7" w14:textId="77777777" w:rsidR="00C46383" w:rsidRDefault="00050854" w:rsidP="004A326D">
      <w:pPr>
        <w:widowControl/>
        <w:numPr>
          <w:ilvl w:val="0"/>
          <w:numId w:val="22"/>
        </w:numPr>
        <w:tabs>
          <w:tab w:val="clear" w:pos="1260"/>
          <w:tab w:val="left" w:pos="0"/>
          <w:tab w:val="num" w:pos="1440"/>
        </w:tabs>
        <w:suppressAutoHyphens/>
        <w:spacing w:after="120"/>
        <w:ind w:left="0"/>
        <w:rPr>
          <w:spacing w:val="-2"/>
          <w:sz w:val="22"/>
          <w:szCs w:val="22"/>
        </w:rPr>
      </w:pPr>
      <w:r w:rsidRPr="00C46383">
        <w:rPr>
          <w:b/>
          <w:spacing w:val="-2"/>
          <w:sz w:val="22"/>
          <w:szCs w:val="22"/>
        </w:rPr>
        <w:t>IT IS FURTHER ORDERED</w:t>
      </w:r>
      <w:r w:rsidRPr="00C46383">
        <w:rPr>
          <w:spacing w:val="-2"/>
          <w:sz w:val="22"/>
          <w:szCs w:val="22"/>
        </w:rPr>
        <w:t xml:space="preserve"> </w:t>
      </w:r>
      <w:r w:rsidR="003F3CFD" w:rsidRPr="00C46383">
        <w:rPr>
          <w:spacing w:val="-2"/>
          <w:sz w:val="22"/>
          <w:szCs w:val="22"/>
        </w:rPr>
        <w:t>that</w:t>
      </w:r>
      <w:r w:rsidR="00D57AE2" w:rsidRPr="00C46383">
        <w:rPr>
          <w:spacing w:val="-2"/>
          <w:sz w:val="22"/>
          <w:szCs w:val="22"/>
        </w:rPr>
        <w:t>, pursuant to S</w:t>
      </w:r>
      <w:r w:rsidR="003E2AD5" w:rsidRPr="00C46383">
        <w:rPr>
          <w:spacing w:val="-2"/>
          <w:sz w:val="22"/>
          <w:szCs w:val="22"/>
        </w:rPr>
        <w:t xml:space="preserve">ection 1.80 of the </w:t>
      </w:r>
      <w:r w:rsidR="008E2DF4">
        <w:rPr>
          <w:spacing w:val="-2"/>
          <w:sz w:val="22"/>
          <w:szCs w:val="22"/>
        </w:rPr>
        <w:t>R</w:t>
      </w:r>
      <w:r w:rsidRPr="00C46383">
        <w:rPr>
          <w:spacing w:val="-2"/>
          <w:sz w:val="22"/>
          <w:szCs w:val="22"/>
        </w:rPr>
        <w:t>ules</w:t>
      </w:r>
      <w:r w:rsidR="002C62DA" w:rsidRPr="00C46383">
        <w:rPr>
          <w:spacing w:val="-2"/>
          <w:sz w:val="22"/>
          <w:szCs w:val="22"/>
        </w:rPr>
        <w:t>,</w:t>
      </w:r>
      <w:r w:rsidRPr="00C46383">
        <w:rPr>
          <w:spacing w:val="-2"/>
          <w:sz w:val="22"/>
          <w:szCs w:val="22"/>
        </w:rPr>
        <w:t xml:space="preserve"> within thirty </w:t>
      </w:r>
      <w:r w:rsidR="003A7878" w:rsidRPr="00C46383">
        <w:rPr>
          <w:spacing w:val="-2"/>
          <w:sz w:val="22"/>
          <w:szCs w:val="22"/>
        </w:rPr>
        <w:t xml:space="preserve">(30) calendar </w:t>
      </w:r>
      <w:r w:rsidRPr="00C46383">
        <w:rPr>
          <w:spacing w:val="-2"/>
          <w:sz w:val="22"/>
          <w:szCs w:val="22"/>
        </w:rPr>
        <w:t>days of the release date of this Notice of Apparent Liability for Forfeiture</w:t>
      </w:r>
      <w:r w:rsidR="000F10C7" w:rsidRPr="00C46383">
        <w:rPr>
          <w:spacing w:val="-2"/>
          <w:sz w:val="22"/>
          <w:szCs w:val="22"/>
        </w:rPr>
        <w:t xml:space="preserve">, </w:t>
      </w:r>
      <w:r w:rsidR="00451653">
        <w:rPr>
          <w:spacing w:val="-2"/>
          <w:sz w:val="22"/>
          <w:szCs w:val="22"/>
        </w:rPr>
        <w:t>Mobile Relay Associates</w:t>
      </w:r>
      <w:r w:rsidR="000F10C7" w:rsidRPr="00C46383">
        <w:rPr>
          <w:spacing w:val="-2"/>
          <w:sz w:val="22"/>
          <w:szCs w:val="22"/>
        </w:rPr>
        <w:t xml:space="preserve"> </w:t>
      </w:r>
      <w:r w:rsidR="00145224" w:rsidRPr="00C46383">
        <w:rPr>
          <w:b/>
          <w:spacing w:val="-2"/>
          <w:sz w:val="22"/>
          <w:szCs w:val="22"/>
        </w:rPr>
        <w:t>SHALL PAY</w:t>
      </w:r>
      <w:r w:rsidRPr="00C46383">
        <w:rPr>
          <w:spacing w:val="-2"/>
          <w:sz w:val="22"/>
          <w:szCs w:val="22"/>
        </w:rPr>
        <w:t xml:space="preserve"> the full amount of the proposed forfeiture or </w:t>
      </w:r>
      <w:r w:rsidR="00145224" w:rsidRPr="00C46383">
        <w:rPr>
          <w:b/>
          <w:spacing w:val="-2"/>
          <w:sz w:val="22"/>
          <w:szCs w:val="22"/>
        </w:rPr>
        <w:t>SHALL FILE</w:t>
      </w:r>
      <w:r w:rsidRPr="00C46383">
        <w:rPr>
          <w:spacing w:val="-2"/>
          <w:sz w:val="22"/>
          <w:szCs w:val="22"/>
        </w:rPr>
        <w:t xml:space="preserve"> a written statement seeking reduction or cancellation of the proposed forfeiture</w:t>
      </w:r>
      <w:r w:rsidR="00583A6A">
        <w:rPr>
          <w:spacing w:val="-2"/>
          <w:sz w:val="22"/>
          <w:szCs w:val="22"/>
        </w:rPr>
        <w:t xml:space="preserve"> consistent with paragraph 1</w:t>
      </w:r>
      <w:r w:rsidR="0014204C">
        <w:rPr>
          <w:spacing w:val="-2"/>
          <w:sz w:val="22"/>
          <w:szCs w:val="22"/>
        </w:rPr>
        <w:t>7</w:t>
      </w:r>
      <w:r w:rsidR="00583A6A">
        <w:rPr>
          <w:spacing w:val="-2"/>
          <w:sz w:val="22"/>
          <w:szCs w:val="22"/>
        </w:rPr>
        <w:t xml:space="preserve"> below</w:t>
      </w:r>
      <w:r w:rsidRPr="00C46383">
        <w:rPr>
          <w:spacing w:val="-2"/>
          <w:sz w:val="22"/>
          <w:szCs w:val="22"/>
        </w:rPr>
        <w:t>.</w:t>
      </w:r>
      <w:r w:rsidR="00583A6A">
        <w:rPr>
          <w:rStyle w:val="FootnoteReference"/>
          <w:spacing w:val="-2"/>
          <w:sz w:val="22"/>
          <w:szCs w:val="22"/>
        </w:rPr>
        <w:footnoteReference w:id="46"/>
      </w:r>
    </w:p>
    <w:p w14:paraId="5843B854" w14:textId="77777777" w:rsidR="00A66F85" w:rsidRPr="009D216A" w:rsidRDefault="00A66F85" w:rsidP="004A326D">
      <w:pPr>
        <w:widowControl/>
        <w:numPr>
          <w:ilvl w:val="0"/>
          <w:numId w:val="22"/>
        </w:numPr>
        <w:tabs>
          <w:tab w:val="clear" w:pos="1260"/>
          <w:tab w:val="left" w:pos="0"/>
          <w:tab w:val="num" w:pos="1440"/>
        </w:tabs>
        <w:suppressAutoHyphens/>
        <w:spacing w:after="120"/>
        <w:ind w:left="0"/>
        <w:rPr>
          <w:spacing w:val="-2"/>
          <w:sz w:val="22"/>
          <w:szCs w:val="22"/>
        </w:rPr>
      </w:pPr>
      <w:r w:rsidRPr="00C46383">
        <w:rPr>
          <w:rFonts w:eastAsia="MS Mincho" w:cs="Arial"/>
          <w:sz w:val="22"/>
          <w:szCs w:val="22"/>
        </w:rPr>
        <w:t>Payment of the forfeiture must be made by check or similar instrument, wire transfer,</w:t>
      </w:r>
      <w:r w:rsidR="00A77AE7">
        <w:rPr>
          <w:rFonts w:eastAsia="MS Mincho" w:cs="Arial"/>
          <w:sz w:val="22"/>
          <w:szCs w:val="22"/>
        </w:rPr>
        <w:t xml:space="preserve"> </w:t>
      </w:r>
      <w:r w:rsidRPr="00C46383">
        <w:rPr>
          <w:rFonts w:eastAsia="MS Mincho" w:cs="Arial"/>
          <w:sz w:val="22"/>
          <w:szCs w:val="22"/>
        </w:rPr>
        <w:t xml:space="preserve">or credit card, and must include the NAL/Account </w:t>
      </w:r>
      <w:r w:rsidR="00C46383">
        <w:rPr>
          <w:rFonts w:eastAsia="MS Mincho" w:cs="Arial"/>
          <w:sz w:val="22"/>
          <w:szCs w:val="22"/>
        </w:rPr>
        <w:t>N</w:t>
      </w:r>
      <w:r w:rsidRPr="00C46383">
        <w:rPr>
          <w:rFonts w:eastAsia="MS Mincho" w:cs="Arial"/>
          <w:sz w:val="22"/>
          <w:szCs w:val="22"/>
        </w:rPr>
        <w:t>u</w:t>
      </w:r>
      <w:r w:rsidR="00E2691A">
        <w:rPr>
          <w:rFonts w:eastAsia="MS Mincho" w:cs="Arial"/>
          <w:sz w:val="22"/>
          <w:szCs w:val="22"/>
        </w:rPr>
        <w:t xml:space="preserve">mber and FRN referenced above.  </w:t>
      </w:r>
      <w:r w:rsidR="00451653">
        <w:rPr>
          <w:rFonts w:eastAsia="MS Mincho" w:cs="Arial"/>
          <w:sz w:val="22"/>
          <w:szCs w:val="22"/>
        </w:rPr>
        <w:t>Mobile Relay Associates</w:t>
      </w:r>
      <w:r w:rsidR="000F10C7" w:rsidRPr="00C46383">
        <w:rPr>
          <w:rFonts w:eastAsia="MS Mincho" w:cs="Arial"/>
          <w:sz w:val="22"/>
          <w:szCs w:val="22"/>
        </w:rPr>
        <w:t xml:space="preserve"> </w:t>
      </w:r>
      <w:r w:rsidR="0095119D" w:rsidRPr="00C46383">
        <w:rPr>
          <w:color w:val="000000"/>
          <w:sz w:val="22"/>
          <w:szCs w:val="22"/>
          <w:lang w:bidi="he-IL"/>
        </w:rPr>
        <w:t>shall also send electronic notification on the date said payment is made to</w:t>
      </w:r>
      <w:r w:rsidR="00C1549C">
        <w:rPr>
          <w:color w:val="000000"/>
          <w:sz w:val="22"/>
          <w:szCs w:val="22"/>
          <w:lang w:bidi="he-IL"/>
        </w:rPr>
        <w:t xml:space="preserve"> </w:t>
      </w:r>
      <w:r w:rsidR="00451653">
        <w:rPr>
          <w:color w:val="000000"/>
          <w:sz w:val="22"/>
          <w:szCs w:val="22"/>
          <w:lang w:bidi="he-IL"/>
        </w:rPr>
        <w:t>WR</w:t>
      </w:r>
      <w:r w:rsidR="009D216A" w:rsidRPr="0030752B">
        <w:rPr>
          <w:sz w:val="22"/>
          <w:szCs w:val="22"/>
          <w:lang w:bidi="he-IL"/>
        </w:rPr>
        <w:t>-Response@fcc.gov</w:t>
      </w:r>
      <w:r w:rsidR="009D216A">
        <w:rPr>
          <w:color w:val="000000"/>
          <w:sz w:val="22"/>
          <w:szCs w:val="22"/>
          <w:lang w:bidi="he-IL"/>
        </w:rPr>
        <w:t>.</w:t>
      </w:r>
      <w:r w:rsidR="009D216A">
        <w:rPr>
          <w:spacing w:val="-2"/>
          <w:sz w:val="22"/>
          <w:szCs w:val="22"/>
        </w:rPr>
        <w:t xml:space="preserve">  </w:t>
      </w:r>
      <w:r w:rsidR="000F10C7" w:rsidRPr="009D216A">
        <w:rPr>
          <w:sz w:val="22"/>
          <w:szCs w:val="22"/>
        </w:rPr>
        <w:t>Regardle</w:t>
      </w:r>
      <w:r w:rsidRPr="009D216A">
        <w:rPr>
          <w:rFonts w:eastAsia="MS Mincho" w:cs="Arial"/>
          <w:sz w:val="22"/>
          <w:szCs w:val="22"/>
        </w:rPr>
        <w:t>ss of the form of payment, a completed FCC Form 159 (Remittance Advice) must be submitted.</w:t>
      </w:r>
      <w:r w:rsidRPr="00A66F85">
        <w:rPr>
          <w:rStyle w:val="FootnoteReference"/>
          <w:rFonts w:eastAsia="MS Mincho" w:cs="Arial"/>
          <w:sz w:val="22"/>
          <w:szCs w:val="22"/>
        </w:rPr>
        <w:footnoteReference w:id="47"/>
      </w:r>
      <w:r w:rsidRPr="009D216A">
        <w:rPr>
          <w:rFonts w:eastAsia="MS Mincho" w:cs="Arial"/>
          <w:sz w:val="22"/>
          <w:szCs w:val="22"/>
        </w:rPr>
        <w:t xml:space="preserve">  When completing the FCC Form 159, enter the Account Number in block number 23A (call sign/other ID) and enter the letters “FORF” in block number 24A (payment type code).</w:t>
      </w:r>
      <w:r w:rsidR="00A77AE7" w:rsidRPr="009D216A">
        <w:rPr>
          <w:rFonts w:eastAsia="MS Mincho" w:cs="Arial"/>
          <w:sz w:val="22"/>
          <w:szCs w:val="22"/>
        </w:rPr>
        <w:t xml:space="preserve">  </w:t>
      </w:r>
      <w:r w:rsidRPr="009D216A">
        <w:rPr>
          <w:color w:val="000000"/>
          <w:sz w:val="22"/>
          <w:szCs w:val="22"/>
        </w:rPr>
        <w:t xml:space="preserve">Below are additional instructions </w:t>
      </w:r>
      <w:r w:rsidR="00583A6A">
        <w:rPr>
          <w:color w:val="000000"/>
          <w:sz w:val="22"/>
          <w:szCs w:val="22"/>
        </w:rPr>
        <w:t xml:space="preserve">that should be followed </w:t>
      </w:r>
      <w:r w:rsidRPr="009D216A">
        <w:rPr>
          <w:color w:val="000000"/>
          <w:sz w:val="22"/>
          <w:szCs w:val="22"/>
        </w:rPr>
        <w:t>b</w:t>
      </w:r>
      <w:r w:rsidR="00583A6A">
        <w:rPr>
          <w:color w:val="000000"/>
          <w:sz w:val="22"/>
          <w:szCs w:val="22"/>
        </w:rPr>
        <w:t xml:space="preserve">ased on the form of payment </w:t>
      </w:r>
      <w:r w:rsidRPr="009D216A">
        <w:rPr>
          <w:color w:val="000000"/>
          <w:sz w:val="22"/>
          <w:szCs w:val="22"/>
        </w:rPr>
        <w:t>select</w:t>
      </w:r>
      <w:r w:rsidR="00583A6A">
        <w:rPr>
          <w:color w:val="000000"/>
          <w:sz w:val="22"/>
          <w:szCs w:val="22"/>
        </w:rPr>
        <w:t>ed</w:t>
      </w:r>
      <w:r w:rsidRPr="009D216A">
        <w:rPr>
          <w:color w:val="000000"/>
          <w:sz w:val="22"/>
          <w:szCs w:val="22"/>
        </w:rPr>
        <w:t>:</w:t>
      </w:r>
    </w:p>
    <w:p w14:paraId="3903608F" w14:textId="77777777" w:rsidR="00A66F85" w:rsidRPr="00A66F85" w:rsidRDefault="00A66F85" w:rsidP="004A326D">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Payment by check or money order must be made payable to the order of the Federal Communications Commission.</w:t>
      </w:r>
      <w:r w:rsidR="004845F7">
        <w:rPr>
          <w:rFonts w:eastAsia="MS Mincho"/>
          <w:sz w:val="22"/>
          <w:szCs w:val="22"/>
        </w:rPr>
        <w:t xml:space="preserve"> </w:t>
      </w:r>
      <w:r w:rsidRPr="00A66F85">
        <w:rPr>
          <w:rFonts w:eastAsia="MS Mincho"/>
          <w:sz w:val="22"/>
          <w:szCs w:val="22"/>
        </w:rPr>
        <w:t xml:space="preserve"> Such payments</w:t>
      </w:r>
      <w:r w:rsidR="004845F7">
        <w:rPr>
          <w:rFonts w:eastAsia="MS Mincho"/>
          <w:sz w:val="22"/>
          <w:szCs w:val="22"/>
        </w:rPr>
        <w:t xml:space="preserve"> </w:t>
      </w:r>
      <w:r w:rsidRPr="00A66F85">
        <w:rPr>
          <w:rFonts w:eastAsia="MS Mincho"/>
          <w:sz w:val="22"/>
          <w:szCs w:val="22"/>
        </w:rPr>
        <w:t>(along with the completed Form 159)</w:t>
      </w:r>
      <w:r w:rsidR="004845F7">
        <w:rPr>
          <w:rFonts w:eastAsia="MS Mincho"/>
          <w:sz w:val="22"/>
          <w:szCs w:val="22"/>
        </w:rPr>
        <w:t xml:space="preserve"> </w:t>
      </w:r>
      <w:r w:rsidRPr="00A66F85">
        <w:rPr>
          <w:rFonts w:eastAsia="MS Mincho"/>
          <w:sz w:val="22"/>
          <w:szCs w:val="22"/>
        </w:rPr>
        <w:t>must be mailed to Federal Communications Commission, P.O. Box 979088, St. Louis, MO 63197-9000, or sent via</w:t>
      </w:r>
      <w:r w:rsidR="004845F7">
        <w:rPr>
          <w:rFonts w:eastAsia="MS Mincho"/>
          <w:sz w:val="22"/>
          <w:szCs w:val="22"/>
        </w:rPr>
        <w:t xml:space="preserve"> </w:t>
      </w:r>
      <w:r w:rsidRPr="00A66F85">
        <w:rPr>
          <w:rFonts w:eastAsia="MS Mincho"/>
          <w:sz w:val="22"/>
          <w:szCs w:val="22"/>
        </w:rPr>
        <w:t>overnight mail</w:t>
      </w:r>
      <w:r w:rsidR="004845F7">
        <w:rPr>
          <w:rFonts w:eastAsia="MS Mincho"/>
          <w:sz w:val="22"/>
          <w:szCs w:val="22"/>
        </w:rPr>
        <w:t xml:space="preserve"> </w:t>
      </w:r>
      <w:r w:rsidRPr="00A66F85">
        <w:rPr>
          <w:rFonts w:eastAsia="MS Mincho"/>
          <w:sz w:val="22"/>
          <w:szCs w:val="22"/>
        </w:rPr>
        <w:t>to U.S. Bank – Government Lockbox #979088, SL-MO-C2-GL, 1005 Convention Plaza, St. Louis, MO 63101.</w:t>
      </w:r>
      <w:r w:rsidR="004845F7">
        <w:rPr>
          <w:rFonts w:eastAsia="MS Mincho"/>
          <w:sz w:val="22"/>
          <w:szCs w:val="22"/>
        </w:rPr>
        <w:t xml:space="preserve">  </w:t>
      </w:r>
    </w:p>
    <w:p w14:paraId="519C12F5" w14:textId="77777777" w:rsidR="00A66F85" w:rsidRPr="00A66F85" w:rsidRDefault="00A66F85" w:rsidP="004A326D">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Payment by</w:t>
      </w:r>
      <w:r w:rsidR="004845F7">
        <w:rPr>
          <w:rFonts w:eastAsia="MS Mincho"/>
          <w:sz w:val="22"/>
          <w:szCs w:val="22"/>
        </w:rPr>
        <w:t xml:space="preserve"> </w:t>
      </w:r>
      <w:r w:rsidRPr="00A66F85">
        <w:rPr>
          <w:rFonts w:eastAsia="MS Mincho"/>
          <w:sz w:val="22"/>
          <w:szCs w:val="22"/>
        </w:rPr>
        <w:t>wire transfer</w:t>
      </w:r>
      <w:r w:rsidR="004845F7">
        <w:rPr>
          <w:rFonts w:eastAsia="MS Mincho"/>
          <w:sz w:val="22"/>
          <w:szCs w:val="22"/>
        </w:rPr>
        <w:t xml:space="preserve"> </w:t>
      </w:r>
      <w:r w:rsidRPr="00A66F85">
        <w:rPr>
          <w:rFonts w:eastAsia="MS Mincho"/>
          <w:sz w:val="22"/>
          <w:szCs w:val="22"/>
        </w:rPr>
        <w:t>must be made to ABA Number 021030004, receiving bank TREAS/NYC, and Account Number 27000001.</w:t>
      </w:r>
      <w:r w:rsidR="004845F7">
        <w:rPr>
          <w:rFonts w:eastAsia="MS Mincho"/>
          <w:sz w:val="22"/>
          <w:szCs w:val="22"/>
        </w:rPr>
        <w:t xml:space="preserve"> </w:t>
      </w:r>
      <w:r w:rsidRPr="00A66F85">
        <w:rPr>
          <w:rFonts w:eastAsia="MS Mincho"/>
          <w:sz w:val="22"/>
          <w:szCs w:val="22"/>
        </w:rPr>
        <w:t xml:space="preserve"> To complete the wire transfer and ensure appropriate crediting of the wired funds, a completed Form 159 must be faxed to U.S. Bank at (314) 418-4232 on the same business day the wire transfer is initiated.</w:t>
      </w:r>
      <w:r w:rsidR="004845F7">
        <w:rPr>
          <w:rFonts w:eastAsia="MS Mincho"/>
          <w:sz w:val="22"/>
          <w:szCs w:val="22"/>
        </w:rPr>
        <w:t xml:space="preserve">  </w:t>
      </w:r>
    </w:p>
    <w:p w14:paraId="6B902601" w14:textId="77777777" w:rsidR="00A66F85" w:rsidRPr="00A66F85" w:rsidRDefault="00A66F85" w:rsidP="004A326D">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Payment by credit card must be made by providing the required credit card information on FCC Form 159 and signing</w:t>
      </w:r>
      <w:r w:rsidR="004845F7">
        <w:rPr>
          <w:rFonts w:eastAsia="MS Mincho"/>
          <w:sz w:val="22"/>
          <w:szCs w:val="22"/>
        </w:rPr>
        <w:t xml:space="preserve"> </w:t>
      </w:r>
      <w:r w:rsidRPr="00A66F85">
        <w:rPr>
          <w:rFonts w:eastAsia="MS Mincho"/>
          <w:sz w:val="22"/>
          <w:szCs w:val="22"/>
        </w:rPr>
        <w:t>and dating</w:t>
      </w:r>
      <w:r w:rsidR="004845F7">
        <w:rPr>
          <w:rFonts w:eastAsia="MS Mincho"/>
          <w:sz w:val="22"/>
          <w:szCs w:val="22"/>
        </w:rPr>
        <w:t xml:space="preserve"> </w:t>
      </w:r>
      <w:r w:rsidRPr="00A66F85">
        <w:rPr>
          <w:rFonts w:eastAsia="MS Mincho"/>
          <w:sz w:val="22"/>
          <w:szCs w:val="22"/>
        </w:rPr>
        <w:t>the Form 159 to autho</w:t>
      </w:r>
      <w:r w:rsidR="00E2691A">
        <w:rPr>
          <w:rFonts w:eastAsia="MS Mincho"/>
          <w:sz w:val="22"/>
          <w:szCs w:val="22"/>
        </w:rPr>
        <w:t>rize</w:t>
      </w:r>
      <w:r w:rsidR="004845F7">
        <w:rPr>
          <w:rFonts w:eastAsia="MS Mincho"/>
          <w:sz w:val="22"/>
          <w:szCs w:val="22"/>
        </w:rPr>
        <w:t xml:space="preserve"> </w:t>
      </w:r>
      <w:r w:rsidR="00E2691A">
        <w:rPr>
          <w:rFonts w:eastAsia="MS Mincho"/>
          <w:sz w:val="22"/>
          <w:szCs w:val="22"/>
        </w:rPr>
        <w:t xml:space="preserve">the credit card payment.  </w:t>
      </w:r>
      <w:r w:rsidRPr="00A66F85">
        <w:rPr>
          <w:rFonts w:eastAsia="MS Mincho"/>
          <w:sz w:val="22"/>
          <w:szCs w:val="22"/>
        </w:rPr>
        <w:t>The completed Form 159 must then be mailed to Federal Communications Commission, P.O. Box 979088, St. Louis, MO 63197-9000, or sent via</w:t>
      </w:r>
      <w:r w:rsidR="004845F7">
        <w:rPr>
          <w:rFonts w:eastAsia="MS Mincho"/>
          <w:sz w:val="22"/>
          <w:szCs w:val="22"/>
        </w:rPr>
        <w:t xml:space="preserve"> </w:t>
      </w:r>
      <w:r w:rsidRPr="00A66F85">
        <w:rPr>
          <w:rFonts w:eastAsia="MS Mincho"/>
          <w:sz w:val="22"/>
          <w:szCs w:val="22"/>
        </w:rPr>
        <w:t>overnight mail</w:t>
      </w:r>
      <w:r w:rsidR="004845F7">
        <w:rPr>
          <w:rFonts w:eastAsia="MS Mincho"/>
          <w:sz w:val="22"/>
          <w:szCs w:val="22"/>
        </w:rPr>
        <w:t xml:space="preserve"> </w:t>
      </w:r>
      <w:r w:rsidRPr="00A66F85">
        <w:rPr>
          <w:rFonts w:eastAsia="MS Mincho"/>
          <w:sz w:val="22"/>
          <w:szCs w:val="22"/>
        </w:rPr>
        <w:t>to U.S. Bank – Government Lockbox #979088, SL-MO-C2-GL, 1005 Convention Plaza, St. Louis, MO 63101.</w:t>
      </w:r>
      <w:r w:rsidR="004845F7">
        <w:rPr>
          <w:rFonts w:eastAsia="MS Mincho"/>
          <w:sz w:val="22"/>
          <w:szCs w:val="22"/>
        </w:rPr>
        <w:t xml:space="preserve"> </w:t>
      </w:r>
      <w:r w:rsidRPr="00A66F85">
        <w:rPr>
          <w:rFonts w:eastAsia="MS Mincho"/>
          <w:sz w:val="22"/>
          <w:szCs w:val="22"/>
        </w:rPr>
        <w:t xml:space="preserve"> </w:t>
      </w:r>
    </w:p>
    <w:p w14:paraId="140EEEE0" w14:textId="77777777" w:rsidR="00C46383" w:rsidRDefault="00A66F85" w:rsidP="004A326D">
      <w:pPr>
        <w:widowControl/>
        <w:numPr>
          <w:ilvl w:val="0"/>
          <w:numId w:val="22"/>
        </w:numPr>
        <w:tabs>
          <w:tab w:val="clear" w:pos="1260"/>
          <w:tab w:val="left" w:pos="0"/>
          <w:tab w:val="num" w:pos="1440"/>
        </w:tabs>
        <w:suppressAutoHyphens/>
        <w:spacing w:after="120"/>
        <w:ind w:left="0"/>
        <w:rPr>
          <w:spacing w:val="-2"/>
          <w:sz w:val="22"/>
          <w:szCs w:val="22"/>
        </w:rPr>
      </w:pPr>
      <w:r w:rsidRPr="00A66F85">
        <w:rPr>
          <w:rFonts w:eastAsia="MS Mincho"/>
          <w:sz w:val="22"/>
          <w:szCs w:val="22"/>
        </w:rPr>
        <w:t xml:space="preserve">Any </w:t>
      </w:r>
      <w:r w:rsidRPr="00C46383">
        <w:rPr>
          <w:rFonts w:eastAsia="MS Mincho" w:cs="Arial"/>
          <w:sz w:val="22"/>
          <w:szCs w:val="22"/>
        </w:rPr>
        <w:t>request</w:t>
      </w:r>
      <w:r w:rsidRPr="00A66F85">
        <w:rPr>
          <w:rFonts w:eastAsia="MS Mincho"/>
          <w:sz w:val="22"/>
          <w:szCs w:val="22"/>
        </w:rPr>
        <w:t xml:space="preserve"> for </w:t>
      </w:r>
      <w:r w:rsidR="00D13FA6">
        <w:rPr>
          <w:rFonts w:eastAsia="MS Mincho"/>
          <w:sz w:val="22"/>
          <w:szCs w:val="22"/>
        </w:rPr>
        <w:t xml:space="preserve">making </w:t>
      </w:r>
      <w:r w:rsidRPr="00A66F85">
        <w:rPr>
          <w:rFonts w:eastAsia="MS Mincho"/>
          <w:sz w:val="22"/>
          <w:szCs w:val="22"/>
        </w:rPr>
        <w:t xml:space="preserve">full payment </w:t>
      </w:r>
      <w:r w:rsidR="00D13FA6">
        <w:rPr>
          <w:rFonts w:eastAsia="MS Mincho"/>
          <w:sz w:val="22"/>
          <w:szCs w:val="22"/>
        </w:rPr>
        <w:t xml:space="preserve">over time </w:t>
      </w:r>
      <w:r w:rsidRPr="00A66F85">
        <w:rPr>
          <w:rFonts w:eastAsia="MS Mincho" w:cs="Arial"/>
          <w:sz w:val="22"/>
          <w:szCs w:val="22"/>
        </w:rPr>
        <w:t>under</w:t>
      </w:r>
      <w:r w:rsidRPr="00A66F85">
        <w:rPr>
          <w:rFonts w:eastAsia="MS Mincho"/>
          <w:sz w:val="22"/>
          <w:szCs w:val="22"/>
        </w:rPr>
        <w:t xml:space="preserve"> an installment plan should be sent to:</w:t>
      </w:r>
      <w:r w:rsidR="004845F7">
        <w:rPr>
          <w:rFonts w:eastAsia="MS Mincho"/>
          <w:sz w:val="22"/>
          <w:szCs w:val="22"/>
        </w:rPr>
        <w:t xml:space="preserve"> </w:t>
      </w:r>
      <w:r w:rsidRPr="00A66F85">
        <w:rPr>
          <w:rFonts w:eastAsia="MS Mincho"/>
          <w:sz w:val="22"/>
          <w:szCs w:val="22"/>
        </w:rPr>
        <w:t xml:space="preserve"> Chief Financial Officer—Financial Operations, </w:t>
      </w:r>
      <w:r w:rsidRPr="00A66F85">
        <w:rPr>
          <w:rFonts w:eastAsia="MS Mincho" w:cs="Arial"/>
          <w:sz w:val="22"/>
          <w:szCs w:val="22"/>
        </w:rPr>
        <w:t>Federal</w:t>
      </w:r>
      <w:r w:rsidRPr="00A66F85">
        <w:rPr>
          <w:rFonts w:eastAsia="MS Mincho"/>
          <w:sz w:val="22"/>
          <w:szCs w:val="22"/>
        </w:rPr>
        <w:t xml:space="preserve"> Communications Commission, 445 12th Street, S</w:t>
      </w:r>
      <w:r w:rsidR="00BA4145">
        <w:rPr>
          <w:rFonts w:eastAsia="MS Mincho"/>
          <w:sz w:val="22"/>
          <w:szCs w:val="22"/>
        </w:rPr>
        <w:t>.W., Room 1-A625, Washington, DC</w:t>
      </w:r>
      <w:r w:rsidR="004845F7">
        <w:rPr>
          <w:rFonts w:eastAsia="MS Mincho"/>
          <w:sz w:val="22"/>
          <w:szCs w:val="22"/>
        </w:rPr>
        <w:t xml:space="preserve"> </w:t>
      </w:r>
      <w:r w:rsidRPr="00A66F85">
        <w:rPr>
          <w:rFonts w:eastAsia="MS Mincho"/>
          <w:sz w:val="22"/>
          <w:szCs w:val="22"/>
        </w:rPr>
        <w:t xml:space="preserve"> 20554.</w:t>
      </w:r>
      <w:r w:rsidRPr="00A66F85">
        <w:rPr>
          <w:rStyle w:val="FootnoteReference"/>
          <w:rFonts w:eastAsia="MS Mincho"/>
          <w:sz w:val="22"/>
          <w:szCs w:val="22"/>
        </w:rPr>
        <w:footnoteReference w:id="48"/>
      </w:r>
      <w:r w:rsidR="004845F7">
        <w:rPr>
          <w:rFonts w:eastAsia="MS Mincho"/>
          <w:sz w:val="22"/>
          <w:szCs w:val="22"/>
        </w:rPr>
        <w:t xml:space="preserve">  </w:t>
      </w:r>
      <w:r w:rsidR="00583A6A">
        <w:rPr>
          <w:rFonts w:eastAsia="MS Mincho"/>
          <w:sz w:val="22"/>
          <w:szCs w:val="22"/>
        </w:rPr>
        <w:t xml:space="preserve">Questions regarding payment </w:t>
      </w:r>
      <w:r w:rsidR="006C73C9">
        <w:rPr>
          <w:rFonts w:eastAsia="MS Mincho"/>
          <w:sz w:val="22"/>
          <w:szCs w:val="22"/>
        </w:rPr>
        <w:t>procedures</w:t>
      </w:r>
      <w:r w:rsidR="00583A6A">
        <w:rPr>
          <w:rFonts w:eastAsia="MS Mincho"/>
          <w:sz w:val="22"/>
          <w:szCs w:val="22"/>
        </w:rPr>
        <w:t xml:space="preserve"> should be directed to </w:t>
      </w:r>
      <w:r w:rsidRPr="00A66F85">
        <w:rPr>
          <w:rFonts w:eastAsia="MS Mincho"/>
          <w:sz w:val="22"/>
          <w:szCs w:val="22"/>
        </w:rPr>
        <w:t>the Financial Operations Group Help Desk</w:t>
      </w:r>
      <w:r w:rsidR="004845F7">
        <w:rPr>
          <w:rFonts w:eastAsia="MS Mincho"/>
          <w:sz w:val="22"/>
          <w:szCs w:val="22"/>
        </w:rPr>
        <w:t xml:space="preserve"> </w:t>
      </w:r>
      <w:r w:rsidRPr="00A66F85">
        <w:rPr>
          <w:rFonts w:eastAsia="MS Mincho"/>
          <w:sz w:val="22"/>
          <w:szCs w:val="22"/>
        </w:rPr>
        <w:t>by phone,</w:t>
      </w:r>
      <w:r w:rsidR="004845F7">
        <w:rPr>
          <w:rFonts w:eastAsia="MS Mincho"/>
          <w:sz w:val="22"/>
          <w:szCs w:val="22"/>
        </w:rPr>
        <w:t xml:space="preserve"> </w:t>
      </w:r>
      <w:r w:rsidRPr="00A66F85">
        <w:rPr>
          <w:rFonts w:eastAsia="MS Mincho"/>
          <w:sz w:val="22"/>
          <w:szCs w:val="22"/>
        </w:rPr>
        <w:t>1-877-480-3201, or</w:t>
      </w:r>
      <w:r w:rsidR="004845F7">
        <w:rPr>
          <w:rFonts w:eastAsia="MS Mincho"/>
          <w:sz w:val="22"/>
          <w:szCs w:val="22"/>
        </w:rPr>
        <w:t xml:space="preserve"> </w:t>
      </w:r>
      <w:r w:rsidRPr="00A66F85">
        <w:rPr>
          <w:rFonts w:eastAsia="MS Mincho"/>
          <w:sz w:val="22"/>
          <w:szCs w:val="22"/>
        </w:rPr>
        <w:t>by e</w:t>
      </w:r>
      <w:r w:rsidRPr="00A66F85">
        <w:rPr>
          <w:rFonts w:eastAsia="MS Mincho"/>
          <w:sz w:val="22"/>
          <w:szCs w:val="22"/>
        </w:rPr>
        <w:noBreakHyphen/>
        <w:t xml:space="preserve">mail, </w:t>
      </w:r>
      <w:r w:rsidRPr="00A66F85">
        <w:rPr>
          <w:rFonts w:eastAsia="MS Mincho" w:cs="Arial"/>
          <w:sz w:val="22"/>
          <w:szCs w:val="22"/>
        </w:rPr>
        <w:t>ARINQUIRIES@fcc.gov</w:t>
      </w:r>
      <w:r w:rsidRPr="00A66F85">
        <w:rPr>
          <w:rFonts w:eastAsia="MS Mincho"/>
          <w:sz w:val="22"/>
          <w:szCs w:val="22"/>
        </w:rPr>
        <w:t xml:space="preserve">.  </w:t>
      </w:r>
    </w:p>
    <w:p w14:paraId="1BEEBA41" w14:textId="77777777" w:rsidR="00C46383" w:rsidRPr="009C7F6B" w:rsidRDefault="007E2E05" w:rsidP="0030752B">
      <w:pPr>
        <w:widowControl/>
        <w:numPr>
          <w:ilvl w:val="0"/>
          <w:numId w:val="22"/>
        </w:numPr>
        <w:tabs>
          <w:tab w:val="clear" w:pos="1260"/>
          <w:tab w:val="left" w:pos="0"/>
          <w:tab w:val="num" w:pos="1440"/>
        </w:tabs>
        <w:suppressAutoHyphens/>
        <w:spacing w:after="120"/>
        <w:ind w:left="0"/>
        <w:rPr>
          <w:spacing w:val="-2"/>
          <w:sz w:val="22"/>
          <w:szCs w:val="22"/>
        </w:rPr>
      </w:pPr>
      <w:r w:rsidRPr="009C7F6B">
        <w:rPr>
          <w:sz w:val="22"/>
          <w:szCs w:val="22"/>
        </w:rPr>
        <w:t>The written statement seeking reduction or cancellation of the proposed forfeiture, if any, must include a detailed factual statement supported by appropriate documentat</w:t>
      </w:r>
      <w:r w:rsidR="00D57AE2" w:rsidRPr="009C7F6B">
        <w:rPr>
          <w:sz w:val="22"/>
          <w:szCs w:val="22"/>
        </w:rPr>
        <w:t>ion and affidavits pursuant to S</w:t>
      </w:r>
      <w:r w:rsidRPr="009C7F6B">
        <w:rPr>
          <w:sz w:val="22"/>
          <w:szCs w:val="22"/>
        </w:rPr>
        <w:t xml:space="preserve">ections </w:t>
      </w:r>
      <w:r w:rsidR="00F30E61" w:rsidRPr="009C7F6B">
        <w:rPr>
          <w:sz w:val="22"/>
          <w:szCs w:val="22"/>
        </w:rPr>
        <w:t xml:space="preserve">1.16 and </w:t>
      </w:r>
      <w:r w:rsidRPr="009C7F6B">
        <w:rPr>
          <w:sz w:val="22"/>
          <w:szCs w:val="22"/>
        </w:rPr>
        <w:t>1.80(f)(3) of the Rules.</w:t>
      </w:r>
      <w:r w:rsidR="003E2AD5">
        <w:rPr>
          <w:rStyle w:val="FootnoteReference"/>
          <w:sz w:val="22"/>
          <w:szCs w:val="22"/>
        </w:rPr>
        <w:footnoteReference w:id="49"/>
      </w:r>
      <w:r w:rsidRPr="009C7F6B">
        <w:rPr>
          <w:sz w:val="22"/>
          <w:szCs w:val="22"/>
        </w:rPr>
        <w:t xml:space="preserve">  Mail the written statement to Federal Communications Commission, Enforcement Bureau,</w:t>
      </w:r>
      <w:r w:rsidR="00050854" w:rsidRPr="009C7F6B">
        <w:rPr>
          <w:spacing w:val="-2"/>
          <w:sz w:val="22"/>
          <w:szCs w:val="22"/>
        </w:rPr>
        <w:t xml:space="preserve"> </w:t>
      </w:r>
      <w:r w:rsidR="00451653" w:rsidRPr="009C7F6B">
        <w:rPr>
          <w:spacing w:val="-2"/>
          <w:sz w:val="22"/>
          <w:szCs w:val="22"/>
        </w:rPr>
        <w:t>Western</w:t>
      </w:r>
      <w:r w:rsidR="004845F7" w:rsidRPr="009C7F6B">
        <w:rPr>
          <w:spacing w:val="-2"/>
          <w:sz w:val="22"/>
          <w:szCs w:val="22"/>
        </w:rPr>
        <w:t xml:space="preserve"> Region, </w:t>
      </w:r>
      <w:r w:rsidR="00451653" w:rsidRPr="009C7F6B">
        <w:rPr>
          <w:spacing w:val="-2"/>
          <w:sz w:val="22"/>
          <w:szCs w:val="22"/>
        </w:rPr>
        <w:t>Los Angeles Office</w:t>
      </w:r>
      <w:r w:rsidR="009C7F6B" w:rsidRPr="009C7F6B">
        <w:rPr>
          <w:spacing w:val="-2"/>
          <w:sz w:val="22"/>
          <w:szCs w:val="22"/>
        </w:rPr>
        <w:t xml:space="preserve">, 18000 Studebaker Rd., Suite 660, Cerritos, CA 90703, </w:t>
      </w:r>
      <w:r w:rsidR="00050854" w:rsidRPr="009C7F6B">
        <w:rPr>
          <w:spacing w:val="-2"/>
          <w:sz w:val="22"/>
          <w:szCs w:val="22"/>
        </w:rPr>
        <w:t>and include the NAL/Acct. No. referenced in the caption.</w:t>
      </w:r>
      <w:r w:rsidR="00683F6F" w:rsidRPr="009C7F6B">
        <w:rPr>
          <w:spacing w:val="-2"/>
          <w:sz w:val="22"/>
          <w:szCs w:val="22"/>
        </w:rPr>
        <w:t xml:space="preserve">  </w:t>
      </w:r>
      <w:r w:rsidR="00583A6A" w:rsidRPr="009C7F6B">
        <w:rPr>
          <w:spacing w:val="-2"/>
          <w:sz w:val="22"/>
          <w:szCs w:val="22"/>
        </w:rPr>
        <w:t xml:space="preserve">The statement must </w:t>
      </w:r>
      <w:r w:rsidR="005F67D7" w:rsidRPr="009C7F6B">
        <w:rPr>
          <w:color w:val="000000"/>
          <w:spacing w:val="-2"/>
          <w:sz w:val="22"/>
          <w:szCs w:val="22"/>
        </w:rPr>
        <w:t>also</w:t>
      </w:r>
      <w:r w:rsidR="00583A6A" w:rsidRPr="009C7F6B">
        <w:rPr>
          <w:color w:val="000000"/>
          <w:spacing w:val="-2"/>
          <w:sz w:val="22"/>
          <w:szCs w:val="22"/>
        </w:rPr>
        <w:t xml:space="preserve"> be </w:t>
      </w:r>
      <w:r w:rsidR="00683F6F" w:rsidRPr="009C7F6B">
        <w:rPr>
          <w:spacing w:val="-2"/>
          <w:sz w:val="22"/>
          <w:szCs w:val="22"/>
        </w:rPr>
        <w:t>e</w:t>
      </w:r>
      <w:r w:rsidR="00C009F7" w:rsidRPr="009C7F6B">
        <w:rPr>
          <w:spacing w:val="-2"/>
          <w:sz w:val="22"/>
          <w:szCs w:val="22"/>
        </w:rPr>
        <w:t>-</w:t>
      </w:r>
      <w:r w:rsidR="00683F6F" w:rsidRPr="009C7F6B">
        <w:rPr>
          <w:spacing w:val="-2"/>
          <w:sz w:val="22"/>
          <w:szCs w:val="22"/>
        </w:rPr>
        <w:t>mail</w:t>
      </w:r>
      <w:r w:rsidR="00583A6A" w:rsidRPr="009C7F6B">
        <w:rPr>
          <w:spacing w:val="-2"/>
          <w:sz w:val="22"/>
          <w:szCs w:val="22"/>
        </w:rPr>
        <w:t xml:space="preserve">ed </w:t>
      </w:r>
      <w:r w:rsidR="00683F6F" w:rsidRPr="009C7F6B">
        <w:rPr>
          <w:spacing w:val="-2"/>
          <w:sz w:val="22"/>
          <w:szCs w:val="22"/>
        </w:rPr>
        <w:t>to</w:t>
      </w:r>
      <w:r w:rsidR="000F10C7" w:rsidRPr="009C7F6B">
        <w:rPr>
          <w:spacing w:val="-2"/>
          <w:sz w:val="22"/>
          <w:szCs w:val="22"/>
        </w:rPr>
        <w:t xml:space="preserve"> </w:t>
      </w:r>
      <w:r w:rsidR="009C7F6B">
        <w:rPr>
          <w:spacing w:val="-2"/>
          <w:sz w:val="22"/>
          <w:szCs w:val="22"/>
        </w:rPr>
        <w:t>WR</w:t>
      </w:r>
      <w:r w:rsidR="004845F7" w:rsidRPr="009C7F6B">
        <w:rPr>
          <w:sz w:val="22"/>
          <w:szCs w:val="22"/>
        </w:rPr>
        <w:t>-Response@fcc.gov</w:t>
      </w:r>
      <w:r w:rsidR="000F10C7" w:rsidRPr="009C7F6B">
        <w:rPr>
          <w:sz w:val="22"/>
          <w:szCs w:val="22"/>
        </w:rPr>
        <w:t>.</w:t>
      </w:r>
    </w:p>
    <w:p w14:paraId="306C0FE7" w14:textId="77777777" w:rsidR="00C46383" w:rsidRDefault="00050854" w:rsidP="004A326D">
      <w:pPr>
        <w:widowControl/>
        <w:numPr>
          <w:ilvl w:val="0"/>
          <w:numId w:val="22"/>
        </w:numPr>
        <w:tabs>
          <w:tab w:val="clear" w:pos="1260"/>
          <w:tab w:val="left" w:pos="0"/>
          <w:tab w:val="num" w:pos="1440"/>
        </w:tabs>
        <w:suppressAutoHyphens/>
        <w:spacing w:after="120"/>
        <w:ind w:left="0"/>
        <w:rPr>
          <w:spacing w:val="-2"/>
          <w:sz w:val="22"/>
          <w:szCs w:val="22"/>
        </w:rPr>
      </w:pPr>
      <w:r w:rsidRPr="00C46383">
        <w:rPr>
          <w:spacing w:val="-2"/>
          <w:sz w:val="22"/>
          <w:szCs w:val="22"/>
        </w:rPr>
        <w:t xml:space="preserve">The Commission will not consider reducing or canceling a forfeiture in response to a claim of inability to pay unless the petitioner submits: </w:t>
      </w:r>
      <w:r w:rsidR="00F30E61" w:rsidRPr="00C46383">
        <w:rPr>
          <w:spacing w:val="-2"/>
          <w:sz w:val="22"/>
          <w:szCs w:val="22"/>
        </w:rPr>
        <w:t xml:space="preserve"> </w:t>
      </w:r>
      <w:r w:rsidRPr="00C46383">
        <w:rPr>
          <w:spacing w:val="-2"/>
          <w:sz w:val="22"/>
          <w:szCs w:val="22"/>
        </w:rPr>
        <w:t>(1) federal tax returns for the most recent three-year period; (2) financial statements prepared according to generally accepted accounting pr</w:t>
      </w:r>
      <w:r w:rsidR="00D13FA6" w:rsidRPr="00C46383">
        <w:rPr>
          <w:spacing w:val="-2"/>
          <w:sz w:val="22"/>
          <w:szCs w:val="22"/>
        </w:rPr>
        <w:t>inciples</w:t>
      </w:r>
      <w:r w:rsidRPr="00C46383">
        <w:rPr>
          <w:spacing w:val="-2"/>
          <w:sz w:val="22"/>
          <w:szCs w:val="22"/>
        </w:rPr>
        <w:t xml:space="preserve"> (GAAP); or (3) some other reliable and objective documentation that accurately reflects the petitioner’s current financial status.  Any claim of inability to pay must specifically identify the basis for the claim by reference to the financial documentation submitted.</w:t>
      </w:r>
    </w:p>
    <w:p w14:paraId="3CAAE4EA" w14:textId="31B67DC7" w:rsidR="00050854" w:rsidRPr="00A1103F" w:rsidRDefault="00050854" w:rsidP="002A15B3">
      <w:pPr>
        <w:widowControl/>
        <w:numPr>
          <w:ilvl w:val="0"/>
          <w:numId w:val="22"/>
        </w:numPr>
        <w:tabs>
          <w:tab w:val="clear" w:pos="1260"/>
        </w:tabs>
        <w:suppressAutoHyphens/>
        <w:spacing w:after="120"/>
        <w:ind w:left="0"/>
        <w:rPr>
          <w:spacing w:val="-2"/>
          <w:sz w:val="22"/>
          <w:szCs w:val="22"/>
        </w:rPr>
      </w:pPr>
      <w:r w:rsidRPr="00A1103F">
        <w:rPr>
          <w:b/>
          <w:spacing w:val="-2"/>
          <w:sz w:val="22"/>
          <w:szCs w:val="22"/>
        </w:rPr>
        <w:t>IT IS FURTHER ORDERED</w:t>
      </w:r>
      <w:r w:rsidRPr="00A1103F">
        <w:rPr>
          <w:spacing w:val="-2"/>
          <w:sz w:val="22"/>
          <w:szCs w:val="22"/>
        </w:rPr>
        <w:t xml:space="preserve"> </w:t>
      </w:r>
      <w:r w:rsidR="003F3CFD" w:rsidRPr="00A1103F">
        <w:rPr>
          <w:spacing w:val="-2"/>
          <w:sz w:val="22"/>
          <w:szCs w:val="22"/>
        </w:rPr>
        <w:t>that</w:t>
      </w:r>
      <w:r w:rsidRPr="00A1103F">
        <w:rPr>
          <w:spacing w:val="-2"/>
          <w:sz w:val="22"/>
          <w:szCs w:val="22"/>
        </w:rPr>
        <w:t xml:space="preserve"> a copy of this Notice of Apparent Liability for Forfeiture shall be sent by </w:t>
      </w:r>
      <w:r w:rsidR="00583A6A" w:rsidRPr="00A1103F">
        <w:rPr>
          <w:spacing w:val="-2"/>
          <w:sz w:val="22"/>
          <w:szCs w:val="22"/>
        </w:rPr>
        <w:t xml:space="preserve">first class mail and certified mail, return receipt requested, </w:t>
      </w:r>
      <w:r w:rsidRPr="00A1103F">
        <w:rPr>
          <w:spacing w:val="-2"/>
          <w:sz w:val="22"/>
          <w:szCs w:val="22"/>
        </w:rPr>
        <w:t xml:space="preserve">to </w:t>
      </w:r>
      <w:r w:rsidR="00A1103F" w:rsidRPr="00A1103F">
        <w:rPr>
          <w:spacing w:val="-2"/>
          <w:sz w:val="22"/>
          <w:szCs w:val="22"/>
        </w:rPr>
        <w:t xml:space="preserve">Mobile Relay Associates, P.O. Box 19, Paramount, CA 90723-0019, and to its counsel, David J. Kaufman, </w:t>
      </w:r>
      <w:r w:rsidR="002A15B3" w:rsidRPr="00A1103F">
        <w:rPr>
          <w:spacing w:val="-2"/>
          <w:sz w:val="22"/>
          <w:szCs w:val="22"/>
        </w:rPr>
        <w:t>Esquire</w:t>
      </w:r>
      <w:r w:rsidR="00A1103F" w:rsidRPr="00A1103F">
        <w:rPr>
          <w:spacing w:val="-2"/>
          <w:sz w:val="22"/>
          <w:szCs w:val="22"/>
        </w:rPr>
        <w:t>, Rini O’Neil, PC, 1200 New Hampshire Av</w:t>
      </w:r>
      <w:r w:rsidR="0092497C">
        <w:rPr>
          <w:spacing w:val="-2"/>
          <w:sz w:val="22"/>
          <w:szCs w:val="22"/>
        </w:rPr>
        <w:t>e. NW, Suite 6</w:t>
      </w:r>
      <w:r w:rsidR="002A15B3">
        <w:rPr>
          <w:spacing w:val="-2"/>
          <w:sz w:val="22"/>
          <w:szCs w:val="22"/>
        </w:rPr>
        <w:t>00, Washington, DC</w:t>
      </w:r>
      <w:r w:rsidR="00A1103F" w:rsidRPr="00A1103F">
        <w:rPr>
          <w:spacing w:val="-2"/>
          <w:sz w:val="22"/>
          <w:szCs w:val="22"/>
        </w:rPr>
        <w:t xml:space="preserve"> 20036.</w:t>
      </w:r>
      <w:r w:rsidR="000F10C7" w:rsidRPr="00A1103F">
        <w:rPr>
          <w:spacing w:val="-2"/>
          <w:sz w:val="22"/>
          <w:szCs w:val="22"/>
        </w:rPr>
        <w:t xml:space="preserve">  </w:t>
      </w:r>
    </w:p>
    <w:p w14:paraId="031CB03D" w14:textId="77777777" w:rsidR="00331410" w:rsidRPr="00E34AAE" w:rsidRDefault="00331410" w:rsidP="00BF1922">
      <w:pPr>
        <w:widowControl/>
        <w:tabs>
          <w:tab w:val="left" w:pos="0"/>
        </w:tabs>
        <w:suppressAutoHyphens/>
        <w:spacing w:line="240" w:lineRule="atLeast"/>
        <w:rPr>
          <w:spacing w:val="-2"/>
          <w:sz w:val="22"/>
          <w:szCs w:val="22"/>
        </w:rPr>
      </w:pPr>
    </w:p>
    <w:p w14:paraId="7EA1D5B8" w14:textId="77777777" w:rsidR="00050854" w:rsidRPr="00E34AAE" w:rsidRDefault="00050854" w:rsidP="00BF1922">
      <w:pPr>
        <w:widowControl/>
        <w:tabs>
          <w:tab w:val="left" w:pos="0"/>
          <w:tab w:val="num" w:pos="1440"/>
        </w:tabs>
        <w:suppressAutoHyphens/>
        <w:spacing w:line="240" w:lineRule="atLeast"/>
        <w:jc w:val="both"/>
        <w:rPr>
          <w:spacing w:val="-2"/>
          <w:sz w:val="22"/>
          <w:szCs w:val="22"/>
        </w:rPr>
      </w:pPr>
    </w:p>
    <w:p w14:paraId="2190F194" w14:textId="77777777" w:rsidR="00050854" w:rsidRPr="00E34AAE" w:rsidRDefault="00331410" w:rsidP="00BF1922">
      <w:pPr>
        <w:widowControl/>
        <w:tabs>
          <w:tab w:val="left" w:pos="0"/>
          <w:tab w:val="num" w:pos="1440"/>
        </w:tabs>
        <w:suppressAutoHyphens/>
        <w:spacing w:line="240" w:lineRule="atLeast"/>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050854" w:rsidRPr="00E34AAE">
        <w:rPr>
          <w:spacing w:val="-2"/>
          <w:sz w:val="22"/>
          <w:szCs w:val="22"/>
        </w:rPr>
        <w:t>FEDERAL COMMUNICATIONS COMMISSION</w:t>
      </w:r>
    </w:p>
    <w:p w14:paraId="50907D60" w14:textId="77777777" w:rsidR="00050854" w:rsidRPr="00E34AAE" w:rsidRDefault="00050854" w:rsidP="00BF1922">
      <w:pPr>
        <w:widowControl/>
        <w:tabs>
          <w:tab w:val="left" w:pos="0"/>
          <w:tab w:val="num" w:pos="1440"/>
        </w:tabs>
        <w:suppressAutoHyphens/>
        <w:spacing w:line="240" w:lineRule="atLeast"/>
        <w:jc w:val="both"/>
        <w:rPr>
          <w:spacing w:val="-2"/>
          <w:sz w:val="22"/>
          <w:szCs w:val="22"/>
        </w:rPr>
      </w:pPr>
    </w:p>
    <w:p w14:paraId="5226B812" w14:textId="77777777" w:rsidR="00050854" w:rsidRPr="00E34AAE" w:rsidRDefault="00050854" w:rsidP="00BF1922">
      <w:pPr>
        <w:widowControl/>
        <w:tabs>
          <w:tab w:val="left" w:pos="0"/>
          <w:tab w:val="num" w:pos="1440"/>
        </w:tabs>
        <w:suppressAutoHyphens/>
        <w:spacing w:line="240" w:lineRule="atLeast"/>
        <w:jc w:val="both"/>
        <w:rPr>
          <w:spacing w:val="-2"/>
          <w:sz w:val="22"/>
          <w:szCs w:val="22"/>
        </w:rPr>
      </w:pPr>
    </w:p>
    <w:p w14:paraId="32706F78" w14:textId="77777777" w:rsidR="00050854" w:rsidRPr="00E34AAE" w:rsidRDefault="00050854" w:rsidP="00BF1922">
      <w:pPr>
        <w:widowControl/>
        <w:tabs>
          <w:tab w:val="left" w:pos="0"/>
          <w:tab w:val="num" w:pos="1440"/>
        </w:tabs>
        <w:suppressAutoHyphens/>
        <w:spacing w:line="240" w:lineRule="atLeast"/>
        <w:jc w:val="both"/>
        <w:rPr>
          <w:spacing w:val="-2"/>
          <w:sz w:val="22"/>
          <w:szCs w:val="22"/>
        </w:rPr>
      </w:pPr>
    </w:p>
    <w:p w14:paraId="1E711BC6" w14:textId="77777777" w:rsidR="00331410" w:rsidRDefault="00050854" w:rsidP="00BF1922">
      <w:pPr>
        <w:widowControl/>
        <w:tabs>
          <w:tab w:val="left" w:pos="0"/>
          <w:tab w:val="num" w:pos="1440"/>
        </w:tabs>
        <w:suppressAutoHyphens/>
        <w:spacing w:line="240" w:lineRule="atLeast"/>
        <w:jc w:val="both"/>
        <w:rPr>
          <w:spacing w:val="-2"/>
          <w:sz w:val="22"/>
          <w:szCs w:val="22"/>
        </w:rPr>
      </w:pP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p>
    <w:p w14:paraId="744331D9" w14:textId="77777777" w:rsidR="004845F7" w:rsidRPr="004845F7" w:rsidRDefault="00331410" w:rsidP="004845F7">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sidR="00050854" w:rsidRPr="000F10C7">
        <w:rPr>
          <w:spacing w:val="-2"/>
          <w:sz w:val="22"/>
          <w:szCs w:val="22"/>
        </w:rPr>
        <w:tab/>
      </w:r>
      <w:r w:rsidR="00280162">
        <w:rPr>
          <w:spacing w:val="-2"/>
          <w:sz w:val="22"/>
          <w:szCs w:val="22"/>
        </w:rPr>
        <w:t>Charles A. Cooper</w:t>
      </w:r>
    </w:p>
    <w:p w14:paraId="50DC5781" w14:textId="77777777" w:rsidR="004845F7" w:rsidRPr="004845F7" w:rsidRDefault="004845F7" w:rsidP="004845F7">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4845F7">
        <w:rPr>
          <w:spacing w:val="-2"/>
          <w:sz w:val="22"/>
          <w:szCs w:val="22"/>
        </w:rPr>
        <w:t xml:space="preserve">District Director </w:t>
      </w:r>
    </w:p>
    <w:p w14:paraId="3015CB80" w14:textId="77777777" w:rsidR="00050854" w:rsidRPr="000F10C7" w:rsidRDefault="004845F7" w:rsidP="004845F7">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280162">
        <w:rPr>
          <w:spacing w:val="-2"/>
          <w:sz w:val="22"/>
          <w:szCs w:val="22"/>
        </w:rPr>
        <w:t>Los Angeles</w:t>
      </w:r>
      <w:r w:rsidRPr="004845F7">
        <w:rPr>
          <w:spacing w:val="-2"/>
          <w:sz w:val="22"/>
          <w:szCs w:val="22"/>
        </w:rPr>
        <w:t xml:space="preserve"> Office</w:t>
      </w:r>
    </w:p>
    <w:p w14:paraId="4F2CCCF5" w14:textId="77777777" w:rsidR="00050854" w:rsidRPr="000F10C7" w:rsidRDefault="000A0EEE" w:rsidP="00BF1922">
      <w:pPr>
        <w:widowControl/>
        <w:tabs>
          <w:tab w:val="left" w:pos="0"/>
          <w:tab w:val="num" w:pos="1440"/>
        </w:tabs>
        <w:suppressAutoHyphens/>
        <w:spacing w:line="240" w:lineRule="atLeast"/>
        <w:jc w:val="both"/>
        <w:rPr>
          <w:spacing w:val="-2"/>
          <w:sz w:val="22"/>
          <w:szCs w:val="22"/>
        </w:rPr>
      </w:pPr>
      <w:r w:rsidRPr="000F10C7">
        <w:rPr>
          <w:spacing w:val="-2"/>
          <w:sz w:val="22"/>
          <w:szCs w:val="22"/>
        </w:rPr>
        <w:tab/>
      </w:r>
      <w:r w:rsidRPr="000F10C7">
        <w:rPr>
          <w:spacing w:val="-2"/>
          <w:sz w:val="22"/>
          <w:szCs w:val="22"/>
        </w:rPr>
        <w:tab/>
      </w:r>
      <w:r w:rsidRPr="000F10C7">
        <w:rPr>
          <w:spacing w:val="-2"/>
          <w:sz w:val="22"/>
          <w:szCs w:val="22"/>
        </w:rPr>
        <w:tab/>
      </w:r>
      <w:r w:rsidRPr="000F10C7">
        <w:rPr>
          <w:spacing w:val="-2"/>
          <w:sz w:val="22"/>
          <w:szCs w:val="22"/>
        </w:rPr>
        <w:tab/>
      </w:r>
      <w:r w:rsidRPr="000F10C7">
        <w:rPr>
          <w:spacing w:val="-2"/>
          <w:sz w:val="22"/>
          <w:szCs w:val="22"/>
        </w:rPr>
        <w:tab/>
      </w:r>
      <w:r w:rsidR="00280162">
        <w:rPr>
          <w:spacing w:val="-2"/>
          <w:sz w:val="22"/>
          <w:szCs w:val="22"/>
        </w:rPr>
        <w:t>Western</w:t>
      </w:r>
      <w:r w:rsidR="004845F7" w:rsidRPr="004845F7">
        <w:rPr>
          <w:spacing w:val="-2"/>
          <w:sz w:val="22"/>
          <w:szCs w:val="22"/>
        </w:rPr>
        <w:t xml:space="preserve"> Region</w:t>
      </w:r>
    </w:p>
    <w:p w14:paraId="04BFBC95" w14:textId="77777777" w:rsidR="009F6C24" w:rsidRDefault="00050854" w:rsidP="003407D0">
      <w:pPr>
        <w:widowControl/>
        <w:tabs>
          <w:tab w:val="left" w:pos="0"/>
          <w:tab w:val="num" w:pos="1440"/>
        </w:tabs>
        <w:suppressAutoHyphens/>
        <w:spacing w:line="240" w:lineRule="atLeast"/>
        <w:jc w:val="both"/>
      </w:pPr>
      <w:r w:rsidRPr="000F10C7">
        <w:rPr>
          <w:spacing w:val="-2"/>
          <w:sz w:val="22"/>
          <w:szCs w:val="22"/>
        </w:rPr>
        <w:tab/>
      </w:r>
      <w:r w:rsidRPr="000F10C7">
        <w:rPr>
          <w:spacing w:val="-2"/>
          <w:sz w:val="22"/>
          <w:szCs w:val="22"/>
        </w:rPr>
        <w:tab/>
      </w:r>
      <w:r w:rsidRPr="000F10C7">
        <w:rPr>
          <w:spacing w:val="-2"/>
          <w:sz w:val="22"/>
          <w:szCs w:val="22"/>
        </w:rPr>
        <w:tab/>
      </w:r>
      <w:r w:rsidRPr="000F10C7">
        <w:rPr>
          <w:spacing w:val="-2"/>
          <w:sz w:val="22"/>
          <w:szCs w:val="22"/>
        </w:rPr>
        <w:tab/>
      </w:r>
      <w:r w:rsidRPr="000F10C7">
        <w:rPr>
          <w:spacing w:val="-2"/>
          <w:sz w:val="22"/>
          <w:szCs w:val="22"/>
        </w:rPr>
        <w:tab/>
        <w:t>Enforcement Bureau</w:t>
      </w:r>
    </w:p>
    <w:sectPr w:rsidR="009F6C24" w:rsidSect="003924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90F5C" w14:textId="77777777" w:rsidR="004156A0" w:rsidRDefault="004156A0">
      <w:r>
        <w:separator/>
      </w:r>
    </w:p>
  </w:endnote>
  <w:endnote w:type="continuationSeparator" w:id="0">
    <w:p w14:paraId="5FCD343F" w14:textId="77777777" w:rsidR="004156A0" w:rsidRDefault="004156A0">
      <w:r>
        <w:continuationSeparator/>
      </w:r>
    </w:p>
  </w:endnote>
  <w:endnote w:type="continuationNotice" w:id="1">
    <w:p w14:paraId="48517E1E" w14:textId="77777777" w:rsidR="004156A0" w:rsidRDefault="00415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DBDE4" w14:textId="77777777" w:rsidR="00817164" w:rsidRDefault="00817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F1EA" w14:textId="77777777" w:rsidR="00440EC2" w:rsidRDefault="00440EC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508AA">
      <w:rPr>
        <w:rStyle w:val="PageNumber"/>
        <w:noProof/>
      </w:rPr>
      <w:t>2</w:t>
    </w:r>
    <w:r>
      <w:rPr>
        <w:rStyle w:val="PageNumber"/>
      </w:rPr>
      <w:fldChar w:fldCharType="end"/>
    </w:r>
  </w:p>
  <w:p w14:paraId="3265900D" w14:textId="77777777" w:rsidR="00440EC2" w:rsidRDefault="00440EC2" w:rsidP="006C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F6A04" w14:textId="77777777" w:rsidR="00817164" w:rsidRDefault="00817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6AFBE" w14:textId="77777777" w:rsidR="004156A0" w:rsidRDefault="004156A0">
      <w:r>
        <w:separator/>
      </w:r>
    </w:p>
  </w:footnote>
  <w:footnote w:type="continuationSeparator" w:id="0">
    <w:p w14:paraId="4ECC72BF" w14:textId="77777777" w:rsidR="004156A0" w:rsidRDefault="004156A0">
      <w:r>
        <w:separator/>
      </w:r>
    </w:p>
    <w:p w14:paraId="145AF07E" w14:textId="77777777" w:rsidR="004156A0" w:rsidRDefault="004156A0">
      <w:r>
        <w:t>(...continued from previous page)</w:t>
      </w:r>
    </w:p>
  </w:footnote>
  <w:footnote w:type="continuationNotice" w:id="1">
    <w:p w14:paraId="53E7FE0F" w14:textId="77777777" w:rsidR="004156A0" w:rsidRDefault="004156A0">
      <w:pPr>
        <w:jc w:val="right"/>
      </w:pPr>
      <w:r>
        <w:t>(continued....)</w:t>
      </w:r>
    </w:p>
  </w:footnote>
  <w:footnote w:id="2">
    <w:p w14:paraId="16A5BAE7" w14:textId="77777777" w:rsidR="00440EC2" w:rsidRDefault="00440EC2" w:rsidP="0078681C">
      <w:pPr>
        <w:pStyle w:val="FootnoteText"/>
        <w:jc w:val="left"/>
      </w:pPr>
      <w:r>
        <w:rPr>
          <w:rStyle w:val="FootnoteReference"/>
        </w:rPr>
        <w:footnoteRef/>
      </w:r>
      <w:r w:rsidR="003D7E51">
        <w:t xml:space="preserve"> </w:t>
      </w:r>
      <w:r w:rsidR="003D7E51">
        <w:rPr>
          <w:i/>
        </w:rPr>
        <w:t>See, e.g.</w:t>
      </w:r>
      <w:r w:rsidR="001116A5">
        <w:t>,</w:t>
      </w:r>
      <w:r w:rsidR="00B203F2">
        <w:t xml:space="preserve"> WQQA438,</w:t>
      </w:r>
      <w:r w:rsidR="0078681C">
        <w:t xml:space="preserve"> Pasadena, California; WQGW</w:t>
      </w:r>
      <w:r w:rsidR="00B203F2">
        <w:t>503</w:t>
      </w:r>
      <w:r w:rsidR="0078681C">
        <w:t>, Chatsworth, California.</w:t>
      </w:r>
    </w:p>
  </w:footnote>
  <w:footnote w:id="3">
    <w:p w14:paraId="6EFFEA0F" w14:textId="77777777" w:rsidR="00C0462C" w:rsidRPr="009326F9" w:rsidRDefault="00C0462C" w:rsidP="00C0462C">
      <w:pPr>
        <w:spacing w:after="120"/>
      </w:pPr>
      <w:r>
        <w:rPr>
          <w:rStyle w:val="FootnoteReference"/>
        </w:rPr>
        <w:footnoteRef/>
      </w:r>
      <w:r>
        <w:t xml:space="preserve"> </w:t>
      </w:r>
      <w:r w:rsidRPr="00372131">
        <w:rPr>
          <w:i/>
        </w:rPr>
        <w:t>See</w:t>
      </w:r>
      <w:r w:rsidRPr="00372131">
        <w:t xml:space="preserve"> 47 C.F.R. § 90.173(a) (“Except as otherwise specifically provided for in this part, frequencies assigned to land mobile stations are available on a shared basis only and will not be assigned for the exclusive use of any licensee.”)</w:t>
      </w:r>
      <w:r w:rsidR="00435A64">
        <w:t>.</w:t>
      </w:r>
    </w:p>
  </w:footnote>
  <w:footnote w:id="4">
    <w:p w14:paraId="6AC33FDA" w14:textId="77777777" w:rsidR="00440EC2" w:rsidRDefault="00440EC2" w:rsidP="00D45964">
      <w:pPr>
        <w:pStyle w:val="FootnoteText"/>
        <w:jc w:val="left"/>
      </w:pPr>
      <w:r>
        <w:rPr>
          <w:rStyle w:val="FootnoteReference"/>
        </w:rPr>
        <w:footnoteRef/>
      </w:r>
      <w:r>
        <w:t xml:space="preserve"> </w:t>
      </w:r>
      <w:r w:rsidR="00C0462C">
        <w:t>Four of those f</w:t>
      </w:r>
      <w:r w:rsidR="0078681C">
        <w:t xml:space="preserve">requencies </w:t>
      </w:r>
      <w:r w:rsidR="00D009D5">
        <w:t xml:space="preserve">150.9575 MHz, </w:t>
      </w:r>
      <w:r w:rsidR="0078681C">
        <w:t>152.4575 MHz, 153.2525 MHz and 153.2675 MHz are assigned station class code FB8</w:t>
      </w:r>
      <w:r w:rsidR="00C0462C">
        <w:t>,</w:t>
      </w:r>
      <w:r w:rsidR="0078681C">
        <w:t xml:space="preserve"> </w:t>
      </w:r>
      <w:r w:rsidR="00C0462C" w:rsidRPr="00C0462C">
        <w:t>which identifies channels that are not subject to a monitoring requirement because the licensee has obtained the necessary consent from co-channel licensees or has exclusive use of the channel.</w:t>
      </w:r>
      <w:r w:rsidR="00C0462C">
        <w:t xml:space="preserve">  </w:t>
      </w:r>
      <w:r w:rsidR="00C0462C" w:rsidRPr="00C0462C">
        <w:rPr>
          <w:i/>
        </w:rPr>
        <w:t>See</w:t>
      </w:r>
      <w:r w:rsidR="00C0462C" w:rsidRPr="00C0462C">
        <w:t xml:space="preserve"> </w:t>
      </w:r>
      <w:r w:rsidR="00C0462C" w:rsidRPr="00C0462C">
        <w:rPr>
          <w:i/>
        </w:rPr>
        <w:t>1998 Biennial Regulatory Review -- 47 C.F.R. Part 90 - Private Land Mobile Radio Services</w:t>
      </w:r>
      <w:r w:rsidR="00C0462C" w:rsidRPr="00C0462C">
        <w:t>, Report and Order and Further Notice of Proposed Rule Making, WT Docket No. 98-182, 15 FCC Rcd 16673, 16686, para. 26 (2000) (</w:t>
      </w:r>
      <w:r w:rsidR="00C0462C" w:rsidRPr="00C0462C">
        <w:rPr>
          <w:i/>
        </w:rPr>
        <w:t>1998 Biennial Review R&amp;O and FNPRM</w:t>
      </w:r>
      <w:r w:rsidR="00C0462C" w:rsidRPr="00C0462C">
        <w:t>).</w:t>
      </w:r>
      <w:r w:rsidR="00C0462C">
        <w:t xml:space="preserve"> </w:t>
      </w:r>
      <w:r w:rsidR="004034FF">
        <w:t xml:space="preserve"> </w:t>
      </w:r>
      <w:r w:rsidR="0078681C">
        <w:t>The Station is also authorized to operate mobile units on multiple frequencies at multiple locations.</w:t>
      </w:r>
    </w:p>
  </w:footnote>
  <w:footnote w:id="5">
    <w:p w14:paraId="5F757884" w14:textId="37B9CE74" w:rsidR="00440EC2" w:rsidRPr="009326F9" w:rsidRDefault="00440EC2" w:rsidP="0078681C">
      <w:pPr>
        <w:spacing w:after="120"/>
      </w:pPr>
      <w:r>
        <w:rPr>
          <w:rStyle w:val="FootnoteReference"/>
        </w:rPr>
        <w:footnoteRef/>
      </w:r>
      <w:r>
        <w:t xml:space="preserve"> </w:t>
      </w:r>
      <w:r w:rsidR="00C0462C">
        <w:t>These two frequencies are</w:t>
      </w:r>
      <w:r w:rsidR="00C0462C" w:rsidRPr="00C0462C">
        <w:rPr>
          <w:color w:val="000000"/>
          <w:sz w:val="22"/>
          <w:szCs w:val="22"/>
        </w:rPr>
        <w:t xml:space="preserve"> </w:t>
      </w:r>
      <w:r w:rsidR="00C0462C" w:rsidRPr="00C0462C">
        <w:t>assigned station class code FB6, which designates the operation as a for-pr</w:t>
      </w:r>
      <w:r w:rsidR="00DA1639">
        <w:t>ofit</w:t>
      </w:r>
      <w:r w:rsidR="00C0462C" w:rsidRPr="00C0462C">
        <w:t xml:space="preserve"> private carrier, and does not exempt the Station from the Commission’s monitoring and sharing requirements when using those frequencies.</w:t>
      </w:r>
      <w:r w:rsidR="00C0462C">
        <w:t xml:space="preserve"> </w:t>
      </w:r>
      <w:r w:rsidR="00010F36">
        <w:t xml:space="preserve"> </w:t>
      </w:r>
      <w:r w:rsidR="00C10FE1" w:rsidRPr="00C10FE1">
        <w:t xml:space="preserve">MRA is also authorized to operate </w:t>
      </w:r>
      <w:r w:rsidR="00010F36">
        <w:t>on</w:t>
      </w:r>
      <w:r w:rsidR="00C10FE1" w:rsidRPr="00C10FE1">
        <w:t xml:space="preserve"> frequencies 151.7825 MHz, 152.2925 MHz, 152.4575 MHz, 153.2525 MHz, and 153.2675 MHz, assigned station class code FB6T (Private Carrier (profit) </w:t>
      </w:r>
      <w:r w:rsidR="00C10FE1">
        <w:t>–</w:t>
      </w:r>
      <w:r w:rsidR="00C10FE1" w:rsidRPr="00C10FE1">
        <w:t xml:space="preserve"> Temporary</w:t>
      </w:r>
      <w:r w:rsidR="00C10FE1">
        <w:t xml:space="preserve">) in a </w:t>
      </w:r>
      <w:r w:rsidR="00C10FE1" w:rsidRPr="00C10FE1">
        <w:t xml:space="preserve">40.0 km radius around </w:t>
      </w:r>
      <w:r w:rsidR="00C10FE1">
        <w:t>its</w:t>
      </w:r>
      <w:r w:rsidR="00C10FE1" w:rsidRPr="00C10FE1">
        <w:t xml:space="preserve"> fixed location</w:t>
      </w:r>
      <w:r w:rsidR="00C10FE1">
        <w:t xml:space="preserve"> on Saddle Peak, Malibu, California.</w:t>
      </w:r>
    </w:p>
  </w:footnote>
  <w:footnote w:id="6">
    <w:p w14:paraId="389D567E" w14:textId="6297FFE6" w:rsidR="00440EC2" w:rsidRPr="006B4BB9" w:rsidRDefault="00440EC2" w:rsidP="0078681C">
      <w:pPr>
        <w:pStyle w:val="FootnoteText"/>
        <w:jc w:val="left"/>
      </w:pPr>
      <w:r>
        <w:rPr>
          <w:rStyle w:val="FootnoteReference"/>
        </w:rPr>
        <w:footnoteRef/>
      </w:r>
      <w:r>
        <w:t xml:space="preserve"> </w:t>
      </w:r>
      <w:r w:rsidR="00C0462C" w:rsidRPr="00C0462C">
        <w:t xml:space="preserve">The Station is </w:t>
      </w:r>
      <w:r w:rsidR="00C0462C">
        <w:t xml:space="preserve">assigned </w:t>
      </w:r>
      <w:r w:rsidR="00C0462C" w:rsidRPr="00C0462C">
        <w:t>radio service code “YG” indicating that it must operate as a trunked Industrial/Business Pool station</w:t>
      </w:r>
      <w:r w:rsidR="00A57847">
        <w:t xml:space="preserve">. </w:t>
      </w:r>
      <w:r w:rsidR="00C0462C" w:rsidRPr="00C0462C">
        <w:rPr>
          <w:i/>
        </w:rPr>
        <w:t xml:space="preserve"> </w:t>
      </w:r>
      <w:r>
        <w:rPr>
          <w:i/>
        </w:rPr>
        <w:t>See</w:t>
      </w:r>
      <w:r>
        <w:t xml:space="preserve"> WPPF234 </w:t>
      </w:r>
      <w:r w:rsidR="00873757">
        <w:t>A</w:t>
      </w:r>
      <w:r>
        <w:t>uthorization, renewal granted Sept. 4, 2014.</w:t>
      </w:r>
      <w:r w:rsidR="006B4BB9">
        <w:t xml:space="preserve">  </w:t>
      </w:r>
      <w:r w:rsidR="006B4BB9">
        <w:rPr>
          <w:i/>
        </w:rPr>
        <w:t>See also 1998 Biennial Review R&amp;O and FNPRM</w:t>
      </w:r>
      <w:r w:rsidR="006B4BB9">
        <w:t>, 15 FCC Rcd at 16686, para. 26 (“</w:t>
      </w:r>
      <w:r w:rsidR="006B4BB9" w:rsidRPr="006B4BB9">
        <w:t>A radio service code indicating trunked operation, either YG and YW, must be used to show that the system is being operated in the trunked mode</w:t>
      </w:r>
      <w:r w:rsidR="006B4BB9">
        <w:t>.”)</w:t>
      </w:r>
      <w:r w:rsidR="00965796">
        <w:t>.</w:t>
      </w:r>
    </w:p>
  </w:footnote>
  <w:footnote w:id="7">
    <w:p w14:paraId="070BE0E4" w14:textId="77777777" w:rsidR="00440EC2" w:rsidRPr="00F81E8A" w:rsidRDefault="00440EC2" w:rsidP="0078681C">
      <w:pPr>
        <w:pStyle w:val="FootnoteText"/>
        <w:jc w:val="left"/>
      </w:pPr>
      <w:r>
        <w:rPr>
          <w:rStyle w:val="FootnoteReference"/>
        </w:rPr>
        <w:footnoteRef/>
      </w:r>
      <w:r>
        <w:t xml:space="preserve"> </w:t>
      </w:r>
      <w:r w:rsidRPr="00F81E8A">
        <w:rPr>
          <w:i/>
        </w:rPr>
        <w:t>1998 Biennial Review R&amp;O</w:t>
      </w:r>
      <w:r>
        <w:rPr>
          <w:i/>
        </w:rPr>
        <w:t xml:space="preserve"> and FNPRM</w:t>
      </w:r>
      <w:r>
        <w:t>, 15 FCC Rcd at 16686, para. 25.</w:t>
      </w:r>
    </w:p>
  </w:footnote>
  <w:footnote w:id="8">
    <w:p w14:paraId="6DBF3862" w14:textId="77777777" w:rsidR="00440EC2" w:rsidRPr="007A6601" w:rsidRDefault="00440EC2" w:rsidP="00376544">
      <w:pPr>
        <w:pStyle w:val="FootnoteText"/>
        <w:jc w:val="left"/>
      </w:pPr>
      <w:r>
        <w:rPr>
          <w:rStyle w:val="FootnoteReference"/>
        </w:rPr>
        <w:footnoteRef/>
      </w:r>
      <w:r>
        <w:t xml:space="preserve"> </w:t>
      </w:r>
      <w:r w:rsidRPr="007A6601">
        <w:t>47 C.F.R. § 90.</w:t>
      </w:r>
      <w:r>
        <w:t>187</w:t>
      </w:r>
      <w:r w:rsidRPr="007A6601">
        <w:t>(</w:t>
      </w:r>
      <w:r>
        <w:t>b</w:t>
      </w:r>
      <w:r w:rsidRPr="007A6601">
        <w:t>).</w:t>
      </w:r>
      <w:r w:rsidR="00DA1639">
        <w:t xml:space="preserve">  </w:t>
      </w:r>
      <w:r w:rsidR="00DA1639" w:rsidRPr="00DA1639">
        <w:t>Station</w:t>
      </w:r>
      <w:r w:rsidR="00ED5D4E">
        <w:t>s</w:t>
      </w:r>
      <w:r w:rsidR="00DA1639" w:rsidRPr="00DA1639">
        <w:t xml:space="preserve"> </w:t>
      </w:r>
      <w:r w:rsidR="00ED5D4E">
        <w:t xml:space="preserve">operating on shared frequencies </w:t>
      </w:r>
      <w:r w:rsidR="00DA1639" w:rsidRPr="00DA1639">
        <w:t>must engage in Level 1 Monitoring, which requires the repeater (base station) to monitor the input channel for transmit signals from co-ch</w:t>
      </w:r>
      <w:r w:rsidR="00DA1639">
        <w:t>annel mobile and portable units (t</w:t>
      </w:r>
      <w:r w:rsidR="00DA1639" w:rsidRPr="00DA1639">
        <w:t>his level of monitoring requires the corresponding repeater output channel be disabled during the co-channel mobile or portable unit’s transmission</w:t>
      </w:r>
      <w:r w:rsidR="00DA1639">
        <w:t>)</w:t>
      </w:r>
      <w:r w:rsidR="00ED5D4E">
        <w:t>.  Stations may also be required to engage in Level</w:t>
      </w:r>
      <w:r w:rsidR="00DA1639" w:rsidRPr="00DA1639">
        <w:t xml:space="preserve"> 2 Monitoring, requiring the additional step of having the repeater (base station) monitor the output channel for transmit signals coming from co-channel base stations</w:t>
      </w:r>
      <w:r w:rsidR="00DA1639">
        <w:t xml:space="preserve"> (t</w:t>
      </w:r>
      <w:r w:rsidR="00DA1639" w:rsidRPr="00DA1639">
        <w:t>his level of monitoring requires that the corresponding repeater output channel be disabled during the co-channel base station’s transmission</w:t>
      </w:r>
      <w:r w:rsidR="00DA1639">
        <w:t>)</w:t>
      </w:r>
      <w:r w:rsidR="00DA1639" w:rsidRPr="00DA1639">
        <w:t>.</w:t>
      </w:r>
      <w:r w:rsidR="00ED5D4E" w:rsidRPr="00ED5D4E">
        <w:t xml:space="preserve"> </w:t>
      </w:r>
      <w:r w:rsidR="004034FF">
        <w:t xml:space="preserve"> </w:t>
      </w:r>
      <w:r w:rsidR="00ED5D4E" w:rsidRPr="00ED5D4E">
        <w:t>Absent special circumstances, frequency coordinators will recommend Level 1 Monitoring for non-exempt trunked systems.</w:t>
      </w:r>
      <w:r w:rsidR="00DA1639" w:rsidRPr="00DA1639">
        <w:t xml:space="preserve">  </w:t>
      </w:r>
      <w:r w:rsidR="00DA1639" w:rsidRPr="00DA1639">
        <w:rPr>
          <w:i/>
        </w:rPr>
        <w:t>See Private Land Mobile Radio – Monitoring Levels for Non-Exempt Trunked Systems on Channels Between 150 – 512 MHz</w:t>
      </w:r>
      <w:r w:rsidR="00DA1639" w:rsidRPr="00DA1639">
        <w:t>, Public Notice, 16 FCC Rcd 21421, 21423 (WTB 2001) (</w:t>
      </w:r>
      <w:r w:rsidR="00DA1639" w:rsidRPr="00DA1639">
        <w:rPr>
          <w:i/>
        </w:rPr>
        <w:t>Monitoring PN</w:t>
      </w:r>
      <w:r w:rsidR="00DA1639" w:rsidRPr="00DA1639">
        <w:t xml:space="preserve">).  </w:t>
      </w:r>
    </w:p>
  </w:footnote>
  <w:footnote w:id="9">
    <w:p w14:paraId="5BE2F239" w14:textId="77777777" w:rsidR="00440EC2" w:rsidRDefault="00440EC2" w:rsidP="006A5CFB">
      <w:pPr>
        <w:pStyle w:val="FootnoteText"/>
        <w:jc w:val="left"/>
      </w:pPr>
      <w:r>
        <w:rPr>
          <w:rStyle w:val="FootnoteReference"/>
        </w:rPr>
        <w:footnoteRef/>
      </w:r>
      <w:r>
        <w:t xml:space="preserve"> The complainants included Eden Memorial Park, licensee of Station WPWA436, Mission Hills, California, operating on frequency 152.2925 MHz, and Knott’s Berry Farm, licensee of KML654, Buena Park, California, operating on 151.775 MHz.</w:t>
      </w:r>
    </w:p>
  </w:footnote>
  <w:footnote w:id="10">
    <w:p w14:paraId="615682F9" w14:textId="77777777" w:rsidR="000724D3" w:rsidRDefault="000724D3" w:rsidP="000724D3">
      <w:pPr>
        <w:pStyle w:val="FootnoteText"/>
        <w:jc w:val="left"/>
      </w:pPr>
      <w:r>
        <w:rPr>
          <w:rStyle w:val="FootnoteReference"/>
        </w:rPr>
        <w:footnoteRef/>
      </w:r>
      <w:r>
        <w:t xml:space="preserve"> </w:t>
      </w:r>
      <w:r>
        <w:rPr>
          <w:i/>
        </w:rPr>
        <w:t>See Mobile Relay Associates</w:t>
      </w:r>
      <w:r>
        <w:t>,</w:t>
      </w:r>
      <w:r>
        <w:rPr>
          <w:i/>
        </w:rPr>
        <w:t xml:space="preserve"> </w:t>
      </w:r>
      <w:r w:rsidRPr="00B146EF">
        <w:t>Notice of Violation</w:t>
      </w:r>
      <w:r>
        <w:t>, V201332900014 (Mar. 20, 2013) (NOV), issued</w:t>
      </w:r>
      <w:r w:rsidRPr="0048127F">
        <w:t xml:space="preserve"> for</w:t>
      </w:r>
      <w:r>
        <w:t xml:space="preserve"> </w:t>
      </w:r>
      <w:r w:rsidRPr="00A41F66">
        <w:t>failing to</w:t>
      </w:r>
      <w:r>
        <w:t xml:space="preserve">: 1) </w:t>
      </w:r>
      <w:r w:rsidRPr="00A41F66">
        <w:t xml:space="preserve">restrict </w:t>
      </w:r>
      <w:r>
        <w:t xml:space="preserve">Station WPPF234’s </w:t>
      </w:r>
      <w:r w:rsidRPr="00A41F66">
        <w:t xml:space="preserve">transmission to the minimum practical transmission time; </w:t>
      </w:r>
      <w:r>
        <w:t xml:space="preserve">2) </w:t>
      </w:r>
      <w:r w:rsidRPr="00A41F66">
        <w:t>monitor the transmitting frequencies of other licensees or tak</w:t>
      </w:r>
      <w:r>
        <w:t>e</w:t>
      </w:r>
      <w:r w:rsidRPr="00A41F66">
        <w:t xml:space="preserve"> any other reasonable precautions to avoid causing harmful interference; </w:t>
      </w:r>
      <w:r>
        <w:t>3) operate Station WPPF234</w:t>
      </w:r>
      <w:r w:rsidRPr="00A41F66">
        <w:t xml:space="preserve">in accordance with the </w:t>
      </w:r>
      <w:r>
        <w:t>Commission’s r</w:t>
      </w:r>
      <w:r w:rsidRPr="00A41F66">
        <w:t xml:space="preserve">ules and the Station’s </w:t>
      </w:r>
      <w:r>
        <w:t>authorization.</w:t>
      </w:r>
    </w:p>
  </w:footnote>
  <w:footnote w:id="11">
    <w:p w14:paraId="3BEB95CF" w14:textId="77777777" w:rsidR="00440EC2" w:rsidRDefault="00440EC2" w:rsidP="00440EC2">
      <w:pPr>
        <w:spacing w:after="120"/>
      </w:pPr>
      <w:r>
        <w:rPr>
          <w:rStyle w:val="FootnoteReference"/>
        </w:rPr>
        <w:footnoteRef/>
      </w:r>
      <w:r>
        <w:t xml:space="preserve"> Section 90.403(c) of the Rules states that “[e]</w:t>
      </w:r>
      <w:r w:rsidRPr="00440EC2">
        <w:t>xcept for stations that have been granted exclusive channels under this part and that are classified as commercial mobile radio service providers pursuant to part 20 of this chapter, each licensee must restrict all transmissions to the minimum practical transmission time and must employ an efficient operating procedure designed to maximize the utilization of the spectrum.</w:t>
      </w:r>
      <w:r>
        <w:t xml:space="preserve">”  </w:t>
      </w:r>
      <w:r w:rsidRPr="00440EC2">
        <w:t>47 C.F.R. § 90.403</w:t>
      </w:r>
      <w:r>
        <w:t>(c).  The Los Angeles Office determined that, a</w:t>
      </w:r>
      <w:r w:rsidRPr="00440EC2">
        <w:t>t the time of the investigation,</w:t>
      </w:r>
      <w:r>
        <w:t xml:space="preserve"> </w:t>
      </w:r>
      <w:r w:rsidR="00D54B21">
        <w:t>“</w:t>
      </w:r>
      <w:r>
        <w:t>Station</w:t>
      </w:r>
      <w:r w:rsidRPr="00440EC2">
        <w:t xml:space="preserve"> WPPF234 was transmitting on 151.7825 MHz and 152.2925 MHz nearly continuously.</w:t>
      </w:r>
      <w:r w:rsidR="00D54B21">
        <w:t>”</w:t>
      </w:r>
      <w:r>
        <w:t xml:space="preserve">  NOV at 1.</w:t>
      </w:r>
    </w:p>
  </w:footnote>
  <w:footnote w:id="12">
    <w:p w14:paraId="57DF0907" w14:textId="77777777" w:rsidR="00440EC2" w:rsidRDefault="00440EC2" w:rsidP="006E329C">
      <w:pPr>
        <w:pStyle w:val="FootnoteText"/>
        <w:widowControl/>
        <w:jc w:val="left"/>
      </w:pPr>
      <w:r>
        <w:rPr>
          <w:rStyle w:val="FootnoteReference"/>
        </w:rPr>
        <w:footnoteRef/>
      </w:r>
      <w:r>
        <w:t xml:space="preserve"> </w:t>
      </w:r>
      <w:r w:rsidRPr="00440EC2">
        <w:t>Section 90.403(e) of the Rules states that “[l]icensees shall take reasonable precautions to avoid causing harmful interference. This includes monitoring the transmitting frequency for communications in progress and such other measures as may be necessary to minimize the potential for causing interference.”</w:t>
      </w:r>
      <w:r>
        <w:t xml:space="preserve">  </w:t>
      </w:r>
      <w:r w:rsidRPr="00440EC2">
        <w:t>47 C.F.R. §§ 90.403(</w:t>
      </w:r>
      <w:r>
        <w:t>e</w:t>
      </w:r>
      <w:r w:rsidRPr="00440EC2">
        <w:t>).</w:t>
      </w:r>
      <w:r>
        <w:t xml:space="preserve">  The Los Angeles Office stated that, “at</w:t>
      </w:r>
      <w:r w:rsidRPr="00440EC2">
        <w:t xml:space="preserve"> the time of the investigation, agents monitored WPPF234 and observed digitally modulated continuous signals on 151.7825 MHz and on 152.2925 MHz.  Specifically, the continuous transmissions from WPPF234 on 151.7825 MHz with bandwidth of 11.2 KHz interfered with communications of adjacent channel licensees centered on 151.775 MHz, and the continuous transmissions from WPPF234 on 152.2925 MHz interfered with the communications of a co-channel licensee. The agent observed no evidence of monitoring the transmitting frequencies for communications in process or other measures to avoid interference by WPPF234.</w:t>
      </w:r>
      <w:r w:rsidR="00A27F70">
        <w:t>”</w:t>
      </w:r>
      <w:r w:rsidRPr="00440EC2">
        <w:t xml:space="preserve">  </w:t>
      </w:r>
      <w:r w:rsidR="00D54B21">
        <w:t>NOV at 2</w:t>
      </w:r>
      <w:r w:rsidR="00D54B21" w:rsidRPr="00D54B21">
        <w:t>.</w:t>
      </w:r>
    </w:p>
  </w:footnote>
  <w:footnote w:id="13">
    <w:p w14:paraId="226A41CA" w14:textId="77777777" w:rsidR="00440EC2" w:rsidRDefault="00440EC2" w:rsidP="00FC013A">
      <w:pPr>
        <w:pStyle w:val="FootnoteText"/>
        <w:jc w:val="left"/>
      </w:pPr>
      <w:r>
        <w:rPr>
          <w:rStyle w:val="FootnoteReference"/>
        </w:rPr>
        <w:footnoteRef/>
      </w:r>
      <w:r w:rsidR="00FC013A">
        <w:t xml:space="preserve"> </w:t>
      </w:r>
      <w:r w:rsidR="00FC013A" w:rsidRPr="00FC013A">
        <w:t>Section 1.903(a) states that “[s]tations in the Wireless Radio Services must be used and operated only in accordance with the rules applicable to their particular service as set forth in this title and with a valid authorization granted by the Commission under the provisions of this part, except as specified in paragraph (b) of this section.”</w:t>
      </w:r>
      <w:r w:rsidR="00FC013A">
        <w:t xml:space="preserve"> </w:t>
      </w:r>
      <w:r w:rsidR="00FC013A" w:rsidRPr="00FC013A">
        <w:t>47 C.F.R. §</w:t>
      </w:r>
      <w:r w:rsidR="00FC013A">
        <w:t xml:space="preserve"> 1.90</w:t>
      </w:r>
      <w:r w:rsidR="00FC013A" w:rsidRPr="00FC013A">
        <w:t>3(</w:t>
      </w:r>
      <w:r w:rsidR="00FC013A">
        <w:t>a</w:t>
      </w:r>
      <w:r w:rsidR="00FC013A" w:rsidRPr="00FC013A">
        <w:t xml:space="preserve">).  </w:t>
      </w:r>
      <w:r w:rsidR="00FC013A">
        <w:t>The Los Angeles Office found that the “</w:t>
      </w:r>
      <w:r w:rsidR="00FC013A" w:rsidRPr="00FC013A">
        <w:t>WPPF234 license authorized trunked operations in the Industrial Radio Service. At the time of the inspection the station was not using trunking technology and all communications between the base station on 151.7825 MHz and mobile units on 159.8775 MHz were on a single channel pair.  In addition, all communications between the base station on 152.2925 MHz and mobile units on 157.5525 MHz were not using trunking technology.</w:t>
      </w:r>
      <w:r w:rsidR="00FC013A">
        <w:t>”  NOV at 2.</w:t>
      </w:r>
      <w:r w:rsidR="0014204C" w:rsidRPr="0014204C">
        <w:t xml:space="preserve"> </w:t>
      </w:r>
    </w:p>
  </w:footnote>
  <w:footnote w:id="14">
    <w:p w14:paraId="616A999A" w14:textId="77777777" w:rsidR="00440EC2" w:rsidRDefault="00440EC2" w:rsidP="00D4140C">
      <w:pPr>
        <w:pStyle w:val="FootnoteText"/>
      </w:pPr>
      <w:r>
        <w:rPr>
          <w:rStyle w:val="FootnoteReference"/>
        </w:rPr>
        <w:footnoteRef/>
      </w:r>
      <w:r>
        <w:t xml:space="preserve"> </w:t>
      </w:r>
      <w:r w:rsidRPr="00B146EF">
        <w:rPr>
          <w:i/>
        </w:rPr>
        <w:t>S</w:t>
      </w:r>
      <w:r w:rsidRPr="00B146EF">
        <w:rPr>
          <w:i/>
          <w:iCs/>
        </w:rPr>
        <w:t>ee</w:t>
      </w:r>
      <w:r w:rsidRPr="00B146EF">
        <w:rPr>
          <w:i/>
        </w:rPr>
        <w:t xml:space="preserve"> </w:t>
      </w:r>
      <w:r w:rsidRPr="00B146EF">
        <w:t xml:space="preserve">Response to Notice of Violation of </w:t>
      </w:r>
      <w:r>
        <w:t xml:space="preserve">Mobile Relay Associates at </w:t>
      </w:r>
      <w:r w:rsidR="00FC013A">
        <w:t>2</w:t>
      </w:r>
      <w:r w:rsidRPr="00B146EF">
        <w:t xml:space="preserve"> (</w:t>
      </w:r>
      <w:r>
        <w:t>Apr. 2</w:t>
      </w:r>
      <w:r w:rsidRPr="00B146EF">
        <w:t xml:space="preserve">, 2013) </w:t>
      </w:r>
      <w:r>
        <w:t xml:space="preserve">(NOV Response) </w:t>
      </w:r>
      <w:r w:rsidRPr="00B146EF">
        <w:t>(on file in EB-FIELDWR-1</w:t>
      </w:r>
      <w:r>
        <w:t>2</w:t>
      </w:r>
      <w:r w:rsidRPr="00B146EF">
        <w:t>-00006</w:t>
      </w:r>
      <w:r>
        <w:t>950</w:t>
      </w:r>
      <w:r w:rsidRPr="00B146EF">
        <w:t>).</w:t>
      </w:r>
    </w:p>
  </w:footnote>
  <w:footnote w:id="15">
    <w:p w14:paraId="5193A420" w14:textId="7C411595" w:rsidR="00440EC2" w:rsidRDefault="00440EC2">
      <w:pPr>
        <w:pStyle w:val="FootnoteText"/>
      </w:pPr>
      <w:r w:rsidRPr="006E329C">
        <w:rPr>
          <w:rStyle w:val="FootnoteReference"/>
          <w:i/>
        </w:rPr>
        <w:footnoteRef/>
      </w:r>
      <w:r>
        <w:t xml:space="preserve"> </w:t>
      </w:r>
      <w:r w:rsidR="00D30275">
        <w:rPr>
          <w:i/>
        </w:rPr>
        <w:t>Id.</w:t>
      </w:r>
      <w:r>
        <w:t xml:space="preserve"> at </w:t>
      </w:r>
      <w:r w:rsidR="00FC013A">
        <w:t>2.</w:t>
      </w:r>
    </w:p>
  </w:footnote>
  <w:footnote w:id="16">
    <w:p w14:paraId="280C5125" w14:textId="77777777" w:rsidR="00440EC2" w:rsidRPr="00FC013A" w:rsidRDefault="00440EC2">
      <w:pPr>
        <w:pStyle w:val="FootnoteText"/>
        <w:rPr>
          <w:i/>
        </w:rPr>
      </w:pPr>
      <w:r>
        <w:rPr>
          <w:rStyle w:val="FootnoteReference"/>
        </w:rPr>
        <w:footnoteRef/>
      </w:r>
      <w:r>
        <w:t xml:space="preserve"> </w:t>
      </w:r>
      <w:r w:rsidR="00FC013A">
        <w:rPr>
          <w:i/>
        </w:rPr>
        <w:t>Id.</w:t>
      </w:r>
    </w:p>
  </w:footnote>
  <w:footnote w:id="17">
    <w:p w14:paraId="7B91B308" w14:textId="77777777" w:rsidR="00440EC2" w:rsidRPr="006E329C" w:rsidRDefault="00440EC2">
      <w:pPr>
        <w:pStyle w:val="FootnoteText"/>
      </w:pPr>
      <w:r>
        <w:rPr>
          <w:rStyle w:val="FootnoteReference"/>
        </w:rPr>
        <w:footnoteRef/>
      </w:r>
      <w:r>
        <w:t xml:space="preserve"> </w:t>
      </w:r>
      <w:r w:rsidR="00D30275">
        <w:rPr>
          <w:i/>
        </w:rPr>
        <w:t>Id.</w:t>
      </w:r>
      <w:r w:rsidR="00D30275">
        <w:t>;</w:t>
      </w:r>
      <w:r w:rsidR="00D30275">
        <w:rPr>
          <w:i/>
        </w:rPr>
        <w:t xml:space="preserve"> </w:t>
      </w:r>
      <w:r w:rsidR="00FC013A">
        <w:t xml:space="preserve">5 U.S.C. </w:t>
      </w:r>
      <w:r w:rsidR="009653DF" w:rsidRPr="009653DF">
        <w:t>§§</w:t>
      </w:r>
      <w:r w:rsidR="009653DF">
        <w:t xml:space="preserve"> 551 </w:t>
      </w:r>
      <w:r w:rsidR="009653DF">
        <w:rPr>
          <w:i/>
        </w:rPr>
        <w:t>et seq.</w:t>
      </w:r>
      <w:r w:rsidR="00D30275">
        <w:t xml:space="preserve"> </w:t>
      </w:r>
    </w:p>
  </w:footnote>
  <w:footnote w:id="18">
    <w:p w14:paraId="2E975313" w14:textId="77777777" w:rsidR="00440EC2" w:rsidRDefault="00440EC2">
      <w:pPr>
        <w:pStyle w:val="FootnoteText"/>
      </w:pPr>
      <w:r>
        <w:rPr>
          <w:rStyle w:val="FootnoteReference"/>
        </w:rPr>
        <w:footnoteRef/>
      </w:r>
      <w:r>
        <w:t xml:space="preserve"> </w:t>
      </w:r>
      <w:r w:rsidRPr="00197229">
        <w:t>NOV Response at</w:t>
      </w:r>
      <w:r w:rsidR="00FC013A">
        <w:t xml:space="preserve"> 3–4</w:t>
      </w:r>
      <w:r w:rsidR="00577C91">
        <w:t>.</w:t>
      </w:r>
      <w:r w:rsidR="00FC013A">
        <w:t xml:space="preserve"> </w:t>
      </w:r>
    </w:p>
  </w:footnote>
  <w:footnote w:id="19">
    <w:p w14:paraId="7E5AD252" w14:textId="77777777" w:rsidR="00440EC2" w:rsidRDefault="00440EC2" w:rsidP="002A2521">
      <w:pPr>
        <w:pStyle w:val="FootnoteText"/>
        <w:jc w:val="left"/>
      </w:pPr>
      <w:r>
        <w:rPr>
          <w:rStyle w:val="FootnoteReference"/>
        </w:rPr>
        <w:footnoteRef/>
      </w:r>
      <w:r>
        <w:t xml:space="preserve"> </w:t>
      </w:r>
      <w:r w:rsidRPr="00197229">
        <w:t>NOV Response at</w:t>
      </w:r>
      <w:r w:rsidR="00FC013A">
        <w:t xml:space="preserve"> 4–6. </w:t>
      </w:r>
      <w:r w:rsidR="0021390F">
        <w:t xml:space="preserve"> </w:t>
      </w:r>
      <w:r w:rsidR="0021390F" w:rsidRPr="0021390F">
        <w:t>Contrary to MRA’s assertions, operation as a trunked station is not optional.  It is a requirement of the Station’s authorization and MRA</w:t>
      </w:r>
      <w:r w:rsidR="002A2521">
        <w:t xml:space="preserve"> must</w:t>
      </w:r>
      <w:r w:rsidR="0021390F" w:rsidRPr="0021390F">
        <w:t xml:space="preserve"> operate the Station as a trunked radio station</w:t>
      </w:r>
      <w:r w:rsidR="002A2521">
        <w:t>.</w:t>
      </w:r>
    </w:p>
  </w:footnote>
  <w:footnote w:id="20">
    <w:p w14:paraId="7D438C7F" w14:textId="77777777" w:rsidR="00440EC2" w:rsidRDefault="00440EC2" w:rsidP="006E329C">
      <w:pPr>
        <w:pStyle w:val="FootnoteText"/>
        <w:widowControl/>
        <w:jc w:val="left"/>
      </w:pPr>
      <w:r>
        <w:rPr>
          <w:rStyle w:val="FootnoteReference"/>
        </w:rPr>
        <w:footnoteRef/>
      </w:r>
      <w:r w:rsidR="00C62387">
        <w:t xml:space="preserve"> </w:t>
      </w:r>
      <w:r w:rsidR="00C95425">
        <w:t>In the configuration utilized by MRA for the Station, the</w:t>
      </w:r>
      <w:r w:rsidR="00C62387" w:rsidRPr="00C62387">
        <w:t xml:space="preserve"> DDS mobile data terminal (MDT) units are located in taxis and communicate via a land mobile channel to </w:t>
      </w:r>
      <w:r w:rsidR="00C95425">
        <w:t>the</w:t>
      </w:r>
      <w:r w:rsidR="00C62387" w:rsidRPr="00C62387">
        <w:t xml:space="preserve"> DDS</w:t>
      </w:r>
      <w:r w:rsidR="00C95425">
        <w:t>-</w:t>
      </w:r>
      <w:r w:rsidR="00C62387" w:rsidRPr="00C62387">
        <w:t xml:space="preserve">enabled base station.  At the </w:t>
      </w:r>
      <w:r w:rsidR="00C95425">
        <w:t xml:space="preserve">Station’s base station, </w:t>
      </w:r>
      <w:r w:rsidR="00D009D5">
        <w:t xml:space="preserve">a </w:t>
      </w:r>
      <w:r w:rsidR="00C95425" w:rsidRPr="00C95425">
        <w:t>Kenwood Model TKR-750 transmitter</w:t>
      </w:r>
      <w:r w:rsidR="00C62387" w:rsidRPr="00C62387">
        <w:t xml:space="preserve"> </w:t>
      </w:r>
      <w:r w:rsidR="00D009D5">
        <w:t>is</w:t>
      </w:r>
      <w:r w:rsidR="00C62387" w:rsidRPr="00C62387">
        <w:t xml:space="preserve"> connected to a Redundant Base Station Controller (BSC)</w:t>
      </w:r>
      <w:r w:rsidR="00D009D5">
        <w:t xml:space="preserve"> for each base station frequency</w:t>
      </w:r>
      <w:r w:rsidR="00C62387" w:rsidRPr="00C62387">
        <w:t>.</w:t>
      </w:r>
      <w:r w:rsidR="00D009D5">
        <w:t xml:space="preserve"> </w:t>
      </w:r>
      <w:r w:rsidR="00C62387" w:rsidRPr="00C62387">
        <w:t xml:space="preserve"> The BSC processes the messages going to and from the MDTs and controls the operation of the</w:t>
      </w:r>
      <w:r w:rsidR="00C95425">
        <w:t xml:space="preserve"> transmitters</w:t>
      </w:r>
      <w:r w:rsidR="00C62387" w:rsidRPr="00C62387">
        <w:t xml:space="preserve">.  </w:t>
      </w:r>
      <w:r w:rsidR="008B36B8" w:rsidRPr="00577C91">
        <w:rPr>
          <w:i/>
        </w:rPr>
        <w:t xml:space="preserve">See </w:t>
      </w:r>
      <w:r w:rsidR="008B36B8" w:rsidRPr="008B36B8">
        <w:t xml:space="preserve">DDS BSC260 Manual, Fourth </w:t>
      </w:r>
      <w:r w:rsidR="00C95425">
        <w:t>E</w:t>
      </w:r>
      <w:r w:rsidR="008B36B8" w:rsidRPr="008B36B8">
        <w:t xml:space="preserve">dition, May 2005. </w:t>
      </w:r>
      <w:r w:rsidR="00C62387" w:rsidRPr="00C62387">
        <w:t xml:space="preserve"> </w:t>
      </w:r>
      <w:r w:rsidR="00C62387">
        <w:t>M</w:t>
      </w:r>
      <w:r w:rsidR="00ED5D4E">
        <w:t>RA’s owner</w:t>
      </w:r>
      <w:r w:rsidR="00C62387">
        <w:t xml:space="preserve"> </w:t>
      </w:r>
      <w:r w:rsidR="00C62387" w:rsidRPr="00C62387">
        <w:t>has stated on multiple occasions to</w:t>
      </w:r>
      <w:r w:rsidR="00C62387">
        <w:t xml:space="preserve"> Los Angeles</w:t>
      </w:r>
      <w:r w:rsidR="00C62387" w:rsidRPr="00C62387">
        <w:t xml:space="preserve"> agents that the DDS base station needs to transmit continuously to the MDTs to keep them synchronized, even when no dispatch data </w:t>
      </w:r>
      <w:r w:rsidR="00ED5D4E">
        <w:t>is</w:t>
      </w:r>
      <w:r w:rsidR="00C62387" w:rsidRPr="00C62387">
        <w:t xml:space="preserve"> being transmitted to </w:t>
      </w:r>
      <w:r w:rsidR="00ED5D4E">
        <w:t xml:space="preserve">the </w:t>
      </w:r>
      <w:r w:rsidR="00C62387" w:rsidRPr="00C62387">
        <w:t>MDTs</w:t>
      </w:r>
      <w:r w:rsidR="00C62387">
        <w:t>.</w:t>
      </w:r>
    </w:p>
  </w:footnote>
  <w:footnote w:id="21">
    <w:p w14:paraId="2371D5F4" w14:textId="67E5FF12" w:rsidR="000A3434" w:rsidRPr="000A3434" w:rsidRDefault="000A3434">
      <w:pPr>
        <w:pStyle w:val="FootnoteText"/>
      </w:pPr>
      <w:r>
        <w:rPr>
          <w:rStyle w:val="FootnoteReference"/>
        </w:rPr>
        <w:footnoteRef/>
      </w:r>
      <w:r>
        <w:t xml:space="preserve"> </w:t>
      </w:r>
      <w:r>
        <w:rPr>
          <w:i/>
        </w:rPr>
        <w:t xml:space="preserve">See supra </w:t>
      </w:r>
      <w:r>
        <w:t>n</w:t>
      </w:r>
      <w:r w:rsidR="00D30275">
        <w:t xml:space="preserve">ote </w:t>
      </w:r>
      <w:r>
        <w:t>8.</w:t>
      </w:r>
    </w:p>
  </w:footnote>
  <w:footnote w:id="22">
    <w:p w14:paraId="6129C82E" w14:textId="77777777" w:rsidR="00E47571" w:rsidRDefault="00E47571" w:rsidP="00376544">
      <w:pPr>
        <w:pStyle w:val="FootnoteText"/>
        <w:jc w:val="left"/>
      </w:pPr>
      <w:r>
        <w:rPr>
          <w:rStyle w:val="FootnoteReference"/>
        </w:rPr>
        <w:footnoteRef/>
      </w:r>
      <w:r>
        <w:t xml:space="preserve"> </w:t>
      </w:r>
      <w:r w:rsidR="00873757">
        <w:t>The agents monitored the signal 0.4 kilometers from Eden’s fixed transmitter site.  Eden is authorized to operate on frequency 152.2925 MHz, service c</w:t>
      </w:r>
      <w:r w:rsidR="00A57847">
        <w:t>las</w:t>
      </w:r>
      <w:r w:rsidR="00873757">
        <w:t>s code FB2 (mobile relay) from its fixed transmitter site located at 11500 Sepulveda Boulevard, Mission Hills</w:t>
      </w:r>
      <w:r w:rsidR="004D3701">
        <w:t>,</w:t>
      </w:r>
      <w:r w:rsidR="00873757">
        <w:t xml:space="preserve"> California.  Its operating area includes a 16 kilometer radius around its fixed location.  </w:t>
      </w:r>
      <w:r w:rsidR="00873757">
        <w:rPr>
          <w:i/>
        </w:rPr>
        <w:t xml:space="preserve">See </w:t>
      </w:r>
      <w:r w:rsidR="00873757">
        <w:t xml:space="preserve">WPWA436 Authorization, granted August 3, 2012. </w:t>
      </w:r>
    </w:p>
  </w:footnote>
  <w:footnote w:id="23">
    <w:p w14:paraId="1AF1850C" w14:textId="77777777" w:rsidR="00440EC2" w:rsidRDefault="00440EC2">
      <w:pPr>
        <w:pStyle w:val="FootnoteText"/>
      </w:pPr>
      <w:r>
        <w:rPr>
          <w:rStyle w:val="FootnoteReference"/>
        </w:rPr>
        <w:footnoteRef/>
      </w:r>
      <w:r>
        <w:t xml:space="preserve"> </w:t>
      </w:r>
      <w:r w:rsidR="009653DF" w:rsidRPr="009653DF">
        <w:t>47 C.F.R. §§ 90.403(</w:t>
      </w:r>
      <w:r w:rsidR="00965796">
        <w:t>e</w:t>
      </w:r>
      <w:r w:rsidR="009653DF" w:rsidRPr="009653DF">
        <w:t xml:space="preserve">) </w:t>
      </w:r>
      <w:r w:rsidR="0014204C">
        <w:t xml:space="preserve">and </w:t>
      </w:r>
      <w:r w:rsidR="009653DF" w:rsidRPr="009653DF">
        <w:t>90.</w:t>
      </w:r>
      <w:r w:rsidR="009653DF">
        <w:t>187(b)</w:t>
      </w:r>
      <w:r w:rsidR="009653DF" w:rsidRPr="009653DF">
        <w:t>.</w:t>
      </w:r>
    </w:p>
  </w:footnote>
  <w:footnote w:id="24">
    <w:p w14:paraId="3E89EC42" w14:textId="77777777" w:rsidR="00440EC2" w:rsidRPr="006856C3" w:rsidRDefault="00440EC2" w:rsidP="000F21CD">
      <w:pPr>
        <w:pStyle w:val="FootnoteText"/>
        <w:jc w:val="left"/>
      </w:pPr>
      <w:r w:rsidRPr="006856C3">
        <w:rPr>
          <w:rStyle w:val="FootnoteReference"/>
        </w:rPr>
        <w:footnoteRef/>
      </w:r>
      <w:r w:rsidRPr="006856C3">
        <w:t xml:space="preserve"> 47 U.S.C. § 503(b).</w:t>
      </w:r>
    </w:p>
  </w:footnote>
  <w:footnote w:id="25">
    <w:p w14:paraId="4C398415" w14:textId="77777777" w:rsidR="00440EC2" w:rsidRPr="00353607" w:rsidRDefault="00440EC2" w:rsidP="000F21CD">
      <w:pPr>
        <w:pStyle w:val="FootnoteText"/>
        <w:widowControl/>
        <w:jc w:val="left"/>
      </w:pPr>
      <w:r w:rsidRPr="00353607">
        <w:rPr>
          <w:rStyle w:val="FootnoteReference"/>
        </w:rPr>
        <w:footnoteRef/>
      </w:r>
      <w:r w:rsidRPr="00353607">
        <w:t xml:space="preserve"> 47 U.S.C. § 312(f)(1).</w:t>
      </w:r>
    </w:p>
  </w:footnote>
  <w:footnote w:id="26">
    <w:p w14:paraId="558CE6E1" w14:textId="77777777" w:rsidR="00440EC2" w:rsidRPr="005278EF" w:rsidRDefault="00440EC2" w:rsidP="000F21CD">
      <w:pPr>
        <w:pStyle w:val="FootnoteText"/>
        <w:jc w:val="left"/>
      </w:pPr>
      <w:r w:rsidRPr="005278EF">
        <w:rPr>
          <w:rStyle w:val="FootnoteReference"/>
        </w:rPr>
        <w:footnoteRef/>
      </w:r>
      <w:r w:rsidRPr="005278EF">
        <w:t xml:space="preserve"> H.R. Rep. No. 97-765, 97</w:t>
      </w:r>
      <w:r w:rsidRPr="005278EF">
        <w:rPr>
          <w:vertAlign w:val="superscript"/>
        </w:rPr>
        <w:t>th</w:t>
      </w:r>
      <w:r w:rsidRPr="005278EF">
        <w:t xml:space="preserve"> Cong. 2d Sess. 51 (1982) (“</w:t>
      </w:r>
      <w:r w:rsidRPr="005278EF">
        <w:rPr>
          <w:rStyle w:val="documentbody"/>
        </w:rPr>
        <w:t xml:space="preserve">This provision [inserted in Section 312] defines the terms ‘willful’ and ‘repeated’ for purposes of section </w:t>
      </w:r>
      <w:r w:rsidRPr="005278EF">
        <w:rPr>
          <w:rStyle w:val="searchterm"/>
        </w:rPr>
        <w:t>312</w:t>
      </w:r>
      <w:r w:rsidRPr="005278EF">
        <w:rPr>
          <w:rStyle w:val="documentbody"/>
        </w:rPr>
        <w:t>, and for any other relevant section of the act (e.g., Section 503)   . . . .  As defined[,] . . . ‘willful’ means that the licensee knew that he was doing the act in question, regardless of whether there was</w:t>
      </w:r>
      <w:r>
        <w:rPr>
          <w:rStyle w:val="documentbody"/>
        </w:rPr>
        <w:t xml:space="preserve"> an intent to violate the law</w:t>
      </w:r>
      <w:r w:rsidRPr="005278EF">
        <w:rPr>
          <w:rStyle w:val="documentbody"/>
        </w:rPr>
        <w:t>.”).</w:t>
      </w:r>
    </w:p>
  </w:footnote>
  <w:footnote w:id="27">
    <w:p w14:paraId="198229FF" w14:textId="62B19344" w:rsidR="00440EC2" w:rsidRPr="005278EF" w:rsidRDefault="00440EC2" w:rsidP="000F21CD">
      <w:pPr>
        <w:pStyle w:val="FootnoteText"/>
        <w:jc w:val="left"/>
      </w:pPr>
      <w:r w:rsidRPr="005278EF">
        <w:rPr>
          <w:rStyle w:val="FootnoteReference"/>
        </w:rPr>
        <w:footnoteRef/>
      </w:r>
      <w:r w:rsidRPr="005278EF">
        <w:t xml:space="preserve"> </w:t>
      </w:r>
      <w:r w:rsidRPr="005278EF">
        <w:rPr>
          <w:i/>
        </w:rPr>
        <w:t>See, e.g.</w:t>
      </w:r>
      <w:r w:rsidRPr="005278EF">
        <w:t>,</w:t>
      </w:r>
      <w:r w:rsidRPr="005278EF">
        <w:rPr>
          <w:i/>
        </w:rPr>
        <w:t xml:space="preserve"> So</w:t>
      </w:r>
      <w:r w:rsidR="00D45964">
        <w:rPr>
          <w:i/>
        </w:rPr>
        <w:t>. Cal.</w:t>
      </w:r>
      <w:r w:rsidRPr="005278EF">
        <w:rPr>
          <w:i/>
        </w:rPr>
        <w:t xml:space="preserve"> Broad</w:t>
      </w:r>
      <w:r w:rsidR="00B017DF">
        <w:rPr>
          <w:i/>
        </w:rPr>
        <w:t>.</w:t>
      </w:r>
      <w:r w:rsidRPr="005278EF">
        <w:rPr>
          <w:i/>
        </w:rPr>
        <w:t xml:space="preserve"> Co.</w:t>
      </w:r>
      <w:r w:rsidRPr="005278EF">
        <w:t xml:space="preserve">, Memorandum Opinion and Order, 6 FCC Rcd 4387, 4388, para. 5 (1991), </w:t>
      </w:r>
      <w:r w:rsidRPr="005278EF">
        <w:rPr>
          <w:i/>
        </w:rPr>
        <w:t>recons. denied</w:t>
      </w:r>
      <w:r w:rsidRPr="005278EF">
        <w:t>,</w:t>
      </w:r>
      <w:r w:rsidRPr="005278EF">
        <w:rPr>
          <w:i/>
        </w:rPr>
        <w:t xml:space="preserve"> </w:t>
      </w:r>
      <w:r w:rsidRPr="005278EF">
        <w:t>7 FCC Rcd 3454 (1992).</w:t>
      </w:r>
    </w:p>
  </w:footnote>
  <w:footnote w:id="28">
    <w:p w14:paraId="3191D076" w14:textId="77777777" w:rsidR="00440EC2" w:rsidRPr="005278EF" w:rsidRDefault="00440EC2" w:rsidP="000F21CD">
      <w:pPr>
        <w:pStyle w:val="FootnoteText"/>
        <w:jc w:val="left"/>
      </w:pPr>
      <w:r w:rsidRPr="005278EF">
        <w:rPr>
          <w:rStyle w:val="FootnoteReference"/>
        </w:rPr>
        <w:footnoteRef/>
      </w:r>
      <w:r w:rsidRPr="005278EF">
        <w:t xml:space="preserve"> </w:t>
      </w:r>
      <w:r w:rsidRPr="005278EF">
        <w:rPr>
          <w:i/>
        </w:rPr>
        <w:t>See, e.g.</w:t>
      </w:r>
      <w:r w:rsidRPr="005278EF">
        <w:t xml:space="preserve">, </w:t>
      </w:r>
      <w:r w:rsidRPr="005278EF">
        <w:rPr>
          <w:i/>
        </w:rPr>
        <w:t>Callais Cablevision, Inc.</w:t>
      </w:r>
      <w:r w:rsidRPr="005278EF">
        <w:t>, Notice of Apparent Liability for Monetary Forfeiture, 16 FCC Rcd 1359, 1362, para. 10 (2001) (</w:t>
      </w:r>
      <w:r w:rsidRPr="005278EF">
        <w:rPr>
          <w:i/>
        </w:rPr>
        <w:t>Callais Cablevision, Inc.</w:t>
      </w:r>
      <w:r w:rsidRPr="005278EF">
        <w:t xml:space="preserve">) (proposing a forfeiture for, </w:t>
      </w:r>
      <w:r w:rsidRPr="005278EF">
        <w:rPr>
          <w:i/>
        </w:rPr>
        <w:t>inter alia</w:t>
      </w:r>
      <w:r w:rsidRPr="005278EF">
        <w:t xml:space="preserve">, a cable television operator’s repeated signal leakage). </w:t>
      </w:r>
    </w:p>
  </w:footnote>
  <w:footnote w:id="29">
    <w:p w14:paraId="41F71AE1" w14:textId="77777777" w:rsidR="00440EC2" w:rsidRPr="00353607" w:rsidRDefault="00440EC2" w:rsidP="000F21CD">
      <w:pPr>
        <w:pStyle w:val="FootnoteText"/>
        <w:widowControl/>
        <w:jc w:val="left"/>
      </w:pPr>
      <w:r w:rsidRPr="005278EF">
        <w:rPr>
          <w:rStyle w:val="FootnoteReference"/>
        </w:rPr>
        <w:footnoteRef/>
      </w:r>
      <w:r w:rsidRPr="005278EF">
        <w:t xml:space="preserve"> Section 312(f)(2) of the Act, 47 U.S.C. § 312(f)(2), which also applies to violations for which forfeitures are assessed under Section 503(b) of the Act, provides that “[t]he term ‘repeated’, when used with reference to the commission or omission of any act, means the commission or omission of such act more than once or, if such commission or omission is continuous, for more than one day.”  </w:t>
      </w:r>
      <w:r w:rsidRPr="005278EF">
        <w:rPr>
          <w:i/>
        </w:rPr>
        <w:t>See Callais Cablevision, Inc.</w:t>
      </w:r>
      <w:r w:rsidRPr="005278EF">
        <w:t>, 16 FCC Rcd</w:t>
      </w:r>
      <w:r w:rsidRPr="005278EF">
        <w:rPr>
          <w:i/>
        </w:rPr>
        <w:t xml:space="preserve"> </w:t>
      </w:r>
      <w:r w:rsidRPr="005278EF">
        <w:t>at 1362, para. 9.</w:t>
      </w:r>
      <w:r w:rsidRPr="00353607">
        <w:t xml:space="preserve"> </w:t>
      </w:r>
    </w:p>
  </w:footnote>
  <w:footnote w:id="30">
    <w:p w14:paraId="3FCF05AD" w14:textId="77777777" w:rsidR="00440EC2" w:rsidRDefault="00440EC2" w:rsidP="00E73990">
      <w:pPr>
        <w:pStyle w:val="FootnoteText"/>
        <w:jc w:val="left"/>
      </w:pPr>
      <w:r>
        <w:rPr>
          <w:rStyle w:val="FootnoteReference"/>
        </w:rPr>
        <w:footnoteRef/>
      </w:r>
      <w:r>
        <w:t xml:space="preserve"> 47 C.F.R.</w:t>
      </w:r>
      <w:r w:rsidRPr="00E73990">
        <w:t xml:space="preserve"> § </w:t>
      </w:r>
      <w:r>
        <w:t>90.40</w:t>
      </w:r>
      <w:r w:rsidRPr="00E73990">
        <w:t>3</w:t>
      </w:r>
      <w:r>
        <w:t>(e).</w:t>
      </w:r>
    </w:p>
  </w:footnote>
  <w:footnote w:id="31">
    <w:p w14:paraId="041992D2" w14:textId="77777777" w:rsidR="00440EC2" w:rsidRDefault="00440EC2" w:rsidP="007B6335">
      <w:pPr>
        <w:pStyle w:val="FootnoteText"/>
      </w:pPr>
      <w:r>
        <w:rPr>
          <w:rStyle w:val="FootnoteReference"/>
        </w:rPr>
        <w:footnoteRef/>
      </w:r>
      <w:r>
        <w:t xml:space="preserve"> </w:t>
      </w:r>
      <w:r w:rsidR="009653DF">
        <w:t>NOV Response at 2.</w:t>
      </w:r>
    </w:p>
  </w:footnote>
  <w:footnote w:id="32">
    <w:p w14:paraId="64223503" w14:textId="516B9283" w:rsidR="009653DF" w:rsidRDefault="009653DF" w:rsidP="009653DF">
      <w:pPr>
        <w:pStyle w:val="FootnoteText"/>
      </w:pPr>
      <w:r>
        <w:rPr>
          <w:rStyle w:val="FootnoteReference"/>
        </w:rPr>
        <w:footnoteRef/>
      </w:r>
      <w:r>
        <w:t xml:space="preserve"> </w:t>
      </w:r>
      <w:r w:rsidR="00B017DF">
        <w:rPr>
          <w:i/>
        </w:rPr>
        <w:t xml:space="preserve">Id. </w:t>
      </w:r>
      <w:r>
        <w:t>at 3.</w:t>
      </w:r>
    </w:p>
  </w:footnote>
  <w:footnote w:id="33">
    <w:p w14:paraId="0F58B32C" w14:textId="73541163" w:rsidR="00440EC2" w:rsidRPr="0085752A" w:rsidRDefault="00440EC2" w:rsidP="00D76A87">
      <w:pPr>
        <w:pStyle w:val="FootnoteText"/>
        <w:jc w:val="left"/>
      </w:pPr>
      <w:r>
        <w:rPr>
          <w:rStyle w:val="FootnoteReference"/>
        </w:rPr>
        <w:footnoteRef/>
      </w:r>
      <w:r>
        <w:t xml:space="preserve"> </w:t>
      </w:r>
      <w:r w:rsidRPr="0085752A">
        <w:rPr>
          <w:i/>
        </w:rPr>
        <w:t xml:space="preserve">See </w:t>
      </w:r>
      <w:r w:rsidR="00D67594">
        <w:t>47 C.F.R.</w:t>
      </w:r>
      <w:r w:rsidR="00D67594" w:rsidRPr="00E73990">
        <w:t xml:space="preserve"> §</w:t>
      </w:r>
      <w:r w:rsidR="00D67594" w:rsidRPr="00D67594">
        <w:t>§</w:t>
      </w:r>
      <w:r w:rsidR="00D67594" w:rsidRPr="00E73990">
        <w:t xml:space="preserve"> </w:t>
      </w:r>
      <w:r w:rsidR="00D67594">
        <w:t>90.40</w:t>
      </w:r>
      <w:r w:rsidR="00D67594" w:rsidRPr="00E73990">
        <w:t>3</w:t>
      </w:r>
      <w:r w:rsidR="00D67594">
        <w:t xml:space="preserve">(e), 90.187(b).  </w:t>
      </w:r>
      <w:r w:rsidR="00D67594">
        <w:rPr>
          <w:i/>
        </w:rPr>
        <w:t xml:space="preserve">See, e.g., </w:t>
      </w:r>
      <w:r w:rsidRPr="0085752A">
        <w:rPr>
          <w:i/>
        </w:rPr>
        <w:t>Amendment of Part 90 of the Rules</w:t>
      </w:r>
      <w:r>
        <w:t xml:space="preserve">, </w:t>
      </w:r>
      <w:r w:rsidRPr="0085752A">
        <w:t>Second Report and Order and Second Further Notice of Proposed Rule Making</w:t>
      </w:r>
      <w:r>
        <w:t>, 25 FCC Rcd 2479, 2483, para. 10 (2010) (land mobile o</w:t>
      </w:r>
      <w:r w:rsidRPr="00D76A87">
        <w:t>perators may be subject to enforcement action for cau</w:t>
      </w:r>
      <w:r>
        <w:t>sing interference to other users in violation of Section 90.403(e))</w:t>
      </w:r>
      <w:r w:rsidRPr="00D76A87">
        <w:t>.</w:t>
      </w:r>
    </w:p>
  </w:footnote>
  <w:footnote w:id="34">
    <w:p w14:paraId="58DE54DB" w14:textId="77777777" w:rsidR="00440EC2" w:rsidRDefault="00440EC2">
      <w:pPr>
        <w:pStyle w:val="FootnoteText"/>
      </w:pPr>
      <w:r>
        <w:rPr>
          <w:rStyle w:val="FootnoteReference"/>
        </w:rPr>
        <w:footnoteRef/>
      </w:r>
      <w:r>
        <w:t xml:space="preserve"> </w:t>
      </w:r>
      <w:r w:rsidRPr="00197229">
        <w:t>47 C.F.R. § 90.</w:t>
      </w:r>
      <w:r>
        <w:t>7</w:t>
      </w:r>
      <w:r w:rsidRPr="00197229">
        <w:t>.</w:t>
      </w:r>
    </w:p>
  </w:footnote>
  <w:footnote w:id="35">
    <w:p w14:paraId="646A4666" w14:textId="26E07A44" w:rsidR="00440EC2" w:rsidRPr="00932B70" w:rsidRDefault="00440EC2" w:rsidP="00E73990">
      <w:pPr>
        <w:pStyle w:val="FootnoteText"/>
        <w:jc w:val="left"/>
      </w:pPr>
      <w:r>
        <w:rPr>
          <w:rStyle w:val="FootnoteReference"/>
        </w:rPr>
        <w:footnoteRef/>
      </w:r>
      <w:r>
        <w:t xml:space="preserve"> </w:t>
      </w:r>
      <w:r w:rsidRPr="00E73990">
        <w:t>47 C.F.R. § 90.</w:t>
      </w:r>
      <w:r>
        <w:t xml:space="preserve">187(b).  The exceptions to this rule, which do not apply to MRA in this case, include trunked systems operating in the 470–512 MHz band that meet the loading requirements of 47 C.F.R. § 90.313 and have exclusive use of their frequencies in their service area; or </w:t>
      </w:r>
      <w:r w:rsidR="009653DF">
        <w:t xml:space="preserve">when </w:t>
      </w:r>
      <w:r>
        <w:t xml:space="preserve">the licensee has obtained consent from all affected licensees.  </w:t>
      </w:r>
      <w:r>
        <w:rPr>
          <w:i/>
        </w:rPr>
        <w:t xml:space="preserve">See </w:t>
      </w:r>
      <w:r w:rsidRPr="00E73990">
        <w:t>47 C.F.R. § 90.</w:t>
      </w:r>
      <w:r>
        <w:t>187(c)</w:t>
      </w:r>
      <w:r w:rsidR="00131633">
        <w:softHyphen/>
      </w:r>
      <w:r w:rsidR="00131633">
        <w:softHyphen/>
        <w:t>–</w:t>
      </w:r>
      <w:r>
        <w:t xml:space="preserve">(d).  </w:t>
      </w:r>
    </w:p>
  </w:footnote>
  <w:footnote w:id="36">
    <w:p w14:paraId="5C1BA606" w14:textId="77777777" w:rsidR="00440EC2" w:rsidRPr="00197229" w:rsidRDefault="00440EC2">
      <w:pPr>
        <w:pStyle w:val="FootnoteText"/>
      </w:pPr>
      <w:r>
        <w:rPr>
          <w:rStyle w:val="FootnoteReference"/>
        </w:rPr>
        <w:footnoteRef/>
      </w:r>
      <w:r>
        <w:t xml:space="preserve"> </w:t>
      </w:r>
      <w:r>
        <w:rPr>
          <w:i/>
        </w:rPr>
        <w:t xml:space="preserve">See supra </w:t>
      </w:r>
      <w:r>
        <w:t xml:space="preserve">at paras. </w:t>
      </w:r>
      <w:r w:rsidR="00A57847">
        <w:t>4–6</w:t>
      </w:r>
      <w:r>
        <w:t>.</w:t>
      </w:r>
    </w:p>
  </w:footnote>
  <w:footnote w:id="37">
    <w:p w14:paraId="2BBD0E65" w14:textId="77777777" w:rsidR="00440EC2" w:rsidRDefault="00440EC2">
      <w:pPr>
        <w:pStyle w:val="FootnoteText"/>
      </w:pPr>
      <w:r>
        <w:rPr>
          <w:rStyle w:val="FootnoteReference"/>
        </w:rPr>
        <w:footnoteRef/>
      </w:r>
      <w:r>
        <w:t xml:space="preserve"> </w:t>
      </w:r>
      <w:r w:rsidRPr="00A14389">
        <w:rPr>
          <w:i/>
        </w:rPr>
        <w:t>See supra</w:t>
      </w:r>
      <w:r>
        <w:t xml:space="preserve"> at para</w:t>
      </w:r>
      <w:r w:rsidRPr="00197229">
        <w:t>.</w:t>
      </w:r>
      <w:r w:rsidR="00A57847">
        <w:t xml:space="preserve"> 9.</w:t>
      </w:r>
    </w:p>
  </w:footnote>
  <w:footnote w:id="38">
    <w:p w14:paraId="0EDE06D8" w14:textId="77777777" w:rsidR="00440EC2" w:rsidRDefault="00440EC2">
      <w:pPr>
        <w:pStyle w:val="FootnoteText"/>
      </w:pPr>
      <w:r>
        <w:rPr>
          <w:rStyle w:val="FootnoteReference"/>
        </w:rPr>
        <w:footnoteRef/>
      </w:r>
      <w:r>
        <w:t xml:space="preserve"> NOV Response at </w:t>
      </w:r>
      <w:r w:rsidR="009653DF">
        <w:t>2.</w:t>
      </w:r>
    </w:p>
  </w:footnote>
  <w:footnote w:id="39">
    <w:p w14:paraId="76B95140" w14:textId="77777777" w:rsidR="00440EC2" w:rsidRDefault="00440EC2" w:rsidP="000F21CD">
      <w:pPr>
        <w:pStyle w:val="FootnoteText"/>
        <w:jc w:val="left"/>
      </w:pPr>
      <w:r>
        <w:rPr>
          <w:rStyle w:val="FootnoteReference"/>
        </w:rPr>
        <w:footnoteRef/>
      </w:r>
      <w:r>
        <w:t xml:space="preserve"> 4</w:t>
      </w:r>
      <w:r>
        <w:rPr>
          <w:snapToGrid w:val="0"/>
        </w:rPr>
        <w:t xml:space="preserve">7 U.S.C. § 503(b)(2); </w:t>
      </w:r>
      <w:r>
        <w:rPr>
          <w:i/>
          <w:snapToGrid w:val="0"/>
        </w:rPr>
        <w:t xml:space="preserve">see </w:t>
      </w:r>
      <w:r>
        <w:rPr>
          <w:snapToGrid w:val="0"/>
        </w:rPr>
        <w:t xml:space="preserve">47 C.F.R. § 1.80(b).  These amounts reflect inflation adjustments to the forfeitures specified in Section 503(b)(2)(D) of the Act ($10,000 per violation or per day of a continuing violation and $75,000 per any single act or failure to act).  The Federal Civil Penalties Inflation Adjustment Act of 1990, Pub. </w:t>
      </w:r>
      <w:r>
        <w:rPr>
          <w:snapToGrid w:val="0"/>
          <w:color w:val="000000"/>
        </w:rPr>
        <w:t xml:space="preserve">L. No. 101-410, 104 Stat. 890, as amended by the Debt Collection Improvement Act of 1996, Pub. L. No. 104-134, Sec. 31001, 110 Stat. 1321, requires the Commission to adjust its forfeiture penalties periodically for inflation.  </w:t>
      </w:r>
      <w:r>
        <w:rPr>
          <w:i/>
          <w:snapToGrid w:val="0"/>
          <w:color w:val="000000"/>
        </w:rPr>
        <w:t>See</w:t>
      </w:r>
      <w:r>
        <w:rPr>
          <w:snapToGrid w:val="0"/>
          <w:color w:val="000000"/>
        </w:rPr>
        <w:t xml:space="preserve"> 28 U.S.C. § 2461 note 4.  The Commission most recently adjusted its penalties to account for inflation in 2013.  </w:t>
      </w:r>
      <w:r>
        <w:rPr>
          <w:i/>
          <w:snapToGrid w:val="0"/>
          <w:color w:val="000000"/>
        </w:rPr>
        <w:t>See Amendment of Section 1.80(b) of the Commission’s Rules, Adjustment of Civil Monetary Penalties to Reflect Inflation</w:t>
      </w:r>
      <w:r>
        <w:rPr>
          <w:snapToGrid w:val="0"/>
          <w:color w:val="000000"/>
        </w:rPr>
        <w:t xml:space="preserve">, Order, 28 FCC Rcd 10785 (Enf. Bur. 2013); </w:t>
      </w:r>
      <w:r>
        <w:rPr>
          <w:i/>
          <w:snapToGrid w:val="0"/>
          <w:color w:val="000000"/>
        </w:rPr>
        <w:t>see also</w:t>
      </w:r>
      <w:r>
        <w:rPr>
          <w:snapToGrid w:val="0"/>
          <w:color w:val="000000"/>
        </w:rPr>
        <w:t xml:space="preserve"> </w:t>
      </w:r>
      <w:r>
        <w:rPr>
          <w:i/>
          <w:snapToGrid w:val="0"/>
          <w:color w:val="000000"/>
        </w:rPr>
        <w:t>Inflation Adjustment of Monetary Penalties</w:t>
      </w:r>
      <w:r>
        <w:rPr>
          <w:snapToGrid w:val="0"/>
          <w:color w:val="000000"/>
        </w:rPr>
        <w:t>, 78 Fed. Reg. 49,370–01 (2013) (setting Sept. 13, 2013, as the effective date for the increases).</w:t>
      </w:r>
    </w:p>
  </w:footnote>
  <w:footnote w:id="40">
    <w:p w14:paraId="3E6EFAB6" w14:textId="77777777" w:rsidR="00440EC2" w:rsidRPr="00981F23" w:rsidRDefault="00440EC2" w:rsidP="000F21CD">
      <w:pPr>
        <w:pStyle w:val="FootnoteText"/>
        <w:rPr>
          <w:color w:val="000000" w:themeColor="text1"/>
          <w:lang w:val="es-ES"/>
        </w:rPr>
      </w:pPr>
      <w:r w:rsidRPr="00981F23">
        <w:rPr>
          <w:rStyle w:val="FootnoteReference"/>
          <w:color w:val="000000" w:themeColor="text1"/>
        </w:rPr>
        <w:footnoteRef/>
      </w:r>
      <w:r w:rsidRPr="00981F23">
        <w:rPr>
          <w:color w:val="000000" w:themeColor="text1"/>
          <w:lang w:val="es-ES"/>
        </w:rPr>
        <w:t xml:space="preserve"> 47 U.S.C. § 503(b)(2)(E).</w:t>
      </w:r>
    </w:p>
  </w:footnote>
  <w:footnote w:id="41">
    <w:p w14:paraId="4294F8B3" w14:textId="77777777" w:rsidR="00440EC2" w:rsidRPr="00981F23" w:rsidRDefault="00440EC2" w:rsidP="000F21CD">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1.80(b)(8), Note to paragraph (b)(8). </w:t>
      </w:r>
    </w:p>
  </w:footnote>
  <w:footnote w:id="42">
    <w:p w14:paraId="6815CA09" w14:textId="77777777" w:rsidR="00440EC2" w:rsidRPr="00981F23" w:rsidRDefault="00440EC2" w:rsidP="000F21CD">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Id</w:t>
      </w:r>
      <w:r w:rsidRPr="00981F23">
        <w:rPr>
          <w:color w:val="000000" w:themeColor="text1"/>
        </w:rPr>
        <w:t>.</w:t>
      </w:r>
    </w:p>
  </w:footnote>
  <w:footnote w:id="43">
    <w:p w14:paraId="26F4A166" w14:textId="77777777" w:rsidR="00440EC2" w:rsidRPr="005278EF" w:rsidRDefault="00440EC2" w:rsidP="000F21CD">
      <w:pPr>
        <w:pStyle w:val="FootnoteText"/>
        <w:jc w:val="left"/>
        <w:rPr>
          <w:color w:val="000000"/>
        </w:rPr>
      </w:pPr>
      <w:r w:rsidRPr="005278EF">
        <w:rPr>
          <w:rStyle w:val="FootnoteReference"/>
          <w:color w:val="000000"/>
        </w:rPr>
        <w:footnoteRef/>
      </w:r>
      <w:r w:rsidRPr="005278EF">
        <w:rPr>
          <w:color w:val="000000"/>
        </w:rPr>
        <w:t xml:space="preserve"> </w:t>
      </w:r>
      <w:r>
        <w:rPr>
          <w:i/>
          <w:color w:val="000000"/>
        </w:rPr>
        <w:t xml:space="preserve">The </w:t>
      </w:r>
      <w:r w:rsidRPr="003F7395">
        <w:rPr>
          <w:rStyle w:val="footnote"/>
          <w:i/>
          <w:iCs/>
          <w:color w:val="000000"/>
        </w:rPr>
        <w:t>Commission’s Forfeiture Policy Statement and Amendment of  Section 1.80 of the Rules to Incorporate the Forfeiture Guidelines</w:t>
      </w:r>
      <w:r w:rsidRPr="003F7395">
        <w:rPr>
          <w:rStyle w:val="footnote"/>
          <w:color w:val="000000"/>
        </w:rPr>
        <w:t>, Report and Order, 12 FCC Rcd 17087</w:t>
      </w:r>
      <w:r>
        <w:rPr>
          <w:rStyle w:val="footnote"/>
          <w:color w:val="000000"/>
        </w:rPr>
        <w:t xml:space="preserve"> (1997) (</w:t>
      </w:r>
      <w:r w:rsidRPr="005278EF">
        <w:rPr>
          <w:i/>
          <w:color w:val="000000"/>
        </w:rPr>
        <w:t xml:space="preserve">Forfeiture Policy </w:t>
      </w:r>
      <w:r w:rsidRPr="001C41F5">
        <w:rPr>
          <w:i/>
          <w:color w:val="000000"/>
        </w:rPr>
        <w:t>Statement</w:t>
      </w:r>
      <w:r>
        <w:rPr>
          <w:color w:val="000000"/>
        </w:rPr>
        <w:t xml:space="preserve">), </w:t>
      </w:r>
      <w:r w:rsidRPr="005278EF">
        <w:rPr>
          <w:i/>
          <w:color w:val="000000"/>
        </w:rPr>
        <w:t>recons. denied</w:t>
      </w:r>
      <w:r w:rsidRPr="005278EF">
        <w:rPr>
          <w:color w:val="000000"/>
        </w:rPr>
        <w:t>, 15 FCC Rcd 303 (1999); 47 C.F.R. § 1.80.</w:t>
      </w:r>
    </w:p>
  </w:footnote>
  <w:footnote w:id="44">
    <w:p w14:paraId="11E08FA3" w14:textId="7AD4F882" w:rsidR="00440EC2" w:rsidRPr="005278EF" w:rsidRDefault="00440EC2" w:rsidP="00D67594">
      <w:pPr>
        <w:pStyle w:val="FootnoteText"/>
        <w:widowControl/>
        <w:jc w:val="left"/>
        <w:rPr>
          <w:i/>
        </w:rPr>
      </w:pPr>
      <w:r w:rsidRPr="005278EF">
        <w:rPr>
          <w:rStyle w:val="FootnoteReference"/>
        </w:rPr>
        <w:footnoteRef/>
      </w:r>
      <w:r w:rsidRPr="005278EF">
        <w:t xml:space="preserve"> </w:t>
      </w:r>
      <w:r>
        <w:rPr>
          <w:i/>
        </w:rPr>
        <w:t>See, e.g.</w:t>
      </w:r>
      <w:r>
        <w:t>,</w:t>
      </w:r>
      <w:r>
        <w:rPr>
          <w:i/>
        </w:rPr>
        <w:t xml:space="preserve"> Marc-Nus Charles, </w:t>
      </w:r>
      <w:r>
        <w:t>Notice of Apparent Liability for Forfeiture, 29 FCC Rcd 5835 (Enf. Bur. 2014) (</w:t>
      </w:r>
      <w:r w:rsidR="0066538C">
        <w:t xml:space="preserve">doubling the base forfeiture </w:t>
      </w:r>
      <w:r>
        <w:t xml:space="preserve">after </w:t>
      </w:r>
      <w:r w:rsidR="00451653">
        <w:t xml:space="preserve">subject continued operating despite </w:t>
      </w:r>
      <w:r>
        <w:t xml:space="preserve">receiving written warnings), </w:t>
      </w:r>
      <w:r>
        <w:rPr>
          <w:i/>
        </w:rPr>
        <w:t>aff’d</w:t>
      </w:r>
      <w:r>
        <w:t xml:space="preserve">, Forfeiture Order, 29 FCC Rcd 12590 (Enf. Bur. 2014); </w:t>
      </w:r>
      <w:r w:rsidR="00D67594" w:rsidRPr="00D67594">
        <w:rPr>
          <w:i/>
        </w:rPr>
        <w:t>Birach Broadcasting Corporation</w:t>
      </w:r>
      <w:r w:rsidR="00D67594" w:rsidRPr="00D67594">
        <w:t>, Notice of Apparent Liability for Forfeiture, 29 FCC Rcd 7612 (Enf. Bur. 2014) (forfeiture paid) (upwardly adjusting a base forfeiture amount by 71% because licensee failed to adequately enclose an antenna structure, despite previous notices from the FCC).</w:t>
      </w:r>
      <w:r>
        <w:rPr>
          <w:color w:val="010101"/>
        </w:rPr>
        <w:t xml:space="preserve"> </w:t>
      </w:r>
    </w:p>
  </w:footnote>
  <w:footnote w:id="45">
    <w:p w14:paraId="6EF321ED" w14:textId="77777777" w:rsidR="00440EC2" w:rsidRPr="00C17F42" w:rsidRDefault="00440EC2" w:rsidP="000F21CD">
      <w:pPr>
        <w:pStyle w:val="FootnoteText"/>
        <w:jc w:val="left"/>
      </w:pPr>
      <w:r>
        <w:rPr>
          <w:rStyle w:val="FootnoteReference"/>
        </w:rPr>
        <w:footnoteRef/>
      </w:r>
      <w:r>
        <w:t xml:space="preserve"> </w:t>
      </w:r>
      <w:r w:rsidRPr="007C01DD">
        <w:rPr>
          <w:color w:val="000000"/>
        </w:rPr>
        <w:t>47 U.S.C. §</w:t>
      </w:r>
      <w:r w:rsidR="00B66207">
        <w:rPr>
          <w:color w:val="000000"/>
        </w:rPr>
        <w:t xml:space="preserve"> </w:t>
      </w:r>
      <w:r w:rsidRPr="007C01DD">
        <w:rPr>
          <w:color w:val="000000"/>
        </w:rPr>
        <w:t>503(b); 47 C.F.R. §§ 0.111, 0.204, 0.311, 0.314, 1.80</w:t>
      </w:r>
      <w:r w:rsidR="00B66207">
        <w:rPr>
          <w:color w:val="000000"/>
        </w:rPr>
        <w:t>, 90.403(e), 90.187(b)</w:t>
      </w:r>
      <w:r>
        <w:rPr>
          <w:color w:val="000000"/>
        </w:rPr>
        <w:t>.</w:t>
      </w:r>
    </w:p>
  </w:footnote>
  <w:footnote w:id="46">
    <w:p w14:paraId="00696668" w14:textId="77777777" w:rsidR="00440EC2" w:rsidRDefault="00440EC2">
      <w:pPr>
        <w:pStyle w:val="FootnoteText"/>
      </w:pPr>
      <w:r>
        <w:rPr>
          <w:rStyle w:val="FootnoteReference"/>
        </w:rPr>
        <w:footnoteRef/>
      </w:r>
      <w:r>
        <w:t xml:space="preserve"> 47 C.F.R. § 1.80.</w:t>
      </w:r>
    </w:p>
  </w:footnote>
  <w:footnote w:id="47">
    <w:p w14:paraId="668A4712" w14:textId="77777777" w:rsidR="00440EC2" w:rsidRDefault="00440EC2" w:rsidP="000F21CD">
      <w:pPr>
        <w:pStyle w:val="FootnoteText"/>
        <w:jc w:val="lef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48">
    <w:p w14:paraId="61D56C95" w14:textId="77777777" w:rsidR="00440EC2" w:rsidRDefault="00440EC2" w:rsidP="000F21CD">
      <w:pPr>
        <w:pStyle w:val="FootnoteText"/>
        <w:jc w:val="left"/>
      </w:pPr>
      <w:r>
        <w:rPr>
          <w:rStyle w:val="FootnoteReference"/>
        </w:rPr>
        <w:footnoteRef/>
      </w:r>
      <w:r>
        <w:t xml:space="preserve"> </w:t>
      </w:r>
      <w:r w:rsidRPr="00D70F1F">
        <w:rPr>
          <w:i/>
        </w:rPr>
        <w:t>See</w:t>
      </w:r>
      <w:r>
        <w:t xml:space="preserve"> 47 C.F.R. § 1.1914.</w:t>
      </w:r>
    </w:p>
  </w:footnote>
  <w:footnote w:id="49">
    <w:p w14:paraId="53B37FB2" w14:textId="77777777" w:rsidR="00440EC2" w:rsidRDefault="00440EC2" w:rsidP="000F21CD">
      <w:pPr>
        <w:pStyle w:val="FootnoteText"/>
        <w:jc w:val="left"/>
      </w:pPr>
      <w:r>
        <w:rPr>
          <w:rStyle w:val="FootnoteReference"/>
        </w:rPr>
        <w:footnoteRef/>
      </w:r>
      <w: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94F55" w14:textId="77777777" w:rsidR="00817164" w:rsidRDefault="00817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34154" w14:textId="7B574389" w:rsidR="00BA4145" w:rsidRPr="00BA4145" w:rsidRDefault="00BA4145" w:rsidP="00BA4145">
    <w:pPr>
      <w:pStyle w:val="Header"/>
      <w:tabs>
        <w:tab w:val="clear" w:pos="4320"/>
        <w:tab w:val="clear" w:pos="8640"/>
        <w:tab w:val="center" w:pos="4680"/>
        <w:tab w:val="right" w:pos="9360"/>
      </w:tabs>
      <w:rPr>
        <w:b/>
        <w:snapToGrid w:val="0"/>
        <w:kern w:val="28"/>
        <w:sz w:val="22"/>
      </w:rPr>
    </w:pPr>
  </w:p>
  <w:p w14:paraId="53CDEF15" w14:textId="3D386DE5" w:rsidR="00440EC2" w:rsidRPr="00331410" w:rsidRDefault="00440EC2">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15-</w:t>
    </w:r>
    <w:r w:rsidR="00BC0718">
      <w:rPr>
        <w:b/>
        <w:sz w:val="22"/>
        <w:szCs w:val="22"/>
      </w:rPr>
      <w:t>786</w:t>
    </w:r>
  </w:p>
  <w:p w14:paraId="1E59E1FB" w14:textId="77777777" w:rsidR="00440EC2" w:rsidRDefault="008508AA">
    <w:pPr>
      <w:pStyle w:val="Header"/>
      <w:tabs>
        <w:tab w:val="clear" w:pos="8640"/>
        <w:tab w:val="right" w:pos="9360"/>
      </w:tabs>
    </w:pPr>
    <w:r>
      <w:rPr>
        <w:noProof/>
      </w:rPr>
      <w:pict w14:anchorId="6BA12C98">
        <v:line id="_x0000_s2053" style="position:absolute;z-index:251658240" from="0,1.75pt" to="468pt,1.75pt" o:allowincell="f" strokeweight="1.5pt"/>
      </w:pict>
    </w:r>
  </w:p>
  <w:p w14:paraId="793F1C7E" w14:textId="77777777" w:rsidR="00440EC2" w:rsidRDefault="00440E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3320B" w14:textId="684772E0" w:rsidR="00440EC2" w:rsidRPr="00331410" w:rsidRDefault="00440EC2" w:rsidP="001F7834">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15-</w:t>
    </w:r>
    <w:r w:rsidR="00BC0718">
      <w:rPr>
        <w:b/>
        <w:sz w:val="22"/>
        <w:szCs w:val="22"/>
      </w:rPr>
      <w:t>786</w:t>
    </w:r>
  </w:p>
  <w:p w14:paraId="70D3AFAD" w14:textId="77777777" w:rsidR="00440EC2" w:rsidRDefault="008508AA">
    <w:pPr>
      <w:pStyle w:val="Header"/>
      <w:tabs>
        <w:tab w:val="clear" w:pos="8640"/>
        <w:tab w:val="right" w:pos="9360"/>
      </w:tabs>
    </w:pPr>
    <w:r>
      <w:rPr>
        <w:noProof/>
      </w:rPr>
      <w:pict w14:anchorId="2138AF31">
        <v:line id="_x0000_s2052"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93E"/>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2">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7">
    <w:nsid w:val="432817C4"/>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6"/>
  </w:num>
  <w:num w:numId="2">
    <w:abstractNumId w:val="27"/>
  </w:num>
  <w:num w:numId="3">
    <w:abstractNumId w:val="5"/>
  </w:num>
  <w:num w:numId="4">
    <w:abstractNumId w:val="21"/>
  </w:num>
  <w:num w:numId="5">
    <w:abstractNumId w:val="6"/>
  </w:num>
  <w:num w:numId="6">
    <w:abstractNumId w:val="24"/>
  </w:num>
  <w:num w:numId="7">
    <w:abstractNumId w:val="18"/>
  </w:num>
  <w:num w:numId="8">
    <w:abstractNumId w:val="7"/>
  </w:num>
  <w:num w:numId="9">
    <w:abstractNumId w:val="23"/>
  </w:num>
  <w:num w:numId="10">
    <w:abstractNumId w:val="13"/>
  </w:num>
  <w:num w:numId="11">
    <w:abstractNumId w:val="11"/>
  </w:num>
  <w:num w:numId="12">
    <w:abstractNumId w:val="8"/>
  </w:num>
  <w:num w:numId="13">
    <w:abstractNumId w:val="15"/>
  </w:num>
  <w:num w:numId="14">
    <w:abstractNumId w:val="22"/>
  </w:num>
  <w:num w:numId="15">
    <w:abstractNumId w:val="3"/>
  </w:num>
  <w:num w:numId="16">
    <w:abstractNumId w:val="4"/>
  </w:num>
  <w:num w:numId="17">
    <w:abstractNumId w:val="9"/>
  </w:num>
  <w:num w:numId="18">
    <w:abstractNumId w:val="1"/>
  </w:num>
  <w:num w:numId="19">
    <w:abstractNumId w:val="10"/>
  </w:num>
  <w:num w:numId="20">
    <w:abstractNumId w:val="19"/>
  </w:num>
  <w:num w:numId="21">
    <w:abstractNumId w:val="20"/>
  </w:num>
  <w:num w:numId="22">
    <w:abstractNumId w:val="17"/>
  </w:num>
  <w:num w:numId="23">
    <w:abstractNumId w:val="12"/>
  </w:num>
  <w:num w:numId="24">
    <w:abstractNumId w:val="25"/>
  </w:num>
  <w:num w:numId="25">
    <w:abstractNumId w:val="14"/>
  </w:num>
  <w:num w:numId="26">
    <w:abstractNumId w:val="16"/>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47E3"/>
    <w:rsid w:val="0000170C"/>
    <w:rsid w:val="0000556E"/>
    <w:rsid w:val="00010F36"/>
    <w:rsid w:val="0001779C"/>
    <w:rsid w:val="00017CDA"/>
    <w:rsid w:val="00022679"/>
    <w:rsid w:val="000279CC"/>
    <w:rsid w:val="000305FC"/>
    <w:rsid w:val="0003441C"/>
    <w:rsid w:val="000355E3"/>
    <w:rsid w:val="000366E9"/>
    <w:rsid w:val="00036DCF"/>
    <w:rsid w:val="00037295"/>
    <w:rsid w:val="000374E3"/>
    <w:rsid w:val="00040D87"/>
    <w:rsid w:val="00050854"/>
    <w:rsid w:val="000519AF"/>
    <w:rsid w:val="00057ADA"/>
    <w:rsid w:val="00071484"/>
    <w:rsid w:val="000724D3"/>
    <w:rsid w:val="000736C0"/>
    <w:rsid w:val="00075D5C"/>
    <w:rsid w:val="00077F92"/>
    <w:rsid w:val="00080241"/>
    <w:rsid w:val="0008139C"/>
    <w:rsid w:val="000875B1"/>
    <w:rsid w:val="00092DD6"/>
    <w:rsid w:val="00094435"/>
    <w:rsid w:val="000A0EEE"/>
    <w:rsid w:val="000A3434"/>
    <w:rsid w:val="000A57A2"/>
    <w:rsid w:val="000A5F92"/>
    <w:rsid w:val="000A71AC"/>
    <w:rsid w:val="000B3C45"/>
    <w:rsid w:val="000C5769"/>
    <w:rsid w:val="000C7A0B"/>
    <w:rsid w:val="000D3C0E"/>
    <w:rsid w:val="000D7699"/>
    <w:rsid w:val="000E0451"/>
    <w:rsid w:val="000E2560"/>
    <w:rsid w:val="000E2937"/>
    <w:rsid w:val="000F10C7"/>
    <w:rsid w:val="000F21CD"/>
    <w:rsid w:val="000F471E"/>
    <w:rsid w:val="000F6E0C"/>
    <w:rsid w:val="00101C49"/>
    <w:rsid w:val="00105973"/>
    <w:rsid w:val="0011114B"/>
    <w:rsid w:val="001115EE"/>
    <w:rsid w:val="001116A5"/>
    <w:rsid w:val="0011170C"/>
    <w:rsid w:val="00116C28"/>
    <w:rsid w:val="00120233"/>
    <w:rsid w:val="00121C0F"/>
    <w:rsid w:val="001253C3"/>
    <w:rsid w:val="00125A4D"/>
    <w:rsid w:val="00126845"/>
    <w:rsid w:val="00131633"/>
    <w:rsid w:val="00131A23"/>
    <w:rsid w:val="0014204C"/>
    <w:rsid w:val="00145224"/>
    <w:rsid w:val="00151C83"/>
    <w:rsid w:val="001526A2"/>
    <w:rsid w:val="00154417"/>
    <w:rsid w:val="001665F5"/>
    <w:rsid w:val="0016758C"/>
    <w:rsid w:val="00174A12"/>
    <w:rsid w:val="00175D53"/>
    <w:rsid w:val="00175E71"/>
    <w:rsid w:val="0018108F"/>
    <w:rsid w:val="00182851"/>
    <w:rsid w:val="001869BF"/>
    <w:rsid w:val="00190523"/>
    <w:rsid w:val="00196D5B"/>
    <w:rsid w:val="00197229"/>
    <w:rsid w:val="001A10F7"/>
    <w:rsid w:val="001B3336"/>
    <w:rsid w:val="001C0B1F"/>
    <w:rsid w:val="001C63A7"/>
    <w:rsid w:val="001D193A"/>
    <w:rsid w:val="001E2A65"/>
    <w:rsid w:val="001E79AF"/>
    <w:rsid w:val="001F3E42"/>
    <w:rsid w:val="001F566B"/>
    <w:rsid w:val="001F6C9A"/>
    <w:rsid w:val="001F708E"/>
    <w:rsid w:val="001F7834"/>
    <w:rsid w:val="0020249E"/>
    <w:rsid w:val="00207138"/>
    <w:rsid w:val="002071E0"/>
    <w:rsid w:val="002073C1"/>
    <w:rsid w:val="00211D85"/>
    <w:rsid w:val="0021390F"/>
    <w:rsid w:val="00214216"/>
    <w:rsid w:val="00214820"/>
    <w:rsid w:val="00217BA6"/>
    <w:rsid w:val="00223F70"/>
    <w:rsid w:val="00226D90"/>
    <w:rsid w:val="00234FD3"/>
    <w:rsid w:val="00237F81"/>
    <w:rsid w:val="00240958"/>
    <w:rsid w:val="00245B5D"/>
    <w:rsid w:val="002511FB"/>
    <w:rsid w:val="002523E0"/>
    <w:rsid w:val="0025300A"/>
    <w:rsid w:val="00256422"/>
    <w:rsid w:val="00257883"/>
    <w:rsid w:val="00260C08"/>
    <w:rsid w:val="00280162"/>
    <w:rsid w:val="00282F06"/>
    <w:rsid w:val="002833BF"/>
    <w:rsid w:val="002A06F7"/>
    <w:rsid w:val="002A11CF"/>
    <w:rsid w:val="002A15B3"/>
    <w:rsid w:val="002A2521"/>
    <w:rsid w:val="002A55CE"/>
    <w:rsid w:val="002A6200"/>
    <w:rsid w:val="002A732B"/>
    <w:rsid w:val="002C62DA"/>
    <w:rsid w:val="002C67E7"/>
    <w:rsid w:val="002C7EF9"/>
    <w:rsid w:val="002D12B8"/>
    <w:rsid w:val="002D6394"/>
    <w:rsid w:val="002E0604"/>
    <w:rsid w:val="002F18B9"/>
    <w:rsid w:val="003003E1"/>
    <w:rsid w:val="00303D60"/>
    <w:rsid w:val="0030752B"/>
    <w:rsid w:val="00314112"/>
    <w:rsid w:val="0031433F"/>
    <w:rsid w:val="003170E9"/>
    <w:rsid w:val="00317590"/>
    <w:rsid w:val="00321805"/>
    <w:rsid w:val="00323513"/>
    <w:rsid w:val="003235A9"/>
    <w:rsid w:val="00326089"/>
    <w:rsid w:val="003265D7"/>
    <w:rsid w:val="0033085D"/>
    <w:rsid w:val="00331410"/>
    <w:rsid w:val="003364D3"/>
    <w:rsid w:val="0033665C"/>
    <w:rsid w:val="0033797D"/>
    <w:rsid w:val="00337B75"/>
    <w:rsid w:val="003407D0"/>
    <w:rsid w:val="00340BBB"/>
    <w:rsid w:val="003422DF"/>
    <w:rsid w:val="00343B43"/>
    <w:rsid w:val="00347CA1"/>
    <w:rsid w:val="0035099B"/>
    <w:rsid w:val="00352163"/>
    <w:rsid w:val="00356F36"/>
    <w:rsid w:val="0036753E"/>
    <w:rsid w:val="00371336"/>
    <w:rsid w:val="00372131"/>
    <w:rsid w:val="003740F2"/>
    <w:rsid w:val="00376544"/>
    <w:rsid w:val="003817A3"/>
    <w:rsid w:val="00382459"/>
    <w:rsid w:val="00386D2D"/>
    <w:rsid w:val="00390F1B"/>
    <w:rsid w:val="00392410"/>
    <w:rsid w:val="003A2112"/>
    <w:rsid w:val="003A7400"/>
    <w:rsid w:val="003A7878"/>
    <w:rsid w:val="003B2568"/>
    <w:rsid w:val="003B2B4A"/>
    <w:rsid w:val="003C01F5"/>
    <w:rsid w:val="003C6184"/>
    <w:rsid w:val="003D5F8B"/>
    <w:rsid w:val="003D7E51"/>
    <w:rsid w:val="003E2AD5"/>
    <w:rsid w:val="003E7EBF"/>
    <w:rsid w:val="003F3CFD"/>
    <w:rsid w:val="003F7CA4"/>
    <w:rsid w:val="00401CF7"/>
    <w:rsid w:val="004034FF"/>
    <w:rsid w:val="00407F8C"/>
    <w:rsid w:val="00410BB8"/>
    <w:rsid w:val="00410F02"/>
    <w:rsid w:val="004110FC"/>
    <w:rsid w:val="0041443C"/>
    <w:rsid w:val="004156A0"/>
    <w:rsid w:val="00424391"/>
    <w:rsid w:val="004251DE"/>
    <w:rsid w:val="00425706"/>
    <w:rsid w:val="00435A64"/>
    <w:rsid w:val="00437F27"/>
    <w:rsid w:val="00440EC2"/>
    <w:rsid w:val="00444355"/>
    <w:rsid w:val="00447AAD"/>
    <w:rsid w:val="00451653"/>
    <w:rsid w:val="00451E19"/>
    <w:rsid w:val="004563B9"/>
    <w:rsid w:val="00461D69"/>
    <w:rsid w:val="00463DDF"/>
    <w:rsid w:val="00467556"/>
    <w:rsid w:val="004777AF"/>
    <w:rsid w:val="00484313"/>
    <w:rsid w:val="004845F7"/>
    <w:rsid w:val="00487DA5"/>
    <w:rsid w:val="004930F5"/>
    <w:rsid w:val="00493D1D"/>
    <w:rsid w:val="004A326D"/>
    <w:rsid w:val="004B6284"/>
    <w:rsid w:val="004C06B9"/>
    <w:rsid w:val="004C1996"/>
    <w:rsid w:val="004C603D"/>
    <w:rsid w:val="004C6D99"/>
    <w:rsid w:val="004D3701"/>
    <w:rsid w:val="004D6C59"/>
    <w:rsid w:val="004E00D3"/>
    <w:rsid w:val="004E6244"/>
    <w:rsid w:val="004F6EFD"/>
    <w:rsid w:val="004F702E"/>
    <w:rsid w:val="004F7B2E"/>
    <w:rsid w:val="00502239"/>
    <w:rsid w:val="00506AC1"/>
    <w:rsid w:val="005073D6"/>
    <w:rsid w:val="00510919"/>
    <w:rsid w:val="00510D64"/>
    <w:rsid w:val="00512D71"/>
    <w:rsid w:val="00515AC0"/>
    <w:rsid w:val="00525CDC"/>
    <w:rsid w:val="005271D1"/>
    <w:rsid w:val="00530E80"/>
    <w:rsid w:val="00536913"/>
    <w:rsid w:val="00536A99"/>
    <w:rsid w:val="005415DB"/>
    <w:rsid w:val="00541C02"/>
    <w:rsid w:val="00555A2D"/>
    <w:rsid w:val="00562A69"/>
    <w:rsid w:val="00571009"/>
    <w:rsid w:val="00571713"/>
    <w:rsid w:val="0057443E"/>
    <w:rsid w:val="00574A7A"/>
    <w:rsid w:val="00577C91"/>
    <w:rsid w:val="00583A6A"/>
    <w:rsid w:val="00585063"/>
    <w:rsid w:val="00591F70"/>
    <w:rsid w:val="005C3706"/>
    <w:rsid w:val="005C3AAE"/>
    <w:rsid w:val="005C6796"/>
    <w:rsid w:val="005D19E6"/>
    <w:rsid w:val="005D36D5"/>
    <w:rsid w:val="005D4794"/>
    <w:rsid w:val="005E587D"/>
    <w:rsid w:val="005E6EE5"/>
    <w:rsid w:val="005F002F"/>
    <w:rsid w:val="005F3653"/>
    <w:rsid w:val="005F483B"/>
    <w:rsid w:val="005F67D7"/>
    <w:rsid w:val="00607D4F"/>
    <w:rsid w:val="006175E3"/>
    <w:rsid w:val="006177AD"/>
    <w:rsid w:val="0062255A"/>
    <w:rsid w:val="00624D18"/>
    <w:rsid w:val="00624E7D"/>
    <w:rsid w:val="00631624"/>
    <w:rsid w:val="006472B7"/>
    <w:rsid w:val="00651DE2"/>
    <w:rsid w:val="006538FF"/>
    <w:rsid w:val="0065566D"/>
    <w:rsid w:val="0066538C"/>
    <w:rsid w:val="006669D9"/>
    <w:rsid w:val="00666A6B"/>
    <w:rsid w:val="00670626"/>
    <w:rsid w:val="006727B3"/>
    <w:rsid w:val="00673CCA"/>
    <w:rsid w:val="00674E41"/>
    <w:rsid w:val="00676352"/>
    <w:rsid w:val="00681F10"/>
    <w:rsid w:val="00683F6F"/>
    <w:rsid w:val="006868B5"/>
    <w:rsid w:val="00687318"/>
    <w:rsid w:val="006876EC"/>
    <w:rsid w:val="00693BA0"/>
    <w:rsid w:val="006A5570"/>
    <w:rsid w:val="006A5CFB"/>
    <w:rsid w:val="006B3408"/>
    <w:rsid w:val="006B4BB9"/>
    <w:rsid w:val="006C72D8"/>
    <w:rsid w:val="006C73C9"/>
    <w:rsid w:val="006D1288"/>
    <w:rsid w:val="006D2E91"/>
    <w:rsid w:val="006D5B48"/>
    <w:rsid w:val="006D7FF1"/>
    <w:rsid w:val="006E329C"/>
    <w:rsid w:val="006E47F4"/>
    <w:rsid w:val="006F1412"/>
    <w:rsid w:val="006F2F81"/>
    <w:rsid w:val="006F4962"/>
    <w:rsid w:val="00700884"/>
    <w:rsid w:val="00700ECB"/>
    <w:rsid w:val="00712156"/>
    <w:rsid w:val="00716561"/>
    <w:rsid w:val="00720B9F"/>
    <w:rsid w:val="007323A6"/>
    <w:rsid w:val="00735D4D"/>
    <w:rsid w:val="007409C1"/>
    <w:rsid w:val="00744632"/>
    <w:rsid w:val="007474FE"/>
    <w:rsid w:val="00754ADB"/>
    <w:rsid w:val="007641A5"/>
    <w:rsid w:val="0076715E"/>
    <w:rsid w:val="00777E77"/>
    <w:rsid w:val="00780C18"/>
    <w:rsid w:val="0078681C"/>
    <w:rsid w:val="00787C4B"/>
    <w:rsid w:val="007907B0"/>
    <w:rsid w:val="00794C59"/>
    <w:rsid w:val="007960C5"/>
    <w:rsid w:val="00797BC7"/>
    <w:rsid w:val="007A3EB0"/>
    <w:rsid w:val="007A43A8"/>
    <w:rsid w:val="007A6601"/>
    <w:rsid w:val="007B4C74"/>
    <w:rsid w:val="007B6335"/>
    <w:rsid w:val="007C5711"/>
    <w:rsid w:val="007C7FB8"/>
    <w:rsid w:val="007D4B82"/>
    <w:rsid w:val="007E1626"/>
    <w:rsid w:val="007E2E05"/>
    <w:rsid w:val="007E4AAE"/>
    <w:rsid w:val="00801E22"/>
    <w:rsid w:val="008024F6"/>
    <w:rsid w:val="00802AEA"/>
    <w:rsid w:val="00803F94"/>
    <w:rsid w:val="008079F0"/>
    <w:rsid w:val="00810553"/>
    <w:rsid w:val="00815BB3"/>
    <w:rsid w:val="00817164"/>
    <w:rsid w:val="00825017"/>
    <w:rsid w:val="00832D6C"/>
    <w:rsid w:val="00832EEA"/>
    <w:rsid w:val="00837710"/>
    <w:rsid w:val="00840A6A"/>
    <w:rsid w:val="00841F18"/>
    <w:rsid w:val="00845B04"/>
    <w:rsid w:val="00847CB9"/>
    <w:rsid w:val="008508AA"/>
    <w:rsid w:val="00852A75"/>
    <w:rsid w:val="00853004"/>
    <w:rsid w:val="00853F7D"/>
    <w:rsid w:val="00856437"/>
    <w:rsid w:val="0085752A"/>
    <w:rsid w:val="008603F5"/>
    <w:rsid w:val="00873757"/>
    <w:rsid w:val="00875DB2"/>
    <w:rsid w:val="008807BC"/>
    <w:rsid w:val="008809B4"/>
    <w:rsid w:val="0088293C"/>
    <w:rsid w:val="00887660"/>
    <w:rsid w:val="00890911"/>
    <w:rsid w:val="008914FA"/>
    <w:rsid w:val="00897516"/>
    <w:rsid w:val="008A281A"/>
    <w:rsid w:val="008A4597"/>
    <w:rsid w:val="008A470B"/>
    <w:rsid w:val="008B36B8"/>
    <w:rsid w:val="008B464F"/>
    <w:rsid w:val="008B55EB"/>
    <w:rsid w:val="008B58B7"/>
    <w:rsid w:val="008B5FA9"/>
    <w:rsid w:val="008C0E61"/>
    <w:rsid w:val="008C26F7"/>
    <w:rsid w:val="008C3EFA"/>
    <w:rsid w:val="008C4978"/>
    <w:rsid w:val="008D235A"/>
    <w:rsid w:val="008E13EE"/>
    <w:rsid w:val="008E19C8"/>
    <w:rsid w:val="008E2DF4"/>
    <w:rsid w:val="008E58B0"/>
    <w:rsid w:val="008F1438"/>
    <w:rsid w:val="008F6D99"/>
    <w:rsid w:val="00913E7A"/>
    <w:rsid w:val="0091686F"/>
    <w:rsid w:val="00920C19"/>
    <w:rsid w:val="0092497C"/>
    <w:rsid w:val="00924EBF"/>
    <w:rsid w:val="009326F9"/>
    <w:rsid w:val="00932B70"/>
    <w:rsid w:val="0094049F"/>
    <w:rsid w:val="009423ED"/>
    <w:rsid w:val="009436A7"/>
    <w:rsid w:val="0095119D"/>
    <w:rsid w:val="009539A0"/>
    <w:rsid w:val="009578B1"/>
    <w:rsid w:val="009653DF"/>
    <w:rsid w:val="00965796"/>
    <w:rsid w:val="009659D2"/>
    <w:rsid w:val="00967758"/>
    <w:rsid w:val="009711A7"/>
    <w:rsid w:val="009712F4"/>
    <w:rsid w:val="00980DFC"/>
    <w:rsid w:val="00986009"/>
    <w:rsid w:val="00990FB6"/>
    <w:rsid w:val="009A0197"/>
    <w:rsid w:val="009B1B73"/>
    <w:rsid w:val="009C1ACD"/>
    <w:rsid w:val="009C3863"/>
    <w:rsid w:val="009C5732"/>
    <w:rsid w:val="009C7F6B"/>
    <w:rsid w:val="009D1F23"/>
    <w:rsid w:val="009D216A"/>
    <w:rsid w:val="009D6111"/>
    <w:rsid w:val="009D7325"/>
    <w:rsid w:val="009D7F46"/>
    <w:rsid w:val="009E389F"/>
    <w:rsid w:val="009E4540"/>
    <w:rsid w:val="009F01D5"/>
    <w:rsid w:val="009F6C24"/>
    <w:rsid w:val="00A10DA6"/>
    <w:rsid w:val="00A1103F"/>
    <w:rsid w:val="00A12D37"/>
    <w:rsid w:val="00A14389"/>
    <w:rsid w:val="00A16AF9"/>
    <w:rsid w:val="00A27F70"/>
    <w:rsid w:val="00A37420"/>
    <w:rsid w:val="00A40E8B"/>
    <w:rsid w:val="00A41F66"/>
    <w:rsid w:val="00A4286A"/>
    <w:rsid w:val="00A53E22"/>
    <w:rsid w:val="00A546FC"/>
    <w:rsid w:val="00A56BC8"/>
    <w:rsid w:val="00A57847"/>
    <w:rsid w:val="00A62555"/>
    <w:rsid w:val="00A66968"/>
    <w:rsid w:val="00A66F85"/>
    <w:rsid w:val="00A76BC5"/>
    <w:rsid w:val="00A77AE7"/>
    <w:rsid w:val="00A80113"/>
    <w:rsid w:val="00A80CB3"/>
    <w:rsid w:val="00A919E1"/>
    <w:rsid w:val="00A97126"/>
    <w:rsid w:val="00AA7307"/>
    <w:rsid w:val="00AB3F15"/>
    <w:rsid w:val="00AB65AE"/>
    <w:rsid w:val="00AC2592"/>
    <w:rsid w:val="00AC2B1F"/>
    <w:rsid w:val="00AE0262"/>
    <w:rsid w:val="00AE3A0F"/>
    <w:rsid w:val="00B017DF"/>
    <w:rsid w:val="00B023D1"/>
    <w:rsid w:val="00B02EF6"/>
    <w:rsid w:val="00B04DF4"/>
    <w:rsid w:val="00B203F2"/>
    <w:rsid w:val="00B35A8A"/>
    <w:rsid w:val="00B50DC1"/>
    <w:rsid w:val="00B66207"/>
    <w:rsid w:val="00B711FC"/>
    <w:rsid w:val="00B72EFB"/>
    <w:rsid w:val="00B81F38"/>
    <w:rsid w:val="00B82462"/>
    <w:rsid w:val="00B85484"/>
    <w:rsid w:val="00B943BA"/>
    <w:rsid w:val="00BA16DF"/>
    <w:rsid w:val="00BA18A0"/>
    <w:rsid w:val="00BA4145"/>
    <w:rsid w:val="00BA5372"/>
    <w:rsid w:val="00BA5DD6"/>
    <w:rsid w:val="00BA6DFF"/>
    <w:rsid w:val="00BB34F3"/>
    <w:rsid w:val="00BB4E8D"/>
    <w:rsid w:val="00BB5A17"/>
    <w:rsid w:val="00BC03DE"/>
    <w:rsid w:val="00BC0718"/>
    <w:rsid w:val="00BC4232"/>
    <w:rsid w:val="00BD24E7"/>
    <w:rsid w:val="00BE6E2F"/>
    <w:rsid w:val="00BE75E9"/>
    <w:rsid w:val="00BE7B49"/>
    <w:rsid w:val="00BF1922"/>
    <w:rsid w:val="00BF4DA8"/>
    <w:rsid w:val="00C009F7"/>
    <w:rsid w:val="00C0462C"/>
    <w:rsid w:val="00C10FE1"/>
    <w:rsid w:val="00C1549C"/>
    <w:rsid w:val="00C23F2A"/>
    <w:rsid w:val="00C24320"/>
    <w:rsid w:val="00C24414"/>
    <w:rsid w:val="00C25C7E"/>
    <w:rsid w:val="00C2749D"/>
    <w:rsid w:val="00C359C8"/>
    <w:rsid w:val="00C365F4"/>
    <w:rsid w:val="00C46383"/>
    <w:rsid w:val="00C4669A"/>
    <w:rsid w:val="00C46A39"/>
    <w:rsid w:val="00C5037A"/>
    <w:rsid w:val="00C5418B"/>
    <w:rsid w:val="00C55AF9"/>
    <w:rsid w:val="00C5634A"/>
    <w:rsid w:val="00C600C5"/>
    <w:rsid w:val="00C62387"/>
    <w:rsid w:val="00C6354F"/>
    <w:rsid w:val="00C73EA3"/>
    <w:rsid w:val="00C8210C"/>
    <w:rsid w:val="00C91804"/>
    <w:rsid w:val="00C95425"/>
    <w:rsid w:val="00C962DD"/>
    <w:rsid w:val="00CA057C"/>
    <w:rsid w:val="00CA14FC"/>
    <w:rsid w:val="00CA197A"/>
    <w:rsid w:val="00CB1D71"/>
    <w:rsid w:val="00CB49ED"/>
    <w:rsid w:val="00CC107D"/>
    <w:rsid w:val="00CC2A5F"/>
    <w:rsid w:val="00CC6DAC"/>
    <w:rsid w:val="00CC77A7"/>
    <w:rsid w:val="00CD5AA2"/>
    <w:rsid w:val="00CD6842"/>
    <w:rsid w:val="00CE1311"/>
    <w:rsid w:val="00CE13E0"/>
    <w:rsid w:val="00CF64A8"/>
    <w:rsid w:val="00D009D5"/>
    <w:rsid w:val="00D01709"/>
    <w:rsid w:val="00D028AC"/>
    <w:rsid w:val="00D02F61"/>
    <w:rsid w:val="00D0388A"/>
    <w:rsid w:val="00D13FA6"/>
    <w:rsid w:val="00D15A5F"/>
    <w:rsid w:val="00D16C2A"/>
    <w:rsid w:val="00D238F6"/>
    <w:rsid w:val="00D24820"/>
    <w:rsid w:val="00D30275"/>
    <w:rsid w:val="00D360EB"/>
    <w:rsid w:val="00D4140C"/>
    <w:rsid w:val="00D45964"/>
    <w:rsid w:val="00D52690"/>
    <w:rsid w:val="00D54B21"/>
    <w:rsid w:val="00D57AE2"/>
    <w:rsid w:val="00D57B86"/>
    <w:rsid w:val="00D67594"/>
    <w:rsid w:val="00D71CFF"/>
    <w:rsid w:val="00D7437C"/>
    <w:rsid w:val="00D76A87"/>
    <w:rsid w:val="00D80423"/>
    <w:rsid w:val="00D943AE"/>
    <w:rsid w:val="00D97FBC"/>
    <w:rsid w:val="00DA1639"/>
    <w:rsid w:val="00DA711A"/>
    <w:rsid w:val="00DB469F"/>
    <w:rsid w:val="00DC7D2B"/>
    <w:rsid w:val="00DD297B"/>
    <w:rsid w:val="00DD5C17"/>
    <w:rsid w:val="00DE0510"/>
    <w:rsid w:val="00DF64C1"/>
    <w:rsid w:val="00E07FBF"/>
    <w:rsid w:val="00E13767"/>
    <w:rsid w:val="00E1466F"/>
    <w:rsid w:val="00E16103"/>
    <w:rsid w:val="00E168AE"/>
    <w:rsid w:val="00E2691A"/>
    <w:rsid w:val="00E26B8D"/>
    <w:rsid w:val="00E45569"/>
    <w:rsid w:val="00E457B2"/>
    <w:rsid w:val="00E458B2"/>
    <w:rsid w:val="00E47571"/>
    <w:rsid w:val="00E50785"/>
    <w:rsid w:val="00E52C78"/>
    <w:rsid w:val="00E54E2A"/>
    <w:rsid w:val="00E73990"/>
    <w:rsid w:val="00E842C2"/>
    <w:rsid w:val="00E847E3"/>
    <w:rsid w:val="00E86502"/>
    <w:rsid w:val="00E92EAB"/>
    <w:rsid w:val="00EA4240"/>
    <w:rsid w:val="00EB57F9"/>
    <w:rsid w:val="00EC0A33"/>
    <w:rsid w:val="00ED5D4E"/>
    <w:rsid w:val="00EE1725"/>
    <w:rsid w:val="00EE5FE0"/>
    <w:rsid w:val="00EE7962"/>
    <w:rsid w:val="00EF0724"/>
    <w:rsid w:val="00EF3A7E"/>
    <w:rsid w:val="00EF4F26"/>
    <w:rsid w:val="00EF5599"/>
    <w:rsid w:val="00F112F1"/>
    <w:rsid w:val="00F25F9A"/>
    <w:rsid w:val="00F30E61"/>
    <w:rsid w:val="00F338AA"/>
    <w:rsid w:val="00F4123C"/>
    <w:rsid w:val="00F42826"/>
    <w:rsid w:val="00F46870"/>
    <w:rsid w:val="00F51895"/>
    <w:rsid w:val="00F54568"/>
    <w:rsid w:val="00F6189B"/>
    <w:rsid w:val="00F634DD"/>
    <w:rsid w:val="00F6632A"/>
    <w:rsid w:val="00F71B85"/>
    <w:rsid w:val="00F73577"/>
    <w:rsid w:val="00F81E8A"/>
    <w:rsid w:val="00F82954"/>
    <w:rsid w:val="00F838FF"/>
    <w:rsid w:val="00F94D44"/>
    <w:rsid w:val="00FA29CB"/>
    <w:rsid w:val="00FA4DC1"/>
    <w:rsid w:val="00FB30D7"/>
    <w:rsid w:val="00FB4F88"/>
    <w:rsid w:val="00FC013A"/>
    <w:rsid w:val="00FC0F5A"/>
    <w:rsid w:val="00FC3D59"/>
    <w:rsid w:val="00FC7A39"/>
    <w:rsid w:val="00FD73B9"/>
    <w:rsid w:val="00FE0C77"/>
    <w:rsid w:val="00FE47D9"/>
    <w:rsid w:val="00FE5B6F"/>
    <w:rsid w:val="00FF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A54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Footnote Reference1,FR,Style 17,Style 6,Foot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character" w:customStyle="1" w:styleId="apple-converted-space">
    <w:name w:val="apple-converted-space"/>
    <w:rsid w:val="00E168AE"/>
  </w:style>
  <w:style w:type="character" w:customStyle="1" w:styleId="footnote">
    <w:name w:val="footnote"/>
    <w:rsid w:val="00E168AE"/>
  </w:style>
  <w:style w:type="paragraph" w:styleId="Revision">
    <w:name w:val="Revision"/>
    <w:hidden/>
    <w:uiPriority w:val="99"/>
    <w:semiHidden/>
    <w:rsid w:val="00D30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Footnote Reference1,FR,Style 17,Style 6,Foot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character" w:customStyle="1" w:styleId="apple-converted-space">
    <w:name w:val="apple-converted-space"/>
    <w:rsid w:val="00E168AE"/>
  </w:style>
  <w:style w:type="character" w:customStyle="1" w:styleId="footnote">
    <w:name w:val="footnote"/>
    <w:rsid w:val="00E168AE"/>
  </w:style>
  <w:style w:type="paragraph" w:styleId="Revision">
    <w:name w:val="Revision"/>
    <w:hidden/>
    <w:uiPriority w:val="99"/>
    <w:semiHidden/>
    <w:rsid w:val="00D30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87845">
      <w:bodyDiv w:val="1"/>
      <w:marLeft w:val="30"/>
      <w:marRight w:val="30"/>
      <w:marTop w:val="30"/>
      <w:marBottom w:val="30"/>
      <w:divBdr>
        <w:top w:val="none" w:sz="0" w:space="0" w:color="auto"/>
        <w:left w:val="none" w:sz="0" w:space="0" w:color="auto"/>
        <w:bottom w:val="none" w:sz="0" w:space="0" w:color="auto"/>
        <w:right w:val="none" w:sz="0" w:space="0" w:color="auto"/>
      </w:divBdr>
      <w:divsChild>
        <w:div w:id="1086654312">
          <w:marLeft w:val="0"/>
          <w:marRight w:val="0"/>
          <w:marTop w:val="0"/>
          <w:marBottom w:val="0"/>
          <w:divBdr>
            <w:top w:val="none" w:sz="0" w:space="0" w:color="auto"/>
            <w:left w:val="none" w:sz="0" w:space="0" w:color="auto"/>
            <w:bottom w:val="none" w:sz="0" w:space="0" w:color="auto"/>
            <w:right w:val="none" w:sz="0" w:space="0" w:color="auto"/>
          </w:divBdr>
          <w:divsChild>
            <w:div w:id="376662472">
              <w:marLeft w:val="45"/>
              <w:marRight w:val="45"/>
              <w:marTop w:val="45"/>
              <w:marBottom w:val="45"/>
              <w:divBdr>
                <w:top w:val="none" w:sz="0" w:space="0" w:color="auto"/>
                <w:left w:val="none" w:sz="0" w:space="0" w:color="auto"/>
                <w:bottom w:val="none" w:sz="0" w:space="0" w:color="auto"/>
                <w:right w:val="none" w:sz="0" w:space="0" w:color="auto"/>
              </w:divBdr>
              <w:divsChild>
                <w:div w:id="1578706070">
                  <w:marLeft w:val="0"/>
                  <w:marRight w:val="0"/>
                  <w:marTop w:val="0"/>
                  <w:marBottom w:val="0"/>
                  <w:divBdr>
                    <w:top w:val="none" w:sz="0" w:space="0" w:color="auto"/>
                    <w:left w:val="none" w:sz="0" w:space="0" w:color="auto"/>
                    <w:bottom w:val="none" w:sz="0" w:space="0" w:color="auto"/>
                    <w:right w:val="none" w:sz="0" w:space="0" w:color="auto"/>
                  </w:divBdr>
                  <w:divsChild>
                    <w:div w:id="259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51985">
      <w:bodyDiv w:val="1"/>
      <w:marLeft w:val="30"/>
      <w:marRight w:val="30"/>
      <w:marTop w:val="30"/>
      <w:marBottom w:val="30"/>
      <w:divBdr>
        <w:top w:val="none" w:sz="0" w:space="0" w:color="auto"/>
        <w:left w:val="none" w:sz="0" w:space="0" w:color="auto"/>
        <w:bottom w:val="none" w:sz="0" w:space="0" w:color="auto"/>
        <w:right w:val="none" w:sz="0" w:space="0" w:color="auto"/>
      </w:divBdr>
      <w:divsChild>
        <w:div w:id="1386104749">
          <w:marLeft w:val="0"/>
          <w:marRight w:val="0"/>
          <w:marTop w:val="0"/>
          <w:marBottom w:val="0"/>
          <w:divBdr>
            <w:top w:val="none" w:sz="0" w:space="0" w:color="auto"/>
            <w:left w:val="none" w:sz="0" w:space="0" w:color="auto"/>
            <w:bottom w:val="none" w:sz="0" w:space="0" w:color="auto"/>
            <w:right w:val="none" w:sz="0" w:space="0" w:color="auto"/>
          </w:divBdr>
          <w:divsChild>
            <w:div w:id="1415664364">
              <w:marLeft w:val="45"/>
              <w:marRight w:val="45"/>
              <w:marTop w:val="45"/>
              <w:marBottom w:val="45"/>
              <w:divBdr>
                <w:top w:val="none" w:sz="0" w:space="0" w:color="auto"/>
                <w:left w:val="none" w:sz="0" w:space="0" w:color="auto"/>
                <w:bottom w:val="none" w:sz="0" w:space="0" w:color="auto"/>
                <w:right w:val="none" w:sz="0" w:space="0" w:color="auto"/>
              </w:divBdr>
              <w:divsChild>
                <w:div w:id="1213496581">
                  <w:marLeft w:val="0"/>
                  <w:marRight w:val="0"/>
                  <w:marTop w:val="0"/>
                  <w:marBottom w:val="0"/>
                  <w:divBdr>
                    <w:top w:val="none" w:sz="0" w:space="0" w:color="auto"/>
                    <w:left w:val="none" w:sz="0" w:space="0" w:color="auto"/>
                    <w:bottom w:val="none" w:sz="0" w:space="0" w:color="auto"/>
                    <w:right w:val="none" w:sz="0" w:space="0" w:color="auto"/>
                  </w:divBdr>
                  <w:divsChild>
                    <w:div w:id="1290668588">
                      <w:marLeft w:val="0"/>
                      <w:marRight w:val="0"/>
                      <w:marTop w:val="0"/>
                      <w:marBottom w:val="0"/>
                      <w:divBdr>
                        <w:top w:val="none" w:sz="0" w:space="0" w:color="auto"/>
                        <w:left w:val="none" w:sz="0" w:space="0" w:color="auto"/>
                        <w:bottom w:val="none" w:sz="0" w:space="0" w:color="auto"/>
                        <w:right w:val="none" w:sz="0" w:space="0" w:color="auto"/>
                      </w:divBdr>
                      <w:divsChild>
                        <w:div w:id="2781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AW\LOCALS~1\Temp\NAL10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NAL101210</Template>
  <TotalTime>0</TotalTime>
  <Pages>3</Pages>
  <Words>2892</Words>
  <Characters>15992</Characters>
  <Application>Microsoft Office Word</Application>
  <DocSecurity>0</DocSecurity>
  <Lines>238</Lines>
  <Paragraphs>54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18973</CharactersWithSpaces>
  <SharedDoc>false</SharedDoc>
  <HyperlinkBase> </HyperlinkBase>
  <HLinks>
    <vt:vector size="12" baseType="variant">
      <vt:variant>
        <vt:i4>1835128</vt:i4>
      </vt:variant>
      <vt:variant>
        <vt:i4>3</vt:i4>
      </vt:variant>
      <vt:variant>
        <vt:i4>0</vt:i4>
      </vt:variant>
      <vt:variant>
        <vt:i4>5</vt:i4>
      </vt:variant>
      <vt:variant>
        <vt:lpwstr>mailto:SCR-Response@fcc.gov</vt:lpwstr>
      </vt:variant>
      <vt:variant>
        <vt:lpwstr/>
      </vt:variant>
      <vt:variant>
        <vt:i4>1835128</vt:i4>
      </vt:variant>
      <vt:variant>
        <vt:i4>0</vt:i4>
      </vt:variant>
      <vt:variant>
        <vt:i4>0</vt:i4>
      </vt:variant>
      <vt:variant>
        <vt:i4>5</vt:i4>
      </vt:variant>
      <vt:variant>
        <vt:lpwstr>mailto:SCR-Response@fcc.gov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2015-04-13T23:11:00Z</cp:lastPrinted>
  <dcterms:created xsi:type="dcterms:W3CDTF">2015-07-07T01:24:00Z</dcterms:created>
  <dcterms:modified xsi:type="dcterms:W3CDTF">2015-07-07T01:24:00Z</dcterms:modified>
  <cp:category> </cp:category>
  <cp:contentStatus> </cp:contentStatus>
</cp:coreProperties>
</file>