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A3A5" w14:textId="77777777" w:rsidR="00857FB9" w:rsidRDefault="00857FB9">
      <w:pPr>
        <w:jc w:val="center"/>
        <w:rPr>
          <w:b/>
          <w:szCs w:val="22"/>
        </w:rPr>
      </w:pPr>
      <w:bookmarkStart w:id="0" w:name="_GoBack"/>
      <w:bookmarkEnd w:id="0"/>
      <w:r>
        <w:rPr>
          <w:b/>
          <w:szCs w:val="22"/>
        </w:rPr>
        <w:t>Before the</w:t>
      </w:r>
    </w:p>
    <w:p w14:paraId="66A7AE28" w14:textId="77777777" w:rsidR="00857FB9" w:rsidRDefault="00857FB9">
      <w:pPr>
        <w:jc w:val="center"/>
        <w:rPr>
          <w:b/>
          <w:szCs w:val="22"/>
        </w:rPr>
      </w:pPr>
      <w:r>
        <w:rPr>
          <w:b/>
          <w:szCs w:val="22"/>
        </w:rPr>
        <w:t>Federal Communications Commission</w:t>
      </w:r>
    </w:p>
    <w:p w14:paraId="49D11DBB" w14:textId="77777777" w:rsidR="00857FB9" w:rsidRDefault="00857FB9">
      <w:pPr>
        <w:jc w:val="center"/>
        <w:rPr>
          <w:b/>
          <w:szCs w:val="22"/>
        </w:rPr>
      </w:pPr>
      <w:r>
        <w:rPr>
          <w:b/>
          <w:szCs w:val="22"/>
        </w:rPr>
        <w:t>Washington, D.C. 20554</w:t>
      </w:r>
    </w:p>
    <w:p w14:paraId="766E69AB" w14:textId="77777777" w:rsidR="00857FB9" w:rsidRDefault="00857FB9">
      <w:pPr>
        <w:rPr>
          <w:szCs w:val="22"/>
        </w:rPr>
      </w:pPr>
    </w:p>
    <w:tbl>
      <w:tblPr>
        <w:tblW w:w="9648" w:type="dxa"/>
        <w:tblLayout w:type="fixed"/>
        <w:tblLook w:val="0000" w:firstRow="0" w:lastRow="0" w:firstColumn="0" w:lastColumn="0" w:noHBand="0" w:noVBand="0"/>
      </w:tblPr>
      <w:tblGrid>
        <w:gridCol w:w="4698"/>
        <w:gridCol w:w="720"/>
        <w:gridCol w:w="4230"/>
      </w:tblGrid>
      <w:tr w:rsidR="00857FB9" w14:paraId="4ABDD41E" w14:textId="77777777">
        <w:tc>
          <w:tcPr>
            <w:tcW w:w="4698" w:type="dxa"/>
          </w:tcPr>
          <w:p w14:paraId="04D8C40E" w14:textId="77777777" w:rsidR="00857FB9" w:rsidRDefault="00857FB9">
            <w:pPr>
              <w:ind w:right="-18"/>
              <w:rPr>
                <w:rFonts w:eastAsia="SimSun"/>
                <w:szCs w:val="22"/>
              </w:rPr>
            </w:pPr>
            <w:r>
              <w:rPr>
                <w:rFonts w:eastAsia="SimSun"/>
                <w:szCs w:val="22"/>
              </w:rPr>
              <w:t xml:space="preserve">In re Application of  </w:t>
            </w:r>
          </w:p>
          <w:p w14:paraId="0AE5F52D" w14:textId="77777777" w:rsidR="00857FB9" w:rsidRDefault="00857FB9">
            <w:pPr>
              <w:ind w:right="-18"/>
              <w:rPr>
                <w:rFonts w:eastAsia="SimSun"/>
                <w:szCs w:val="22"/>
              </w:rPr>
            </w:pPr>
          </w:p>
          <w:p w14:paraId="32FB79A5" w14:textId="77777777" w:rsidR="00857FB9" w:rsidRDefault="00114F84">
            <w:pPr>
              <w:tabs>
                <w:tab w:val="left" w:pos="0"/>
              </w:tabs>
              <w:suppressAutoHyphens/>
              <w:ind w:left="5040" w:hanging="5040"/>
              <w:rPr>
                <w:rFonts w:eastAsia="SimSun"/>
                <w:b/>
                <w:szCs w:val="22"/>
              </w:rPr>
            </w:pPr>
            <w:r>
              <w:rPr>
                <w:rFonts w:eastAsia="SimSun"/>
                <w:b/>
                <w:szCs w:val="22"/>
              </w:rPr>
              <w:t>Lancaster Broadcasters, Inc.</w:t>
            </w:r>
          </w:p>
          <w:p w14:paraId="74766E8D" w14:textId="77777777" w:rsidR="00857FB9" w:rsidRDefault="00857FB9">
            <w:pPr>
              <w:tabs>
                <w:tab w:val="left" w:pos="0"/>
              </w:tabs>
              <w:suppressAutoHyphens/>
              <w:ind w:left="5040" w:hanging="5040"/>
              <w:rPr>
                <w:rFonts w:eastAsia="SimSun"/>
                <w:szCs w:val="22"/>
              </w:rPr>
            </w:pPr>
          </w:p>
          <w:p w14:paraId="7E7C1F97" w14:textId="77777777" w:rsidR="00857FB9" w:rsidRDefault="00857FB9">
            <w:pPr>
              <w:ind w:right="-18"/>
              <w:rPr>
                <w:rFonts w:eastAsia="SimSun"/>
                <w:szCs w:val="22"/>
              </w:rPr>
            </w:pPr>
            <w:r>
              <w:rPr>
                <w:rFonts w:eastAsia="SimSun"/>
                <w:szCs w:val="22"/>
              </w:rPr>
              <w:t>For Renewal of License for</w:t>
            </w:r>
          </w:p>
          <w:p w14:paraId="7AD4D42B" w14:textId="77777777" w:rsidR="00857FB9" w:rsidRDefault="00857FB9" w:rsidP="00114F84">
            <w:pPr>
              <w:ind w:right="-18"/>
              <w:rPr>
                <w:rFonts w:eastAsia="SimSun"/>
                <w:szCs w:val="22"/>
              </w:rPr>
            </w:pPr>
            <w:r>
              <w:rPr>
                <w:rFonts w:eastAsia="SimSun"/>
                <w:szCs w:val="22"/>
              </w:rPr>
              <w:t xml:space="preserve">Station </w:t>
            </w:r>
            <w:r w:rsidR="00114F84">
              <w:rPr>
                <w:rFonts w:eastAsia="SimSun"/>
                <w:szCs w:val="22"/>
              </w:rPr>
              <w:t>DWKYY(AM)</w:t>
            </w:r>
          </w:p>
          <w:p w14:paraId="51DC809D" w14:textId="77777777" w:rsidR="00114F84" w:rsidRDefault="00114F84" w:rsidP="00114F84">
            <w:pPr>
              <w:ind w:right="-18"/>
              <w:rPr>
                <w:rFonts w:eastAsia="SimSun"/>
                <w:szCs w:val="22"/>
              </w:rPr>
            </w:pPr>
            <w:r>
              <w:rPr>
                <w:rFonts w:eastAsia="SimSun"/>
                <w:szCs w:val="22"/>
              </w:rPr>
              <w:t>Lancaster, Kentucky</w:t>
            </w:r>
          </w:p>
        </w:tc>
        <w:tc>
          <w:tcPr>
            <w:tcW w:w="720" w:type="dxa"/>
          </w:tcPr>
          <w:p w14:paraId="133EDEC7" w14:textId="77777777" w:rsidR="00857FB9" w:rsidRDefault="00857FB9">
            <w:pPr>
              <w:rPr>
                <w:rFonts w:eastAsia="SimSun"/>
                <w:b/>
                <w:szCs w:val="22"/>
              </w:rPr>
            </w:pPr>
            <w:r>
              <w:rPr>
                <w:rFonts w:eastAsia="SimSun"/>
                <w:b/>
                <w:szCs w:val="22"/>
              </w:rPr>
              <w:t>)</w:t>
            </w:r>
          </w:p>
          <w:p w14:paraId="6DF546AA" w14:textId="77777777" w:rsidR="00857FB9" w:rsidRDefault="00857FB9">
            <w:pPr>
              <w:rPr>
                <w:rFonts w:eastAsia="SimSun"/>
                <w:b/>
                <w:szCs w:val="22"/>
              </w:rPr>
            </w:pPr>
            <w:r>
              <w:rPr>
                <w:rFonts w:eastAsia="SimSun"/>
                <w:b/>
                <w:szCs w:val="22"/>
              </w:rPr>
              <w:t>)</w:t>
            </w:r>
          </w:p>
          <w:p w14:paraId="75A4E7CF" w14:textId="77777777" w:rsidR="00857FB9" w:rsidRDefault="00857FB9">
            <w:pPr>
              <w:rPr>
                <w:rFonts w:eastAsia="SimSun"/>
                <w:b/>
                <w:szCs w:val="22"/>
              </w:rPr>
            </w:pPr>
            <w:r>
              <w:rPr>
                <w:rFonts w:eastAsia="SimSun"/>
                <w:b/>
                <w:szCs w:val="22"/>
              </w:rPr>
              <w:t>)</w:t>
            </w:r>
          </w:p>
          <w:p w14:paraId="525DDA5F" w14:textId="77777777" w:rsidR="00857FB9" w:rsidRDefault="00857FB9">
            <w:pPr>
              <w:rPr>
                <w:rFonts w:eastAsia="SimSun"/>
                <w:b/>
                <w:szCs w:val="22"/>
              </w:rPr>
            </w:pPr>
            <w:r>
              <w:rPr>
                <w:rFonts w:eastAsia="SimSun"/>
                <w:b/>
                <w:szCs w:val="22"/>
              </w:rPr>
              <w:t>)</w:t>
            </w:r>
          </w:p>
          <w:p w14:paraId="758F572F" w14:textId="77777777" w:rsidR="00857FB9" w:rsidRDefault="00857FB9">
            <w:pPr>
              <w:rPr>
                <w:rFonts w:eastAsia="SimSun"/>
                <w:b/>
                <w:szCs w:val="22"/>
              </w:rPr>
            </w:pPr>
            <w:r>
              <w:rPr>
                <w:rFonts w:eastAsia="SimSun"/>
                <w:b/>
                <w:szCs w:val="22"/>
              </w:rPr>
              <w:t>)</w:t>
            </w:r>
          </w:p>
          <w:p w14:paraId="17109CC3" w14:textId="77777777" w:rsidR="00857FB9" w:rsidRDefault="00857FB9">
            <w:pPr>
              <w:rPr>
                <w:rFonts w:eastAsia="SimSun"/>
                <w:b/>
                <w:szCs w:val="22"/>
              </w:rPr>
            </w:pPr>
            <w:r>
              <w:rPr>
                <w:rFonts w:eastAsia="SimSun"/>
                <w:b/>
                <w:szCs w:val="22"/>
              </w:rPr>
              <w:t>)</w:t>
            </w:r>
          </w:p>
          <w:p w14:paraId="735AB3E3" w14:textId="77777777" w:rsidR="00857FB9" w:rsidRDefault="00857FB9">
            <w:pPr>
              <w:rPr>
                <w:rFonts w:eastAsia="SimSun"/>
                <w:b/>
                <w:szCs w:val="22"/>
              </w:rPr>
            </w:pPr>
            <w:r>
              <w:rPr>
                <w:rFonts w:eastAsia="SimSun"/>
                <w:b/>
                <w:szCs w:val="22"/>
              </w:rPr>
              <w:t>)</w:t>
            </w:r>
          </w:p>
        </w:tc>
        <w:tc>
          <w:tcPr>
            <w:tcW w:w="4230" w:type="dxa"/>
          </w:tcPr>
          <w:p w14:paraId="79B3FD81" w14:textId="77777777" w:rsidR="00857FB9" w:rsidRDefault="00857FB9">
            <w:pPr>
              <w:rPr>
                <w:rFonts w:eastAsia="SimSun"/>
                <w:szCs w:val="22"/>
              </w:rPr>
            </w:pPr>
          </w:p>
          <w:p w14:paraId="09112964" w14:textId="77777777" w:rsidR="00857FB9" w:rsidRDefault="00857FB9">
            <w:pPr>
              <w:rPr>
                <w:rFonts w:eastAsia="SimSun"/>
                <w:szCs w:val="22"/>
              </w:rPr>
            </w:pPr>
          </w:p>
          <w:p w14:paraId="726D879D" w14:textId="403A84BC" w:rsidR="00857FB9" w:rsidRDefault="00857FB9">
            <w:pPr>
              <w:rPr>
                <w:rFonts w:eastAsia="SimSun"/>
                <w:szCs w:val="22"/>
              </w:rPr>
            </w:pPr>
            <w:r>
              <w:rPr>
                <w:rFonts w:eastAsia="SimSun"/>
                <w:szCs w:val="22"/>
              </w:rPr>
              <w:t>NAL/Acct. No. MB-</w:t>
            </w:r>
            <w:r w:rsidR="00A45B0A">
              <w:rPr>
                <w:rFonts w:eastAsia="SimSun"/>
                <w:szCs w:val="22"/>
              </w:rPr>
              <w:t>201541410028</w:t>
            </w:r>
          </w:p>
          <w:p w14:paraId="6EF88B44" w14:textId="77777777" w:rsidR="00857FB9" w:rsidRDefault="00857FB9">
            <w:pPr>
              <w:rPr>
                <w:rFonts w:eastAsia="SimSun"/>
                <w:szCs w:val="22"/>
              </w:rPr>
            </w:pPr>
            <w:r>
              <w:rPr>
                <w:rFonts w:eastAsia="SimSun"/>
                <w:szCs w:val="22"/>
              </w:rPr>
              <w:t xml:space="preserve">FRN:  </w:t>
            </w:r>
            <w:r w:rsidR="00EF0543" w:rsidRPr="00EF0543">
              <w:rPr>
                <w:rFonts w:eastAsia="SimSun"/>
                <w:szCs w:val="22"/>
              </w:rPr>
              <w:t>0007713209</w:t>
            </w:r>
          </w:p>
          <w:p w14:paraId="5003AC02" w14:textId="77777777" w:rsidR="00857FB9" w:rsidRDefault="00857FB9">
            <w:pPr>
              <w:rPr>
                <w:rFonts w:eastAsia="SimSun"/>
                <w:szCs w:val="22"/>
              </w:rPr>
            </w:pPr>
          </w:p>
          <w:p w14:paraId="37EAAFC1" w14:textId="77777777" w:rsidR="00857FB9" w:rsidRDefault="00857FB9">
            <w:pPr>
              <w:rPr>
                <w:rFonts w:eastAsia="SimSun"/>
                <w:szCs w:val="22"/>
              </w:rPr>
            </w:pPr>
            <w:r>
              <w:rPr>
                <w:rFonts w:eastAsia="SimSun"/>
                <w:szCs w:val="22"/>
              </w:rPr>
              <w:t>Faci</w:t>
            </w:r>
            <w:r w:rsidR="00EF0543">
              <w:rPr>
                <w:rFonts w:eastAsia="SimSun"/>
                <w:szCs w:val="22"/>
              </w:rPr>
              <w:t>lity ID No. 36476</w:t>
            </w:r>
          </w:p>
          <w:p w14:paraId="41654F96" w14:textId="77777777" w:rsidR="00857FB9" w:rsidRDefault="00EF0543">
            <w:pPr>
              <w:rPr>
                <w:rFonts w:eastAsia="SimSun"/>
              </w:rPr>
            </w:pPr>
            <w:r>
              <w:rPr>
                <w:rFonts w:eastAsia="SimSun"/>
              </w:rPr>
              <w:t>File No. BR-20120910ACY</w:t>
            </w:r>
          </w:p>
          <w:p w14:paraId="66AB0A7A" w14:textId="77777777" w:rsidR="00857FB9" w:rsidRDefault="00857FB9">
            <w:pPr>
              <w:rPr>
                <w:rFonts w:eastAsia="SimSun"/>
                <w:szCs w:val="22"/>
              </w:rPr>
            </w:pPr>
            <w:r>
              <w:rPr>
                <w:rFonts w:eastAsia="SimSun"/>
              </w:rPr>
              <w:t xml:space="preserve">              </w:t>
            </w:r>
          </w:p>
        </w:tc>
      </w:tr>
    </w:tbl>
    <w:p w14:paraId="6F7F6F04" w14:textId="77777777" w:rsidR="00857FB9" w:rsidRDefault="00857FB9">
      <w:pPr>
        <w:rPr>
          <w:rFonts w:eastAsia="SimSun"/>
          <w:szCs w:val="22"/>
        </w:rPr>
      </w:pPr>
    </w:p>
    <w:p w14:paraId="06D2F0C8" w14:textId="77777777" w:rsidR="00857FB9" w:rsidRDefault="00857FB9">
      <w:pPr>
        <w:jc w:val="center"/>
        <w:rPr>
          <w:rFonts w:eastAsia="SimSun"/>
          <w:b/>
          <w:spacing w:val="-2"/>
          <w:szCs w:val="22"/>
        </w:rPr>
      </w:pPr>
      <w:r>
        <w:rPr>
          <w:rFonts w:eastAsia="SimSun"/>
          <w:b/>
          <w:spacing w:val="-2"/>
          <w:szCs w:val="22"/>
        </w:rPr>
        <w:t xml:space="preserve">MEMORANDUM OPINION AND ORDER </w:t>
      </w:r>
    </w:p>
    <w:p w14:paraId="656BD3BD" w14:textId="77777777" w:rsidR="00857FB9" w:rsidRDefault="00857FB9">
      <w:pPr>
        <w:jc w:val="center"/>
        <w:rPr>
          <w:rFonts w:eastAsia="SimSun"/>
          <w:b/>
          <w:spacing w:val="-2"/>
          <w:szCs w:val="22"/>
        </w:rPr>
      </w:pPr>
      <w:r>
        <w:rPr>
          <w:rFonts w:eastAsia="SimSun"/>
          <w:b/>
          <w:spacing w:val="-2"/>
          <w:szCs w:val="22"/>
        </w:rPr>
        <w:t>AND</w:t>
      </w:r>
    </w:p>
    <w:p w14:paraId="74A6E481" w14:textId="77777777" w:rsidR="00857FB9" w:rsidRDefault="00857FB9">
      <w:pPr>
        <w:jc w:val="center"/>
        <w:rPr>
          <w:rFonts w:eastAsia="SimSun"/>
          <w:b/>
          <w:szCs w:val="22"/>
        </w:rPr>
      </w:pPr>
      <w:r>
        <w:rPr>
          <w:rFonts w:eastAsia="SimSun"/>
          <w:b/>
          <w:spacing w:val="-2"/>
          <w:szCs w:val="22"/>
        </w:rPr>
        <w:t>NOTICE OF APPARENT LIABILITY FOR FORFEITURE</w:t>
      </w:r>
    </w:p>
    <w:p w14:paraId="419929D1" w14:textId="77777777" w:rsidR="00857FB9" w:rsidRDefault="00857FB9">
      <w:pPr>
        <w:rPr>
          <w:rFonts w:eastAsia="SimSun"/>
          <w:szCs w:val="22"/>
        </w:rPr>
      </w:pPr>
    </w:p>
    <w:p w14:paraId="2BE601A1" w14:textId="71C354DE" w:rsidR="00857FB9" w:rsidRDefault="00EF0543">
      <w:pPr>
        <w:tabs>
          <w:tab w:val="left" w:pos="5760"/>
        </w:tabs>
        <w:rPr>
          <w:rFonts w:eastAsia="SimSun"/>
          <w:b/>
          <w:szCs w:val="22"/>
        </w:rPr>
      </w:pPr>
      <w:r>
        <w:rPr>
          <w:rFonts w:eastAsia="SimSun"/>
          <w:b/>
          <w:szCs w:val="22"/>
        </w:rPr>
        <w:t xml:space="preserve">Adopted: </w:t>
      </w:r>
      <w:r w:rsidR="000F0D09" w:rsidRPr="000F0D09">
        <w:rPr>
          <w:rFonts w:eastAsia="SimSun"/>
          <w:b/>
          <w:szCs w:val="22"/>
        </w:rPr>
        <w:t>July 7</w:t>
      </w:r>
      <w:r>
        <w:rPr>
          <w:rFonts w:eastAsia="SimSun"/>
          <w:b/>
          <w:szCs w:val="22"/>
        </w:rPr>
        <w:t>, 2015</w:t>
      </w:r>
      <w:r>
        <w:rPr>
          <w:rFonts w:eastAsia="SimSun"/>
          <w:b/>
          <w:szCs w:val="22"/>
        </w:rPr>
        <w:tab/>
        <w:t xml:space="preserve">Released: </w:t>
      </w:r>
      <w:r w:rsidR="000F0D09">
        <w:rPr>
          <w:rFonts w:eastAsia="SimSun"/>
          <w:b/>
          <w:szCs w:val="22"/>
        </w:rPr>
        <w:t>July 7</w:t>
      </w:r>
      <w:r>
        <w:rPr>
          <w:rFonts w:eastAsia="SimSun"/>
          <w:b/>
          <w:szCs w:val="22"/>
        </w:rPr>
        <w:t>, 2015</w:t>
      </w:r>
    </w:p>
    <w:p w14:paraId="31D95B00" w14:textId="77777777" w:rsidR="00857FB9" w:rsidRDefault="00857FB9">
      <w:pPr>
        <w:tabs>
          <w:tab w:val="left" w:pos="5760"/>
        </w:tabs>
        <w:rPr>
          <w:rFonts w:eastAsia="SimSun"/>
          <w:b/>
          <w:szCs w:val="22"/>
        </w:rPr>
      </w:pPr>
    </w:p>
    <w:p w14:paraId="7A84DCD9" w14:textId="77777777" w:rsidR="00857FB9" w:rsidRDefault="00857FB9">
      <w:pPr>
        <w:tabs>
          <w:tab w:val="left" w:pos="5760"/>
        </w:tabs>
        <w:rPr>
          <w:rFonts w:eastAsia="SimSun"/>
          <w:spacing w:val="-2"/>
          <w:szCs w:val="22"/>
        </w:rPr>
      </w:pPr>
      <w:r>
        <w:rPr>
          <w:rFonts w:eastAsia="SimSun"/>
          <w:szCs w:val="22"/>
        </w:rPr>
        <w:t>By the Chief, Audio Division, Media Bureau</w:t>
      </w:r>
      <w:r>
        <w:rPr>
          <w:rFonts w:eastAsia="SimSun"/>
          <w:spacing w:val="-2"/>
          <w:szCs w:val="22"/>
        </w:rPr>
        <w:t>:</w:t>
      </w:r>
    </w:p>
    <w:p w14:paraId="56196678" w14:textId="77777777" w:rsidR="00857FB9" w:rsidRDefault="00857FB9">
      <w:pPr>
        <w:tabs>
          <w:tab w:val="left" w:pos="5760"/>
        </w:tabs>
        <w:rPr>
          <w:szCs w:val="22"/>
        </w:rPr>
      </w:pPr>
    </w:p>
    <w:p w14:paraId="277CEA54" w14:textId="2002E861" w:rsidR="00857FB9" w:rsidRDefault="00857FB9">
      <w:pPr>
        <w:tabs>
          <w:tab w:val="left" w:pos="5760"/>
        </w:tabs>
        <w:rPr>
          <w:b/>
          <w:szCs w:val="22"/>
        </w:rPr>
      </w:pPr>
      <w:r>
        <w:rPr>
          <w:b/>
          <w:szCs w:val="22"/>
        </w:rPr>
        <w:t>I.         INTRODUCTION</w:t>
      </w:r>
    </w:p>
    <w:p w14:paraId="7E365F18" w14:textId="77777777" w:rsidR="00857FB9" w:rsidRDefault="00857FB9">
      <w:pPr>
        <w:tabs>
          <w:tab w:val="left" w:pos="5760"/>
        </w:tabs>
        <w:rPr>
          <w:b/>
          <w:szCs w:val="22"/>
        </w:rPr>
      </w:pPr>
    </w:p>
    <w:p w14:paraId="05363780" w14:textId="2A99A10A" w:rsidR="00F715D4" w:rsidRPr="0099663C" w:rsidRDefault="00857FB9" w:rsidP="0099663C">
      <w:pPr>
        <w:pStyle w:val="ParaNum"/>
        <w:numPr>
          <w:ilvl w:val="0"/>
          <w:numId w:val="14"/>
        </w:numPr>
        <w:tabs>
          <w:tab w:val="clear" w:pos="990"/>
          <w:tab w:val="num" w:pos="1440"/>
        </w:tabs>
        <w:jc w:val="left"/>
      </w:pPr>
      <w:r w:rsidRPr="0099663C">
        <w:t xml:space="preserve">The Media Bureau (“Bureau”) has before it the application of Lancaster Broadcasters, Inc. (“Licensee”) for renewal of license </w:t>
      </w:r>
      <w:r w:rsidR="00CC6159" w:rsidRPr="0099663C">
        <w:t xml:space="preserve">(“Application”) </w:t>
      </w:r>
      <w:r w:rsidRPr="0099663C">
        <w:t>for DWKYY(AM), Lancaster, Kentucky (“Station”).  In this Memorandum Opinion and Order and Notice of Apparent Liability for Forfeiture (“</w:t>
      </w:r>
      <w:r w:rsidRPr="008B176B">
        <w:rPr>
          <w:i/>
        </w:rPr>
        <w:t>NAL</w:t>
      </w:r>
      <w:r w:rsidRPr="0099663C">
        <w:t>”),</w:t>
      </w:r>
      <w:r w:rsidRPr="008F2192">
        <w:rPr>
          <w:rStyle w:val="FootnoteReference"/>
          <w:szCs w:val="22"/>
        </w:rPr>
        <w:footnoteReference w:id="1"/>
      </w:r>
      <w:r w:rsidRPr="0099663C">
        <w:t xml:space="preserve"> we find that Licensee apparently willfully violated Section 73.3539 of the Rules</w:t>
      </w:r>
      <w:r w:rsidRPr="008F2192">
        <w:rPr>
          <w:rStyle w:val="FootnoteReference"/>
          <w:szCs w:val="22"/>
        </w:rPr>
        <w:footnoteReference w:id="2"/>
      </w:r>
      <w:r w:rsidRPr="008F2192">
        <w:rPr>
          <w:rStyle w:val="FootnoteReference"/>
          <w:szCs w:val="22"/>
        </w:rPr>
        <w:t xml:space="preserve"> </w:t>
      </w:r>
      <w:r w:rsidRPr="0099663C">
        <w:t xml:space="preserve"> by failing to file a timely license renewal application for the Station, and apparently w</w:t>
      </w:r>
      <w:r w:rsidR="00D16A81">
        <w:t>illfully and repeatedly violating</w:t>
      </w:r>
      <w:r w:rsidRPr="0099663C">
        <w:t xml:space="preserve"> Section 301 of the Act, by continuing Station operations after its license had expired.</w:t>
      </w:r>
      <w:r w:rsidR="00D71798">
        <w:t xml:space="preserve">  </w:t>
      </w:r>
      <w:r w:rsidRPr="0099663C">
        <w:t>Based upon our review of the facts and circumstances before us, we conclude that Licensee is apparently liable for a monetary forfeiture in the amou</w:t>
      </w:r>
      <w:r w:rsidR="008C5F0B" w:rsidRPr="0099663C">
        <w:t xml:space="preserve">nt of </w:t>
      </w:r>
      <w:r w:rsidR="006F61F5">
        <w:t>seven</w:t>
      </w:r>
      <w:r w:rsidR="008C5F0B" w:rsidRPr="0099663C">
        <w:t xml:space="preserve"> thousand </w:t>
      </w:r>
      <w:r w:rsidR="006F61F5">
        <w:t>dollars ($7</w:t>
      </w:r>
      <w:r w:rsidRPr="0099663C">
        <w:t>,</w:t>
      </w:r>
      <w:r w:rsidR="006F61F5">
        <w:t>00</w:t>
      </w:r>
      <w:r w:rsidR="008C5F0B" w:rsidRPr="0099663C">
        <w:t>0</w:t>
      </w:r>
      <w:r w:rsidRPr="0099663C">
        <w:t>).</w:t>
      </w:r>
    </w:p>
    <w:p w14:paraId="0BFBEB24" w14:textId="7E58A033" w:rsidR="00857FB9" w:rsidRPr="00644510" w:rsidRDefault="00857FB9" w:rsidP="00644510">
      <w:pPr>
        <w:pStyle w:val="ParaNum"/>
        <w:numPr>
          <w:ilvl w:val="0"/>
          <w:numId w:val="0"/>
        </w:numPr>
        <w:tabs>
          <w:tab w:val="clear" w:pos="1440"/>
        </w:tabs>
        <w:ind w:left="-90"/>
        <w:jc w:val="left"/>
        <w:rPr>
          <w:b/>
          <w:szCs w:val="22"/>
        </w:rPr>
      </w:pPr>
      <w:r w:rsidRPr="00644510">
        <w:rPr>
          <w:b/>
          <w:szCs w:val="22"/>
        </w:rPr>
        <w:t xml:space="preserve">II.        </w:t>
      </w:r>
      <w:r w:rsidR="00F715D4">
        <w:rPr>
          <w:b/>
          <w:szCs w:val="22"/>
        </w:rPr>
        <w:t xml:space="preserve"> </w:t>
      </w:r>
      <w:r w:rsidRPr="00644510">
        <w:rPr>
          <w:b/>
          <w:szCs w:val="22"/>
        </w:rPr>
        <w:t>BACKGROUND</w:t>
      </w:r>
    </w:p>
    <w:p w14:paraId="202112CF" w14:textId="1C96DD73" w:rsidR="00F715D4" w:rsidRPr="00D7340E" w:rsidRDefault="00857FB9" w:rsidP="00D7340E">
      <w:pPr>
        <w:pStyle w:val="ParaNum"/>
        <w:numPr>
          <w:ilvl w:val="0"/>
          <w:numId w:val="14"/>
        </w:numPr>
        <w:tabs>
          <w:tab w:val="clear" w:pos="990"/>
          <w:tab w:val="num" w:pos="1440"/>
        </w:tabs>
        <w:jc w:val="left"/>
      </w:pPr>
      <w:r>
        <w:t>Section 73.3539(a) of the Rules requires that applications for renewal of license for broadcast stations must be filed “not later than the first day of the fourth full calendar month prior to the expiration date of the license sought to be renewed.”</w:t>
      </w:r>
      <w:r w:rsidRPr="00D90860">
        <w:rPr>
          <w:rStyle w:val="FootnoteReference"/>
          <w:szCs w:val="22"/>
        </w:rPr>
        <w:footnoteReference w:id="3"/>
      </w:r>
      <w:r w:rsidRPr="00D90860">
        <w:rPr>
          <w:rStyle w:val="FootnoteReference"/>
          <w:szCs w:val="22"/>
        </w:rPr>
        <w:t xml:space="preserve"> </w:t>
      </w:r>
      <w:r>
        <w:t xml:space="preserve"> An application for renewal of the </w:t>
      </w:r>
      <w:r w:rsidRPr="003E1CB7">
        <w:t xml:space="preserve">Station’s license should have been filed by </w:t>
      </w:r>
      <w:r w:rsidR="003E1CB7" w:rsidRPr="003E1CB7">
        <w:t>April 1</w:t>
      </w:r>
      <w:r w:rsidRPr="003E1CB7">
        <w:t>,</w:t>
      </w:r>
      <w:r w:rsidR="003E1CB7" w:rsidRPr="003E1CB7">
        <w:t xml:space="preserve"> 2012,</w:t>
      </w:r>
      <w:r w:rsidRPr="003E1CB7">
        <w:t xml:space="preserve"> four months prior to the Station’s </w:t>
      </w:r>
      <w:r w:rsidR="003E1CB7" w:rsidRPr="003E1CB7">
        <w:t>August 1, 2012</w:t>
      </w:r>
      <w:r w:rsidRPr="003E1CB7">
        <w:t>, license expiration date.</w:t>
      </w:r>
      <w:r w:rsidRPr="00D90860">
        <w:rPr>
          <w:rStyle w:val="FootnoteReference"/>
          <w:szCs w:val="22"/>
        </w:rPr>
        <w:footnoteReference w:id="4"/>
      </w:r>
      <w:r w:rsidRPr="00D90860">
        <w:rPr>
          <w:rStyle w:val="FootnoteReference"/>
          <w:szCs w:val="22"/>
        </w:rPr>
        <w:t xml:space="preserve"> </w:t>
      </w:r>
      <w:r w:rsidRPr="003E1CB7">
        <w:t xml:space="preserve"> Li</w:t>
      </w:r>
      <w:r>
        <w:t xml:space="preserve">censee failed to timely file the Station’s license renewal application.  </w:t>
      </w:r>
      <w:r w:rsidR="00DF586C" w:rsidRPr="00D7340E">
        <w:t>Accordingly, on August 27, 2012, the staff wrote to Licensee stating that the Station’s license had expired and that</w:t>
      </w:r>
      <w:r w:rsidR="00D16A81" w:rsidRPr="00D7340E">
        <w:t>:</w:t>
      </w:r>
      <w:r w:rsidR="00DF586C" w:rsidRPr="00D7340E">
        <w:t xml:space="preserve"> (1) all authority to operate the Station was terminated; and (2) the Station’s call letters were del</w:t>
      </w:r>
      <w:r w:rsidR="008F2192" w:rsidRPr="00D7340E">
        <w:t>eted from the Commission’s data</w:t>
      </w:r>
      <w:r w:rsidR="00DF586C" w:rsidRPr="00D7340E">
        <w:t>base.  The Licensee was advised that further operation of the Station was unauthorized and must cease immediately.</w:t>
      </w:r>
      <w:r w:rsidR="00DF586C" w:rsidRPr="00D90860">
        <w:rPr>
          <w:rStyle w:val="FootnoteReference"/>
          <w:szCs w:val="22"/>
        </w:rPr>
        <w:footnoteReference w:id="5"/>
      </w:r>
      <w:r w:rsidR="00DF586C" w:rsidRPr="00D90860">
        <w:rPr>
          <w:rStyle w:val="FootnoteReference"/>
          <w:szCs w:val="22"/>
        </w:rPr>
        <w:t xml:space="preserve"> </w:t>
      </w:r>
      <w:r w:rsidR="00DF586C" w:rsidRPr="00D7340E">
        <w:t xml:space="preserve"> Upon receipt of the </w:t>
      </w:r>
      <w:r w:rsidR="00520FFB" w:rsidRPr="00D7340E">
        <w:t>License Expiration Letter</w:t>
      </w:r>
      <w:r w:rsidR="00DF586C" w:rsidRPr="00D7340E">
        <w:t xml:space="preserve">, </w:t>
      </w:r>
      <w:r w:rsidR="00B33E5C" w:rsidRPr="00D7340E">
        <w:t>on September 10</w:t>
      </w:r>
      <w:r w:rsidR="00DF586C" w:rsidRPr="00D7340E">
        <w:t xml:space="preserve">, 2012, </w:t>
      </w:r>
      <w:r w:rsidR="00DF586C" w:rsidRPr="00D7340E">
        <w:lastRenderedPageBreak/>
        <w:t xml:space="preserve">Licensee filed </w:t>
      </w:r>
      <w:r w:rsidR="00B33E5C" w:rsidRPr="00D7340E">
        <w:t>the Application</w:t>
      </w:r>
      <w:r w:rsidR="00B33E5C">
        <w:t>.</w:t>
      </w:r>
      <w:r w:rsidR="002E2DFB" w:rsidRPr="00D90860">
        <w:rPr>
          <w:rStyle w:val="FootnoteReference"/>
          <w:szCs w:val="22"/>
        </w:rPr>
        <w:footnoteReference w:id="6"/>
      </w:r>
      <w:r w:rsidR="008B176B">
        <w:rPr>
          <w:rStyle w:val="FootnoteReference"/>
          <w:szCs w:val="22"/>
        </w:rPr>
        <w:t xml:space="preserve">  </w:t>
      </w:r>
      <w:r w:rsidR="00B33E5C">
        <w:t>T</w:t>
      </w:r>
      <w:r w:rsidR="00B33E5C" w:rsidRPr="00D7340E">
        <w:t xml:space="preserve">he following day, </w:t>
      </w:r>
      <w:r w:rsidR="00BA397D" w:rsidRPr="00D7340E">
        <w:t>Licensee</w:t>
      </w:r>
      <w:r w:rsidR="00B33E5C" w:rsidRPr="00D7340E">
        <w:t xml:space="preserve"> filed </w:t>
      </w:r>
      <w:r w:rsidR="00DF586C" w:rsidRPr="00D7340E">
        <w:t xml:space="preserve">a request for special temporary authorization (“STA”) to continue </w:t>
      </w:r>
      <w:r w:rsidR="00AC6036" w:rsidRPr="00D7340E">
        <w:t xml:space="preserve">Station </w:t>
      </w:r>
      <w:r w:rsidR="00DF586C" w:rsidRPr="00D7340E">
        <w:t>operations</w:t>
      </w:r>
      <w:r w:rsidR="00CE66E5" w:rsidRPr="00D7340E">
        <w:t xml:space="preserve"> and a petition for reconsideration </w:t>
      </w:r>
      <w:r w:rsidR="00BA397D" w:rsidRPr="00D7340E">
        <w:t xml:space="preserve">requesting that the staff review its </w:t>
      </w:r>
      <w:r w:rsidR="00CE66E5" w:rsidRPr="00D7340E">
        <w:t>decision to delete the Station’s call sign and terminate the Station’s operating authority</w:t>
      </w:r>
      <w:r w:rsidR="00DF586C" w:rsidRPr="00D7340E">
        <w:t>.</w:t>
      </w:r>
      <w:r w:rsidR="00286C4D" w:rsidRPr="00D90860">
        <w:rPr>
          <w:rStyle w:val="FootnoteReference"/>
          <w:szCs w:val="22"/>
        </w:rPr>
        <w:footnoteReference w:id="7"/>
      </w:r>
      <w:r w:rsidR="00286C4D" w:rsidRPr="00D90860">
        <w:rPr>
          <w:rStyle w:val="FootnoteReference"/>
          <w:szCs w:val="22"/>
        </w:rPr>
        <w:t xml:space="preserve"> </w:t>
      </w:r>
      <w:r w:rsidR="00DF586C" w:rsidRPr="00D7340E">
        <w:t xml:space="preserve">  The staff granted the STA</w:t>
      </w:r>
      <w:r w:rsidR="00A45B0A" w:rsidRPr="00D7340E">
        <w:t xml:space="preserve"> request</w:t>
      </w:r>
      <w:r w:rsidR="00DF586C" w:rsidRPr="00D7340E">
        <w:t xml:space="preserve"> on </w:t>
      </w:r>
      <w:r w:rsidR="00776501" w:rsidRPr="00D7340E">
        <w:t>September 14, 2012</w:t>
      </w:r>
      <w:r w:rsidR="00286C4D" w:rsidRPr="00D7340E">
        <w:t>.</w:t>
      </w:r>
      <w:r w:rsidR="00286C4D" w:rsidRPr="00D90860">
        <w:rPr>
          <w:rStyle w:val="FootnoteReference"/>
          <w:szCs w:val="22"/>
        </w:rPr>
        <w:footnoteReference w:id="8"/>
      </w:r>
      <w:r w:rsidR="00F760A6" w:rsidRPr="00D7340E">
        <w:t xml:space="preserve">  In the STA Request, Li</w:t>
      </w:r>
      <w:r w:rsidR="009F5B92" w:rsidRPr="00D7340E">
        <w:t>censee indicated that, “as a result of the very poor economy,” it lacked the funds to prepare and file a timely renewal application for the Station.</w:t>
      </w:r>
      <w:r w:rsidR="009F5B92" w:rsidRPr="00D90860">
        <w:rPr>
          <w:rStyle w:val="FootnoteReference"/>
          <w:szCs w:val="22"/>
        </w:rPr>
        <w:footnoteReference w:id="9"/>
      </w:r>
      <w:r w:rsidR="00F760A6" w:rsidRPr="00D7340E">
        <w:t xml:space="preserve"> </w:t>
      </w:r>
      <w:r w:rsidR="00286C4D" w:rsidRPr="00D7340E">
        <w:t xml:space="preserve"> </w:t>
      </w:r>
    </w:p>
    <w:p w14:paraId="2FDB4D8A" w14:textId="5F8D9C6E" w:rsidR="00857FB9" w:rsidRPr="00F715D4" w:rsidRDefault="00857FB9">
      <w:pPr>
        <w:pStyle w:val="ParaNum"/>
        <w:numPr>
          <w:ilvl w:val="0"/>
          <w:numId w:val="0"/>
        </w:numPr>
        <w:tabs>
          <w:tab w:val="clear" w:pos="1440"/>
          <w:tab w:val="num" w:pos="720"/>
        </w:tabs>
        <w:jc w:val="left"/>
        <w:rPr>
          <w:b/>
        </w:rPr>
      </w:pPr>
      <w:r w:rsidRPr="00F715D4">
        <w:rPr>
          <w:b/>
        </w:rPr>
        <w:t xml:space="preserve">III.     </w:t>
      </w:r>
      <w:r w:rsidR="008B176B">
        <w:rPr>
          <w:b/>
        </w:rPr>
        <w:t xml:space="preserve"> </w:t>
      </w:r>
      <w:r w:rsidRPr="00F715D4">
        <w:rPr>
          <w:b/>
        </w:rPr>
        <w:t>DISCUSSION</w:t>
      </w:r>
    </w:p>
    <w:p w14:paraId="0B3A85C5" w14:textId="06F0C77A" w:rsidR="001E2CB7" w:rsidRDefault="00857FB9" w:rsidP="00D7340E">
      <w:pPr>
        <w:pStyle w:val="ParaNum"/>
        <w:numPr>
          <w:ilvl w:val="0"/>
          <w:numId w:val="14"/>
        </w:numPr>
        <w:tabs>
          <w:tab w:val="clear" w:pos="990"/>
          <w:tab w:val="num" w:pos="1440"/>
        </w:tabs>
        <w:jc w:val="left"/>
      </w:pPr>
      <w:r w:rsidRPr="000E2FA7">
        <w:rPr>
          <w:i/>
        </w:rPr>
        <w:t>Proposed Forfeiture</w:t>
      </w:r>
      <w:r w:rsidRPr="00E71770">
        <w:t xml:space="preserve">.  </w:t>
      </w:r>
      <w:r w:rsidR="001E2CB7" w:rsidRPr="00D7340E">
        <w:t xml:space="preserve">In this case, the record </w:t>
      </w:r>
      <w:r w:rsidR="00AC6036" w:rsidRPr="00D7340E">
        <w:t>shows</w:t>
      </w:r>
      <w:r w:rsidR="001E2CB7" w:rsidRPr="00D7340E">
        <w:t xml:space="preserve"> that the Licensee has failed to file a timely license renewal application for Station DWKYY(AM), as required by Section 73.3539(a) of the Rules.  Moreover, the licensee continued Station operation</w:t>
      </w:r>
      <w:r w:rsidR="00AC6036" w:rsidRPr="00D7340E">
        <w:t>s</w:t>
      </w:r>
      <w:r w:rsidR="001E2CB7" w:rsidRPr="00D7340E">
        <w:t xml:space="preserve"> for </w:t>
      </w:r>
      <w:r w:rsidR="00F760A6" w:rsidRPr="00D7340E">
        <w:t>more than one</w:t>
      </w:r>
      <w:r w:rsidR="001E2CB7" w:rsidRPr="00D7340E">
        <w:t xml:space="preserve"> month after its license had expired on August 1, 2012, before filing the appropriate renewal application and seeking STA to so operate, in violation of Section 301 of the Act.  Licensees are obligated to comply fully with the Rules, including filing a timely renewal application and maintaining in effect the station’s authorization.</w:t>
      </w:r>
      <w:r w:rsidR="001E2CB7" w:rsidRPr="00D90860">
        <w:rPr>
          <w:rStyle w:val="FootnoteReference"/>
          <w:rFonts w:eastAsia="SimSun"/>
          <w:szCs w:val="22"/>
        </w:rPr>
        <w:footnoteReference w:id="10"/>
      </w:r>
      <w:r w:rsidR="001E2CB7" w:rsidRPr="00D90860">
        <w:rPr>
          <w:rStyle w:val="FootnoteReference"/>
          <w:rFonts w:eastAsia="SimSun"/>
          <w:szCs w:val="22"/>
        </w:rPr>
        <w:t xml:space="preserve"> </w:t>
      </w:r>
      <w:r w:rsidR="001E2CB7" w:rsidRPr="00D7340E">
        <w:t xml:space="preserve"> Here, Licensee did not do so.</w:t>
      </w:r>
      <w:r w:rsidR="001E2CB7">
        <w:t xml:space="preserve"> </w:t>
      </w:r>
    </w:p>
    <w:p w14:paraId="5F2A99DA" w14:textId="4756386C" w:rsidR="005F0AFF" w:rsidRPr="009636EF" w:rsidRDefault="005F0AFF" w:rsidP="009636EF">
      <w:pPr>
        <w:pStyle w:val="ParaNum"/>
        <w:tabs>
          <w:tab w:val="clear" w:pos="990"/>
          <w:tab w:val="num" w:pos="1440"/>
        </w:tabs>
        <w:ind w:left="0"/>
        <w:jc w:val="left"/>
      </w:pPr>
      <w:r w:rsidRPr="005F0AFF">
        <w:t xml:space="preserve">This </w:t>
      </w:r>
      <w:r w:rsidRPr="00486B86">
        <w:rPr>
          <w:i/>
        </w:rPr>
        <w:t>NAL</w:t>
      </w:r>
      <w:r w:rsidRPr="005F0AFF">
        <w:t xml:space="preserve"> is issued pursuant to Section 503(b)(1)(B) of the Act.  Under that provision, any person who is determined by the Commission to have failed willfully or repeatedly to comply with any provision of the Act or any rule, regulation, or order issued by the Commission shall be liable to the United States for a forfeiture penalty.</w:t>
      </w:r>
      <w:r w:rsidRPr="005F0AFF">
        <w:rPr>
          <w:rFonts w:eastAsia="SimSun"/>
          <w:szCs w:val="22"/>
          <w:vertAlign w:val="superscript"/>
        </w:rPr>
        <w:footnoteReference w:id="11"/>
      </w:r>
      <w:r w:rsidRPr="005F0AFF">
        <w:rPr>
          <w:rFonts w:eastAsia="SimSun"/>
          <w:szCs w:val="22"/>
          <w:vertAlign w:val="superscript"/>
        </w:rPr>
        <w:t xml:space="preserve"> </w:t>
      </w:r>
      <w:r w:rsidRPr="005F0AFF">
        <w:t xml:space="preserve"> Section 312(f)(1) of the Act defines willful as “the conscious and deliberate commission or omission of [any] act, irrespective of any intent to violate” the law.</w:t>
      </w:r>
      <w:r w:rsidRPr="005F0AFF">
        <w:rPr>
          <w:rFonts w:eastAsia="SimSun"/>
          <w:szCs w:val="22"/>
          <w:vertAlign w:val="superscript"/>
        </w:rPr>
        <w:footnoteReference w:id="12"/>
      </w:r>
      <w:r w:rsidRPr="005F0AFF">
        <w:rPr>
          <w:rFonts w:eastAsia="SimSun"/>
          <w:szCs w:val="22"/>
          <w:vertAlign w:val="superscript"/>
        </w:rPr>
        <w:t xml:space="preserve"> </w:t>
      </w:r>
      <w:r w:rsidRPr="005F0AFF">
        <w:t xml:space="preserve"> The legislative history to Section 312(f)(1) of the Act clarifies that this definition of willful applies to both Sections 312 and 503(b) of the Act,</w:t>
      </w:r>
      <w:r w:rsidRPr="005F0AFF">
        <w:rPr>
          <w:rFonts w:eastAsia="SimSun"/>
          <w:szCs w:val="22"/>
          <w:vertAlign w:val="superscript"/>
        </w:rPr>
        <w:footnoteReference w:id="13"/>
      </w:r>
      <w:r w:rsidRPr="005F0AFF">
        <w:rPr>
          <w:rFonts w:eastAsia="SimSun"/>
          <w:szCs w:val="22"/>
          <w:vertAlign w:val="superscript"/>
        </w:rPr>
        <w:t xml:space="preserve"> </w:t>
      </w:r>
      <w:r w:rsidRPr="005F0AFF">
        <w:t>and the Commission has so interpreted the term in the Section 503(b) context.</w:t>
      </w:r>
      <w:r w:rsidRPr="005F0AFF">
        <w:rPr>
          <w:rFonts w:eastAsia="SimSun"/>
          <w:szCs w:val="22"/>
          <w:vertAlign w:val="superscript"/>
        </w:rPr>
        <w:footnoteReference w:id="14"/>
      </w:r>
      <w:r w:rsidRPr="009636EF">
        <w:rPr>
          <w:rFonts w:eastAsia="SimSun"/>
          <w:szCs w:val="22"/>
          <w:vertAlign w:val="superscript"/>
        </w:rPr>
        <w:t xml:space="preserve"> </w:t>
      </w:r>
      <w:r w:rsidRPr="005F0AFF">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5F0AFF">
        <w:rPr>
          <w:rFonts w:eastAsia="SimSun"/>
          <w:szCs w:val="22"/>
          <w:vertAlign w:val="superscript"/>
        </w:rPr>
        <w:footnoteReference w:id="15"/>
      </w:r>
      <w:r w:rsidRPr="009636EF">
        <w:rPr>
          <w:rFonts w:eastAsia="SimSun"/>
          <w:szCs w:val="22"/>
          <w:vertAlign w:val="superscript"/>
        </w:rPr>
        <w:t xml:space="preserve"> </w:t>
      </w:r>
    </w:p>
    <w:p w14:paraId="51BF61E6" w14:textId="77777777" w:rsidR="009636EF" w:rsidRDefault="009636EF" w:rsidP="009636EF">
      <w:pPr>
        <w:pStyle w:val="ParaNum"/>
        <w:numPr>
          <w:ilvl w:val="0"/>
          <w:numId w:val="0"/>
        </w:numPr>
        <w:tabs>
          <w:tab w:val="clear" w:pos="1440"/>
        </w:tabs>
        <w:ind w:left="720"/>
        <w:jc w:val="left"/>
      </w:pPr>
    </w:p>
    <w:p w14:paraId="005D1E62" w14:textId="77777777" w:rsidR="005F0AFF" w:rsidRDefault="005F0AFF" w:rsidP="005F0AFF">
      <w:pPr>
        <w:pStyle w:val="ParaNum"/>
        <w:tabs>
          <w:tab w:val="clear" w:pos="990"/>
          <w:tab w:val="num" w:pos="1440"/>
        </w:tabs>
        <w:ind w:left="0"/>
        <w:jc w:val="left"/>
      </w:pPr>
      <w:r w:rsidRPr="005F0AFF">
        <w:rPr>
          <w:rFonts w:eastAsia="SimSun"/>
        </w:rPr>
        <w:lastRenderedPageBreak/>
        <w:t xml:space="preserve">The Commission's </w:t>
      </w:r>
      <w:r w:rsidRPr="005F0AFF">
        <w:rPr>
          <w:rFonts w:eastAsia="SimSun"/>
          <w:i/>
        </w:rPr>
        <w:t>Forfeiture Policy Statement</w:t>
      </w:r>
      <w:r w:rsidRPr="005F0AFF">
        <w:rPr>
          <w:rFonts w:eastAsia="SimSun"/>
        </w:rPr>
        <w:t xml:space="preserve"> and Section 1.80(b)(4) of the Rules establish a base forfeiture amount of $3,000 for the failure to file a required form.</w:t>
      </w:r>
      <w:r>
        <w:rPr>
          <w:rFonts w:eastAsia="SimSun"/>
          <w:szCs w:val="22"/>
          <w:vertAlign w:val="superscript"/>
        </w:rPr>
        <w:footnoteReference w:id="16"/>
      </w:r>
      <w:r w:rsidRPr="005F0AFF">
        <w:rPr>
          <w:rFonts w:eastAsia="SimSun"/>
        </w:rPr>
        <w:t xml:space="preserve">  The guidelines also specify a base forfeiture amount of $10,000 for construction and/or operation without an instrument of authorization for the service.</w:t>
      </w:r>
      <w:r>
        <w:rPr>
          <w:rFonts w:eastAsia="SimSun"/>
          <w:szCs w:val="22"/>
          <w:vertAlign w:val="superscript"/>
        </w:rPr>
        <w:footnoteReference w:id="17"/>
      </w:r>
      <w:r w:rsidRPr="005F0AFF">
        <w:rPr>
          <w:rFonts w:eastAsia="SimSun"/>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Fonts w:eastAsia="SimSun"/>
          <w:szCs w:val="22"/>
          <w:vertAlign w:val="superscript"/>
        </w:rPr>
        <w:footnoteReference w:id="18"/>
      </w:r>
      <w:r w:rsidR="00166C7B">
        <w:rPr>
          <w:rFonts w:eastAsia="SimSun"/>
        </w:rPr>
        <w:t xml:space="preserve"> </w:t>
      </w:r>
      <w:r>
        <w:t xml:space="preserve"> </w:t>
      </w:r>
      <w:r w:rsidRPr="00895266">
        <w:rPr>
          <w:rStyle w:val="FootnoteReference"/>
          <w:szCs w:val="22"/>
        </w:rPr>
        <w:t xml:space="preserve"> </w:t>
      </w:r>
      <w:r w:rsidRPr="00E71770">
        <w:t xml:space="preserve">   </w:t>
      </w:r>
    </w:p>
    <w:p w14:paraId="0F635572" w14:textId="255D3036" w:rsidR="00E71770" w:rsidRPr="00E71770" w:rsidRDefault="005F0AFF" w:rsidP="00486B86">
      <w:pPr>
        <w:pStyle w:val="ParaNum"/>
        <w:tabs>
          <w:tab w:val="clear" w:pos="990"/>
          <w:tab w:val="num" w:pos="1440"/>
        </w:tabs>
        <w:ind w:left="0"/>
        <w:jc w:val="left"/>
      </w:pPr>
      <w:r>
        <w:t>I</w:t>
      </w:r>
      <w:r w:rsidRPr="009E3CFB">
        <w:t>n this case</w:t>
      </w:r>
      <w:r>
        <w:t>, Licensee</w:t>
      </w:r>
      <w:r w:rsidRPr="009E3CFB">
        <w:t xml:space="preserve"> failed to </w:t>
      </w:r>
      <w:r w:rsidR="00BC6586">
        <w:t xml:space="preserve">timely file a </w:t>
      </w:r>
      <w:r w:rsidRPr="009E3CFB">
        <w:t>license renewal application for the Station</w:t>
      </w:r>
      <w:r w:rsidR="00FA1CAD">
        <w:t xml:space="preserve"> and continued Station operations for more than one month before filing the appropriate renewal application and STA request.  </w:t>
      </w:r>
      <w:r w:rsidR="00857FB9">
        <w:t xml:space="preserve">Nevertheless, because it had previously been licensed to operate the Station, the latter transgression is not comparable to "pirate" wireless operations, which typically have been subject to forfeitures of approximately $10,000.  Taking into consideration these facts and all of the factors required by Section 503(b)(2)(D) of the Act and the </w:t>
      </w:r>
      <w:r w:rsidR="00857FB9" w:rsidRPr="00E71770">
        <w:rPr>
          <w:i/>
        </w:rPr>
        <w:t>Forfeiture Policy Statement</w:t>
      </w:r>
      <w:r w:rsidR="00857FB9">
        <w:t>, we propose a forfeiture for the full $3,000 amount for the</w:t>
      </w:r>
      <w:r w:rsidR="004F2C34">
        <w:t xml:space="preserve"> apparent willful</w:t>
      </w:r>
      <w:r w:rsidR="00857FB9">
        <w:t xml:space="preserve"> failure to file a timely renewal application</w:t>
      </w:r>
      <w:r w:rsidR="00065073">
        <w:t>,</w:t>
      </w:r>
      <w:r w:rsidR="00D2774C">
        <w:t xml:space="preserve"> and</w:t>
      </w:r>
      <w:r w:rsidR="00857FB9">
        <w:t xml:space="preserve"> </w:t>
      </w:r>
      <w:r w:rsidR="00D2774C">
        <w:t xml:space="preserve">a </w:t>
      </w:r>
      <w:r w:rsidR="00857FB9">
        <w:t>reduce</w:t>
      </w:r>
      <w:r w:rsidR="00D2774C">
        <w:t>d</w:t>
      </w:r>
      <w:r w:rsidR="004F2C34">
        <w:t xml:space="preserve"> proposed forfeiture for the apparent willful and repeated </w:t>
      </w:r>
      <w:r w:rsidR="00857FB9">
        <w:t>unauthorized operation from the $10,000 base amount to $4,000.</w:t>
      </w:r>
      <w:r w:rsidR="00FF2D3B">
        <w:rPr>
          <w:rStyle w:val="FootnoteReference"/>
        </w:rPr>
        <w:footnoteReference w:id="19"/>
      </w:r>
      <w:r w:rsidR="00857FB9">
        <w:t xml:space="preserve">  </w:t>
      </w:r>
      <w:r w:rsidR="00952C30">
        <w:t>Thus, we propose a total forfeiture of seven thousand dollars ($7,000).</w:t>
      </w:r>
    </w:p>
    <w:p w14:paraId="70D1A099" w14:textId="77777777" w:rsidR="00857FB9" w:rsidRDefault="00857FB9">
      <w:pPr>
        <w:pStyle w:val="ParaNum"/>
        <w:tabs>
          <w:tab w:val="clear" w:pos="990"/>
          <w:tab w:val="num" w:pos="1440"/>
        </w:tabs>
        <w:ind w:left="0"/>
        <w:jc w:val="left"/>
        <w:rPr>
          <w:szCs w:val="22"/>
        </w:rPr>
      </w:pPr>
      <w:r>
        <w:rPr>
          <w:rFonts w:eastAsia="SimSun"/>
          <w:i/>
          <w:szCs w:val="22"/>
        </w:rPr>
        <w:t>License Renewal Application.</w:t>
      </w:r>
      <w:r>
        <w:rPr>
          <w:rFonts w:eastAsia="SimSun"/>
          <w:szCs w:val="22"/>
        </w:rPr>
        <w:t xml:space="preserve">  </w:t>
      </w:r>
      <w:r>
        <w:rPr>
          <w:rFonts w:eastAsia="SimSun"/>
        </w:rPr>
        <w:t>In evaluating an application for license renewal, the Commission’s decision is governed by Section 309(k) of the Act.</w:t>
      </w:r>
      <w:r>
        <w:rPr>
          <w:rFonts w:eastAsia="SimSun"/>
          <w:szCs w:val="22"/>
          <w:vertAlign w:val="superscript"/>
        </w:rPr>
        <w:footnoteReference w:id="20"/>
      </w:r>
      <w:r>
        <w:rPr>
          <w:rFonts w:eastAsia="SimSun"/>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SimSun"/>
          <w:szCs w:val="22"/>
          <w:vertAlign w:val="superscript"/>
        </w:rPr>
        <w:footnoteReference w:id="21"/>
      </w:r>
      <w:r>
        <w:rPr>
          <w:rFonts w:eastAsia="SimSun"/>
        </w:rPr>
        <w:t xml:space="preserve"> </w:t>
      </w:r>
      <w:r>
        <w:rPr>
          <w:rFonts w:eastAsia="SimSun"/>
          <w:i/>
        </w:rPr>
        <w:t xml:space="preserve"> </w:t>
      </w:r>
      <w:r>
        <w:rPr>
          <w:rFonts w:eastAsia="SimSun"/>
        </w:rPr>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rFonts w:eastAsia="SimSun"/>
          <w:szCs w:val="22"/>
          <w:vertAlign w:val="superscript"/>
        </w:rPr>
        <w:footnoteReference w:id="22"/>
      </w:r>
    </w:p>
    <w:p w14:paraId="350AFFE8" w14:textId="36BA0524" w:rsidR="00857FB9" w:rsidRDefault="00857FB9">
      <w:pPr>
        <w:pStyle w:val="ParaNum"/>
        <w:tabs>
          <w:tab w:val="clear" w:pos="990"/>
          <w:tab w:val="num" w:pos="1440"/>
        </w:tabs>
        <w:ind w:left="0"/>
        <w:jc w:val="left"/>
      </w:pPr>
      <w:r>
        <w:rPr>
          <w:rFonts w:eastAsia="SimSun"/>
        </w:rPr>
        <w:t xml:space="preserve">We find that the Licensee’s </w:t>
      </w:r>
      <w:r w:rsidR="008B176B">
        <w:rPr>
          <w:rFonts w:eastAsia="SimSun"/>
        </w:rPr>
        <w:t xml:space="preserve">apparent </w:t>
      </w:r>
      <w:r>
        <w:rPr>
          <w:rFonts w:eastAsia="SimSun"/>
        </w:rPr>
        <w:t xml:space="preserve">violations </w:t>
      </w:r>
      <w:r w:rsidR="00952C30">
        <w:rPr>
          <w:rFonts w:eastAsia="SimSun"/>
        </w:rPr>
        <w:t>of Section</w:t>
      </w:r>
      <w:r w:rsidR="00D16A81">
        <w:rPr>
          <w:rFonts w:eastAsia="SimSun"/>
        </w:rPr>
        <w:t xml:space="preserve"> 73.3539 </w:t>
      </w:r>
      <w:r w:rsidR="00AF1D83">
        <w:rPr>
          <w:rFonts w:eastAsia="SimSun"/>
        </w:rPr>
        <w:t xml:space="preserve">of the Rules and </w:t>
      </w:r>
      <w:r>
        <w:rPr>
          <w:rFonts w:eastAsia="SimSun"/>
        </w:rPr>
        <w:t>Section 301 of the Act do not constitute “serious violations” warranting designation for evidentiary hearing.  Moreover, we find no evidence of violations that, when considered together, evidence a pattern of abuse.</w:t>
      </w:r>
      <w:r>
        <w:rPr>
          <w:rFonts w:eastAsia="SimSun"/>
          <w:vertAlign w:val="superscript"/>
        </w:rPr>
        <w:footnoteReference w:id="23"/>
      </w:r>
      <w:r>
        <w:rPr>
          <w:rFonts w:eastAsia="SimSun"/>
        </w:rPr>
        <w:t xml:space="preserve">  </w:t>
      </w:r>
      <w:r>
        <w:t xml:space="preserve">Further, based on our review of the license renewal </w:t>
      </w:r>
      <w:r w:rsidRPr="00F97559">
        <w:t>application, we find that the Station served the public interest, convenience, and necessity during the subject license term.  We will therefore grant the captioned license renewal application by separate action upon the conclusion of this forfeiture proceeding if no other issues would preclude grant of the application.</w:t>
      </w:r>
    </w:p>
    <w:p w14:paraId="020829BF" w14:textId="77777777" w:rsidR="00857FB9" w:rsidRDefault="00857FB9">
      <w:pPr>
        <w:tabs>
          <w:tab w:val="num" w:pos="720"/>
        </w:tabs>
        <w:rPr>
          <w:b/>
          <w:szCs w:val="22"/>
        </w:rPr>
      </w:pPr>
      <w:r>
        <w:rPr>
          <w:b/>
          <w:szCs w:val="22"/>
        </w:rPr>
        <w:t>IV.       ORDERING CLAUSES</w:t>
      </w:r>
    </w:p>
    <w:p w14:paraId="0E363C49" w14:textId="77777777" w:rsidR="00857FB9" w:rsidRDefault="00857FB9">
      <w:pPr>
        <w:tabs>
          <w:tab w:val="num" w:pos="1440"/>
        </w:tabs>
        <w:ind w:firstLine="720"/>
        <w:rPr>
          <w:b/>
          <w:szCs w:val="22"/>
        </w:rPr>
      </w:pPr>
    </w:p>
    <w:p w14:paraId="51B38354" w14:textId="77777777" w:rsidR="00857FB9" w:rsidRDefault="00857FB9">
      <w:pPr>
        <w:pStyle w:val="ParaNum"/>
        <w:tabs>
          <w:tab w:val="clear" w:pos="990"/>
          <w:tab w:val="num" w:pos="1440"/>
        </w:tabs>
        <w:ind w:left="0"/>
        <w:jc w:val="left"/>
      </w:pPr>
      <w:r>
        <w:t xml:space="preserve">Accordingly, IT IS ORDERED, pursuant to Section 503(b) of the Communications Act of 1934, as amended, and Section 1.80 of the Commission’s Rules, that </w:t>
      </w:r>
      <w:r w:rsidR="00441535">
        <w:rPr>
          <w:szCs w:val="22"/>
        </w:rPr>
        <w:t>Lancaster Broadcasters, Inc.</w:t>
      </w:r>
      <w:r>
        <w:rPr>
          <w:szCs w:val="22"/>
        </w:rPr>
        <w:t xml:space="preserve"> is hereby </w:t>
      </w:r>
      <w:r w:rsidRPr="00AF6291">
        <w:rPr>
          <w:szCs w:val="22"/>
        </w:rPr>
        <w:t xml:space="preserve">NOTIFIED of its APPARENT LIABILITY FOR FORFEITURE in the amount of </w:t>
      </w:r>
      <w:r w:rsidR="00952C30">
        <w:rPr>
          <w:szCs w:val="22"/>
        </w:rPr>
        <w:t>seven</w:t>
      </w:r>
      <w:r w:rsidRPr="00AF6291">
        <w:rPr>
          <w:szCs w:val="22"/>
        </w:rPr>
        <w:t xml:space="preserve"> thousand dollars ($</w:t>
      </w:r>
      <w:r w:rsidR="00952C30">
        <w:rPr>
          <w:szCs w:val="22"/>
        </w:rPr>
        <w:t>7</w:t>
      </w:r>
      <w:r w:rsidRPr="00AF6291">
        <w:rPr>
          <w:szCs w:val="22"/>
        </w:rPr>
        <w:t>,</w:t>
      </w:r>
      <w:r w:rsidR="00952C30">
        <w:rPr>
          <w:szCs w:val="22"/>
        </w:rPr>
        <w:t>00</w:t>
      </w:r>
      <w:r w:rsidRPr="00AF6291">
        <w:rPr>
          <w:szCs w:val="22"/>
        </w:rPr>
        <w:t>0)</w:t>
      </w:r>
      <w:r>
        <w:rPr>
          <w:szCs w:val="22"/>
        </w:rPr>
        <w:t xml:space="preserve"> for its apparent willful violation of Section 73.3539</w:t>
      </w:r>
      <w:r w:rsidR="00952C30">
        <w:rPr>
          <w:szCs w:val="22"/>
        </w:rPr>
        <w:t xml:space="preserve"> </w:t>
      </w:r>
      <w:r w:rsidR="00D16A81">
        <w:rPr>
          <w:szCs w:val="22"/>
        </w:rPr>
        <w:t xml:space="preserve">of the Commission’s Rules </w:t>
      </w:r>
      <w:r w:rsidR="00E53C0E">
        <w:rPr>
          <w:szCs w:val="22"/>
        </w:rPr>
        <w:t>and</w:t>
      </w:r>
      <w:r w:rsidR="004F2C34">
        <w:rPr>
          <w:szCs w:val="22"/>
        </w:rPr>
        <w:t xml:space="preserve"> its </w:t>
      </w:r>
      <w:r w:rsidR="0010672B">
        <w:rPr>
          <w:szCs w:val="22"/>
        </w:rPr>
        <w:t xml:space="preserve">apparent </w:t>
      </w:r>
      <w:r w:rsidR="004F2C34">
        <w:rPr>
          <w:szCs w:val="22"/>
        </w:rPr>
        <w:t>willful and repeated violation of</w:t>
      </w:r>
      <w:r w:rsidR="00E53C0E">
        <w:rPr>
          <w:szCs w:val="22"/>
        </w:rPr>
        <w:t xml:space="preserve"> Section 301</w:t>
      </w:r>
      <w:r>
        <w:rPr>
          <w:szCs w:val="22"/>
        </w:rPr>
        <w:t xml:space="preserve"> of the </w:t>
      </w:r>
      <w:r w:rsidR="00D16A81">
        <w:rPr>
          <w:szCs w:val="22"/>
        </w:rPr>
        <w:t>Communications Act of 1934, as amended</w:t>
      </w:r>
      <w:r>
        <w:t xml:space="preserve">.    </w:t>
      </w:r>
    </w:p>
    <w:p w14:paraId="6EC210F1" w14:textId="77777777" w:rsidR="00857FB9" w:rsidRDefault="00857FB9">
      <w:pPr>
        <w:pStyle w:val="ParaNum"/>
        <w:tabs>
          <w:tab w:val="num" w:pos="1440"/>
        </w:tabs>
        <w:ind w:left="0"/>
        <w:jc w:val="left"/>
        <w:rPr>
          <w:szCs w:val="22"/>
        </w:rPr>
      </w:pPr>
      <w:r>
        <w:t xml:space="preserve">IT IS FURTHER ORDERED, pursuant to Section 1.80 of the Commission’s Rules, that, within thirty (30) days of the release date of this </w:t>
      </w:r>
      <w:r>
        <w:rPr>
          <w:i/>
        </w:rPr>
        <w:t>NAL,</w:t>
      </w:r>
      <w:r>
        <w:t xml:space="preserve"> </w:t>
      </w:r>
      <w:r w:rsidR="00441535">
        <w:rPr>
          <w:szCs w:val="22"/>
        </w:rPr>
        <w:t>Lancaster Broadcasters, Inc.</w:t>
      </w:r>
      <w:r>
        <w:t>, SHALL PAY the full amount of the proposed forfeiture or SHALL FILE a written statement seeking reduction or cancellation of the proposed forfeiture.</w:t>
      </w:r>
      <w:r>
        <w:rPr>
          <w:szCs w:val="22"/>
        </w:rPr>
        <w:t xml:space="preserve">     </w:t>
      </w:r>
    </w:p>
    <w:p w14:paraId="2610EF2E" w14:textId="77777777" w:rsidR="00857FB9" w:rsidRDefault="00857FB9">
      <w:pPr>
        <w:pStyle w:val="ParaNum"/>
        <w:tabs>
          <w:tab w:val="left" w:pos="990"/>
          <w:tab w:val="num" w:pos="1440"/>
        </w:tabs>
        <w:ind w:left="0"/>
        <w:jc w:val="left"/>
        <w:rPr>
          <w:szCs w:val="22"/>
        </w:rPr>
      </w:pPr>
      <w:bookmarkStart w:id="1" w:name="FN[FN50]"/>
      <w:bookmarkEnd w:id="1"/>
      <w:r>
        <w:t xml:space="preserve">Payment of the proposed forfeiture must be made by a check or similar instrument, wire transfer or credit card and include the Account Number and FRN referenced in the caption above.  Regardless of the form of payment, a completed FCC Form 159 (Remittance Advice) must be submitted.  When completing the FCC Form 159, enter the Account Number in block number 23A (callsign/other ID) and enter the letters “FORF” in block number 24A (payment type code).  Licensee will also send electronic notification on the date said payment is made to Penelope Dade at Penelope.Dade@fcc.gov and </w:t>
      </w:r>
      <w:r w:rsidR="00441535">
        <w:t>Maureen McCarthy</w:t>
      </w:r>
      <w:r>
        <w:t xml:space="preserve"> at </w:t>
      </w:r>
      <w:r w:rsidR="00441535">
        <w:t>Maureen.McCarthy</w:t>
      </w:r>
      <w:r>
        <w:t xml:space="preserve">@fcc.gov.  Below are additional instructions you should follow based on the form of payment you select: </w:t>
      </w:r>
    </w:p>
    <w:p w14:paraId="72B4747A" w14:textId="77777777" w:rsidR="00857FB9" w:rsidRDefault="00857FB9">
      <w:pPr>
        <w:tabs>
          <w:tab w:val="left" w:pos="1180"/>
          <w:tab w:val="num" w:pos="1440"/>
        </w:tabs>
        <w:ind w:left="720" w:right="72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14:paraId="0FE55214" w14:textId="77777777" w:rsidR="00857FB9" w:rsidRDefault="00857FB9">
      <w:pPr>
        <w:tabs>
          <w:tab w:val="num" w:pos="1440"/>
        </w:tabs>
        <w:spacing w:before="16" w:line="220" w:lineRule="exact"/>
        <w:ind w:left="720" w:right="720"/>
      </w:pPr>
    </w:p>
    <w:p w14:paraId="6B8A7027" w14:textId="77777777" w:rsidR="00857FB9" w:rsidRDefault="00857FB9">
      <w:pPr>
        <w:tabs>
          <w:tab w:val="left" w:pos="1180"/>
          <w:tab w:val="num" w:pos="1440"/>
        </w:tabs>
        <w:ind w:left="720" w:right="72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14:paraId="38FD6C6C" w14:textId="77777777" w:rsidR="00857FB9" w:rsidRDefault="00857FB9">
      <w:pPr>
        <w:tabs>
          <w:tab w:val="num" w:pos="1440"/>
        </w:tabs>
        <w:spacing w:before="2" w:line="240" w:lineRule="exact"/>
        <w:ind w:left="720" w:right="720"/>
        <w:rPr>
          <w:sz w:val="24"/>
          <w:szCs w:val="24"/>
        </w:rPr>
      </w:pPr>
    </w:p>
    <w:p w14:paraId="16628AEF" w14:textId="77777777" w:rsidR="006C7194" w:rsidRDefault="00857FB9" w:rsidP="006C7194">
      <w:pPr>
        <w:tabs>
          <w:tab w:val="left" w:pos="1180"/>
          <w:tab w:val="num" w:pos="1440"/>
        </w:tabs>
        <w:spacing w:line="239" w:lineRule="auto"/>
        <w:ind w:left="720" w:right="720"/>
        <w:rPr>
          <w:spacing w:val="5"/>
        </w:rPr>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p>
    <w:p w14:paraId="196406A1" w14:textId="5D78BAAE" w:rsidR="008B176B" w:rsidRDefault="00857FB9" w:rsidP="006C7194">
      <w:pPr>
        <w:tabs>
          <w:tab w:val="left" w:pos="1180"/>
          <w:tab w:val="num" w:pos="1440"/>
        </w:tabs>
        <w:spacing w:line="239" w:lineRule="auto"/>
        <w:ind w:left="720" w:right="720"/>
      </w:pP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 xml:space="preserve">o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rsidR="00441535">
        <w:t>ent</w:t>
      </w:r>
      <w:r>
        <w:rPr>
          <w:spacing w:val="1"/>
        </w:rPr>
        <w:t xml:space="preserve"> </w:t>
      </w:r>
      <w:r>
        <w:t>Loc</w:t>
      </w:r>
      <w:r>
        <w:rPr>
          <w:spacing w:val="-3"/>
        </w:rPr>
        <w:t>k</w:t>
      </w:r>
      <w:r>
        <w:rPr>
          <w:spacing w:val="1"/>
        </w:rPr>
        <w:t>b</w:t>
      </w:r>
      <w:r w:rsidR="00441535">
        <w:t xml:space="preserve">ox </w:t>
      </w:r>
      <w:r>
        <w:t>#9</w:t>
      </w:r>
      <w:r>
        <w:rPr>
          <w:spacing w:val="-2"/>
        </w:rPr>
        <w:t>7</w:t>
      </w:r>
      <w:r w:rsidR="0041213E">
        <w:t>9088,</w:t>
      </w:r>
      <w:r>
        <w:t xml:space="preserve">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a, St.</w:t>
      </w:r>
      <w:r>
        <w:rPr>
          <w:spacing w:val="53"/>
        </w:rPr>
        <w:t xml:space="preserve"> </w:t>
      </w:r>
      <w:r>
        <w:t>Loui</w:t>
      </w:r>
      <w:r>
        <w:rPr>
          <w:spacing w:val="1"/>
        </w:rPr>
        <w:t>s</w:t>
      </w:r>
      <w:r>
        <w:t>,</w:t>
      </w:r>
      <w:r w:rsidR="00441535">
        <w:rPr>
          <w:spacing w:val="53"/>
        </w:rPr>
        <w:t xml:space="preserve"> </w:t>
      </w:r>
      <w:r>
        <w:t>MO 63101.</w:t>
      </w:r>
    </w:p>
    <w:p w14:paraId="2D5F0C15" w14:textId="77777777" w:rsidR="008B176B" w:rsidRDefault="008B176B">
      <w:pPr>
        <w:tabs>
          <w:tab w:val="left" w:pos="1180"/>
          <w:tab w:val="num" w:pos="1440"/>
        </w:tabs>
        <w:spacing w:line="239" w:lineRule="auto"/>
        <w:ind w:right="60" w:firstLine="720"/>
      </w:pPr>
    </w:p>
    <w:p w14:paraId="6E5415C1" w14:textId="226A6D16" w:rsidR="00857FB9" w:rsidRDefault="00857FB9">
      <w:pPr>
        <w:pStyle w:val="ParaNum"/>
        <w:tabs>
          <w:tab w:val="num" w:pos="1440"/>
        </w:tabs>
        <w:ind w:left="0"/>
        <w:jc w:val="left"/>
      </w:pPr>
      <w:r>
        <w:t>The response, if any, must be mailed to Office of the Secretary, Federal Communications Commission, 445 12</w:t>
      </w:r>
      <w:r>
        <w:rPr>
          <w:vertAlign w:val="superscript"/>
        </w:rPr>
        <w:t>th</w:t>
      </w:r>
      <w:r>
        <w:t xml:space="preserve"> Street, S.W., Washington</w:t>
      </w:r>
      <w:r w:rsidR="00767F33">
        <w:t>,</w:t>
      </w:r>
      <w:r>
        <w:t xml:space="preserve"> DC 20554, ATTN: Peter H. Doyle, Chief, Audio Division, Media Bureau, and MUST INCLUDE the NAL/Acct. No. referenced above.  </w:t>
      </w:r>
    </w:p>
    <w:p w14:paraId="29481F1D" w14:textId="77777777" w:rsidR="000E2FA7" w:rsidRDefault="000E2FA7" w:rsidP="000E2FA7">
      <w:pPr>
        <w:pStyle w:val="ParaNum"/>
        <w:numPr>
          <w:ilvl w:val="0"/>
          <w:numId w:val="0"/>
        </w:numPr>
        <w:tabs>
          <w:tab w:val="num" w:pos="1440"/>
        </w:tabs>
        <w:ind w:left="720"/>
        <w:jc w:val="left"/>
      </w:pPr>
    </w:p>
    <w:p w14:paraId="2AD370C5" w14:textId="77777777" w:rsidR="00857FB9" w:rsidRDefault="00857FB9">
      <w:pPr>
        <w:pStyle w:val="ParaNum"/>
        <w:tabs>
          <w:tab w:val="num" w:pos="1440"/>
        </w:tabs>
        <w:ind w:left="0"/>
        <w:jc w:val="left"/>
        <w:rPr>
          <w:szCs w:val="22"/>
        </w:rPr>
      </w:pPr>
      <w: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p>
    <w:p w14:paraId="0C99FF86" w14:textId="77777777" w:rsidR="00CE66E5" w:rsidRDefault="00857FB9">
      <w:pPr>
        <w:pStyle w:val="ParaNum"/>
        <w:tabs>
          <w:tab w:val="num" w:pos="1440"/>
        </w:tabs>
        <w:ind w:left="0"/>
        <w:jc w:val="left"/>
      </w:pPr>
      <w:r>
        <w:t xml:space="preserve">Requests for full payment of the forfeiture proposed in this </w:t>
      </w:r>
      <w:r>
        <w:rPr>
          <w:i/>
        </w:rPr>
        <w:t>NAL</w:t>
      </w:r>
      <w:r>
        <w:t xml:space="preserve"> under the installment plan should be sent to:  Associate Managing Director-Financial Operations, Federal Communications Commission, 445 12th Street, S.W., Room 1-A625, Washington, DC 20554.</w:t>
      </w:r>
      <w:r>
        <w:rPr>
          <w:rStyle w:val="FootnoteReference"/>
          <w:szCs w:val="22"/>
        </w:rPr>
        <w:footnoteReference w:id="24"/>
      </w:r>
      <w:bookmarkStart w:id="2" w:name="sp_999_4"/>
      <w:bookmarkStart w:id="3" w:name="SDU_4"/>
      <w:r w:rsidR="00E24996" w:rsidRPr="00E24996">
        <w:t xml:space="preserve"> </w:t>
      </w:r>
    </w:p>
    <w:p w14:paraId="0AEC75E0" w14:textId="7BA59843" w:rsidR="00CE66E5" w:rsidRDefault="00E24996">
      <w:pPr>
        <w:pStyle w:val="ParaNum"/>
        <w:tabs>
          <w:tab w:val="num" w:pos="1440"/>
        </w:tabs>
        <w:ind w:left="0"/>
        <w:jc w:val="left"/>
        <w:rPr>
          <w:rStyle w:val="documentbody"/>
        </w:rPr>
      </w:pPr>
      <w:r>
        <w:rPr>
          <w:rStyle w:val="documentbody"/>
        </w:rPr>
        <w:t xml:space="preserve">IT IS FURTHER ORDERED that the </w:t>
      </w:r>
      <w:r w:rsidR="00CE66E5">
        <w:rPr>
          <w:rStyle w:val="documentbody"/>
        </w:rPr>
        <w:t>September 11, 2012</w:t>
      </w:r>
      <w:r>
        <w:rPr>
          <w:rStyle w:val="documentbody"/>
        </w:rPr>
        <w:t xml:space="preserve">, </w:t>
      </w:r>
      <w:bookmarkStart w:id="4" w:name="SR;1951"/>
      <w:bookmarkStart w:id="5" w:name="SearchTerm"/>
      <w:bookmarkEnd w:id="4"/>
      <w:r>
        <w:rPr>
          <w:rStyle w:val="searchterm"/>
        </w:rPr>
        <w:t>Petition</w:t>
      </w:r>
      <w:r>
        <w:rPr>
          <w:rStyle w:val="documentbody"/>
        </w:rPr>
        <w:t xml:space="preserve"> for </w:t>
      </w:r>
      <w:bookmarkStart w:id="6" w:name="SR;1953"/>
      <w:bookmarkEnd w:id="5"/>
      <w:bookmarkEnd w:id="6"/>
      <w:r>
        <w:rPr>
          <w:rStyle w:val="searchterm"/>
        </w:rPr>
        <w:t>Reconsideration</w:t>
      </w:r>
      <w:r>
        <w:rPr>
          <w:rStyle w:val="documentbody"/>
        </w:rPr>
        <w:t xml:space="preserve"> filed by </w:t>
      </w:r>
      <w:r w:rsidR="00CE66E5">
        <w:rPr>
          <w:rStyle w:val="documentbody"/>
        </w:rPr>
        <w:t>Lancaster Broadcasters, Inc.</w:t>
      </w:r>
      <w:r>
        <w:rPr>
          <w:rStyle w:val="documentbody"/>
        </w:rPr>
        <w:t>, IS GRANTED</w:t>
      </w:r>
      <w:r w:rsidR="00644510">
        <w:rPr>
          <w:rStyle w:val="documentbody"/>
        </w:rPr>
        <w:t xml:space="preserve">. </w:t>
      </w:r>
      <w:bookmarkEnd w:id="2"/>
      <w:bookmarkEnd w:id="3"/>
    </w:p>
    <w:p w14:paraId="0169767C" w14:textId="77777777" w:rsidR="00D7340E" w:rsidRDefault="00E24996" w:rsidP="00D7340E">
      <w:pPr>
        <w:pStyle w:val="ParaNum"/>
        <w:tabs>
          <w:tab w:val="num" w:pos="1440"/>
        </w:tabs>
        <w:ind w:left="0"/>
        <w:jc w:val="left"/>
      </w:pPr>
      <w:r>
        <w:rPr>
          <w:rStyle w:val="documentbody"/>
        </w:rPr>
        <w:t xml:space="preserve"> IT IS FUR</w:t>
      </w:r>
      <w:r w:rsidR="00CE66E5">
        <w:rPr>
          <w:rStyle w:val="documentbody"/>
        </w:rPr>
        <w:t xml:space="preserve">THER ORDERED that the call sign WKYY(AM) IS </w:t>
      </w:r>
      <w:r>
        <w:rPr>
          <w:rStyle w:val="documentbody"/>
        </w:rPr>
        <w:t>REINSTATED.</w:t>
      </w:r>
    </w:p>
    <w:p w14:paraId="48BE5DA5" w14:textId="59E41F4F" w:rsidR="00857FB9" w:rsidRDefault="00857FB9" w:rsidP="00D7340E">
      <w:pPr>
        <w:pStyle w:val="ParaNum"/>
        <w:tabs>
          <w:tab w:val="num" w:pos="1440"/>
        </w:tabs>
        <w:ind w:left="0"/>
        <w:jc w:val="left"/>
      </w:pPr>
      <w:r w:rsidRPr="00D7340E">
        <w:rPr>
          <w:szCs w:val="22"/>
        </w:rPr>
        <w:t xml:space="preserve">IT IS FURTHER ORDERED </w:t>
      </w:r>
      <w:r>
        <w:t xml:space="preserve">that a copy of this </w:t>
      </w:r>
      <w:r w:rsidRPr="00D7340E">
        <w:rPr>
          <w:i/>
        </w:rPr>
        <w:t>NAL</w:t>
      </w:r>
      <w:r>
        <w:t xml:space="preserve"> shall be sent, by First Class and Certified Mail-Return Receipt Requested, to </w:t>
      </w:r>
      <w:r w:rsidR="00441535">
        <w:t>Lancaster Broadcasters, Inc., 1145 B</w:t>
      </w:r>
      <w:r w:rsidR="006345E0">
        <w:t>uckeye Road, Lancaster, KY</w:t>
      </w:r>
      <w:r w:rsidR="00441535">
        <w:t xml:space="preserve"> 40444, and</w:t>
      </w:r>
      <w:r w:rsidR="00C145DE">
        <w:t xml:space="preserve"> to its counsel, </w:t>
      </w:r>
      <w:r w:rsidR="00AC6036">
        <w:t>John C. Trent, Esq., Putbrese Hunsaker &amp; Trent, 200 South Church Street</w:t>
      </w:r>
      <w:r w:rsidR="006345E0">
        <w:t xml:space="preserve">, </w:t>
      </w:r>
      <w:r w:rsidR="00AC6036">
        <w:t>Woodstock, V</w:t>
      </w:r>
      <w:r w:rsidR="006345E0">
        <w:t>A</w:t>
      </w:r>
      <w:r w:rsidR="00AC6036">
        <w:t xml:space="preserve"> 22664.</w:t>
      </w:r>
    </w:p>
    <w:p w14:paraId="4A1B6060" w14:textId="77777777" w:rsidR="00857FB9" w:rsidRDefault="00857FB9">
      <w:pPr>
        <w:pStyle w:val="ParaNum"/>
        <w:numPr>
          <w:ilvl w:val="0"/>
          <w:numId w:val="0"/>
        </w:numPr>
        <w:tabs>
          <w:tab w:val="num" w:pos="1440"/>
        </w:tabs>
        <w:ind w:firstLine="720"/>
        <w:jc w:val="left"/>
      </w:pPr>
    </w:p>
    <w:p w14:paraId="174D3020" w14:textId="77777777" w:rsidR="00857FB9" w:rsidRDefault="00857FB9">
      <w:pPr>
        <w:pStyle w:val="ParaNum"/>
        <w:numPr>
          <w:ilvl w:val="0"/>
          <w:numId w:val="0"/>
        </w:numPr>
        <w:tabs>
          <w:tab w:val="num" w:pos="1440"/>
        </w:tabs>
        <w:ind w:firstLine="720"/>
        <w:jc w:val="left"/>
      </w:pPr>
      <w:r>
        <w:tab/>
      </w:r>
      <w:r>
        <w:tab/>
      </w:r>
      <w:r>
        <w:tab/>
      </w:r>
      <w:r>
        <w:tab/>
      </w:r>
      <w:r>
        <w:tab/>
        <w:t>FEDERAL COMMUNICATIONS COMMISSION</w:t>
      </w:r>
    </w:p>
    <w:p w14:paraId="073BE8A9" w14:textId="77777777" w:rsidR="00857FB9" w:rsidRDefault="00857FB9">
      <w:pPr>
        <w:tabs>
          <w:tab w:val="left" w:pos="0"/>
          <w:tab w:val="num" w:pos="1440"/>
        </w:tabs>
        <w:suppressAutoHyphens/>
        <w:ind w:firstLine="720"/>
        <w:rPr>
          <w:szCs w:val="22"/>
        </w:rPr>
      </w:pPr>
    </w:p>
    <w:p w14:paraId="2059553E" w14:textId="77777777" w:rsidR="00857FB9" w:rsidRDefault="00857FB9">
      <w:pPr>
        <w:tabs>
          <w:tab w:val="left" w:pos="0"/>
          <w:tab w:val="num" w:pos="1440"/>
        </w:tabs>
        <w:suppressAutoHyphens/>
        <w:ind w:firstLine="720"/>
        <w:rPr>
          <w:szCs w:val="22"/>
        </w:rPr>
      </w:pPr>
      <w:r>
        <w:rPr>
          <w:szCs w:val="22"/>
        </w:rPr>
        <w:tab/>
      </w:r>
      <w:r>
        <w:rPr>
          <w:szCs w:val="22"/>
        </w:rPr>
        <w:tab/>
      </w:r>
      <w:r>
        <w:rPr>
          <w:szCs w:val="22"/>
        </w:rPr>
        <w:tab/>
      </w:r>
      <w:r>
        <w:rPr>
          <w:szCs w:val="22"/>
        </w:rPr>
        <w:tab/>
      </w:r>
      <w:r>
        <w:rPr>
          <w:szCs w:val="22"/>
        </w:rPr>
        <w:tab/>
      </w:r>
      <w:r>
        <w:rPr>
          <w:szCs w:val="22"/>
        </w:rPr>
        <w:tab/>
      </w:r>
      <w:r>
        <w:rPr>
          <w:szCs w:val="22"/>
        </w:rPr>
        <w:tab/>
      </w:r>
    </w:p>
    <w:p w14:paraId="1E27E7B1" w14:textId="77777777" w:rsidR="00857FB9" w:rsidRDefault="00857FB9">
      <w:pPr>
        <w:tabs>
          <w:tab w:val="num" w:pos="1440"/>
        </w:tabs>
        <w:ind w:firstLine="720"/>
        <w:rPr>
          <w:szCs w:val="22"/>
        </w:rPr>
      </w:pPr>
      <w:r>
        <w:tab/>
      </w:r>
      <w:r>
        <w:tab/>
      </w:r>
      <w:r>
        <w:tab/>
      </w:r>
      <w:r>
        <w:tab/>
      </w:r>
      <w:r>
        <w:tab/>
      </w:r>
      <w:r>
        <w:rPr>
          <w:szCs w:val="22"/>
        </w:rPr>
        <w:t>Peter H. Doyle</w:t>
      </w:r>
    </w:p>
    <w:p w14:paraId="7BF045AB" w14:textId="77777777" w:rsidR="00857FB9" w:rsidRDefault="00857FB9">
      <w:pPr>
        <w:tabs>
          <w:tab w:val="num" w:pos="1440"/>
        </w:tabs>
        <w:ind w:firstLine="720"/>
        <w:rPr>
          <w:szCs w:val="22"/>
        </w:rPr>
      </w:pPr>
      <w:r>
        <w:rPr>
          <w:szCs w:val="22"/>
        </w:rPr>
        <w:tab/>
      </w:r>
      <w:r>
        <w:rPr>
          <w:szCs w:val="22"/>
        </w:rPr>
        <w:tab/>
      </w:r>
      <w:r>
        <w:rPr>
          <w:szCs w:val="22"/>
        </w:rPr>
        <w:tab/>
      </w:r>
      <w:r>
        <w:rPr>
          <w:szCs w:val="22"/>
        </w:rPr>
        <w:tab/>
      </w:r>
      <w:r>
        <w:rPr>
          <w:szCs w:val="22"/>
        </w:rPr>
        <w:tab/>
        <w:t>Chief, Audio Division</w:t>
      </w:r>
    </w:p>
    <w:p w14:paraId="4BAD9F31" w14:textId="77777777" w:rsidR="00857FB9" w:rsidRDefault="00857FB9">
      <w:pPr>
        <w:tabs>
          <w:tab w:val="num" w:pos="1440"/>
        </w:tabs>
        <w:ind w:firstLine="720"/>
      </w:pPr>
      <w:r>
        <w:rPr>
          <w:szCs w:val="22"/>
        </w:rPr>
        <w:t xml:space="preserve"> </w:t>
      </w:r>
      <w:r>
        <w:rPr>
          <w:szCs w:val="22"/>
        </w:rPr>
        <w:tab/>
      </w:r>
      <w:r>
        <w:rPr>
          <w:szCs w:val="22"/>
        </w:rPr>
        <w:tab/>
      </w:r>
      <w:r>
        <w:rPr>
          <w:szCs w:val="22"/>
        </w:rPr>
        <w:tab/>
      </w:r>
      <w:r>
        <w:rPr>
          <w:szCs w:val="22"/>
        </w:rPr>
        <w:tab/>
      </w:r>
      <w:r>
        <w:rPr>
          <w:szCs w:val="22"/>
        </w:rPr>
        <w:tab/>
        <w:t>Media Bureau</w:t>
      </w:r>
    </w:p>
    <w:p w14:paraId="5EC0EE32" w14:textId="77777777" w:rsidR="00857FB9" w:rsidRDefault="00857FB9">
      <w:pPr>
        <w:tabs>
          <w:tab w:val="num" w:pos="1440"/>
        </w:tabs>
        <w:ind w:firstLine="720"/>
      </w:pPr>
    </w:p>
    <w:sectPr w:rsidR="00857F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59D63" w14:textId="77777777" w:rsidR="00AE195B" w:rsidRDefault="00AE195B">
      <w:r>
        <w:separator/>
      </w:r>
    </w:p>
  </w:endnote>
  <w:endnote w:type="continuationSeparator" w:id="0">
    <w:p w14:paraId="2AD836B8" w14:textId="77777777" w:rsidR="00AE195B" w:rsidRDefault="00AE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B91D" w14:textId="77777777" w:rsidR="00DF586C" w:rsidRDefault="00DF5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280C6" w14:textId="77777777" w:rsidR="00DF586C" w:rsidRDefault="00DF58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8FED" w14:textId="77777777" w:rsidR="00DF586C" w:rsidRDefault="00DF5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C9C">
      <w:rPr>
        <w:rStyle w:val="PageNumber"/>
        <w:noProof/>
      </w:rPr>
      <w:t>2</w:t>
    </w:r>
    <w:r>
      <w:rPr>
        <w:rStyle w:val="PageNumber"/>
      </w:rPr>
      <w:fldChar w:fldCharType="end"/>
    </w:r>
  </w:p>
  <w:p w14:paraId="76B748FE" w14:textId="77777777" w:rsidR="00DF586C" w:rsidRDefault="00DF586C">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D926" w14:textId="77777777" w:rsidR="00DF586C" w:rsidRDefault="00DF586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67113" w14:textId="77777777" w:rsidR="00AE195B" w:rsidRDefault="00AE195B">
      <w:r>
        <w:separator/>
      </w:r>
    </w:p>
  </w:footnote>
  <w:footnote w:type="continuationSeparator" w:id="0">
    <w:p w14:paraId="4AB5F752" w14:textId="77777777" w:rsidR="00AE195B" w:rsidRDefault="00AE195B">
      <w:r>
        <w:continuationSeparator/>
      </w:r>
    </w:p>
  </w:footnote>
  <w:footnote w:id="1">
    <w:p w14:paraId="1178E67B" w14:textId="77777777" w:rsidR="00DF586C" w:rsidRDefault="00DF586C">
      <w:pPr>
        <w:pStyle w:val="Footer"/>
        <w:spacing w:after="120"/>
        <w:rPr>
          <w:sz w:val="20"/>
        </w:rPr>
      </w:pPr>
      <w:r>
        <w:rPr>
          <w:rStyle w:val="FootnoteReference"/>
          <w:sz w:val="20"/>
        </w:rPr>
        <w:footnoteRef/>
      </w:r>
      <w:r>
        <w:rPr>
          <w:sz w:val="20"/>
        </w:rPr>
        <w:t xml:space="preserve"> This </w:t>
      </w:r>
      <w:r>
        <w:rPr>
          <w:i/>
          <w:sz w:val="20"/>
        </w:rPr>
        <w:t>NAL</w:t>
      </w:r>
      <w:r>
        <w:rPr>
          <w:sz w:val="20"/>
        </w:rPr>
        <w:t xml:space="preserve"> is issued pursuant to Sections 309(k) and 503(b) of the Communications Act of 1934, as amended (“Act”), and Section 1.80 of the Commission’s rules (“Rules”).  </w:t>
      </w:r>
      <w:r>
        <w:rPr>
          <w:i/>
          <w:sz w:val="20"/>
        </w:rPr>
        <w:t>See</w:t>
      </w:r>
      <w:r>
        <w:rPr>
          <w:sz w:val="20"/>
        </w:rPr>
        <w:t xml:space="preserve"> 47 U.S.C. §§ 309(k), 503(b); 47 C.F.R. § 1.80.  The Bureau has delegated authority to issue the </w:t>
      </w:r>
      <w:r>
        <w:rPr>
          <w:i/>
          <w:sz w:val="20"/>
        </w:rPr>
        <w:t>NAL</w:t>
      </w:r>
      <w:r>
        <w:rPr>
          <w:sz w:val="20"/>
        </w:rPr>
        <w:t xml:space="preserve"> under Section 0.283 of the Rules.  </w:t>
      </w:r>
      <w:r>
        <w:rPr>
          <w:i/>
          <w:sz w:val="20"/>
        </w:rPr>
        <w:t>See</w:t>
      </w:r>
      <w:r>
        <w:rPr>
          <w:sz w:val="20"/>
        </w:rPr>
        <w:t xml:space="preserve"> 47 C.F.R. § 0.283.</w:t>
      </w:r>
    </w:p>
  </w:footnote>
  <w:footnote w:id="2">
    <w:p w14:paraId="662EBDF2" w14:textId="77777777" w:rsidR="00DF586C" w:rsidRDefault="00DF586C">
      <w:pPr>
        <w:pStyle w:val="Footer"/>
        <w:spacing w:after="120"/>
        <w:rPr>
          <w:sz w:val="20"/>
        </w:rPr>
      </w:pPr>
      <w:r>
        <w:rPr>
          <w:rStyle w:val="FootnoteReference"/>
          <w:sz w:val="20"/>
        </w:rPr>
        <w:footnoteRef/>
      </w:r>
      <w:r>
        <w:rPr>
          <w:sz w:val="20"/>
        </w:rPr>
        <w:t xml:space="preserve"> </w:t>
      </w:r>
      <w:r>
        <w:rPr>
          <w:i/>
          <w:sz w:val="20"/>
        </w:rPr>
        <w:t>See</w:t>
      </w:r>
      <w:r>
        <w:rPr>
          <w:sz w:val="20"/>
        </w:rPr>
        <w:t xml:space="preserve"> 47 C.F.R. § 73.3539(a). </w:t>
      </w:r>
    </w:p>
  </w:footnote>
  <w:footnote w:id="3">
    <w:p w14:paraId="2A39CEC6" w14:textId="5754B218" w:rsidR="00DF586C" w:rsidRDefault="00DF586C" w:rsidP="008F2192">
      <w:pPr>
        <w:pStyle w:val="Footer"/>
        <w:spacing w:after="120"/>
        <w:rPr>
          <w:sz w:val="20"/>
        </w:rPr>
      </w:pPr>
      <w:r>
        <w:rPr>
          <w:rStyle w:val="FootnoteReference"/>
          <w:sz w:val="20"/>
        </w:rPr>
        <w:footnoteRef/>
      </w:r>
      <w:r>
        <w:rPr>
          <w:sz w:val="20"/>
        </w:rPr>
        <w:t xml:space="preserve"> </w:t>
      </w:r>
      <w:r w:rsidR="00AC6036">
        <w:rPr>
          <w:i/>
          <w:sz w:val="20"/>
        </w:rPr>
        <w:t>Id.</w:t>
      </w:r>
    </w:p>
  </w:footnote>
  <w:footnote w:id="4">
    <w:p w14:paraId="06BE3DF3" w14:textId="77777777" w:rsidR="00DF586C" w:rsidRDefault="00DF586C">
      <w:pPr>
        <w:pStyle w:val="Footer"/>
        <w:spacing w:after="120"/>
        <w:rPr>
          <w:sz w:val="20"/>
        </w:rPr>
      </w:pPr>
      <w:r>
        <w:rPr>
          <w:rStyle w:val="FootnoteReference"/>
          <w:sz w:val="20"/>
        </w:rPr>
        <w:footnoteRef/>
      </w:r>
      <w:r>
        <w:rPr>
          <w:sz w:val="20"/>
        </w:rPr>
        <w:t xml:space="preserve"> </w:t>
      </w:r>
      <w:r>
        <w:rPr>
          <w:i/>
          <w:sz w:val="20"/>
        </w:rPr>
        <w:t>See</w:t>
      </w:r>
      <w:r>
        <w:rPr>
          <w:sz w:val="20"/>
        </w:rPr>
        <w:t xml:space="preserve"> 47 C.F.R. §§ 73.1020, 73.3539(a).</w:t>
      </w:r>
    </w:p>
  </w:footnote>
  <w:footnote w:id="5">
    <w:p w14:paraId="4B5B59B6" w14:textId="72E644D1" w:rsidR="00DF586C" w:rsidRPr="000F0F9F" w:rsidRDefault="00DF586C" w:rsidP="00DF586C">
      <w:pPr>
        <w:pStyle w:val="FootnoteText"/>
        <w:spacing w:after="120"/>
      </w:pPr>
      <w:r w:rsidRPr="000F0F9F">
        <w:rPr>
          <w:rStyle w:val="FootnoteReference"/>
        </w:rPr>
        <w:footnoteRef/>
      </w:r>
      <w:r w:rsidRPr="000F0F9F">
        <w:t xml:space="preserve"> </w:t>
      </w:r>
      <w:r w:rsidRPr="000F0F9F">
        <w:rPr>
          <w:i/>
        </w:rPr>
        <w:t xml:space="preserve">Letter to </w:t>
      </w:r>
      <w:r>
        <w:rPr>
          <w:i/>
        </w:rPr>
        <w:t>Lancaster Broadcasters, Inc.</w:t>
      </w:r>
      <w:r>
        <w:t xml:space="preserve"> </w:t>
      </w:r>
      <w:r w:rsidRPr="003E1CB7">
        <w:rPr>
          <w:i/>
        </w:rPr>
        <w:t>from Peter H. Doyle</w:t>
      </w:r>
      <w:r>
        <w:rPr>
          <w:i/>
        </w:rPr>
        <w:t xml:space="preserve">, Chief, Audio Division, Media Bureau </w:t>
      </w:r>
      <w:r w:rsidRPr="003E1CB7">
        <w:t>(Aug. 27, 2010)</w:t>
      </w:r>
      <w:r w:rsidR="0088188A">
        <w:t xml:space="preserve"> (“</w:t>
      </w:r>
      <w:r w:rsidR="0088188A">
        <w:rPr>
          <w:i/>
        </w:rPr>
        <w:t>License Expiration Letter</w:t>
      </w:r>
      <w:r w:rsidR="0088188A">
        <w:t>”).</w:t>
      </w:r>
    </w:p>
  </w:footnote>
  <w:footnote w:id="6">
    <w:p w14:paraId="0A8D6B12" w14:textId="06FE33D2" w:rsidR="002E2DFB" w:rsidRDefault="002E2DFB" w:rsidP="00A45B0A">
      <w:pPr>
        <w:pStyle w:val="FootnoteText"/>
        <w:spacing w:after="120"/>
      </w:pPr>
      <w:r>
        <w:rPr>
          <w:rStyle w:val="FootnoteReference"/>
        </w:rPr>
        <w:footnoteRef/>
      </w:r>
      <w:r>
        <w:t xml:space="preserve"> </w:t>
      </w:r>
      <w:r w:rsidR="005E20AA">
        <w:t xml:space="preserve">In response to </w:t>
      </w:r>
      <w:r w:rsidR="005E20AA" w:rsidRPr="005E20AA">
        <w:t xml:space="preserve">Section III, Item 3 of the license renewal application form, </w:t>
      </w:r>
      <w:r w:rsidR="005E20AA">
        <w:t xml:space="preserve">Licensee </w:t>
      </w:r>
      <w:r w:rsidR="005E20AA" w:rsidRPr="005E20AA">
        <w:t>explain</w:t>
      </w:r>
      <w:r w:rsidR="005E20AA">
        <w:t>ed</w:t>
      </w:r>
      <w:r w:rsidR="005E20AA" w:rsidRPr="005E20AA">
        <w:t xml:space="preserve"> that it had been unable to submit the 2011 Biennial Ownership Report (FCC Form 323) at the appropriate time because it had not obtained documentary information on the death of majority owner of Licensee.</w:t>
      </w:r>
      <w:r w:rsidR="005E20AA">
        <w:t xml:space="preserve">  </w:t>
      </w:r>
      <w:r w:rsidR="00641556">
        <w:t>Application at Exhibits 9 and 12.</w:t>
      </w:r>
      <w:r w:rsidR="005E20AA">
        <w:t xml:space="preserve">  </w:t>
      </w:r>
      <w:r w:rsidR="00952C30" w:rsidRPr="00952C30">
        <w:t xml:space="preserve">In the amended Application, filed March 13, 2013, Licensee states that it </w:t>
      </w:r>
      <w:r w:rsidR="00E325CC">
        <w:t xml:space="preserve">had </w:t>
      </w:r>
      <w:r w:rsidR="00952C30" w:rsidRPr="00952C30">
        <w:t>filed the ownership report and the Station’s public file “now contains the most recent ownership report.”</w:t>
      </w:r>
      <w:r w:rsidR="00952C30">
        <w:t xml:space="preserve"> </w:t>
      </w:r>
      <w:r w:rsidR="00952C30">
        <w:rPr>
          <w:i/>
        </w:rPr>
        <w:t xml:space="preserve">See </w:t>
      </w:r>
      <w:r w:rsidR="00952C30">
        <w:t>Applicati</w:t>
      </w:r>
      <w:r w:rsidR="00221DD0">
        <w:t>on, as amended, at Exhibit 12 and</w:t>
      </w:r>
      <w:r w:rsidR="00952C30">
        <w:rPr>
          <w:i/>
        </w:rPr>
        <w:t xml:space="preserve"> </w:t>
      </w:r>
      <w:r w:rsidR="00952C30">
        <w:t>FCC Form No</w:t>
      </w:r>
      <w:r w:rsidR="005E20AA">
        <w:t>. BOA-20130313AAX</w:t>
      </w:r>
      <w:r w:rsidR="00952C30">
        <w:t xml:space="preserve">.  </w:t>
      </w:r>
      <w:r w:rsidR="00952C30">
        <w:rPr>
          <w:i/>
        </w:rPr>
        <w:t xml:space="preserve">See also </w:t>
      </w:r>
      <w:r w:rsidR="005E20AA">
        <w:t>BOS-</w:t>
      </w:r>
      <w:r w:rsidR="00952C30" w:rsidRPr="00952C30">
        <w:t>20150618AAF</w:t>
      </w:r>
      <w:r w:rsidR="00952C30">
        <w:t xml:space="preserve"> and </w:t>
      </w:r>
      <w:r w:rsidR="005E20AA">
        <w:t>BTC-</w:t>
      </w:r>
      <w:r w:rsidR="005E20AA" w:rsidRPr="00D56E6D">
        <w:t>20150413AAX</w:t>
      </w:r>
      <w:r w:rsidR="00952C30">
        <w:t xml:space="preserve"> (seeking transfer of control of deceased majority shareholder’s ownership portion of Licensee)</w:t>
      </w:r>
      <w:r w:rsidR="00071A9D">
        <w:t>, granted on June 17, 2015</w:t>
      </w:r>
      <w:r w:rsidR="00952C30">
        <w:t>.</w:t>
      </w:r>
    </w:p>
  </w:footnote>
  <w:footnote w:id="7">
    <w:p w14:paraId="6E513DBF" w14:textId="06EB0515" w:rsidR="00286C4D" w:rsidRPr="00F715D4" w:rsidRDefault="00286C4D" w:rsidP="00286C4D">
      <w:pPr>
        <w:pStyle w:val="FootnoteText"/>
        <w:spacing w:after="120"/>
      </w:pPr>
      <w:r w:rsidRPr="00F715D4">
        <w:rPr>
          <w:rStyle w:val="FootnoteReference"/>
        </w:rPr>
        <w:footnoteRef/>
      </w:r>
      <w:r w:rsidRPr="00F715D4">
        <w:t xml:space="preserve"> </w:t>
      </w:r>
      <w:r w:rsidRPr="00F715D4">
        <w:rPr>
          <w:i/>
        </w:rPr>
        <w:t xml:space="preserve">See </w:t>
      </w:r>
      <w:r w:rsidRPr="00F715D4">
        <w:t>File No. BLSTA-20120911AAY</w:t>
      </w:r>
      <w:r w:rsidR="009F5B92">
        <w:t xml:space="preserve"> (“STA Request”).</w:t>
      </w:r>
      <w:r w:rsidRPr="00F715D4">
        <w:t xml:space="preserve">  </w:t>
      </w:r>
    </w:p>
  </w:footnote>
  <w:footnote w:id="8">
    <w:p w14:paraId="3DBAA8AC" w14:textId="5E214333" w:rsidR="00286C4D" w:rsidRPr="00F715D4" w:rsidRDefault="00286C4D" w:rsidP="00644510">
      <w:pPr>
        <w:pStyle w:val="ParaNum"/>
        <w:numPr>
          <w:ilvl w:val="0"/>
          <w:numId w:val="0"/>
        </w:numPr>
        <w:tabs>
          <w:tab w:val="clear" w:pos="1440"/>
        </w:tabs>
        <w:spacing w:after="120"/>
        <w:jc w:val="left"/>
      </w:pPr>
      <w:r w:rsidRPr="00F715D4">
        <w:rPr>
          <w:rStyle w:val="FootnoteReference"/>
          <w:sz w:val="20"/>
        </w:rPr>
        <w:footnoteRef/>
      </w:r>
      <w:r w:rsidRPr="00F715D4">
        <w:rPr>
          <w:sz w:val="20"/>
        </w:rPr>
        <w:t xml:space="preserve"> </w:t>
      </w:r>
      <w:r w:rsidRPr="00F715D4">
        <w:rPr>
          <w:i/>
          <w:sz w:val="20"/>
        </w:rPr>
        <w:t xml:space="preserve">See Letter to Jerrold R. Miller, Esq., </w:t>
      </w:r>
      <w:r w:rsidRPr="00F715D4">
        <w:rPr>
          <w:sz w:val="20"/>
        </w:rPr>
        <w:t>Reference 1800B3 (MB Sep. 14. 2012).</w:t>
      </w:r>
      <w:r w:rsidR="00F715D4" w:rsidRPr="00F715D4">
        <w:rPr>
          <w:sz w:val="20"/>
        </w:rPr>
        <w:t xml:space="preserve">  </w:t>
      </w:r>
      <w:r w:rsidR="00F715D4" w:rsidRPr="00644510">
        <w:rPr>
          <w:sz w:val="20"/>
        </w:rPr>
        <w:t>The STA was to expire on March 14, 2013.</w:t>
      </w:r>
      <w:r w:rsidR="00F715D4" w:rsidRPr="00644510">
        <w:rPr>
          <w:rStyle w:val="FootnoteReference"/>
          <w:sz w:val="20"/>
        </w:rPr>
        <w:footnoteRef/>
      </w:r>
      <w:r w:rsidR="00F715D4" w:rsidRPr="00644510">
        <w:rPr>
          <w:sz w:val="20"/>
        </w:rPr>
        <w:t xml:space="preserve">  On March 13, 2013, Licensee sought an extension of the STA.</w:t>
      </w:r>
      <w:r w:rsidR="00F715D4" w:rsidRPr="00644510">
        <w:rPr>
          <w:rStyle w:val="FootnoteReference"/>
          <w:sz w:val="20"/>
        </w:rPr>
        <w:footnoteRef/>
      </w:r>
      <w:r w:rsidR="00F715D4" w:rsidRPr="00644510">
        <w:rPr>
          <w:sz w:val="20"/>
        </w:rPr>
        <w:t xml:space="preserve">  </w:t>
      </w:r>
      <w:r w:rsidR="00F715D4" w:rsidRPr="00F715D4">
        <w:rPr>
          <w:i/>
          <w:sz w:val="20"/>
        </w:rPr>
        <w:t xml:space="preserve">See </w:t>
      </w:r>
      <w:r w:rsidR="00F715D4" w:rsidRPr="00F715D4">
        <w:rPr>
          <w:sz w:val="20"/>
        </w:rPr>
        <w:t>File No. BELSTA-20130313AAR.</w:t>
      </w:r>
      <w:r w:rsidR="00AC6036">
        <w:rPr>
          <w:sz w:val="20"/>
        </w:rPr>
        <w:t xml:space="preserve">  </w:t>
      </w:r>
      <w:r w:rsidR="00F715D4" w:rsidRPr="00644510">
        <w:rPr>
          <w:sz w:val="20"/>
        </w:rPr>
        <w:t>That request remains pending.</w:t>
      </w:r>
    </w:p>
  </w:footnote>
  <w:footnote w:id="9">
    <w:p w14:paraId="3CE591B2" w14:textId="77777777" w:rsidR="009F5B92" w:rsidRDefault="009F5B92" w:rsidP="00644510">
      <w:pPr>
        <w:pStyle w:val="FootnoteText"/>
        <w:spacing w:after="120"/>
      </w:pPr>
      <w:r>
        <w:rPr>
          <w:rStyle w:val="FootnoteReference"/>
        </w:rPr>
        <w:footnoteRef/>
      </w:r>
      <w:r>
        <w:t xml:space="preserve"> STA Request at Exhibit 38.</w:t>
      </w:r>
    </w:p>
  </w:footnote>
  <w:footnote w:id="10">
    <w:p w14:paraId="2E8CBFFD" w14:textId="77777777" w:rsidR="001E2CB7" w:rsidRDefault="001E2CB7">
      <w:pPr>
        <w:pStyle w:val="FootnoteText"/>
        <w:spacing w:after="120"/>
      </w:pPr>
      <w:r>
        <w:rPr>
          <w:rStyle w:val="FootnoteReference"/>
        </w:rPr>
        <w:footnoteRef/>
      </w:r>
      <w:r>
        <w:t xml:space="preserve"> </w:t>
      </w:r>
      <w:r>
        <w:rPr>
          <w:i/>
        </w:rPr>
        <w:t>See, e.g., Hemmingford Media, Inc</w:t>
      </w:r>
      <w:r>
        <w:t xml:space="preserve">., Forfeiture Order, 14 FCC Rcd 2940, 2941-2 (CIB 1999) (responsibility for complying with terms of station license “rests solely and exclusively with the licensee”) (citing </w:t>
      </w:r>
      <w:r>
        <w:rPr>
          <w:i/>
        </w:rPr>
        <w:t>Empire Broadcasting Corp</w:t>
      </w:r>
      <w:r>
        <w:t>., Memorandum Opinion and Order, 25 FCC 2d 68 (1970)).</w:t>
      </w:r>
    </w:p>
  </w:footnote>
  <w:footnote w:id="11">
    <w:p w14:paraId="68AE0E05" w14:textId="77777777" w:rsidR="005F0AFF" w:rsidRDefault="005F0AFF">
      <w:pPr>
        <w:pStyle w:val="Footer"/>
        <w:spacing w:after="120"/>
        <w:rPr>
          <w:sz w:val="20"/>
        </w:rPr>
      </w:pPr>
      <w:r>
        <w:rPr>
          <w:rStyle w:val="FootnoteReference"/>
          <w:sz w:val="20"/>
        </w:rPr>
        <w:footnoteRef/>
      </w:r>
      <w:r>
        <w:rPr>
          <w:sz w:val="20"/>
        </w:rPr>
        <w:t xml:space="preserve"> 47 U.S.C. § 503(b)(1)(B).  </w:t>
      </w:r>
      <w:r>
        <w:rPr>
          <w:i/>
          <w:sz w:val="20"/>
        </w:rPr>
        <w:t>S</w:t>
      </w:r>
      <w:r>
        <w:rPr>
          <w:i/>
          <w:iCs/>
          <w:sz w:val="20"/>
        </w:rPr>
        <w:t>ee also</w:t>
      </w:r>
      <w:r>
        <w:rPr>
          <w:sz w:val="20"/>
        </w:rPr>
        <w:t xml:space="preserve"> 47 C.F.R. § 1.80(a)(1).</w:t>
      </w:r>
    </w:p>
  </w:footnote>
  <w:footnote w:id="12">
    <w:p w14:paraId="785CD019" w14:textId="77777777" w:rsidR="005F0AFF" w:rsidRDefault="005F0AFF">
      <w:pPr>
        <w:pStyle w:val="Footer"/>
        <w:spacing w:after="120"/>
        <w:rPr>
          <w:sz w:val="20"/>
        </w:rPr>
      </w:pPr>
      <w:r>
        <w:rPr>
          <w:rStyle w:val="FootnoteReference"/>
          <w:sz w:val="20"/>
        </w:rPr>
        <w:footnoteRef/>
      </w:r>
      <w:r>
        <w:rPr>
          <w:sz w:val="20"/>
        </w:rPr>
        <w:t xml:space="preserve"> 47 U.S.C. § 312(f)(1).</w:t>
      </w:r>
    </w:p>
  </w:footnote>
  <w:footnote w:id="13">
    <w:p w14:paraId="1BA839B5" w14:textId="77777777" w:rsidR="005F0AFF" w:rsidRDefault="005F0AFF">
      <w:pPr>
        <w:pStyle w:val="Footer"/>
        <w:spacing w:after="120"/>
        <w:rPr>
          <w:sz w:val="20"/>
        </w:rPr>
      </w:pPr>
      <w:r>
        <w:rPr>
          <w:rStyle w:val="FootnoteReference"/>
          <w:sz w:val="20"/>
        </w:rPr>
        <w:footnoteRef/>
      </w:r>
      <w:r>
        <w:rPr>
          <w:i/>
          <w:sz w:val="20"/>
        </w:rPr>
        <w:t xml:space="preserve"> See</w:t>
      </w:r>
      <w:r>
        <w:rPr>
          <w:sz w:val="20"/>
        </w:rPr>
        <w:t xml:space="preserve"> H.R. Rep. No. 97-765, 97</w:t>
      </w:r>
      <w:r>
        <w:rPr>
          <w:sz w:val="20"/>
          <w:vertAlign w:val="superscript"/>
        </w:rPr>
        <w:t>th</w:t>
      </w:r>
      <w:r>
        <w:rPr>
          <w:sz w:val="20"/>
        </w:rPr>
        <w:t xml:space="preserve"> Cong. 2d Sess. 51 (1982).</w:t>
      </w:r>
    </w:p>
  </w:footnote>
  <w:footnote w:id="14">
    <w:p w14:paraId="1FBA9A84" w14:textId="77777777" w:rsidR="005F0AFF" w:rsidRDefault="005F0AFF">
      <w:pPr>
        <w:pStyle w:val="Footer"/>
        <w:spacing w:after="120"/>
        <w:rPr>
          <w:sz w:val="20"/>
        </w:rPr>
      </w:pPr>
      <w:r>
        <w:rPr>
          <w:rStyle w:val="FootnoteReference"/>
          <w:sz w:val="20"/>
        </w:rPr>
        <w:footnoteRef/>
      </w:r>
      <w:r>
        <w:rPr>
          <w:i/>
          <w:iCs/>
          <w:sz w:val="20"/>
        </w:rPr>
        <w:t xml:space="preserve"> See Southern California Broadcasting Co.</w:t>
      </w:r>
      <w:r>
        <w:rPr>
          <w:sz w:val="20"/>
        </w:rPr>
        <w:t>, Memorandum Opinion and Order, 6 FCC Rcd 4387, 4388 (1991).</w:t>
      </w:r>
    </w:p>
  </w:footnote>
  <w:footnote w:id="15">
    <w:p w14:paraId="54C6718D" w14:textId="77777777" w:rsidR="005F0AFF" w:rsidRDefault="005F0AFF">
      <w:pPr>
        <w:pStyle w:val="FootnoteText"/>
        <w:spacing w:after="120"/>
      </w:pPr>
      <w:r>
        <w:rPr>
          <w:rStyle w:val="FootnoteReference"/>
        </w:rPr>
        <w:footnoteRef/>
      </w:r>
      <w:r>
        <w:t xml:space="preserve"> 47 U.S.C. § 312(f)(2). </w:t>
      </w:r>
    </w:p>
  </w:footnote>
  <w:footnote w:id="16">
    <w:p w14:paraId="5BFEFF85" w14:textId="77777777" w:rsidR="005F0AFF" w:rsidRDefault="005F0AFF" w:rsidP="005F0AFF">
      <w:pPr>
        <w:pStyle w:val="Footer"/>
        <w:spacing w:after="120"/>
        <w:rPr>
          <w:sz w:val="20"/>
        </w:rPr>
      </w:pPr>
      <w:r>
        <w:rPr>
          <w:rStyle w:val="FootnoteReference"/>
          <w:sz w:val="20"/>
        </w:rPr>
        <w:footnoteRef/>
      </w:r>
      <w:r>
        <w:rPr>
          <w:sz w:val="20"/>
        </w:rPr>
        <w:t xml:space="preserve"> </w:t>
      </w:r>
      <w:r>
        <w:rPr>
          <w:i/>
          <w:sz w:val="20"/>
        </w:rPr>
        <w:t xml:space="preserve">See Forfeiture Policy Statement and Amendment of Section 1.80(b) of the Rules to Incorporate the Forfeiture Guidelines,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1.80(b)(4), note to paragraph (b)(4), Section I.</w:t>
      </w:r>
    </w:p>
  </w:footnote>
  <w:footnote w:id="17">
    <w:p w14:paraId="609D6E3A" w14:textId="77777777" w:rsidR="005F0AFF" w:rsidRDefault="005F0AFF" w:rsidP="005F0AFF">
      <w:pPr>
        <w:pStyle w:val="Footer"/>
        <w:spacing w:after="120"/>
        <w:rPr>
          <w:sz w:val="20"/>
        </w:rPr>
      </w:pPr>
      <w:r>
        <w:rPr>
          <w:rStyle w:val="FootnoteReference"/>
          <w:sz w:val="20"/>
        </w:rPr>
        <w:footnoteRef/>
      </w:r>
      <w:r>
        <w:rPr>
          <w:sz w:val="20"/>
        </w:rPr>
        <w:t xml:space="preserve"> A broadcast station requires an authorization from the Commission to operate.  </w:t>
      </w:r>
      <w:r>
        <w:rPr>
          <w:i/>
          <w:sz w:val="20"/>
        </w:rPr>
        <w:t>See</w:t>
      </w:r>
      <w:r>
        <w:rPr>
          <w:sz w:val="20"/>
        </w:rPr>
        <w:t xml:space="preserve"> 47 U.S.C. § 301.</w:t>
      </w:r>
    </w:p>
  </w:footnote>
  <w:footnote w:id="18">
    <w:p w14:paraId="129A89E7" w14:textId="77777777" w:rsidR="005F0AFF" w:rsidRDefault="005F0AFF" w:rsidP="005F0AFF">
      <w:pPr>
        <w:pStyle w:val="FootnoteText"/>
        <w:spacing w:after="120"/>
      </w:pPr>
      <w:r>
        <w:rPr>
          <w:rStyle w:val="FootnoteReference"/>
        </w:rPr>
        <w:footnoteRef/>
      </w:r>
      <w:r>
        <w:t xml:space="preserve"> 47 U.S.C. § 503(b)(2)(D); </w:t>
      </w:r>
      <w:r>
        <w:rPr>
          <w:i/>
        </w:rPr>
        <w:t xml:space="preserve">see also Forfeiture Policy Statement, </w:t>
      </w:r>
      <w:r>
        <w:t>12 FCC Rcd at 17100; 47 C.F.R. § 1.80(b)(4).</w:t>
      </w:r>
    </w:p>
  </w:footnote>
  <w:footnote w:id="19">
    <w:p w14:paraId="6E286BB1" w14:textId="77777777" w:rsidR="00FF2D3B" w:rsidRDefault="00FF2D3B" w:rsidP="00FF2D3B">
      <w:pPr>
        <w:pStyle w:val="FootnoteText"/>
        <w:spacing w:after="120"/>
      </w:pPr>
      <w:r>
        <w:rPr>
          <w:rStyle w:val="FootnoteReference"/>
        </w:rPr>
        <w:footnoteRef/>
      </w:r>
      <w:r>
        <w:t xml:space="preserve"> </w:t>
      </w:r>
      <w:r>
        <w:rPr>
          <w:i/>
        </w:rPr>
        <w:t xml:space="preserve">See, e.g., </w:t>
      </w:r>
      <w:r w:rsidRPr="00FF2D3B">
        <w:rPr>
          <w:i/>
        </w:rPr>
        <w:t>Lincoln County School District</w:t>
      </w:r>
      <w:r>
        <w:t>, Memorandum Opinion and Order and Notice of Apparent Liability, 29 FCC Rcd 13853 (MB 2014) (</w:t>
      </w:r>
      <w:r w:rsidR="00065073">
        <w:t xml:space="preserve">proposing the full $3,000 forfeiture for failure to timely file a renewal application and  </w:t>
      </w:r>
      <w:r>
        <w:t>reducing proposed forfeiture from $10,000 to $4,000 for nearly three weeks of unauthorized operations).</w:t>
      </w:r>
    </w:p>
  </w:footnote>
  <w:footnote w:id="20">
    <w:p w14:paraId="1FB8607C" w14:textId="77777777" w:rsidR="00DF586C" w:rsidRDefault="00DF586C" w:rsidP="00AF1D83">
      <w:pPr>
        <w:pStyle w:val="Footer"/>
        <w:spacing w:after="120"/>
        <w:rPr>
          <w:sz w:val="20"/>
        </w:rPr>
      </w:pPr>
      <w:r>
        <w:rPr>
          <w:rStyle w:val="FootnoteReference"/>
          <w:sz w:val="20"/>
        </w:rPr>
        <w:footnoteRef/>
      </w:r>
      <w:r>
        <w:rPr>
          <w:i/>
          <w:sz w:val="20"/>
        </w:rPr>
        <w:t xml:space="preserve"> </w:t>
      </w:r>
      <w:r>
        <w:rPr>
          <w:sz w:val="20"/>
        </w:rPr>
        <w:t>47 U.S.C. § 309(k).</w:t>
      </w:r>
    </w:p>
  </w:footnote>
  <w:footnote w:id="21">
    <w:p w14:paraId="7F5A4032" w14:textId="77777777" w:rsidR="00DF586C" w:rsidRDefault="00DF586C">
      <w:pPr>
        <w:pStyle w:val="Footer"/>
        <w:spacing w:after="120"/>
        <w:rPr>
          <w:sz w:val="20"/>
        </w:rPr>
      </w:pPr>
      <w:r>
        <w:rPr>
          <w:rStyle w:val="FootnoteReference"/>
          <w:sz w:val="20"/>
        </w:rPr>
        <w:footnoteRef/>
      </w:r>
      <w:r>
        <w:rPr>
          <w:sz w:val="20"/>
        </w:rPr>
        <w:t xml:space="preserve"> 47 U.S.C. § 309(k)(1).  </w:t>
      </w:r>
    </w:p>
  </w:footnote>
  <w:footnote w:id="22">
    <w:p w14:paraId="445DC57C" w14:textId="77777777" w:rsidR="00DF586C" w:rsidRDefault="00DF586C">
      <w:pPr>
        <w:pStyle w:val="Footer"/>
        <w:spacing w:after="120"/>
        <w:rPr>
          <w:sz w:val="20"/>
        </w:rPr>
      </w:pPr>
      <w:r>
        <w:rPr>
          <w:rStyle w:val="FootnoteReference"/>
          <w:sz w:val="20"/>
        </w:rPr>
        <w:footnoteRef/>
      </w:r>
      <w:r>
        <w:rPr>
          <w:sz w:val="20"/>
        </w:rPr>
        <w:t xml:space="preserve"> 47 U.S.C. §§ 309(k)(2), 309(k)(3).</w:t>
      </w:r>
    </w:p>
  </w:footnote>
  <w:footnote w:id="23">
    <w:p w14:paraId="5C6E01AF" w14:textId="77777777" w:rsidR="00DF586C" w:rsidRDefault="00DF586C">
      <w:pPr>
        <w:pStyle w:val="Footer"/>
        <w:spacing w:after="120"/>
        <w:rPr>
          <w:sz w:val="20"/>
        </w:rPr>
      </w:pPr>
      <w:r>
        <w:rPr>
          <w:rStyle w:val="FootnoteReference"/>
          <w:sz w:val="20"/>
        </w:rPr>
        <w:footnoteRef/>
      </w:r>
      <w:r>
        <w:rPr>
          <w:sz w:val="20"/>
          <w:vertAlign w:val="superscript"/>
        </w:rPr>
        <w:t xml:space="preserve"> </w:t>
      </w:r>
      <w:r>
        <w:rPr>
          <w:sz w:val="20"/>
        </w:rPr>
        <w:t xml:space="preserve">For example, we do not find here that the Licensee's Station operation "was conducted in an exceedingly careless, inept and negligent manner and that the licensee is either incapable of correcting or unwilling to correct the operating deficiencies."  </w:t>
      </w:r>
      <w:r>
        <w:rPr>
          <w:i/>
          <w:sz w:val="20"/>
        </w:rPr>
        <w:t>See Heart of the Black Hills Stations</w:t>
      </w:r>
      <w:r>
        <w:rPr>
          <w:sz w:val="20"/>
        </w:rP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Pr>
          <w:i/>
          <w:sz w:val="20"/>
        </w:rPr>
        <w:t xml:space="preserve">Id. </w:t>
      </w:r>
      <w:r>
        <w:rPr>
          <w:sz w:val="20"/>
        </w:rPr>
        <w:t xml:space="preserve">at 200.  </w:t>
      </w:r>
      <w:r>
        <w:rPr>
          <w:i/>
          <w:sz w:val="20"/>
        </w:rPr>
        <w:t>See also Center for Study and Application of Black Economic Development</w:t>
      </w:r>
      <w:r>
        <w:rPr>
          <w:sz w:val="20"/>
        </w:rPr>
        <w:t xml:space="preserve">, Hearing Designation Order, 6 FCC Rcd 4622 (1991), </w:t>
      </w:r>
      <w:r>
        <w:rPr>
          <w:i/>
          <w:sz w:val="20"/>
        </w:rPr>
        <w:t>Calvary Educational Broadcasting Network, Inc</w:t>
      </w:r>
      <w:r>
        <w:rPr>
          <w:sz w:val="20"/>
        </w:rPr>
        <w:t>., Hearing Designation Order, 7 FCC Rcd 4037 (1992).</w:t>
      </w:r>
    </w:p>
  </w:footnote>
  <w:footnote w:id="24">
    <w:p w14:paraId="4E13FA7B" w14:textId="77777777" w:rsidR="00DF586C" w:rsidRDefault="00DF586C">
      <w:pPr>
        <w:pStyle w:val="FootnoteText"/>
        <w:spacing w:after="12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35B6" w14:textId="77777777" w:rsidR="00AB6425" w:rsidRDefault="00AB6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4D62" w14:textId="4B35159A" w:rsidR="00DF586C" w:rsidRDefault="00DF586C">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15-</w:t>
    </w:r>
    <w:r w:rsidR="00CE0237">
      <w:rPr>
        <w:b/>
        <w:szCs w:val="22"/>
      </w:rPr>
      <w:t>789</w:t>
    </w:r>
  </w:p>
  <w:p w14:paraId="22A47FF8" w14:textId="77777777" w:rsidR="00DF586C" w:rsidRDefault="00AF095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F96E81B" wp14:editId="4B531E5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17C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1BCE1EFE" w14:textId="77777777" w:rsidR="00DF586C" w:rsidRDefault="00DF5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70E7" w14:textId="4E8E845A" w:rsidR="00DF586C" w:rsidRDefault="00DF586C">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w:t>
    </w:r>
    <w:r w:rsidRPr="00CE0237">
      <w:rPr>
        <w:b/>
        <w:szCs w:val="22"/>
      </w:rPr>
      <w:t>15-</w:t>
    </w:r>
    <w:r w:rsidR="00CE0237" w:rsidRPr="00CE0237">
      <w:rPr>
        <w:b/>
        <w:szCs w:val="22"/>
      </w:rPr>
      <w:t>789</w:t>
    </w:r>
  </w:p>
  <w:p w14:paraId="77341ADE" w14:textId="77777777" w:rsidR="00DF586C" w:rsidRDefault="00AF0956">
    <w:pPr>
      <w:pStyle w:val="Header"/>
      <w:tabs>
        <w:tab w:val="clear" w:pos="8640"/>
        <w:tab w:val="right" w:pos="9360"/>
      </w:tabs>
      <w:rPr>
        <w:rFonts w:ascii="Times New Roman Bold" w:hAnsi="Times New Roman Bold"/>
        <w:color w:val="FF0000"/>
      </w:rPr>
    </w:pPr>
    <w:r>
      <w:rPr>
        <w:rFonts w:ascii="Times New Roman Bold" w:hAnsi="Times New Roman Bold"/>
        <w:noProof/>
        <w:color w:val="FF0000"/>
      </w:rPr>
      <mc:AlternateContent>
        <mc:Choice Requires="wps">
          <w:drawing>
            <wp:anchor distT="0" distB="0" distL="114300" distR="114300" simplePos="0" relativeHeight="251657216" behindDoc="0" locked="0" layoutInCell="0" allowOverlap="1" wp14:anchorId="4EC0A55C" wp14:editId="4F949084">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0B767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2C8C4B6C"/>
    <w:lvl w:ilvl="0">
      <w:start w:val="1"/>
      <w:numFmt w:val="decimal"/>
      <w:pStyle w:val="ParaNum"/>
      <w:lvlText w:val="%1."/>
      <w:lvlJc w:val="left"/>
      <w:pPr>
        <w:tabs>
          <w:tab w:val="num" w:pos="990"/>
        </w:tabs>
        <w:ind w:left="-9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628E1E95"/>
    <w:multiLevelType w:val="singleLevel"/>
    <w:tmpl w:val="FE70DD96"/>
    <w:lvl w:ilvl="0">
      <w:start w:val="1"/>
      <w:numFmt w:val="decimal"/>
      <w:pStyle w:val="par1"/>
      <w:lvlText w:val="%1."/>
      <w:lvlJc w:val="left"/>
      <w:pPr>
        <w:tabs>
          <w:tab w:val="num" w:pos="1080"/>
        </w:tabs>
        <w:ind w:firstLine="720"/>
      </w:pPr>
      <w:rPr>
        <w:rFonts w:cs="Times New Roman"/>
        <w:b w:val="0"/>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num>
  <w:num w:numId="10">
    <w:abstractNumId w:val="0"/>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1"/>
  </w:num>
  <w:num w:numId="16">
    <w:abstractNumId w:val="0"/>
  </w:num>
  <w:num w:numId="17">
    <w:abstractNumId w:val="0"/>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E9"/>
    <w:rsid w:val="00002DC4"/>
    <w:rsid w:val="0000698E"/>
    <w:rsid w:val="00014547"/>
    <w:rsid w:val="00022FC1"/>
    <w:rsid w:val="00065073"/>
    <w:rsid w:val="00071A9D"/>
    <w:rsid w:val="000745DF"/>
    <w:rsid w:val="000E2FA7"/>
    <w:rsid w:val="000F0D09"/>
    <w:rsid w:val="000F7B32"/>
    <w:rsid w:val="00100D3A"/>
    <w:rsid w:val="00101C86"/>
    <w:rsid w:val="0010672B"/>
    <w:rsid w:val="00114F84"/>
    <w:rsid w:val="00145AE9"/>
    <w:rsid w:val="00166C7B"/>
    <w:rsid w:val="001A641E"/>
    <w:rsid w:val="001A7B6C"/>
    <w:rsid w:val="001B6CCC"/>
    <w:rsid w:val="001E2CB7"/>
    <w:rsid w:val="00221DD0"/>
    <w:rsid w:val="00286C4D"/>
    <w:rsid w:val="002A6EFF"/>
    <w:rsid w:val="002E2DFB"/>
    <w:rsid w:val="003034E1"/>
    <w:rsid w:val="00313BA9"/>
    <w:rsid w:val="0037430E"/>
    <w:rsid w:val="003E1CB7"/>
    <w:rsid w:val="004014A7"/>
    <w:rsid w:val="0041213E"/>
    <w:rsid w:val="00440F95"/>
    <w:rsid w:val="00441535"/>
    <w:rsid w:val="004524E2"/>
    <w:rsid w:val="00460B28"/>
    <w:rsid w:val="00486B86"/>
    <w:rsid w:val="004B0BEE"/>
    <w:rsid w:val="004F2C34"/>
    <w:rsid w:val="00502381"/>
    <w:rsid w:val="00520FFB"/>
    <w:rsid w:val="005D557A"/>
    <w:rsid w:val="005E20AA"/>
    <w:rsid w:val="005F0AFF"/>
    <w:rsid w:val="00603BC7"/>
    <w:rsid w:val="006345E0"/>
    <w:rsid w:val="00641556"/>
    <w:rsid w:val="00644510"/>
    <w:rsid w:val="0064689A"/>
    <w:rsid w:val="006C414D"/>
    <w:rsid w:val="006C519F"/>
    <w:rsid w:val="006C7194"/>
    <w:rsid w:val="006F61F5"/>
    <w:rsid w:val="00713DE0"/>
    <w:rsid w:val="00755D6F"/>
    <w:rsid w:val="00767F33"/>
    <w:rsid w:val="00776501"/>
    <w:rsid w:val="007B13BA"/>
    <w:rsid w:val="00857FB9"/>
    <w:rsid w:val="0088188A"/>
    <w:rsid w:val="008845E0"/>
    <w:rsid w:val="00895266"/>
    <w:rsid w:val="008971FE"/>
    <w:rsid w:val="008B176B"/>
    <w:rsid w:val="008C0E98"/>
    <w:rsid w:val="008C5F0B"/>
    <w:rsid w:val="008E43DB"/>
    <w:rsid w:val="008F2192"/>
    <w:rsid w:val="0090529D"/>
    <w:rsid w:val="00952C30"/>
    <w:rsid w:val="009636EF"/>
    <w:rsid w:val="0099663C"/>
    <w:rsid w:val="009C5DD1"/>
    <w:rsid w:val="009E3CFB"/>
    <w:rsid w:val="009F5B92"/>
    <w:rsid w:val="00A04119"/>
    <w:rsid w:val="00A21F19"/>
    <w:rsid w:val="00A45B0A"/>
    <w:rsid w:val="00A601B9"/>
    <w:rsid w:val="00A604D5"/>
    <w:rsid w:val="00A63E18"/>
    <w:rsid w:val="00AB6425"/>
    <w:rsid w:val="00AC6036"/>
    <w:rsid w:val="00AE195B"/>
    <w:rsid w:val="00AF0956"/>
    <w:rsid w:val="00AF1D83"/>
    <w:rsid w:val="00AF6291"/>
    <w:rsid w:val="00B333D5"/>
    <w:rsid w:val="00B33E5C"/>
    <w:rsid w:val="00B41EF6"/>
    <w:rsid w:val="00B5213B"/>
    <w:rsid w:val="00BA397D"/>
    <w:rsid w:val="00BC6586"/>
    <w:rsid w:val="00BD5A8F"/>
    <w:rsid w:val="00C145DE"/>
    <w:rsid w:val="00C66680"/>
    <w:rsid w:val="00C6698B"/>
    <w:rsid w:val="00CC6159"/>
    <w:rsid w:val="00CE0237"/>
    <w:rsid w:val="00CE66E5"/>
    <w:rsid w:val="00CF6E47"/>
    <w:rsid w:val="00D15C21"/>
    <w:rsid w:val="00D16A81"/>
    <w:rsid w:val="00D2774C"/>
    <w:rsid w:val="00D56E6D"/>
    <w:rsid w:val="00D71798"/>
    <w:rsid w:val="00D7340E"/>
    <w:rsid w:val="00D90860"/>
    <w:rsid w:val="00D96C9C"/>
    <w:rsid w:val="00DC0EE9"/>
    <w:rsid w:val="00DF586C"/>
    <w:rsid w:val="00E24996"/>
    <w:rsid w:val="00E325CC"/>
    <w:rsid w:val="00E53C0E"/>
    <w:rsid w:val="00E67DBB"/>
    <w:rsid w:val="00E71770"/>
    <w:rsid w:val="00EF0543"/>
    <w:rsid w:val="00F715D4"/>
    <w:rsid w:val="00F760A6"/>
    <w:rsid w:val="00F872A3"/>
    <w:rsid w:val="00F92BBA"/>
    <w:rsid w:val="00F97559"/>
    <w:rsid w:val="00FA1CAD"/>
    <w:rsid w:val="00FF2D3B"/>
    <w:rsid w:val="00FF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33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rrfootnote,f"/>
    <w:basedOn w:val="Normal"/>
    <w:link w:val="FootnoteTextChar"/>
    <w:rPr>
      <w:sz w:val="20"/>
    </w:rPr>
  </w:style>
  <w:style w:type="character" w:customStyle="1" w:styleId="FootnoteTextChar">
    <w:name w:val="Footnote Text Char"/>
    <w:aliases w:val="Footnote Text Char1 Char Char1,Footnote Text Char7 Char Char Char1,Footnote Text Char4 Char1 Char Char Char1,Footnote Text Char Char Char4 Char Char Char1,Footnote Text Char7 Char Char Char Char Char Char1,Footnote Text Char1 Char1"/>
    <w:basedOn w:val="DefaultParagraphFont"/>
    <w:link w:val="FootnoteText"/>
  </w:style>
  <w:style w:type="paragraph" w:styleId="Caption">
    <w:name w:val="caption"/>
    <w:basedOn w:val="Normal"/>
    <w:next w:val="Normal"/>
    <w:qFormat/>
    <w:pPr>
      <w:spacing w:before="120" w:after="120"/>
    </w:pPr>
    <w:rPr>
      <w:b/>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f Char"/>
    <w:rPr>
      <w:lang w:val="en-US" w:eastAsia="en-US" w:bidi="ar-SA"/>
    </w:rPr>
  </w:style>
  <w:style w:type="character" w:customStyle="1" w:styleId="apple-converted-space">
    <w:name w:val="apple-converted-space"/>
  </w:style>
  <w:style w:type="paragraph" w:styleId="PlainText">
    <w:name w:val="Plain Text"/>
    <w:basedOn w:val="Normal"/>
    <w:link w:val="PlainTextChar"/>
    <w:uiPriority w:val="99"/>
    <w:unhideWhenUsed/>
    <w:rPr>
      <w:rFonts w:ascii="Calibri" w:eastAsia="Calibri" w:hAnsi="Calibri"/>
      <w:szCs w:val="21"/>
    </w:rPr>
  </w:style>
  <w:style w:type="character" w:customStyle="1" w:styleId="PlainTextChar">
    <w:name w:val="Plain Text Char"/>
    <w:link w:val="PlainText"/>
    <w:uiPriority w:val="99"/>
    <w:rPr>
      <w:rFonts w:ascii="Calibri" w:eastAsia="Calibri" w:hAnsi="Calibri"/>
      <w:sz w:val="22"/>
      <w:szCs w:val="21"/>
    </w:rPr>
  </w:style>
  <w:style w:type="character" w:customStyle="1" w:styleId="documentbody">
    <w:name w:val="documentbody"/>
    <w:rsid w:val="00E24996"/>
  </w:style>
  <w:style w:type="character" w:customStyle="1" w:styleId="searchterm">
    <w:name w:val="searchterm"/>
    <w:rsid w:val="00E24996"/>
  </w:style>
  <w:style w:type="paragraph" w:customStyle="1" w:styleId="par1">
    <w:name w:val="par1"/>
    <w:basedOn w:val="Normal"/>
    <w:rsid w:val="004B0BEE"/>
    <w:pPr>
      <w:numPr>
        <w:numId w:val="15"/>
      </w:numPr>
    </w:pPr>
  </w:style>
  <w:style w:type="paragraph" w:styleId="ListParagraph">
    <w:name w:val="List Paragraph"/>
    <w:basedOn w:val="Normal"/>
    <w:uiPriority w:val="34"/>
    <w:qFormat/>
    <w:rsid w:val="004B0BEE"/>
    <w:pPr>
      <w:ind w:left="720"/>
    </w:pPr>
  </w:style>
  <w:style w:type="character" w:styleId="CommentReference">
    <w:name w:val="annotation reference"/>
    <w:basedOn w:val="DefaultParagraphFont"/>
    <w:semiHidden/>
    <w:unhideWhenUsed/>
    <w:rsid w:val="00603BC7"/>
    <w:rPr>
      <w:sz w:val="16"/>
      <w:szCs w:val="16"/>
    </w:rPr>
  </w:style>
  <w:style w:type="paragraph" w:styleId="CommentText">
    <w:name w:val="annotation text"/>
    <w:basedOn w:val="Normal"/>
    <w:link w:val="CommentTextChar"/>
    <w:semiHidden/>
    <w:unhideWhenUsed/>
    <w:rsid w:val="00603BC7"/>
    <w:rPr>
      <w:sz w:val="20"/>
    </w:rPr>
  </w:style>
  <w:style w:type="character" w:customStyle="1" w:styleId="CommentTextChar">
    <w:name w:val="Comment Text Char"/>
    <w:basedOn w:val="DefaultParagraphFont"/>
    <w:link w:val="CommentText"/>
    <w:semiHidden/>
    <w:rsid w:val="00603BC7"/>
  </w:style>
  <w:style w:type="paragraph" w:styleId="CommentSubject">
    <w:name w:val="annotation subject"/>
    <w:basedOn w:val="CommentText"/>
    <w:next w:val="CommentText"/>
    <w:link w:val="CommentSubjectChar"/>
    <w:semiHidden/>
    <w:unhideWhenUsed/>
    <w:rsid w:val="00603BC7"/>
    <w:rPr>
      <w:b/>
      <w:bCs/>
    </w:rPr>
  </w:style>
  <w:style w:type="character" w:customStyle="1" w:styleId="CommentSubjectChar">
    <w:name w:val="Comment Subject Char"/>
    <w:basedOn w:val="CommentTextChar"/>
    <w:link w:val="CommentSubject"/>
    <w:semiHidden/>
    <w:rsid w:val="00603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rrfootnote,f"/>
    <w:basedOn w:val="Normal"/>
    <w:link w:val="FootnoteTextChar"/>
    <w:rPr>
      <w:sz w:val="20"/>
    </w:rPr>
  </w:style>
  <w:style w:type="character" w:customStyle="1" w:styleId="FootnoteTextChar">
    <w:name w:val="Footnote Text Char"/>
    <w:aliases w:val="Footnote Text Char1 Char Char1,Footnote Text Char7 Char Char Char1,Footnote Text Char4 Char1 Char Char Char1,Footnote Text Char Char Char4 Char Char Char1,Footnote Text Char7 Char Char Char Char Char Char1,Footnote Text Char1 Char1"/>
    <w:basedOn w:val="DefaultParagraphFont"/>
    <w:link w:val="FootnoteText"/>
  </w:style>
  <w:style w:type="paragraph" w:styleId="Caption">
    <w:name w:val="caption"/>
    <w:basedOn w:val="Normal"/>
    <w:next w:val="Normal"/>
    <w:qFormat/>
    <w:pPr>
      <w:spacing w:before="120" w:after="120"/>
    </w:pPr>
    <w:rPr>
      <w:b/>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f Char"/>
    <w:rPr>
      <w:lang w:val="en-US" w:eastAsia="en-US" w:bidi="ar-SA"/>
    </w:rPr>
  </w:style>
  <w:style w:type="character" w:customStyle="1" w:styleId="apple-converted-space">
    <w:name w:val="apple-converted-space"/>
  </w:style>
  <w:style w:type="paragraph" w:styleId="PlainText">
    <w:name w:val="Plain Text"/>
    <w:basedOn w:val="Normal"/>
    <w:link w:val="PlainTextChar"/>
    <w:uiPriority w:val="99"/>
    <w:unhideWhenUsed/>
    <w:rPr>
      <w:rFonts w:ascii="Calibri" w:eastAsia="Calibri" w:hAnsi="Calibri"/>
      <w:szCs w:val="21"/>
    </w:rPr>
  </w:style>
  <w:style w:type="character" w:customStyle="1" w:styleId="PlainTextChar">
    <w:name w:val="Plain Text Char"/>
    <w:link w:val="PlainText"/>
    <w:uiPriority w:val="99"/>
    <w:rPr>
      <w:rFonts w:ascii="Calibri" w:eastAsia="Calibri" w:hAnsi="Calibri"/>
      <w:sz w:val="22"/>
      <w:szCs w:val="21"/>
    </w:rPr>
  </w:style>
  <w:style w:type="character" w:customStyle="1" w:styleId="documentbody">
    <w:name w:val="documentbody"/>
    <w:rsid w:val="00E24996"/>
  </w:style>
  <w:style w:type="character" w:customStyle="1" w:styleId="searchterm">
    <w:name w:val="searchterm"/>
    <w:rsid w:val="00E24996"/>
  </w:style>
  <w:style w:type="paragraph" w:customStyle="1" w:styleId="par1">
    <w:name w:val="par1"/>
    <w:basedOn w:val="Normal"/>
    <w:rsid w:val="004B0BEE"/>
    <w:pPr>
      <w:numPr>
        <w:numId w:val="15"/>
      </w:numPr>
    </w:pPr>
  </w:style>
  <w:style w:type="paragraph" w:styleId="ListParagraph">
    <w:name w:val="List Paragraph"/>
    <w:basedOn w:val="Normal"/>
    <w:uiPriority w:val="34"/>
    <w:qFormat/>
    <w:rsid w:val="004B0BEE"/>
    <w:pPr>
      <w:ind w:left="720"/>
    </w:pPr>
  </w:style>
  <w:style w:type="character" w:styleId="CommentReference">
    <w:name w:val="annotation reference"/>
    <w:basedOn w:val="DefaultParagraphFont"/>
    <w:semiHidden/>
    <w:unhideWhenUsed/>
    <w:rsid w:val="00603BC7"/>
    <w:rPr>
      <w:sz w:val="16"/>
      <w:szCs w:val="16"/>
    </w:rPr>
  </w:style>
  <w:style w:type="paragraph" w:styleId="CommentText">
    <w:name w:val="annotation text"/>
    <w:basedOn w:val="Normal"/>
    <w:link w:val="CommentTextChar"/>
    <w:semiHidden/>
    <w:unhideWhenUsed/>
    <w:rsid w:val="00603BC7"/>
    <w:rPr>
      <w:sz w:val="20"/>
    </w:rPr>
  </w:style>
  <w:style w:type="character" w:customStyle="1" w:styleId="CommentTextChar">
    <w:name w:val="Comment Text Char"/>
    <w:basedOn w:val="DefaultParagraphFont"/>
    <w:link w:val="CommentText"/>
    <w:semiHidden/>
    <w:rsid w:val="00603BC7"/>
  </w:style>
  <w:style w:type="paragraph" w:styleId="CommentSubject">
    <w:name w:val="annotation subject"/>
    <w:basedOn w:val="CommentText"/>
    <w:next w:val="CommentText"/>
    <w:link w:val="CommentSubjectChar"/>
    <w:semiHidden/>
    <w:unhideWhenUsed/>
    <w:rsid w:val="00603BC7"/>
    <w:rPr>
      <w:b/>
      <w:bCs/>
    </w:rPr>
  </w:style>
  <w:style w:type="character" w:customStyle="1" w:styleId="CommentSubjectChar">
    <w:name w:val="Comment Subject Char"/>
    <w:basedOn w:val="CommentTextChar"/>
    <w:link w:val="CommentSubject"/>
    <w:semiHidden/>
    <w:rsid w:val="00603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1855</Words>
  <Characters>10075</Characters>
  <Application>Microsoft Office Word</Application>
  <DocSecurity>0</DocSecurity>
  <Lines>178</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12045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2012-11-09T13:52:00Z</cp:lastPrinted>
  <dcterms:created xsi:type="dcterms:W3CDTF">2015-07-07T11:33:00Z</dcterms:created>
  <dcterms:modified xsi:type="dcterms:W3CDTF">2015-07-07T11:33:00Z</dcterms:modified>
  <cp:category> </cp:category>
  <cp:contentStatus> </cp:contentStatus>
</cp:coreProperties>
</file>