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BB" w:rsidRDefault="009900BB" w:rsidP="009900BB">
      <w:pPr>
        <w:pStyle w:val="Header"/>
        <w:tabs>
          <w:tab w:val="clear" w:pos="4320"/>
          <w:tab w:val="clear" w:pos="8640"/>
        </w:tabs>
        <w:sectPr w:rsidR="009900B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1440" w:left="720" w:header="720" w:footer="1440" w:gutter="0"/>
          <w:cols w:space="720"/>
          <w:titlePg/>
        </w:sectPr>
      </w:pPr>
      <w:bookmarkStart w:id="1" w:name="_GoBack"/>
      <w:bookmarkEnd w:id="1"/>
    </w:p>
    <w:p w:rsidR="009900BB" w:rsidRDefault="009900BB" w:rsidP="009900BB">
      <w:pPr>
        <w:jc w:val="right"/>
        <w:rPr>
          <w:sz w:val="24"/>
        </w:rPr>
      </w:pPr>
      <w:r>
        <w:rPr>
          <w:sz w:val="24"/>
        </w:rPr>
        <w:lastRenderedPageBreak/>
        <w:t>DA 1</w:t>
      </w:r>
      <w:r w:rsidR="009439A6">
        <w:rPr>
          <w:sz w:val="24"/>
        </w:rPr>
        <w:t>5</w:t>
      </w:r>
      <w:r>
        <w:rPr>
          <w:sz w:val="24"/>
        </w:rPr>
        <w:t>-</w:t>
      </w:r>
      <w:r w:rsidR="00E15ED7">
        <w:rPr>
          <w:sz w:val="24"/>
        </w:rPr>
        <w:t>794</w:t>
      </w:r>
    </w:p>
    <w:p w:rsidR="009900BB" w:rsidRDefault="009900BB" w:rsidP="009900BB">
      <w:pPr>
        <w:spacing w:before="60"/>
        <w:jc w:val="right"/>
        <w:rPr>
          <w:sz w:val="24"/>
        </w:rPr>
      </w:pPr>
      <w:r>
        <w:rPr>
          <w:sz w:val="24"/>
        </w:rPr>
        <w:t xml:space="preserve">Released:  </w:t>
      </w:r>
      <w:r w:rsidR="00EE2225">
        <w:rPr>
          <w:sz w:val="24"/>
        </w:rPr>
        <w:t>July</w:t>
      </w:r>
      <w:r w:rsidR="00A80345">
        <w:rPr>
          <w:sz w:val="24"/>
        </w:rPr>
        <w:t xml:space="preserve"> </w:t>
      </w:r>
      <w:r w:rsidR="00CB1EAA">
        <w:rPr>
          <w:sz w:val="24"/>
        </w:rPr>
        <w:t>10</w:t>
      </w:r>
      <w:r>
        <w:rPr>
          <w:sz w:val="24"/>
        </w:rPr>
        <w:t>, 201</w:t>
      </w:r>
      <w:r w:rsidR="009439A6">
        <w:rPr>
          <w:sz w:val="24"/>
        </w:rPr>
        <w:t>5</w:t>
      </w:r>
    </w:p>
    <w:p w:rsidR="00457B87" w:rsidRDefault="00457B87" w:rsidP="009900BB">
      <w:pPr>
        <w:jc w:val="right"/>
        <w:rPr>
          <w:sz w:val="24"/>
        </w:rPr>
      </w:pPr>
    </w:p>
    <w:p w:rsidR="009900BB" w:rsidRDefault="009900BB" w:rsidP="009900BB">
      <w:pPr>
        <w:spacing w:after="240"/>
        <w:jc w:val="center"/>
        <w:rPr>
          <w:b/>
          <w:sz w:val="24"/>
        </w:rPr>
      </w:pPr>
      <w:r>
        <w:rPr>
          <w:b/>
          <w:sz w:val="24"/>
        </w:rPr>
        <w:t xml:space="preserve">MEDIA BUREAU ANNOUNCES THRESHOLD QUALIFICATIONS WINDOW FOR TRIBAL ALLOTMENT AT </w:t>
      </w:r>
      <w:r w:rsidR="009439A6">
        <w:rPr>
          <w:b/>
          <w:sz w:val="24"/>
        </w:rPr>
        <w:t>ROUGH ROCK, ARIZONA</w:t>
      </w:r>
    </w:p>
    <w:p w:rsidR="009900BB" w:rsidRDefault="00EE2225" w:rsidP="009900BB">
      <w:pPr>
        <w:jc w:val="center"/>
        <w:rPr>
          <w:sz w:val="24"/>
        </w:rPr>
      </w:pPr>
      <w:r>
        <w:rPr>
          <w:b/>
          <w:sz w:val="24"/>
        </w:rPr>
        <w:t xml:space="preserve">August </w:t>
      </w:r>
      <w:r w:rsidR="0053100B">
        <w:rPr>
          <w:b/>
          <w:sz w:val="24"/>
        </w:rPr>
        <w:t>10</w:t>
      </w:r>
      <w:r w:rsidR="002033AB">
        <w:rPr>
          <w:b/>
          <w:sz w:val="24"/>
        </w:rPr>
        <w:t>, 201</w:t>
      </w:r>
      <w:r w:rsidR="009439A6">
        <w:rPr>
          <w:b/>
          <w:sz w:val="24"/>
        </w:rPr>
        <w:t>5</w:t>
      </w:r>
      <w:r w:rsidR="002033AB">
        <w:rPr>
          <w:b/>
          <w:sz w:val="24"/>
        </w:rPr>
        <w:t xml:space="preserve"> Deadline Established for </w:t>
      </w:r>
      <w:r w:rsidR="00E450E4">
        <w:rPr>
          <w:b/>
          <w:sz w:val="24"/>
        </w:rPr>
        <w:t>FCC Form 301s and</w:t>
      </w:r>
      <w:r w:rsidR="002033AB">
        <w:rPr>
          <w:b/>
          <w:sz w:val="24"/>
        </w:rPr>
        <w:t xml:space="preserve"> </w:t>
      </w:r>
      <w:r w:rsidR="00E450E4">
        <w:rPr>
          <w:b/>
          <w:sz w:val="24"/>
        </w:rPr>
        <w:t>Threshold Qualifications Showings</w:t>
      </w:r>
    </w:p>
    <w:p w:rsidR="009900BB" w:rsidRPr="00033934" w:rsidRDefault="009900BB" w:rsidP="009900BB">
      <w:pPr>
        <w:spacing w:before="120" w:after="240"/>
        <w:rPr>
          <w:szCs w:val="22"/>
        </w:rPr>
      </w:pPr>
      <w:r w:rsidRPr="00033934">
        <w:rPr>
          <w:szCs w:val="22"/>
        </w:rPr>
        <w:tab/>
      </w:r>
      <w:r w:rsidR="00666447" w:rsidRPr="00033934">
        <w:rPr>
          <w:szCs w:val="22"/>
        </w:rPr>
        <w:t xml:space="preserve">The Media Bureau (“Bureau”) announces that it </w:t>
      </w:r>
      <w:r w:rsidR="00666447">
        <w:rPr>
          <w:szCs w:val="22"/>
        </w:rPr>
        <w:t xml:space="preserve">is opening today </w:t>
      </w:r>
      <w:r w:rsidR="00666447" w:rsidRPr="00033934">
        <w:rPr>
          <w:szCs w:val="22"/>
        </w:rPr>
        <w:t>a Threshold Qualifications Window (“TQ Window”) during which quali</w:t>
      </w:r>
      <w:r w:rsidR="00666447">
        <w:rPr>
          <w:szCs w:val="22"/>
        </w:rPr>
        <w:t>fied T</w:t>
      </w:r>
      <w:r w:rsidR="00666447" w:rsidRPr="00033934">
        <w:rPr>
          <w:szCs w:val="22"/>
        </w:rPr>
        <w:t xml:space="preserve">ribal applicants </w:t>
      </w:r>
      <w:r w:rsidR="00666447">
        <w:rPr>
          <w:szCs w:val="22"/>
        </w:rPr>
        <w:t>may file applications</w:t>
      </w:r>
      <w:r w:rsidR="00666447" w:rsidRPr="00033934">
        <w:rPr>
          <w:szCs w:val="22"/>
        </w:rPr>
        <w:t xml:space="preserve"> for the Channel </w:t>
      </w:r>
      <w:r w:rsidR="009439A6">
        <w:rPr>
          <w:szCs w:val="22"/>
        </w:rPr>
        <w:t>25</w:t>
      </w:r>
      <w:r w:rsidR="006F749A">
        <w:rPr>
          <w:szCs w:val="22"/>
        </w:rPr>
        <w:t>8C2</w:t>
      </w:r>
      <w:r w:rsidR="00666447" w:rsidRPr="00033934">
        <w:rPr>
          <w:szCs w:val="22"/>
        </w:rPr>
        <w:t xml:space="preserve"> </w:t>
      </w:r>
      <w:r w:rsidR="00666447">
        <w:rPr>
          <w:szCs w:val="22"/>
        </w:rPr>
        <w:t xml:space="preserve">Tribal Allotment </w:t>
      </w:r>
      <w:r w:rsidR="00666447" w:rsidRPr="00033934">
        <w:rPr>
          <w:szCs w:val="22"/>
        </w:rPr>
        <w:t xml:space="preserve">at </w:t>
      </w:r>
      <w:r w:rsidR="009439A6">
        <w:rPr>
          <w:szCs w:val="22"/>
        </w:rPr>
        <w:t>Rough Rock, Arizona</w:t>
      </w:r>
      <w:r w:rsidR="00666447" w:rsidRPr="00033934">
        <w:rPr>
          <w:szCs w:val="22"/>
        </w:rPr>
        <w:t xml:space="preserve"> (the “</w:t>
      </w:r>
      <w:r w:rsidR="009439A6">
        <w:rPr>
          <w:szCs w:val="22"/>
        </w:rPr>
        <w:t>Rough Rock</w:t>
      </w:r>
      <w:r w:rsidR="006F749A">
        <w:rPr>
          <w:szCs w:val="22"/>
        </w:rPr>
        <w:t xml:space="preserve"> </w:t>
      </w:r>
      <w:r w:rsidR="00666447" w:rsidRPr="00033934">
        <w:rPr>
          <w:szCs w:val="22"/>
        </w:rPr>
        <w:t>Tribal Allotment”).</w:t>
      </w:r>
      <w:r w:rsidR="00666447" w:rsidRPr="00033934">
        <w:rPr>
          <w:rStyle w:val="FootnoteReference"/>
          <w:szCs w:val="22"/>
        </w:rPr>
        <w:footnoteReference w:id="1"/>
      </w:r>
      <w:r w:rsidR="00666447" w:rsidRPr="00033934">
        <w:rPr>
          <w:szCs w:val="22"/>
        </w:rPr>
        <w:t xml:space="preserve">  </w:t>
      </w:r>
      <w:r w:rsidR="00666447">
        <w:rPr>
          <w:szCs w:val="22"/>
        </w:rPr>
        <w:t xml:space="preserve">The 30-day window will close on </w:t>
      </w:r>
      <w:r w:rsidR="00EE2225">
        <w:rPr>
          <w:szCs w:val="22"/>
        </w:rPr>
        <w:t xml:space="preserve">August </w:t>
      </w:r>
      <w:r w:rsidR="0053100B">
        <w:rPr>
          <w:szCs w:val="22"/>
        </w:rPr>
        <w:t>10</w:t>
      </w:r>
      <w:r w:rsidR="00666447" w:rsidRPr="00033934">
        <w:rPr>
          <w:szCs w:val="22"/>
        </w:rPr>
        <w:t>, 201</w:t>
      </w:r>
      <w:r w:rsidR="00C27D82">
        <w:rPr>
          <w:szCs w:val="22"/>
        </w:rPr>
        <w:t>5</w:t>
      </w:r>
      <w:r w:rsidR="00666447" w:rsidRPr="00033934">
        <w:rPr>
          <w:szCs w:val="22"/>
        </w:rPr>
        <w:t xml:space="preserve">.  </w:t>
      </w:r>
      <w:r w:rsidRPr="00033934">
        <w:rPr>
          <w:szCs w:val="22"/>
        </w:rPr>
        <w:t xml:space="preserve">The TQ Window </w:t>
      </w:r>
      <w:r w:rsidR="00B0337E">
        <w:rPr>
          <w:szCs w:val="22"/>
        </w:rPr>
        <w:t xml:space="preserve">is being </w:t>
      </w:r>
      <w:r w:rsidRPr="00033934">
        <w:rPr>
          <w:szCs w:val="22"/>
        </w:rPr>
        <w:t xml:space="preserve">opened pursuant to procedures announced in the Third Report and Order in </w:t>
      </w:r>
      <w:r w:rsidRPr="00033934">
        <w:rPr>
          <w:i/>
          <w:szCs w:val="22"/>
        </w:rPr>
        <w:t>Policies to Promote Rural Radio Service and to Streamline Allotment and Assignment Procedures</w:t>
      </w:r>
      <w:r w:rsidRPr="00033934">
        <w:rPr>
          <w:szCs w:val="22"/>
        </w:rPr>
        <w:t xml:space="preserve"> (“</w:t>
      </w:r>
      <w:r w:rsidRPr="00033934">
        <w:rPr>
          <w:i/>
          <w:szCs w:val="22"/>
        </w:rPr>
        <w:t>Rural Radio</w:t>
      </w:r>
      <w:r w:rsidRPr="00033934">
        <w:rPr>
          <w:szCs w:val="22"/>
        </w:rPr>
        <w:t>”).</w:t>
      </w:r>
      <w:r w:rsidRPr="00033934">
        <w:rPr>
          <w:rStyle w:val="FootnoteReference"/>
          <w:szCs w:val="22"/>
        </w:rPr>
        <w:footnoteReference w:id="2"/>
      </w:r>
    </w:p>
    <w:p w:rsidR="009900BB" w:rsidRPr="00033934" w:rsidRDefault="00B41935" w:rsidP="009900BB">
      <w:pPr>
        <w:autoSpaceDE w:val="0"/>
        <w:autoSpaceDN w:val="0"/>
        <w:adjustRightInd w:val="0"/>
        <w:ind w:firstLine="720"/>
        <w:rPr>
          <w:color w:val="010101"/>
          <w:szCs w:val="22"/>
        </w:rPr>
      </w:pPr>
      <w:r>
        <w:rPr>
          <w:szCs w:val="22"/>
        </w:rPr>
        <w:t>The Navajo Nation (“Navajo Nation”)</w:t>
      </w:r>
      <w:r w:rsidR="00E450E4">
        <w:rPr>
          <w:szCs w:val="22"/>
        </w:rPr>
        <w:t xml:space="preserve"> previously submitted an FCC Form 301 application with its petition for the </w:t>
      </w:r>
      <w:r w:rsidR="009439A6">
        <w:rPr>
          <w:szCs w:val="22"/>
        </w:rPr>
        <w:t>Rough Rock</w:t>
      </w:r>
      <w:r w:rsidR="00E450E4">
        <w:rPr>
          <w:szCs w:val="22"/>
        </w:rPr>
        <w:t xml:space="preserve"> Tribal </w:t>
      </w:r>
      <w:r w:rsidR="00D47A3A">
        <w:rPr>
          <w:szCs w:val="22"/>
        </w:rPr>
        <w:t>A</w:t>
      </w:r>
      <w:r w:rsidR="00E450E4">
        <w:rPr>
          <w:szCs w:val="22"/>
        </w:rPr>
        <w:t>llotment.</w:t>
      </w:r>
      <w:r w:rsidR="00E450E4">
        <w:rPr>
          <w:rStyle w:val="FootnoteReference"/>
          <w:szCs w:val="22"/>
        </w:rPr>
        <w:footnoteReference w:id="3"/>
      </w:r>
      <w:r w:rsidR="00E450E4">
        <w:rPr>
          <w:szCs w:val="22"/>
        </w:rPr>
        <w:t xml:space="preserve">  The </w:t>
      </w:r>
      <w:r w:rsidR="00D47A3A" w:rsidRPr="00666447">
        <w:rPr>
          <w:szCs w:val="22"/>
        </w:rPr>
        <w:t>Bureau</w:t>
      </w:r>
      <w:r w:rsidR="00E450E4">
        <w:rPr>
          <w:i/>
          <w:szCs w:val="22"/>
        </w:rPr>
        <w:t xml:space="preserve"> </w:t>
      </w:r>
      <w:r w:rsidR="00E450E4">
        <w:rPr>
          <w:szCs w:val="22"/>
        </w:rPr>
        <w:t xml:space="preserve">found that </w:t>
      </w:r>
      <w:r>
        <w:rPr>
          <w:szCs w:val="22"/>
        </w:rPr>
        <w:t>Navajo Nation</w:t>
      </w:r>
      <w:r w:rsidR="00E450E4">
        <w:rPr>
          <w:szCs w:val="22"/>
        </w:rPr>
        <w:t xml:space="preserve"> satisfied the eligibility criteria for this </w:t>
      </w:r>
      <w:r w:rsidR="004057CD">
        <w:rPr>
          <w:szCs w:val="22"/>
        </w:rPr>
        <w:t>Tribal A</w:t>
      </w:r>
      <w:r w:rsidR="00E450E4">
        <w:rPr>
          <w:szCs w:val="22"/>
        </w:rPr>
        <w:t>llotment.</w:t>
      </w:r>
      <w:r w:rsidR="00E450E4">
        <w:rPr>
          <w:rStyle w:val="FootnoteReference"/>
          <w:szCs w:val="22"/>
        </w:rPr>
        <w:footnoteReference w:id="4"/>
      </w:r>
      <w:r w:rsidR="00E450E4">
        <w:rPr>
          <w:szCs w:val="22"/>
        </w:rPr>
        <w:t xml:space="preserve">  </w:t>
      </w:r>
      <w:r w:rsidR="009900BB" w:rsidRPr="00033934">
        <w:rPr>
          <w:szCs w:val="22"/>
        </w:rPr>
        <w:t xml:space="preserve">During the TQ Window, any </w:t>
      </w:r>
      <w:r w:rsidR="00E450E4">
        <w:rPr>
          <w:szCs w:val="22"/>
        </w:rPr>
        <w:t xml:space="preserve">other eligible </w:t>
      </w:r>
      <w:r w:rsidR="009900BB" w:rsidRPr="00033934">
        <w:rPr>
          <w:szCs w:val="22"/>
        </w:rPr>
        <w:t xml:space="preserve">Tribe or Tribal entity may file </w:t>
      </w:r>
      <w:r w:rsidR="00E450E4">
        <w:rPr>
          <w:szCs w:val="22"/>
        </w:rPr>
        <w:t xml:space="preserve">a competing </w:t>
      </w:r>
      <w:r w:rsidR="009900BB" w:rsidRPr="00033934">
        <w:rPr>
          <w:szCs w:val="22"/>
        </w:rPr>
        <w:t xml:space="preserve">FCC Form 301 </w:t>
      </w:r>
      <w:r w:rsidR="00E450E4">
        <w:rPr>
          <w:szCs w:val="22"/>
        </w:rPr>
        <w:t xml:space="preserve">application </w:t>
      </w:r>
      <w:r w:rsidR="009900BB" w:rsidRPr="00033934">
        <w:rPr>
          <w:szCs w:val="22"/>
        </w:rPr>
        <w:t xml:space="preserve">for the </w:t>
      </w:r>
      <w:r w:rsidR="009439A6">
        <w:rPr>
          <w:szCs w:val="22"/>
        </w:rPr>
        <w:t>Rough Rock</w:t>
      </w:r>
      <w:r w:rsidR="009900BB" w:rsidRPr="00033934">
        <w:rPr>
          <w:szCs w:val="22"/>
        </w:rPr>
        <w:t xml:space="preserve"> Tribal Allotment</w:t>
      </w:r>
      <w:r w:rsidR="00D47A3A">
        <w:rPr>
          <w:szCs w:val="22"/>
        </w:rPr>
        <w:t>,</w:t>
      </w:r>
      <w:r w:rsidR="00E450E4">
        <w:rPr>
          <w:szCs w:val="22"/>
        </w:rPr>
        <w:t xml:space="preserve"> </w:t>
      </w:r>
      <w:r w:rsidR="00D47A3A">
        <w:rPr>
          <w:szCs w:val="22"/>
        </w:rPr>
        <w:t xml:space="preserve">which </w:t>
      </w:r>
      <w:r w:rsidR="00E450E4">
        <w:rPr>
          <w:szCs w:val="22"/>
        </w:rPr>
        <w:t>must include</w:t>
      </w:r>
      <w:r w:rsidR="002033AB">
        <w:rPr>
          <w:szCs w:val="22"/>
        </w:rPr>
        <w:t xml:space="preserve"> a</w:t>
      </w:r>
      <w:r w:rsidR="009900BB" w:rsidRPr="00033934">
        <w:rPr>
          <w:szCs w:val="22"/>
        </w:rPr>
        <w:t xml:space="preserve"> threshold qualifications</w:t>
      </w:r>
      <w:r w:rsidR="002033AB">
        <w:rPr>
          <w:szCs w:val="22"/>
        </w:rPr>
        <w:t xml:space="preserve"> showing</w:t>
      </w:r>
      <w:r w:rsidR="009900BB" w:rsidRPr="00033934">
        <w:rPr>
          <w:szCs w:val="22"/>
        </w:rPr>
        <w:t xml:space="preserve">.  </w:t>
      </w:r>
      <w:r w:rsidR="002033AB">
        <w:rPr>
          <w:szCs w:val="22"/>
        </w:rPr>
        <w:t>This showing must demonstrate</w:t>
      </w:r>
      <w:r w:rsidR="009900BB" w:rsidRPr="00033934">
        <w:rPr>
          <w:szCs w:val="22"/>
        </w:rPr>
        <w:t xml:space="preserve"> that the</w:t>
      </w:r>
      <w:r w:rsidR="009900BB">
        <w:rPr>
          <w:szCs w:val="22"/>
        </w:rPr>
        <w:t xml:space="preserve"> applicant</w:t>
      </w:r>
      <w:r w:rsidR="009900BB" w:rsidRPr="00033934">
        <w:rPr>
          <w:szCs w:val="22"/>
        </w:rPr>
        <w:t xml:space="preserve"> Tribe or Tribal entity would have qualified</w:t>
      </w:r>
      <w:r w:rsidR="002033AB">
        <w:rPr>
          <w:rStyle w:val="FootnoteReference"/>
          <w:szCs w:val="22"/>
        </w:rPr>
        <w:footnoteReference w:id="5"/>
      </w:r>
      <w:r w:rsidR="009900BB" w:rsidRPr="00033934">
        <w:rPr>
          <w:szCs w:val="22"/>
        </w:rPr>
        <w:t xml:space="preserve"> to add the </w:t>
      </w:r>
      <w:r w:rsidR="009439A6">
        <w:rPr>
          <w:szCs w:val="22"/>
        </w:rPr>
        <w:t>Rough Rock</w:t>
      </w:r>
      <w:r w:rsidR="009900BB" w:rsidRPr="00033934">
        <w:rPr>
          <w:szCs w:val="22"/>
        </w:rPr>
        <w:t xml:space="preserve"> Tribal Allotment to the Table of </w:t>
      </w:r>
      <w:r w:rsidR="009900BB">
        <w:rPr>
          <w:szCs w:val="22"/>
        </w:rPr>
        <w:t xml:space="preserve">FM </w:t>
      </w:r>
      <w:r w:rsidR="009900BB" w:rsidRPr="00033934">
        <w:rPr>
          <w:szCs w:val="22"/>
        </w:rPr>
        <w:t>Allotments</w:t>
      </w:r>
      <w:r w:rsidR="002033AB">
        <w:rPr>
          <w:szCs w:val="22"/>
        </w:rPr>
        <w:t>.</w:t>
      </w:r>
      <w:r w:rsidR="009900BB">
        <w:rPr>
          <w:rStyle w:val="FootnoteReference"/>
          <w:szCs w:val="22"/>
        </w:rPr>
        <w:footnoteReference w:id="6"/>
      </w:r>
      <w:r w:rsidR="009900BB" w:rsidRPr="00033934">
        <w:rPr>
          <w:szCs w:val="22"/>
        </w:rPr>
        <w:t xml:space="preserve">   Specifically, a</w:t>
      </w:r>
      <w:r w:rsidR="009900BB">
        <w:rPr>
          <w:szCs w:val="22"/>
        </w:rPr>
        <w:t xml:space="preserve"> Tribal</w:t>
      </w:r>
      <w:r w:rsidR="009900BB" w:rsidRPr="00033934">
        <w:rPr>
          <w:szCs w:val="22"/>
        </w:rPr>
        <w:t xml:space="preserve"> applicant </w:t>
      </w:r>
      <w:r w:rsidR="009900BB" w:rsidRPr="00033934">
        <w:rPr>
          <w:color w:val="010101"/>
          <w:szCs w:val="22"/>
        </w:rPr>
        <w:t>must demonstrate that it meets all of the following eligibility criteria for grant of the Tribal Priority at the allotment stage:</w:t>
      </w:r>
    </w:p>
    <w:p w:rsidR="009900BB" w:rsidRPr="00033934" w:rsidRDefault="009900BB" w:rsidP="009900BB">
      <w:pPr>
        <w:autoSpaceDE w:val="0"/>
        <w:autoSpaceDN w:val="0"/>
        <w:adjustRightInd w:val="0"/>
        <w:jc w:val="both"/>
        <w:rPr>
          <w:color w:val="010101"/>
          <w:szCs w:val="22"/>
        </w:rPr>
      </w:pPr>
    </w:p>
    <w:p w:rsidR="009900BB" w:rsidRPr="00033934" w:rsidRDefault="009900BB" w:rsidP="009900BB">
      <w:pPr>
        <w:autoSpaceDE w:val="0"/>
        <w:autoSpaceDN w:val="0"/>
        <w:adjustRightInd w:val="0"/>
        <w:ind w:left="1440" w:hanging="720"/>
        <w:rPr>
          <w:szCs w:val="22"/>
        </w:rPr>
      </w:pPr>
      <w:r w:rsidRPr="00033934">
        <w:rPr>
          <w:color w:val="010101"/>
          <w:szCs w:val="22"/>
        </w:rPr>
        <w:lastRenderedPageBreak/>
        <w:t xml:space="preserve">(A) </w:t>
      </w:r>
      <w:r w:rsidRPr="00033934">
        <w:rPr>
          <w:color w:val="010101"/>
          <w:szCs w:val="22"/>
        </w:rPr>
        <w:tab/>
      </w:r>
      <w:r w:rsidRPr="00033934">
        <w:rPr>
          <w:szCs w:val="22"/>
        </w:rPr>
        <w:t xml:space="preserve">The applicant is either a federally recognized Tribe or Tribal consortium, or an entity 51 percent or more of which is owned or controlled by a Tribe or Tribes.  Qualifying Tribes or Tribal entities must be those at least a portion of whose Tribal Lands lie within the principal community contour of the proposed </w:t>
      </w:r>
      <w:r>
        <w:rPr>
          <w:szCs w:val="22"/>
        </w:rPr>
        <w:t>allotment</w:t>
      </w:r>
      <w:r w:rsidRPr="00033934">
        <w:rPr>
          <w:szCs w:val="22"/>
        </w:rPr>
        <w:t xml:space="preserve">.  Although the 51 or greater percent Tribal control threshold need not consist of a single Tribe, the qualifying entity must be 51 percent or more owned or controlled by Tribes at least a portion of whose Tribal Lands lie within the proposed </w:t>
      </w:r>
      <w:r>
        <w:rPr>
          <w:szCs w:val="22"/>
        </w:rPr>
        <w:t>allotment’s</w:t>
      </w:r>
      <w:r w:rsidRPr="00033934">
        <w:rPr>
          <w:szCs w:val="22"/>
        </w:rPr>
        <w:t xml:space="preserve"> principal community contour;</w:t>
      </w:r>
    </w:p>
    <w:p w:rsidR="009900BB" w:rsidRPr="00033934" w:rsidRDefault="009900BB" w:rsidP="009900BB">
      <w:pPr>
        <w:autoSpaceDE w:val="0"/>
        <w:autoSpaceDN w:val="0"/>
        <w:adjustRightInd w:val="0"/>
        <w:ind w:left="1440" w:hanging="720"/>
        <w:rPr>
          <w:szCs w:val="22"/>
        </w:rPr>
      </w:pPr>
      <w:r w:rsidRPr="00033934">
        <w:rPr>
          <w:szCs w:val="22"/>
        </w:rPr>
        <w:t xml:space="preserve">(B) </w:t>
      </w:r>
      <w:r w:rsidRPr="00033934">
        <w:rPr>
          <w:szCs w:val="22"/>
        </w:rPr>
        <w:tab/>
        <w:t xml:space="preserve">(1) At least 50 percent of the area within the proposed principal community contour is over that Tribe’s Tribal Lands, or (2) the proposed principal community contour (a) encompasses 50 percent or more of that Tribe’s Tribal Lands, (b) serves at least 2,000 people living on Tribal Lands, and (c) the total population on Tribal Lands residing within the proposed </w:t>
      </w:r>
      <w:r>
        <w:rPr>
          <w:szCs w:val="22"/>
        </w:rPr>
        <w:t>allotment’s</w:t>
      </w:r>
      <w:r w:rsidRPr="00033934">
        <w:rPr>
          <w:szCs w:val="22"/>
        </w:rPr>
        <w:t xml:space="preserve"> service contour constitutes at least 50 percent of the total covered population</w:t>
      </w:r>
      <w:r w:rsidRPr="00033934">
        <w:rPr>
          <w:rStyle w:val="FootnoteReference"/>
          <w:szCs w:val="22"/>
        </w:rPr>
        <w:footnoteReference w:id="7"/>
      </w:r>
      <w:r w:rsidRPr="00033934">
        <w:rPr>
          <w:szCs w:val="22"/>
        </w:rPr>
        <w:t xml:space="preserve"> (and, in the case of either (B)(1) or (B)(2), the proposed </w:t>
      </w:r>
      <w:r>
        <w:rPr>
          <w:szCs w:val="22"/>
        </w:rPr>
        <w:t>allotment’s</w:t>
      </w:r>
      <w:r w:rsidRPr="00033934">
        <w:rPr>
          <w:szCs w:val="22"/>
        </w:rPr>
        <w:t xml:space="preserve"> principal community contour does not cover more than 50 percent of the Tribal Lands of a Tribe that is not a </w:t>
      </w:r>
      <w:r>
        <w:rPr>
          <w:szCs w:val="22"/>
        </w:rPr>
        <w:t>party to the application</w:t>
      </w:r>
      <w:r w:rsidRPr="00033934">
        <w:rPr>
          <w:szCs w:val="22"/>
        </w:rPr>
        <w:t>);</w:t>
      </w:r>
      <w:r w:rsidRPr="00033934">
        <w:rPr>
          <w:rStyle w:val="FootnoteReference"/>
          <w:szCs w:val="22"/>
        </w:rPr>
        <w:footnoteReference w:id="8"/>
      </w:r>
    </w:p>
    <w:p w:rsidR="009900BB" w:rsidRPr="00033934" w:rsidRDefault="009900BB" w:rsidP="009900BB">
      <w:pPr>
        <w:autoSpaceDE w:val="0"/>
        <w:autoSpaceDN w:val="0"/>
        <w:adjustRightInd w:val="0"/>
        <w:ind w:left="1440" w:hanging="720"/>
        <w:rPr>
          <w:szCs w:val="22"/>
        </w:rPr>
      </w:pPr>
      <w:r w:rsidRPr="00033934">
        <w:rPr>
          <w:szCs w:val="22"/>
        </w:rPr>
        <w:t>(C)</w:t>
      </w:r>
      <w:r w:rsidRPr="00033934">
        <w:rPr>
          <w:szCs w:val="22"/>
        </w:rPr>
        <w:tab/>
        <w:t>The proposed community of license must be located on the applicant’s Tribal Lands; and</w:t>
      </w:r>
    </w:p>
    <w:p w:rsidR="009900BB" w:rsidRDefault="009900BB" w:rsidP="009900BB">
      <w:pPr>
        <w:autoSpaceDE w:val="0"/>
        <w:autoSpaceDN w:val="0"/>
        <w:adjustRightInd w:val="0"/>
        <w:ind w:left="1440" w:hanging="720"/>
        <w:rPr>
          <w:szCs w:val="22"/>
        </w:rPr>
      </w:pPr>
      <w:r w:rsidRPr="00033934">
        <w:rPr>
          <w:szCs w:val="22"/>
        </w:rPr>
        <w:t xml:space="preserve">(D) </w:t>
      </w:r>
      <w:r w:rsidRPr="00033934">
        <w:rPr>
          <w:szCs w:val="22"/>
        </w:rPr>
        <w:tab/>
        <w:t>The proposed service must constitute first or second aural (reception) service, or first local Tribal-owned commercial transmission service at the proposed community of license.</w:t>
      </w:r>
      <w:r w:rsidRPr="00033934">
        <w:rPr>
          <w:rStyle w:val="FootnoteReference"/>
          <w:szCs w:val="22"/>
        </w:rPr>
        <w:footnoteReference w:id="9"/>
      </w:r>
    </w:p>
    <w:p w:rsidR="009900BB" w:rsidRPr="00033934" w:rsidRDefault="009900BB" w:rsidP="009900BB">
      <w:pPr>
        <w:autoSpaceDE w:val="0"/>
        <w:autoSpaceDN w:val="0"/>
        <w:adjustRightInd w:val="0"/>
        <w:ind w:left="1440" w:hanging="720"/>
        <w:rPr>
          <w:szCs w:val="22"/>
        </w:rPr>
      </w:pPr>
    </w:p>
    <w:p w:rsidR="009900BB" w:rsidRDefault="009900BB" w:rsidP="00F1078A">
      <w:r w:rsidRPr="00033934">
        <w:rPr>
          <w:szCs w:val="22"/>
        </w:rPr>
        <w:tab/>
      </w:r>
      <w:r w:rsidR="00F1078A">
        <w:rPr>
          <w:szCs w:val="22"/>
        </w:rPr>
        <w:t>Any Tribe or Tribally</w:t>
      </w:r>
      <w:r w:rsidR="00D47A3A">
        <w:rPr>
          <w:szCs w:val="22"/>
        </w:rPr>
        <w:t xml:space="preserve"> </w:t>
      </w:r>
      <w:r w:rsidR="00F1078A">
        <w:rPr>
          <w:szCs w:val="22"/>
        </w:rPr>
        <w:t xml:space="preserve">controlled entity interested in filing a competing application and threshold qualifications showing </w:t>
      </w:r>
      <w:r w:rsidR="00F1078A">
        <w:rPr>
          <w:b/>
          <w:szCs w:val="22"/>
        </w:rPr>
        <w:t xml:space="preserve">must </w:t>
      </w:r>
      <w:r w:rsidR="00F1078A" w:rsidRPr="00F374FC">
        <w:rPr>
          <w:b/>
          <w:szCs w:val="22"/>
        </w:rPr>
        <w:t>contact</w:t>
      </w:r>
      <w:r w:rsidR="00F1078A">
        <w:rPr>
          <w:szCs w:val="22"/>
        </w:rPr>
        <w:t xml:space="preserve"> James Bradshaw at </w:t>
      </w:r>
      <w:hyperlink r:id="rId13" w:history="1">
        <w:r w:rsidR="00F1078A" w:rsidRPr="005965E9">
          <w:rPr>
            <w:rStyle w:val="Hyperlink"/>
            <w:szCs w:val="22"/>
          </w:rPr>
          <w:t>James.Bradshaw@fcc.gov</w:t>
        </w:r>
      </w:hyperlink>
      <w:r w:rsidR="00F1078A">
        <w:rPr>
          <w:szCs w:val="22"/>
        </w:rPr>
        <w:t xml:space="preserve"> </w:t>
      </w:r>
      <w:r w:rsidR="00F1078A">
        <w:rPr>
          <w:b/>
          <w:szCs w:val="22"/>
        </w:rPr>
        <w:t xml:space="preserve">no later than </w:t>
      </w:r>
      <w:r w:rsidR="00010E14">
        <w:rPr>
          <w:b/>
          <w:szCs w:val="22"/>
        </w:rPr>
        <w:t xml:space="preserve">August </w:t>
      </w:r>
      <w:r w:rsidR="00BD0E8F">
        <w:rPr>
          <w:b/>
          <w:szCs w:val="22"/>
        </w:rPr>
        <w:t>10</w:t>
      </w:r>
      <w:r w:rsidR="00F1078A">
        <w:rPr>
          <w:b/>
          <w:szCs w:val="22"/>
        </w:rPr>
        <w:t>, 201</w:t>
      </w:r>
      <w:r w:rsidR="009439A6">
        <w:rPr>
          <w:b/>
          <w:szCs w:val="22"/>
        </w:rPr>
        <w:t>5</w:t>
      </w:r>
      <w:r w:rsidR="00D47A3A">
        <w:rPr>
          <w:b/>
          <w:szCs w:val="22"/>
        </w:rPr>
        <w:t>,</w:t>
      </w:r>
      <w:r w:rsidR="00F1078A">
        <w:rPr>
          <w:b/>
          <w:szCs w:val="22"/>
        </w:rPr>
        <w:t xml:space="preserve"> </w:t>
      </w:r>
      <w:r w:rsidR="00B0337E">
        <w:rPr>
          <w:b/>
          <w:szCs w:val="22"/>
        </w:rPr>
        <w:t>to make arrangements for electronic filing of a complete FCC Form 301 application for new station construction permit in CDBS.</w:t>
      </w:r>
    </w:p>
    <w:p w:rsidR="009900BB" w:rsidRPr="00033934" w:rsidRDefault="009900BB" w:rsidP="009900BB">
      <w:pPr>
        <w:rPr>
          <w:szCs w:val="22"/>
        </w:rPr>
      </w:pPr>
    </w:p>
    <w:p w:rsidR="009900BB" w:rsidRDefault="004E22B6" w:rsidP="009900BB">
      <w:pPr>
        <w:spacing w:after="240"/>
        <w:ind w:firstLine="720"/>
        <w:rPr>
          <w:szCs w:val="22"/>
        </w:rPr>
      </w:pPr>
      <w:r>
        <w:rPr>
          <w:szCs w:val="22"/>
        </w:rPr>
        <w:t>Navajo Nation</w:t>
      </w:r>
      <w:r w:rsidR="009900BB" w:rsidRPr="00033934">
        <w:rPr>
          <w:szCs w:val="22"/>
        </w:rPr>
        <w:t>, as the original allotment proponent</w:t>
      </w:r>
      <w:r w:rsidR="002033AB">
        <w:rPr>
          <w:szCs w:val="22"/>
        </w:rPr>
        <w:t>,</w:t>
      </w:r>
      <w:r w:rsidR="009900BB" w:rsidRPr="00033934">
        <w:rPr>
          <w:szCs w:val="22"/>
        </w:rPr>
        <w:t xml:space="preserve"> </w:t>
      </w:r>
      <w:r w:rsidR="009900BB" w:rsidRPr="00033934">
        <w:rPr>
          <w:b/>
          <w:szCs w:val="22"/>
        </w:rPr>
        <w:t xml:space="preserve">must </w:t>
      </w:r>
      <w:r w:rsidR="009900BB">
        <w:rPr>
          <w:b/>
          <w:szCs w:val="22"/>
        </w:rPr>
        <w:t>submit</w:t>
      </w:r>
      <w:r w:rsidR="009900BB" w:rsidRPr="00033934">
        <w:rPr>
          <w:szCs w:val="22"/>
        </w:rPr>
        <w:t xml:space="preserve"> a </w:t>
      </w:r>
      <w:r w:rsidR="009900BB">
        <w:rPr>
          <w:szCs w:val="22"/>
        </w:rPr>
        <w:t>written notification</w:t>
      </w:r>
      <w:r w:rsidR="009900BB" w:rsidRPr="00033934">
        <w:rPr>
          <w:szCs w:val="22"/>
        </w:rPr>
        <w:t xml:space="preserve"> during the TQ Window</w:t>
      </w:r>
      <w:r w:rsidR="001D586C">
        <w:rPr>
          <w:szCs w:val="22"/>
        </w:rPr>
        <w:t xml:space="preserve">.  The notification must include an expression of continuing interest in the </w:t>
      </w:r>
      <w:r w:rsidR="00191503">
        <w:rPr>
          <w:szCs w:val="22"/>
        </w:rPr>
        <w:t>Rough Rock</w:t>
      </w:r>
      <w:r w:rsidR="001D586C">
        <w:rPr>
          <w:szCs w:val="22"/>
        </w:rPr>
        <w:t xml:space="preserve"> Tribal Allotment</w:t>
      </w:r>
      <w:r w:rsidR="00D47A3A">
        <w:rPr>
          <w:szCs w:val="22"/>
        </w:rPr>
        <w:t>,</w:t>
      </w:r>
      <w:r w:rsidR="001D586C">
        <w:rPr>
          <w:szCs w:val="22"/>
        </w:rPr>
        <w:t xml:space="preserve"> and</w:t>
      </w:r>
      <w:r w:rsidR="00D47A3A">
        <w:rPr>
          <w:szCs w:val="22"/>
        </w:rPr>
        <w:t xml:space="preserve"> </w:t>
      </w:r>
      <w:r w:rsidR="00D47A3A" w:rsidRPr="00666447">
        <w:rPr>
          <w:b/>
          <w:szCs w:val="22"/>
        </w:rPr>
        <w:t>must include</w:t>
      </w:r>
      <w:r w:rsidR="00D47A3A">
        <w:rPr>
          <w:szCs w:val="22"/>
        </w:rPr>
        <w:t xml:space="preserve"> a</w:t>
      </w:r>
      <w:r w:rsidR="001D586C">
        <w:rPr>
          <w:szCs w:val="22"/>
        </w:rPr>
        <w:t xml:space="preserve"> request that the Bureau either </w:t>
      </w:r>
      <w:r w:rsidR="00D47A3A">
        <w:rPr>
          <w:szCs w:val="22"/>
        </w:rPr>
        <w:t>(</w:t>
      </w:r>
      <w:r w:rsidR="001D586C">
        <w:rPr>
          <w:szCs w:val="22"/>
        </w:rPr>
        <w:t>1</w:t>
      </w:r>
      <w:r w:rsidR="00D47A3A">
        <w:rPr>
          <w:szCs w:val="22"/>
        </w:rPr>
        <w:t>)</w:t>
      </w:r>
      <w:r w:rsidR="001D586C">
        <w:rPr>
          <w:szCs w:val="22"/>
        </w:rPr>
        <w:t xml:space="preserve"> </w:t>
      </w:r>
      <w:r w:rsidR="009900BB" w:rsidRPr="00033934">
        <w:rPr>
          <w:szCs w:val="22"/>
        </w:rPr>
        <w:t xml:space="preserve">process its </w:t>
      </w:r>
      <w:r w:rsidR="009900BB">
        <w:rPr>
          <w:szCs w:val="22"/>
        </w:rPr>
        <w:t xml:space="preserve">previously filed FCC Form 301 </w:t>
      </w:r>
      <w:r w:rsidR="009900BB" w:rsidRPr="00033934">
        <w:rPr>
          <w:szCs w:val="22"/>
        </w:rPr>
        <w:t>application immediately</w:t>
      </w:r>
      <w:r w:rsidR="001D586C">
        <w:rPr>
          <w:szCs w:val="22"/>
        </w:rPr>
        <w:t xml:space="preserve">; or </w:t>
      </w:r>
      <w:r w:rsidR="00D47A3A">
        <w:rPr>
          <w:szCs w:val="22"/>
        </w:rPr>
        <w:t>(</w:t>
      </w:r>
      <w:r w:rsidR="001D586C">
        <w:rPr>
          <w:szCs w:val="22"/>
        </w:rPr>
        <w:t>2</w:t>
      </w:r>
      <w:r w:rsidR="00D47A3A">
        <w:rPr>
          <w:szCs w:val="22"/>
        </w:rPr>
        <w:t>)</w:t>
      </w:r>
      <w:r w:rsidR="001D586C">
        <w:rPr>
          <w:szCs w:val="22"/>
        </w:rPr>
        <w:t xml:space="preserve"> </w:t>
      </w:r>
      <w:r w:rsidR="009900BB" w:rsidRPr="00033934">
        <w:rPr>
          <w:szCs w:val="22"/>
        </w:rPr>
        <w:t xml:space="preserve">postpone processing of its application.  </w:t>
      </w:r>
    </w:p>
    <w:p w:rsidR="009900BB" w:rsidRDefault="009900BB" w:rsidP="009900BB">
      <w:pPr>
        <w:spacing w:before="120" w:after="240"/>
        <w:ind w:firstLine="720"/>
        <w:rPr>
          <w:szCs w:val="22"/>
        </w:rPr>
      </w:pPr>
      <w:r>
        <w:rPr>
          <w:szCs w:val="22"/>
        </w:rPr>
        <w:t xml:space="preserve">In the event that only one </w:t>
      </w:r>
      <w:r w:rsidR="001D586C">
        <w:rPr>
          <w:szCs w:val="22"/>
        </w:rPr>
        <w:t xml:space="preserve">acceptable application is on file at the close of </w:t>
      </w:r>
      <w:r w:rsidR="007B779A">
        <w:rPr>
          <w:szCs w:val="22"/>
        </w:rPr>
        <w:t xml:space="preserve">the </w:t>
      </w:r>
      <w:r>
        <w:rPr>
          <w:szCs w:val="22"/>
        </w:rPr>
        <w:t xml:space="preserve">TQ Window, that application will be processed as a singleton.  If no </w:t>
      </w:r>
      <w:r w:rsidR="001D586C">
        <w:rPr>
          <w:szCs w:val="22"/>
        </w:rPr>
        <w:t xml:space="preserve">competing application is filed </w:t>
      </w:r>
      <w:r>
        <w:rPr>
          <w:szCs w:val="22"/>
        </w:rPr>
        <w:t xml:space="preserve">during the TQ Window and if </w:t>
      </w:r>
      <w:r w:rsidR="00A80345">
        <w:rPr>
          <w:szCs w:val="22"/>
        </w:rPr>
        <w:t>Navajo Nation</w:t>
      </w:r>
      <w:r>
        <w:rPr>
          <w:szCs w:val="22"/>
        </w:rPr>
        <w:t xml:space="preserve"> requests that </w:t>
      </w:r>
      <w:r w:rsidR="002033AB">
        <w:rPr>
          <w:szCs w:val="22"/>
        </w:rPr>
        <w:t>the Bureau postpo</w:t>
      </w:r>
      <w:r w:rsidR="004057CD">
        <w:rPr>
          <w:szCs w:val="22"/>
        </w:rPr>
        <w:t>n</w:t>
      </w:r>
      <w:r w:rsidR="002033AB">
        <w:rPr>
          <w:szCs w:val="22"/>
        </w:rPr>
        <w:t xml:space="preserve">e processing of </w:t>
      </w:r>
      <w:r>
        <w:rPr>
          <w:szCs w:val="22"/>
        </w:rPr>
        <w:t xml:space="preserve">its application, the </w:t>
      </w:r>
      <w:r w:rsidR="00191503">
        <w:rPr>
          <w:szCs w:val="22"/>
        </w:rPr>
        <w:t>Rough Rock</w:t>
      </w:r>
      <w:r>
        <w:rPr>
          <w:szCs w:val="22"/>
        </w:rPr>
        <w:t xml:space="preserve"> Tribal Allotment will be offered in a future auction</w:t>
      </w:r>
      <w:r w:rsidR="001D586C">
        <w:rPr>
          <w:szCs w:val="22"/>
        </w:rPr>
        <w:t>.  O</w:t>
      </w:r>
      <w:r>
        <w:rPr>
          <w:szCs w:val="22"/>
        </w:rPr>
        <w:t xml:space="preserve">nly threshold qualified Tribal applicants may bid on that allotment during this first auction.  If two or more </w:t>
      </w:r>
      <w:r w:rsidR="001D586C">
        <w:rPr>
          <w:szCs w:val="22"/>
        </w:rPr>
        <w:t xml:space="preserve">acceptable applications are on file at the close of the </w:t>
      </w:r>
      <w:r>
        <w:rPr>
          <w:szCs w:val="22"/>
        </w:rPr>
        <w:t xml:space="preserve">TQ Window, those applicants will be afforded an opportunity to negotiate a settlement (including a time-sharing agreement) or </w:t>
      </w:r>
      <w:r w:rsidRPr="00355347">
        <w:rPr>
          <w:i/>
          <w:szCs w:val="22"/>
        </w:rPr>
        <w:t>bona fide</w:t>
      </w:r>
      <w:r>
        <w:rPr>
          <w:szCs w:val="22"/>
        </w:rPr>
        <w:t xml:space="preserve"> merger to resolve the mutual exclusivity between their applications.  </w:t>
      </w:r>
      <w:r>
        <w:rPr>
          <w:szCs w:val="22"/>
        </w:rPr>
        <w:lastRenderedPageBreak/>
        <w:t xml:space="preserve">Barring such a settlement or merger, the </w:t>
      </w:r>
      <w:r w:rsidR="00191503">
        <w:rPr>
          <w:szCs w:val="22"/>
        </w:rPr>
        <w:t>Rough Rock</w:t>
      </w:r>
      <w:r>
        <w:rPr>
          <w:szCs w:val="22"/>
        </w:rPr>
        <w:t xml:space="preserve"> Tribal Allotment will be offered at auction, with only the threshold qualified Tribal applicants allowed to </w:t>
      </w:r>
      <w:r w:rsidR="001D586C">
        <w:rPr>
          <w:szCs w:val="22"/>
        </w:rPr>
        <w:t>participate</w:t>
      </w:r>
      <w:r>
        <w:rPr>
          <w:szCs w:val="22"/>
        </w:rPr>
        <w:t>.</w:t>
      </w:r>
      <w:r>
        <w:rPr>
          <w:rStyle w:val="FootnoteReference"/>
          <w:szCs w:val="22"/>
        </w:rPr>
        <w:footnoteReference w:id="10"/>
      </w:r>
    </w:p>
    <w:p w:rsidR="009900BB" w:rsidRDefault="00B61909" w:rsidP="009900BB">
      <w:pPr>
        <w:spacing w:before="120" w:after="240"/>
        <w:ind w:firstLine="720"/>
        <w:rPr>
          <w:szCs w:val="22"/>
        </w:rPr>
      </w:pPr>
      <w:r>
        <w:rPr>
          <w:szCs w:val="22"/>
        </w:rPr>
        <w:t>Navajo Nation’s</w:t>
      </w:r>
      <w:r w:rsidR="009900BB">
        <w:rPr>
          <w:szCs w:val="22"/>
        </w:rPr>
        <w:t xml:space="preserve"> written notification shall be submitted, in triplicate, to the Office of the Secretary, 445 12</w:t>
      </w:r>
      <w:r w:rsidR="009900BB" w:rsidRPr="00F45283">
        <w:rPr>
          <w:szCs w:val="22"/>
          <w:vertAlign w:val="superscript"/>
        </w:rPr>
        <w:t>th</w:t>
      </w:r>
      <w:r w:rsidR="009900BB">
        <w:rPr>
          <w:szCs w:val="22"/>
        </w:rPr>
        <w:t xml:space="preserve"> Street, S.W., Washington, DC  20554, with a courtesy copy mailed or delivered to Thomas Nessinger, Audio Division, Media Bureau, 445 12</w:t>
      </w:r>
      <w:r w:rsidR="009900BB" w:rsidRPr="00F45283">
        <w:rPr>
          <w:szCs w:val="22"/>
          <w:vertAlign w:val="superscript"/>
        </w:rPr>
        <w:t>th</w:t>
      </w:r>
      <w:r w:rsidR="009900BB">
        <w:rPr>
          <w:szCs w:val="22"/>
        </w:rPr>
        <w:t xml:space="preserve"> Street, S.W., Room 2-B450, Washington, DC  20554, or e-mailed to </w:t>
      </w:r>
      <w:hyperlink r:id="rId14" w:history="1">
        <w:r w:rsidR="009900BB" w:rsidRPr="005417D3">
          <w:rPr>
            <w:rStyle w:val="Hyperlink"/>
            <w:szCs w:val="22"/>
          </w:rPr>
          <w:t>Thomas.Nessinger@fcc.gov</w:t>
        </w:r>
      </w:hyperlink>
      <w:r w:rsidR="009900BB">
        <w:rPr>
          <w:szCs w:val="22"/>
        </w:rPr>
        <w:t xml:space="preserve">.  Applications and written notification must be filed no later than 6:00 p.m., Eastern Time, on </w:t>
      </w:r>
      <w:r w:rsidR="00B94901">
        <w:rPr>
          <w:szCs w:val="22"/>
        </w:rPr>
        <w:t>August 10</w:t>
      </w:r>
      <w:r w:rsidR="009900BB">
        <w:rPr>
          <w:szCs w:val="22"/>
        </w:rPr>
        <w:t>, 201</w:t>
      </w:r>
      <w:r w:rsidR="00191503">
        <w:rPr>
          <w:szCs w:val="22"/>
        </w:rPr>
        <w:t>5</w:t>
      </w:r>
      <w:r w:rsidR="009900BB">
        <w:rPr>
          <w:szCs w:val="22"/>
        </w:rPr>
        <w:t>.</w:t>
      </w:r>
    </w:p>
    <w:p w:rsidR="009900BB" w:rsidRDefault="009900BB" w:rsidP="009900BB">
      <w:pPr>
        <w:spacing w:before="120" w:after="240"/>
        <w:ind w:firstLine="720"/>
        <w:rPr>
          <w:szCs w:val="22"/>
        </w:rPr>
      </w:pPr>
      <w:r>
        <w:rPr>
          <w:szCs w:val="22"/>
        </w:rPr>
        <w:t>For additional information, contact Lisa Scanlan or Thomas Nessinger of the Audio Division at (202) 418-2700.</w:t>
      </w:r>
    </w:p>
    <w:p w:rsidR="009900BB" w:rsidRPr="00033934" w:rsidRDefault="009900BB" w:rsidP="009900BB">
      <w:pPr>
        <w:spacing w:before="120" w:after="240"/>
        <w:jc w:val="center"/>
        <w:rPr>
          <w:szCs w:val="22"/>
        </w:rPr>
      </w:pPr>
      <w:r>
        <w:rPr>
          <w:szCs w:val="22"/>
        </w:rPr>
        <w:t>-FCC-</w:t>
      </w:r>
    </w:p>
    <w:p w:rsidR="009900BB" w:rsidRDefault="009900BB" w:rsidP="009900BB"/>
    <w:p w:rsidR="008E7112" w:rsidRDefault="002F4E54"/>
    <w:sectPr w:rsidR="008E7112">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B5A" w:rsidRDefault="002C0B5A" w:rsidP="009900BB">
      <w:r>
        <w:separator/>
      </w:r>
    </w:p>
  </w:endnote>
  <w:endnote w:type="continuationSeparator" w:id="0">
    <w:p w:rsidR="002C0B5A" w:rsidRDefault="002C0B5A" w:rsidP="0099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6C" w:rsidRDefault="001F00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75749"/>
      <w:docPartObj>
        <w:docPartGallery w:val="Page Numbers (Bottom of Page)"/>
        <w:docPartUnique/>
      </w:docPartObj>
    </w:sdtPr>
    <w:sdtEndPr>
      <w:rPr>
        <w:noProof/>
      </w:rPr>
    </w:sdtEndPr>
    <w:sdtContent>
      <w:p w:rsidR="00066BA6" w:rsidRDefault="00066BA6">
        <w:pPr>
          <w:pStyle w:val="Footer"/>
          <w:jc w:val="center"/>
        </w:pPr>
        <w:r>
          <w:fldChar w:fldCharType="begin"/>
        </w:r>
        <w:r>
          <w:instrText xml:space="preserve"> PAGE   \* MERGEFORMAT </w:instrText>
        </w:r>
        <w:r>
          <w:fldChar w:fldCharType="separate"/>
        </w:r>
        <w:r w:rsidR="002F4E54">
          <w:rPr>
            <w:noProof/>
          </w:rPr>
          <w:t>2</w:t>
        </w:r>
        <w:r>
          <w:rPr>
            <w:noProof/>
          </w:rPr>
          <w:fldChar w:fldCharType="end"/>
        </w:r>
      </w:p>
    </w:sdtContent>
  </w:sdt>
  <w:p w:rsidR="009900BB" w:rsidRDefault="009900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6C" w:rsidRDefault="001F0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B5A" w:rsidRDefault="002C0B5A" w:rsidP="009900BB">
      <w:r>
        <w:separator/>
      </w:r>
    </w:p>
  </w:footnote>
  <w:footnote w:type="continuationSeparator" w:id="0">
    <w:p w:rsidR="002C0B5A" w:rsidRDefault="002C0B5A" w:rsidP="009900BB">
      <w:r>
        <w:continuationSeparator/>
      </w:r>
    </w:p>
  </w:footnote>
  <w:footnote w:id="1">
    <w:p w:rsidR="00666447" w:rsidRPr="004E4798" w:rsidRDefault="00666447" w:rsidP="00666447">
      <w:pPr>
        <w:pStyle w:val="FootnoteText"/>
        <w:rPr>
          <w:sz w:val="20"/>
        </w:rPr>
      </w:pPr>
      <w:r>
        <w:rPr>
          <w:rStyle w:val="FootnoteReference"/>
        </w:rPr>
        <w:footnoteRef/>
      </w:r>
      <w:r>
        <w:t xml:space="preserve"> </w:t>
      </w:r>
      <w:r w:rsidRPr="004E4798">
        <w:rPr>
          <w:i/>
          <w:sz w:val="20"/>
        </w:rPr>
        <w:t xml:space="preserve">See </w:t>
      </w:r>
      <w:r w:rsidR="009439A6">
        <w:rPr>
          <w:i/>
          <w:sz w:val="20"/>
        </w:rPr>
        <w:t>Rough Rock, Arizona</w:t>
      </w:r>
      <w:r>
        <w:rPr>
          <w:sz w:val="20"/>
        </w:rPr>
        <w:t xml:space="preserve">, Report and Order, DA </w:t>
      </w:r>
      <w:r w:rsidR="006F749A">
        <w:rPr>
          <w:sz w:val="20"/>
        </w:rPr>
        <w:t>14-</w:t>
      </w:r>
      <w:r w:rsidR="009439A6">
        <w:rPr>
          <w:sz w:val="20"/>
        </w:rPr>
        <w:t>1334</w:t>
      </w:r>
      <w:r>
        <w:rPr>
          <w:sz w:val="20"/>
        </w:rPr>
        <w:t>, 2</w:t>
      </w:r>
      <w:r w:rsidR="006F749A">
        <w:rPr>
          <w:sz w:val="20"/>
        </w:rPr>
        <w:t>9</w:t>
      </w:r>
      <w:r>
        <w:rPr>
          <w:sz w:val="20"/>
        </w:rPr>
        <w:t xml:space="preserve"> FCC Rcd </w:t>
      </w:r>
      <w:r w:rsidR="009439A6">
        <w:rPr>
          <w:sz w:val="20"/>
        </w:rPr>
        <w:t>11107</w:t>
      </w:r>
      <w:r>
        <w:rPr>
          <w:sz w:val="20"/>
        </w:rPr>
        <w:t xml:space="preserve"> (MB 201</w:t>
      </w:r>
      <w:r w:rsidR="006F749A">
        <w:rPr>
          <w:sz w:val="20"/>
        </w:rPr>
        <w:t>4</w:t>
      </w:r>
      <w:r>
        <w:rPr>
          <w:sz w:val="20"/>
        </w:rPr>
        <w:t>), 7</w:t>
      </w:r>
      <w:r w:rsidR="00673EFC">
        <w:rPr>
          <w:sz w:val="20"/>
        </w:rPr>
        <w:t>9</w:t>
      </w:r>
      <w:r>
        <w:rPr>
          <w:sz w:val="20"/>
        </w:rPr>
        <w:t xml:space="preserve"> Fed. Reg. </w:t>
      </w:r>
      <w:r w:rsidR="009439A6">
        <w:rPr>
          <w:sz w:val="20"/>
        </w:rPr>
        <w:t>72153</w:t>
      </w:r>
      <w:r w:rsidR="00673EFC">
        <w:rPr>
          <w:sz w:val="20"/>
        </w:rPr>
        <w:t xml:space="preserve"> (</w:t>
      </w:r>
      <w:r w:rsidR="009439A6">
        <w:rPr>
          <w:sz w:val="20"/>
        </w:rPr>
        <w:t>Dec. 5</w:t>
      </w:r>
      <w:r>
        <w:rPr>
          <w:sz w:val="20"/>
        </w:rPr>
        <w:t>, 201</w:t>
      </w:r>
      <w:r w:rsidR="00673EFC">
        <w:rPr>
          <w:sz w:val="20"/>
        </w:rPr>
        <w:t>4</w:t>
      </w:r>
      <w:r>
        <w:rPr>
          <w:sz w:val="20"/>
        </w:rPr>
        <w:t>) (“</w:t>
      </w:r>
      <w:r w:rsidR="009439A6">
        <w:rPr>
          <w:i/>
          <w:sz w:val="20"/>
        </w:rPr>
        <w:t>Rough Rock</w:t>
      </w:r>
      <w:r w:rsidRPr="00443345">
        <w:rPr>
          <w:i/>
          <w:sz w:val="20"/>
        </w:rPr>
        <w:t xml:space="preserve"> R&amp;O</w:t>
      </w:r>
      <w:r>
        <w:rPr>
          <w:sz w:val="20"/>
        </w:rPr>
        <w:t>”).</w:t>
      </w:r>
    </w:p>
  </w:footnote>
  <w:footnote w:id="2">
    <w:p w:rsidR="009900BB" w:rsidRPr="00540BB3" w:rsidRDefault="009900BB" w:rsidP="009900BB">
      <w:pPr>
        <w:pStyle w:val="FootnoteText"/>
        <w:rPr>
          <w:sz w:val="20"/>
        </w:rPr>
      </w:pPr>
      <w:r>
        <w:rPr>
          <w:rStyle w:val="FootnoteReference"/>
        </w:rPr>
        <w:footnoteRef/>
      </w:r>
      <w:r>
        <w:t xml:space="preserve"> </w:t>
      </w:r>
      <w:r w:rsidRPr="00C946B9">
        <w:rPr>
          <w:i/>
          <w:sz w:val="20"/>
        </w:rPr>
        <w:t>See</w:t>
      </w:r>
      <w:r>
        <w:rPr>
          <w:sz w:val="20"/>
        </w:rPr>
        <w:t xml:space="preserve"> </w:t>
      </w:r>
      <w:r>
        <w:rPr>
          <w:i/>
          <w:sz w:val="20"/>
        </w:rPr>
        <w:t>Policies to Promote Rural Radio Service and to Streamline Allotment and Assignment Procedures</w:t>
      </w:r>
      <w:r>
        <w:rPr>
          <w:sz w:val="20"/>
        </w:rPr>
        <w:t>, Third Report and Order, 26 FCC Rcd 17642, 17645- 50 (2011) (“</w:t>
      </w:r>
      <w:r w:rsidRPr="0078504E">
        <w:rPr>
          <w:i/>
          <w:sz w:val="20"/>
        </w:rPr>
        <w:t>Rural Third R&amp;O</w:t>
      </w:r>
      <w:r>
        <w:rPr>
          <w:sz w:val="20"/>
        </w:rPr>
        <w:t xml:space="preserve">”).  </w:t>
      </w:r>
      <w:r w:rsidRPr="00AE3317">
        <w:rPr>
          <w:i/>
          <w:sz w:val="20"/>
        </w:rPr>
        <w:t>See also</w:t>
      </w:r>
      <w:r>
        <w:rPr>
          <w:sz w:val="20"/>
        </w:rPr>
        <w:t xml:space="preserve"> 47 C.F.R. § 73.3573(f)(6).</w:t>
      </w:r>
    </w:p>
  </w:footnote>
  <w:footnote w:id="3">
    <w:p w:rsidR="00E450E4" w:rsidRDefault="00E450E4">
      <w:pPr>
        <w:pStyle w:val="FootnoteText"/>
      </w:pPr>
      <w:r>
        <w:rPr>
          <w:rStyle w:val="FootnoteReference"/>
        </w:rPr>
        <w:footnoteRef/>
      </w:r>
      <w:r>
        <w:t xml:space="preserve"> </w:t>
      </w:r>
      <w:r w:rsidR="00B41935">
        <w:rPr>
          <w:sz w:val="20"/>
        </w:rPr>
        <w:t>File No. BNPH-</w:t>
      </w:r>
      <w:r w:rsidR="009439A6">
        <w:rPr>
          <w:sz w:val="20"/>
        </w:rPr>
        <w:t>20140113ABW</w:t>
      </w:r>
      <w:r>
        <w:rPr>
          <w:sz w:val="20"/>
        </w:rPr>
        <w:t>.</w:t>
      </w:r>
    </w:p>
  </w:footnote>
  <w:footnote w:id="4">
    <w:p w:rsidR="00E450E4" w:rsidRPr="00666447" w:rsidRDefault="00E450E4">
      <w:pPr>
        <w:pStyle w:val="FootnoteText"/>
        <w:rPr>
          <w:sz w:val="20"/>
        </w:rPr>
      </w:pPr>
      <w:r>
        <w:rPr>
          <w:rStyle w:val="FootnoteReference"/>
        </w:rPr>
        <w:footnoteRef/>
      </w:r>
      <w:r>
        <w:t xml:space="preserve"> </w:t>
      </w:r>
      <w:r w:rsidR="009439A6">
        <w:rPr>
          <w:i/>
          <w:sz w:val="20"/>
        </w:rPr>
        <w:t>Rough Rock</w:t>
      </w:r>
      <w:r w:rsidR="00F1078A" w:rsidRPr="00666447">
        <w:rPr>
          <w:i/>
          <w:sz w:val="20"/>
        </w:rPr>
        <w:t xml:space="preserve"> R&amp;O</w:t>
      </w:r>
      <w:r w:rsidR="00F1078A" w:rsidRPr="00666447">
        <w:rPr>
          <w:sz w:val="20"/>
        </w:rPr>
        <w:t>, 2</w:t>
      </w:r>
      <w:r w:rsidR="00B41935">
        <w:rPr>
          <w:sz w:val="20"/>
        </w:rPr>
        <w:t>9</w:t>
      </w:r>
      <w:r w:rsidR="00F1078A" w:rsidRPr="00666447">
        <w:rPr>
          <w:sz w:val="20"/>
        </w:rPr>
        <w:t xml:space="preserve"> FCC Rcd at </w:t>
      </w:r>
      <w:r w:rsidR="009439A6">
        <w:rPr>
          <w:sz w:val="20"/>
        </w:rPr>
        <w:t>11108</w:t>
      </w:r>
      <w:r w:rsidR="00F1078A" w:rsidRPr="00666447">
        <w:rPr>
          <w:sz w:val="20"/>
        </w:rPr>
        <w:t xml:space="preserve"> (¶</w:t>
      </w:r>
      <w:r w:rsidR="00B41935">
        <w:rPr>
          <w:sz w:val="20"/>
        </w:rPr>
        <w:t>3</w:t>
      </w:r>
      <w:r w:rsidR="00F1078A" w:rsidRPr="00666447">
        <w:rPr>
          <w:sz w:val="20"/>
        </w:rPr>
        <w:t>).</w:t>
      </w:r>
    </w:p>
  </w:footnote>
  <w:footnote w:id="5">
    <w:p w:rsidR="002033AB" w:rsidRPr="00F374FC" w:rsidRDefault="002033AB">
      <w:pPr>
        <w:pStyle w:val="FootnoteText"/>
        <w:rPr>
          <w:i/>
        </w:rPr>
      </w:pPr>
      <w:r>
        <w:rPr>
          <w:rStyle w:val="FootnoteReference"/>
        </w:rPr>
        <w:footnoteRef/>
      </w:r>
      <w:r>
        <w:t xml:space="preserve"> </w:t>
      </w:r>
      <w:r>
        <w:rPr>
          <w:i/>
        </w:rPr>
        <w:t xml:space="preserve">See </w:t>
      </w:r>
      <w:r>
        <w:rPr>
          <w:i/>
          <w:sz w:val="20"/>
        </w:rPr>
        <w:t>Policies to Promote Rural Radio Service and to Streamline Allotment and Assignment Procedures</w:t>
      </w:r>
      <w:r>
        <w:rPr>
          <w:sz w:val="20"/>
        </w:rPr>
        <w:t>, First Report and Order and Further Notice of Proposed Rule Making, 25 FCC Rcd 1583, 1588-89, 1596-97 (2010) (“</w:t>
      </w:r>
      <w:r w:rsidRPr="0078504E">
        <w:rPr>
          <w:i/>
          <w:sz w:val="20"/>
        </w:rPr>
        <w:t>Rural</w:t>
      </w:r>
      <w:r>
        <w:rPr>
          <w:sz w:val="20"/>
        </w:rPr>
        <w:t xml:space="preserve"> </w:t>
      </w:r>
      <w:r>
        <w:rPr>
          <w:i/>
          <w:sz w:val="20"/>
        </w:rPr>
        <w:t>First R&amp;O</w:t>
      </w:r>
      <w:r>
        <w:rPr>
          <w:sz w:val="20"/>
        </w:rPr>
        <w:t>”).</w:t>
      </w:r>
    </w:p>
  </w:footnote>
  <w:footnote w:id="6">
    <w:p w:rsidR="009900BB" w:rsidRPr="00C3580F" w:rsidRDefault="009900BB" w:rsidP="009900BB">
      <w:pPr>
        <w:pStyle w:val="FootnoteText"/>
        <w:rPr>
          <w:sz w:val="20"/>
        </w:rPr>
      </w:pPr>
      <w:r>
        <w:rPr>
          <w:rStyle w:val="FootnoteReference"/>
        </w:rPr>
        <w:footnoteRef/>
      </w:r>
      <w:r>
        <w:t xml:space="preserve"> </w:t>
      </w:r>
      <w:r>
        <w:rPr>
          <w:sz w:val="20"/>
        </w:rPr>
        <w:t>47 C.F.R. § 73.202.</w:t>
      </w:r>
    </w:p>
  </w:footnote>
  <w:footnote w:id="7">
    <w:p w:rsidR="009900BB" w:rsidRPr="009E76F9" w:rsidRDefault="009900BB" w:rsidP="009900BB">
      <w:pPr>
        <w:pStyle w:val="FootnoteText"/>
        <w:jc w:val="both"/>
        <w:rPr>
          <w:sz w:val="20"/>
        </w:rPr>
      </w:pPr>
      <w:r>
        <w:rPr>
          <w:rStyle w:val="FootnoteReference"/>
        </w:rPr>
        <w:footnoteRef/>
      </w:r>
      <w:r>
        <w:t xml:space="preserve"> </w:t>
      </w:r>
      <w:r>
        <w:rPr>
          <w:sz w:val="20"/>
        </w:rPr>
        <w:t xml:space="preserve">For purposes of qualifying for the Tribal Priority at the FM allotment stage, the service contour is the class reference contour as set forth in 47 C.F.R. § 73.211(b).  This is the 1 mV/m (60 dBμ) contour.  </w:t>
      </w:r>
    </w:p>
  </w:footnote>
  <w:footnote w:id="8">
    <w:p w:rsidR="009900BB" w:rsidRPr="005B4FB2" w:rsidRDefault="009900BB" w:rsidP="009900BB">
      <w:pPr>
        <w:pStyle w:val="FootnoteText"/>
        <w:jc w:val="both"/>
        <w:rPr>
          <w:sz w:val="20"/>
        </w:rPr>
      </w:pPr>
      <w:r>
        <w:rPr>
          <w:rStyle w:val="FootnoteReference"/>
        </w:rPr>
        <w:footnoteRef/>
      </w:r>
      <w:r>
        <w:t xml:space="preserve"> </w:t>
      </w:r>
      <w:r w:rsidRPr="005B4FB2">
        <w:rPr>
          <w:sz w:val="20"/>
        </w:rPr>
        <w:t xml:space="preserve">To the extent that a Tribe lacks Tribal Lands, </w:t>
      </w:r>
      <w:r>
        <w:rPr>
          <w:sz w:val="20"/>
        </w:rPr>
        <w:t xml:space="preserve">the applicant may </w:t>
      </w:r>
      <w:r w:rsidR="004057CD">
        <w:rPr>
          <w:sz w:val="20"/>
        </w:rPr>
        <w:t xml:space="preserve">establish </w:t>
      </w:r>
      <w:r>
        <w:rPr>
          <w:sz w:val="20"/>
        </w:rPr>
        <w:t>eligibility for</w:t>
      </w:r>
      <w:r w:rsidRPr="005B4FB2">
        <w:rPr>
          <w:sz w:val="20"/>
        </w:rPr>
        <w:t xml:space="preserve"> waiver of the above-listed tribal land coverage provisions, </w:t>
      </w:r>
      <w:r>
        <w:rPr>
          <w:sz w:val="20"/>
        </w:rPr>
        <w:t>by</w:t>
      </w:r>
      <w:r w:rsidRPr="005B4FB2">
        <w:rPr>
          <w:sz w:val="20"/>
        </w:rPr>
        <w:t xml:space="preserve"> demonstrat</w:t>
      </w:r>
      <w:r>
        <w:rPr>
          <w:sz w:val="20"/>
        </w:rPr>
        <w:t>ing</w:t>
      </w:r>
      <w:r w:rsidRPr="005B4FB2">
        <w:rPr>
          <w:sz w:val="20"/>
        </w:rPr>
        <w:t xml:space="preserve"> a geographic area identified with the Tribe.  </w:t>
      </w:r>
      <w:r w:rsidRPr="001D4094">
        <w:rPr>
          <w:i/>
          <w:sz w:val="20"/>
        </w:rPr>
        <w:t xml:space="preserve">See </w:t>
      </w:r>
      <w:r w:rsidR="00C44D99">
        <w:rPr>
          <w:i/>
          <w:sz w:val="20"/>
        </w:rPr>
        <w:t>Policies to Promote Rural Radio Service and to Streamline Allotment and Assignment Procedures</w:t>
      </w:r>
      <w:r w:rsidR="00C44D99">
        <w:rPr>
          <w:sz w:val="20"/>
        </w:rPr>
        <w:t>, Second Report and Order, First Order on Reconsideration, and Second Further Notice of Proposed Rule Making, 26 FCC Rcd 2556, 2561-63 (2010) (“</w:t>
      </w:r>
      <w:r w:rsidR="00F421AA" w:rsidRPr="00666447">
        <w:rPr>
          <w:i/>
          <w:sz w:val="20"/>
        </w:rPr>
        <w:t>Rural</w:t>
      </w:r>
      <w:r w:rsidR="00F421AA">
        <w:rPr>
          <w:sz w:val="20"/>
        </w:rPr>
        <w:t xml:space="preserve"> </w:t>
      </w:r>
      <w:r w:rsidR="00C44D99" w:rsidRPr="00666447">
        <w:rPr>
          <w:i/>
          <w:sz w:val="20"/>
        </w:rPr>
        <w:t>Second R&amp;O</w:t>
      </w:r>
      <w:r w:rsidR="00C44D99">
        <w:rPr>
          <w:sz w:val="20"/>
        </w:rPr>
        <w:t>”).</w:t>
      </w:r>
      <w:r>
        <w:rPr>
          <w:sz w:val="20"/>
        </w:rPr>
        <w:t xml:space="preserve">  </w:t>
      </w:r>
      <w:r w:rsidRPr="005B4FB2">
        <w:rPr>
          <w:sz w:val="20"/>
        </w:rPr>
        <w:t xml:space="preserve">Likewise, </w:t>
      </w:r>
      <w:r>
        <w:rPr>
          <w:sz w:val="20"/>
        </w:rPr>
        <w:t>we</w:t>
      </w:r>
      <w:r w:rsidRPr="005B4FB2">
        <w:rPr>
          <w:sz w:val="20"/>
        </w:rPr>
        <w:t xml:space="preserve"> will </w:t>
      </w:r>
      <w:r>
        <w:rPr>
          <w:sz w:val="20"/>
        </w:rPr>
        <w:t>consider</w:t>
      </w:r>
      <w:r w:rsidRPr="005B4FB2">
        <w:rPr>
          <w:sz w:val="20"/>
        </w:rPr>
        <w:t xml:space="preserve"> requests for waiver of the other requirements where appropriate</w:t>
      </w:r>
      <w:r>
        <w:rPr>
          <w:sz w:val="20"/>
        </w:rPr>
        <w:t>.</w:t>
      </w:r>
    </w:p>
  </w:footnote>
  <w:footnote w:id="9">
    <w:p w:rsidR="009900BB" w:rsidRPr="005F651A" w:rsidRDefault="009900BB" w:rsidP="009900BB">
      <w:pPr>
        <w:pStyle w:val="FootnoteText"/>
        <w:jc w:val="both"/>
        <w:rPr>
          <w:sz w:val="20"/>
        </w:rPr>
      </w:pPr>
      <w:r>
        <w:rPr>
          <w:rStyle w:val="FootnoteReference"/>
        </w:rPr>
        <w:footnoteRef/>
      </w:r>
      <w:r>
        <w:t xml:space="preserve"> </w:t>
      </w:r>
      <w:r w:rsidRPr="00A1620C">
        <w:rPr>
          <w:i/>
          <w:sz w:val="20"/>
        </w:rPr>
        <w:t xml:space="preserve">See </w:t>
      </w:r>
      <w:r>
        <w:rPr>
          <w:i/>
          <w:sz w:val="20"/>
        </w:rPr>
        <w:t xml:space="preserve">Rural </w:t>
      </w:r>
      <w:r w:rsidRPr="00A1620C">
        <w:rPr>
          <w:i/>
          <w:sz w:val="20"/>
        </w:rPr>
        <w:t>First R&amp;O</w:t>
      </w:r>
      <w:r>
        <w:rPr>
          <w:sz w:val="20"/>
        </w:rPr>
        <w:t xml:space="preserve">, 25 FCC Rcd at 1596-97; </w:t>
      </w:r>
      <w:r w:rsidR="00F421AA" w:rsidRPr="00666447">
        <w:rPr>
          <w:i/>
          <w:sz w:val="20"/>
        </w:rPr>
        <w:t>Rural</w:t>
      </w:r>
      <w:r w:rsidR="00F421AA">
        <w:rPr>
          <w:sz w:val="20"/>
        </w:rPr>
        <w:t xml:space="preserve"> </w:t>
      </w:r>
      <w:r w:rsidR="00C44D99">
        <w:rPr>
          <w:i/>
          <w:sz w:val="20"/>
        </w:rPr>
        <w:t>Second R&amp;O</w:t>
      </w:r>
      <w:r>
        <w:rPr>
          <w:sz w:val="20"/>
        </w:rPr>
        <w:t xml:space="preserve">, 26 FCC Rcd </w:t>
      </w:r>
      <w:r w:rsidR="00C44D99">
        <w:rPr>
          <w:sz w:val="20"/>
        </w:rPr>
        <w:t>at</w:t>
      </w:r>
      <w:r>
        <w:rPr>
          <w:sz w:val="20"/>
        </w:rPr>
        <w:t xml:space="preserve"> 2561-63, 2586-87.  </w:t>
      </w:r>
      <w:r w:rsidRPr="00AE3317">
        <w:rPr>
          <w:i/>
          <w:sz w:val="20"/>
        </w:rPr>
        <w:t>See also</w:t>
      </w:r>
      <w:r>
        <w:rPr>
          <w:sz w:val="20"/>
        </w:rPr>
        <w:t xml:space="preserve"> 47 C.F.R. § 73.3573, Note 5.</w:t>
      </w:r>
    </w:p>
  </w:footnote>
  <w:footnote w:id="10">
    <w:p w:rsidR="009900BB" w:rsidRPr="008A18EF" w:rsidRDefault="009900BB" w:rsidP="009900BB">
      <w:pPr>
        <w:pStyle w:val="FootnoteText"/>
        <w:rPr>
          <w:sz w:val="20"/>
        </w:rPr>
      </w:pPr>
      <w:r>
        <w:rPr>
          <w:rStyle w:val="FootnoteReference"/>
        </w:rPr>
        <w:footnoteRef/>
      </w:r>
      <w:r>
        <w:t xml:space="preserve"> </w:t>
      </w:r>
      <w:r w:rsidRPr="008A18EF">
        <w:rPr>
          <w:i/>
          <w:sz w:val="20"/>
        </w:rPr>
        <w:t>See generally Rural Third R&amp;O</w:t>
      </w:r>
      <w:r>
        <w:rPr>
          <w:sz w:val="20"/>
        </w:rPr>
        <w:t>, 26 FCC Rcd at 17646-48.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6C" w:rsidRDefault="001F00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6C" w:rsidRDefault="001F00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BB" w:rsidRDefault="009900B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2336" behindDoc="0" locked="0" layoutInCell="0" allowOverlap="1" wp14:anchorId="2BA80D68" wp14:editId="69171BBB">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9264" behindDoc="0" locked="0" layoutInCell="0" allowOverlap="1" wp14:anchorId="368FC3AE" wp14:editId="4452AF85">
              <wp:simplePos x="0" y="0"/>
              <wp:positionH relativeFrom="column">
                <wp:posOffset>604520</wp:posOffset>
              </wp:positionH>
              <wp:positionV relativeFrom="paragraph">
                <wp:posOffset>731520</wp:posOffset>
              </wp:positionV>
              <wp:extent cx="3108960" cy="6400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0BB" w:rsidRDefault="009900BB">
                          <w:pPr>
                            <w:rPr>
                              <w:rFonts w:ascii="Arial" w:hAnsi="Arial"/>
                              <w:b/>
                            </w:rPr>
                          </w:pPr>
                          <w:r>
                            <w:rPr>
                              <w:rFonts w:ascii="Arial" w:hAnsi="Arial"/>
                              <w:b/>
                            </w:rPr>
                            <w:t>Federal Communications Commission</w:t>
                          </w:r>
                        </w:p>
                        <w:p w:rsidR="009900BB" w:rsidRDefault="00990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900BB" w:rsidRDefault="009900B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8FC3AE" id="_x0000_t202" coordsize="21600,21600" o:spt="202" path="m,l,21600r21600,l21600,xe">
              <v:stroke joinstyle="miter"/>
              <v:path gradientshapeok="t" o:connecttype="rect"/>
            </v:shapetype>
            <v:shape id="Text Box 3" o:spid="_x0000_s1026" type="#_x0000_t202" style="position:absolute;left:0;text-align:left;margin-left:47.6pt;margin-top:57.6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8XgwIAAA8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FivP&#10;F4MCAAAPBQAADgAAAAAAAAAAAAAAAAAuAgAAZHJzL2Uyb0RvYy54bWxQSwECLQAUAAYACAAAACEA&#10;YFnZv94AAAAKAQAADwAAAAAAAAAAAAAAAADdBAAAZHJzL2Rvd25yZXYueG1sUEsFBgAAAAAEAAQA&#10;8wAAAOgFAAAAAA==&#10;" o:allowincell="f" stroked="f">
              <v:textbox>
                <w:txbxContent>
                  <w:p w:rsidR="009900BB" w:rsidRDefault="009900BB">
                    <w:pPr>
                      <w:rPr>
                        <w:rFonts w:ascii="Arial" w:hAnsi="Arial"/>
                        <w:b/>
                      </w:rPr>
                    </w:pPr>
                    <w:r>
                      <w:rPr>
                        <w:rFonts w:ascii="Arial" w:hAnsi="Arial"/>
                        <w:b/>
                      </w:rPr>
                      <w:t>Federal Communications Commission</w:t>
                    </w:r>
                  </w:p>
                  <w:p w:rsidR="009900BB" w:rsidRDefault="00990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900BB" w:rsidRDefault="009900BB">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9900BB" w:rsidRDefault="009900B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14:anchorId="33245BD5" wp14:editId="14E3BE0B">
              <wp:simplePos x="0" y="0"/>
              <wp:positionH relativeFrom="column">
                <wp:posOffset>0</wp:posOffset>
              </wp:positionH>
              <wp:positionV relativeFrom="paragraph">
                <wp:posOffset>697865</wp:posOffset>
              </wp:positionV>
              <wp:extent cx="6858000" cy="254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AEF4E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" o:allowincell="f"/>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0" allowOverlap="1" wp14:anchorId="7FFE604B" wp14:editId="5CC11534">
              <wp:simplePos x="0" y="0"/>
              <wp:positionH relativeFrom="column">
                <wp:posOffset>4276090</wp:posOffset>
              </wp:positionH>
              <wp:positionV relativeFrom="paragraph">
                <wp:posOffset>130175</wp:posOffset>
              </wp:positionV>
              <wp:extent cx="2640965" cy="548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0BB" w:rsidRDefault="009900BB">
                          <w:pPr>
                            <w:spacing w:before="40"/>
                            <w:jc w:val="right"/>
                            <w:rPr>
                              <w:rFonts w:ascii="Arial" w:hAnsi="Arial"/>
                              <w:b/>
                              <w:sz w:val="16"/>
                            </w:rPr>
                          </w:pPr>
                          <w:r>
                            <w:rPr>
                              <w:rFonts w:ascii="Arial" w:hAnsi="Arial"/>
                              <w:b/>
                              <w:sz w:val="16"/>
                            </w:rPr>
                            <w:t>News Media Information 202 / 418-0500</w:t>
                          </w:r>
                        </w:p>
                        <w:p w:rsidR="009900BB" w:rsidRDefault="00990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900BB" w:rsidRDefault="009900BB">
                          <w:pPr>
                            <w:jc w:val="right"/>
                            <w:rPr>
                              <w:rFonts w:ascii="Arial" w:hAnsi="Arial"/>
                              <w:b/>
                              <w:sz w:val="16"/>
                            </w:rPr>
                          </w:pPr>
                          <w:r>
                            <w:rPr>
                              <w:rFonts w:ascii="Arial" w:hAnsi="Arial"/>
                              <w:b/>
                              <w:sz w:val="16"/>
                            </w:rPr>
                            <w:t>TTY: 1-888-835-5322</w:t>
                          </w:r>
                        </w:p>
                        <w:p w:rsidR="009900BB" w:rsidRDefault="009900B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FE604B" id="Text Box 1" o:spid="_x0000_s1027" type="#_x0000_t202" style="position:absolute;left:0;text-align:left;margin-left:336.7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" o:allowincell="f" stroked="f">
              <v:textbox inset=",0,,0">
                <w:txbxContent>
                  <w:p w:rsidR="009900BB" w:rsidRDefault="009900BB">
                    <w:pPr>
                      <w:spacing w:before="40"/>
                      <w:jc w:val="right"/>
                      <w:rPr>
                        <w:rFonts w:ascii="Arial" w:hAnsi="Arial"/>
                        <w:b/>
                        <w:sz w:val="16"/>
                      </w:rPr>
                    </w:pPr>
                    <w:r>
                      <w:rPr>
                        <w:rFonts w:ascii="Arial" w:hAnsi="Arial"/>
                        <w:b/>
                        <w:sz w:val="16"/>
                      </w:rPr>
                      <w:t>News Media Information 202 / 418-0500</w:t>
                    </w:r>
                  </w:p>
                  <w:p w:rsidR="009900BB" w:rsidRDefault="009900B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900BB" w:rsidRDefault="009900BB">
                    <w:pPr>
                      <w:jc w:val="right"/>
                      <w:rPr>
                        <w:rFonts w:ascii="Arial" w:hAnsi="Arial"/>
                        <w:b/>
                        <w:sz w:val="16"/>
                      </w:rPr>
                    </w:pPr>
                    <w:r>
                      <w:rPr>
                        <w:rFonts w:ascii="Arial" w:hAnsi="Arial"/>
                        <w:b/>
                        <w:sz w:val="16"/>
                      </w:rPr>
                      <w:t>TTY: 1-888-835-5322</w:t>
                    </w:r>
                  </w:p>
                  <w:p w:rsidR="009900BB" w:rsidRDefault="009900BB">
                    <w:pPr>
                      <w:jc w:val="right"/>
                    </w:pPr>
                  </w:p>
                </w:txbxContent>
              </v:textbox>
            </v:shape>
          </w:pict>
        </mc:Fallback>
      </mc:AlternateContent>
    </w:r>
  </w:p>
  <w:p w:rsidR="009900BB" w:rsidRDefault="009900BB">
    <w:pPr>
      <w:pStyle w:val="Header"/>
      <w:tabs>
        <w:tab w:val="clear" w:pos="4320"/>
        <w:tab w:val="clear" w:pos="8640"/>
        <w:tab w:val="left" w:pos="1080"/>
      </w:tabs>
      <w:ind w:left="720"/>
      <w:rPr>
        <w:rFonts w:ascii="Arial" w:hAnsi="Arial"/>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BB"/>
    <w:rsid w:val="00010E14"/>
    <w:rsid w:val="00066BA6"/>
    <w:rsid w:val="00071EBE"/>
    <w:rsid w:val="000B3407"/>
    <w:rsid w:val="00190049"/>
    <w:rsid w:val="00191503"/>
    <w:rsid w:val="001D586C"/>
    <w:rsid w:val="001F006C"/>
    <w:rsid w:val="001F0C86"/>
    <w:rsid w:val="002033AB"/>
    <w:rsid w:val="002C0B5A"/>
    <w:rsid w:val="002C4D33"/>
    <w:rsid w:val="002D5E41"/>
    <w:rsid w:val="002F4E54"/>
    <w:rsid w:val="00323CE4"/>
    <w:rsid w:val="003329C5"/>
    <w:rsid w:val="0033550A"/>
    <w:rsid w:val="00351707"/>
    <w:rsid w:val="004027A1"/>
    <w:rsid w:val="004057CD"/>
    <w:rsid w:val="00457B87"/>
    <w:rsid w:val="004629DD"/>
    <w:rsid w:val="00466B14"/>
    <w:rsid w:val="004E22B6"/>
    <w:rsid w:val="0053100B"/>
    <w:rsid w:val="005D078B"/>
    <w:rsid w:val="006532E9"/>
    <w:rsid w:val="00666447"/>
    <w:rsid w:val="00673EFC"/>
    <w:rsid w:val="006804F1"/>
    <w:rsid w:val="006A15AB"/>
    <w:rsid w:val="006C542E"/>
    <w:rsid w:val="006F749A"/>
    <w:rsid w:val="00703AFE"/>
    <w:rsid w:val="007B779A"/>
    <w:rsid w:val="007C44EC"/>
    <w:rsid w:val="00802105"/>
    <w:rsid w:val="008F1C47"/>
    <w:rsid w:val="009439A6"/>
    <w:rsid w:val="00955A1D"/>
    <w:rsid w:val="00971374"/>
    <w:rsid w:val="009900BB"/>
    <w:rsid w:val="009B780E"/>
    <w:rsid w:val="00A30DD6"/>
    <w:rsid w:val="00A43C66"/>
    <w:rsid w:val="00A80345"/>
    <w:rsid w:val="00AC340C"/>
    <w:rsid w:val="00AD5F09"/>
    <w:rsid w:val="00AF51FB"/>
    <w:rsid w:val="00B0337E"/>
    <w:rsid w:val="00B25977"/>
    <w:rsid w:val="00B41935"/>
    <w:rsid w:val="00B61909"/>
    <w:rsid w:val="00B8194D"/>
    <w:rsid w:val="00B86751"/>
    <w:rsid w:val="00B94901"/>
    <w:rsid w:val="00BB2E96"/>
    <w:rsid w:val="00BD0E8F"/>
    <w:rsid w:val="00BE05EB"/>
    <w:rsid w:val="00BE3E7F"/>
    <w:rsid w:val="00C27D82"/>
    <w:rsid w:val="00C44D99"/>
    <w:rsid w:val="00CA46E8"/>
    <w:rsid w:val="00CB1EAA"/>
    <w:rsid w:val="00D47A3A"/>
    <w:rsid w:val="00D674C6"/>
    <w:rsid w:val="00DF09DA"/>
    <w:rsid w:val="00E15ED7"/>
    <w:rsid w:val="00E450E4"/>
    <w:rsid w:val="00EC39A2"/>
    <w:rsid w:val="00EE2225"/>
    <w:rsid w:val="00EF24C7"/>
    <w:rsid w:val="00F1078A"/>
    <w:rsid w:val="00F374FC"/>
    <w:rsid w:val="00F421AA"/>
    <w:rsid w:val="00F5460A"/>
    <w:rsid w:val="00F9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900BB"/>
    <w:pPr>
      <w:tabs>
        <w:tab w:val="center" w:pos="4320"/>
        <w:tab w:val="right" w:pos="8640"/>
      </w:tabs>
    </w:pPr>
  </w:style>
  <w:style w:type="character" w:customStyle="1" w:styleId="HeaderChar">
    <w:name w:val="Header Char"/>
    <w:basedOn w:val="DefaultParagraphFont"/>
    <w:link w:val="Header"/>
    <w:semiHidden/>
    <w:rsid w:val="009900BB"/>
    <w:rPr>
      <w:rFonts w:ascii="Times New Roman" w:eastAsia="Times New Roman" w:hAnsi="Times New Roman" w:cs="Times New Roman"/>
      <w:szCs w:val="20"/>
    </w:rPr>
  </w:style>
  <w:style w:type="paragraph" w:styleId="Footer">
    <w:name w:val="footer"/>
    <w:basedOn w:val="Normal"/>
    <w:link w:val="FooterChar"/>
    <w:uiPriority w:val="99"/>
    <w:rsid w:val="009900BB"/>
    <w:pPr>
      <w:tabs>
        <w:tab w:val="center" w:pos="4320"/>
        <w:tab w:val="right" w:pos="8640"/>
      </w:tabs>
    </w:pPr>
  </w:style>
  <w:style w:type="character" w:customStyle="1" w:styleId="FooterChar">
    <w:name w:val="Footer Char"/>
    <w:basedOn w:val="DefaultParagraphFont"/>
    <w:link w:val="Footer"/>
    <w:uiPriority w:val="99"/>
    <w:rsid w:val="009900BB"/>
    <w:rPr>
      <w:rFonts w:ascii="Times New Roman" w:eastAsia="Times New Roman" w:hAnsi="Times New Roman" w:cs="Times New Roman"/>
      <w:szCs w:val="20"/>
    </w:rPr>
  </w:style>
  <w:style w:type="character" w:styleId="Hyperlink">
    <w:name w:val="Hyperlink"/>
    <w:semiHidden/>
    <w:rsid w:val="009900BB"/>
    <w:rPr>
      <w:color w:val="0000FF"/>
      <w:u w:val="single"/>
    </w:rPr>
  </w:style>
  <w:style w:type="character" w:styleId="FootnoteReference">
    <w:name w:val="footnote reference"/>
    <w:aliases w:val="Style 12,(NECG) Footnote Reference,Appel note de bas de p,Style 124"/>
    <w:semiHidden/>
    <w:rsid w:val="009900BB"/>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ootnote Text Char5"/>
    <w:basedOn w:val="Normal"/>
    <w:link w:val="FootnoteTextChar1"/>
    <w:semiHidden/>
    <w:rsid w:val="009900BB"/>
    <w:pPr>
      <w:tabs>
        <w:tab w:val="left" w:pos="720"/>
      </w:tabs>
      <w:spacing w:after="200"/>
    </w:pPr>
  </w:style>
  <w:style w:type="character" w:customStyle="1" w:styleId="FootnoteTextChar">
    <w:name w:val="Footnote Text Char"/>
    <w:basedOn w:val="DefaultParagraphFont"/>
    <w:uiPriority w:val="99"/>
    <w:semiHidden/>
    <w:rsid w:val="009900BB"/>
    <w:rPr>
      <w:rFonts w:ascii="Times New Roman" w:eastAsia="Times New Roman" w:hAnsi="Times New Roman" w:cs="Times New Roman"/>
      <w:sz w:val="20"/>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
    <w:link w:val="FootnoteText"/>
    <w:semiHidden/>
    <w:rsid w:val="009900B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5460A"/>
    <w:rPr>
      <w:rFonts w:ascii="Tahoma" w:hAnsi="Tahoma" w:cs="Tahoma"/>
      <w:sz w:val="16"/>
      <w:szCs w:val="16"/>
    </w:rPr>
  </w:style>
  <w:style w:type="character" w:customStyle="1" w:styleId="BalloonTextChar">
    <w:name w:val="Balloon Text Char"/>
    <w:basedOn w:val="DefaultParagraphFont"/>
    <w:link w:val="BalloonText"/>
    <w:uiPriority w:val="99"/>
    <w:semiHidden/>
    <w:rsid w:val="00F546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900BB"/>
    <w:pPr>
      <w:tabs>
        <w:tab w:val="center" w:pos="4320"/>
        <w:tab w:val="right" w:pos="8640"/>
      </w:tabs>
    </w:pPr>
  </w:style>
  <w:style w:type="character" w:customStyle="1" w:styleId="HeaderChar">
    <w:name w:val="Header Char"/>
    <w:basedOn w:val="DefaultParagraphFont"/>
    <w:link w:val="Header"/>
    <w:semiHidden/>
    <w:rsid w:val="009900BB"/>
    <w:rPr>
      <w:rFonts w:ascii="Times New Roman" w:eastAsia="Times New Roman" w:hAnsi="Times New Roman" w:cs="Times New Roman"/>
      <w:szCs w:val="20"/>
    </w:rPr>
  </w:style>
  <w:style w:type="paragraph" w:styleId="Footer">
    <w:name w:val="footer"/>
    <w:basedOn w:val="Normal"/>
    <w:link w:val="FooterChar"/>
    <w:uiPriority w:val="99"/>
    <w:rsid w:val="009900BB"/>
    <w:pPr>
      <w:tabs>
        <w:tab w:val="center" w:pos="4320"/>
        <w:tab w:val="right" w:pos="8640"/>
      </w:tabs>
    </w:pPr>
  </w:style>
  <w:style w:type="character" w:customStyle="1" w:styleId="FooterChar">
    <w:name w:val="Footer Char"/>
    <w:basedOn w:val="DefaultParagraphFont"/>
    <w:link w:val="Footer"/>
    <w:uiPriority w:val="99"/>
    <w:rsid w:val="009900BB"/>
    <w:rPr>
      <w:rFonts w:ascii="Times New Roman" w:eastAsia="Times New Roman" w:hAnsi="Times New Roman" w:cs="Times New Roman"/>
      <w:szCs w:val="20"/>
    </w:rPr>
  </w:style>
  <w:style w:type="character" w:styleId="Hyperlink">
    <w:name w:val="Hyperlink"/>
    <w:semiHidden/>
    <w:rsid w:val="009900BB"/>
    <w:rPr>
      <w:color w:val="0000FF"/>
      <w:u w:val="single"/>
    </w:rPr>
  </w:style>
  <w:style w:type="character" w:styleId="FootnoteReference">
    <w:name w:val="footnote reference"/>
    <w:aliases w:val="Style 12,(NECG) Footnote Reference,Appel note de bas de p,Style 124"/>
    <w:semiHidden/>
    <w:rsid w:val="009900BB"/>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ootnote Text Char5"/>
    <w:basedOn w:val="Normal"/>
    <w:link w:val="FootnoteTextChar1"/>
    <w:semiHidden/>
    <w:rsid w:val="009900BB"/>
    <w:pPr>
      <w:tabs>
        <w:tab w:val="left" w:pos="720"/>
      </w:tabs>
      <w:spacing w:after="200"/>
    </w:pPr>
  </w:style>
  <w:style w:type="character" w:customStyle="1" w:styleId="FootnoteTextChar">
    <w:name w:val="Footnote Text Char"/>
    <w:basedOn w:val="DefaultParagraphFont"/>
    <w:uiPriority w:val="99"/>
    <w:semiHidden/>
    <w:rsid w:val="009900BB"/>
    <w:rPr>
      <w:rFonts w:ascii="Times New Roman" w:eastAsia="Times New Roman" w:hAnsi="Times New Roman" w:cs="Times New Roman"/>
      <w:sz w:val="20"/>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
    <w:link w:val="FootnoteText"/>
    <w:semiHidden/>
    <w:rsid w:val="009900B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5460A"/>
    <w:rPr>
      <w:rFonts w:ascii="Tahoma" w:hAnsi="Tahoma" w:cs="Tahoma"/>
      <w:sz w:val="16"/>
      <w:szCs w:val="16"/>
    </w:rPr>
  </w:style>
  <w:style w:type="character" w:customStyle="1" w:styleId="BalloonTextChar">
    <w:name w:val="Balloon Text Char"/>
    <w:basedOn w:val="DefaultParagraphFont"/>
    <w:link w:val="BalloonText"/>
    <w:uiPriority w:val="99"/>
    <w:semiHidden/>
    <w:rsid w:val="00F546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James.Bradshaw@fcc.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Thomas.Nessinger@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4443</Characters>
  <Application>Microsoft Office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2013-11-21T16:55:00Z</cp:lastPrinted>
  <dcterms:created xsi:type="dcterms:W3CDTF">2015-07-10T11:53:00Z</dcterms:created>
  <dcterms:modified xsi:type="dcterms:W3CDTF">2015-07-10T11:53:00Z</dcterms:modified>
  <cp:category> </cp:category>
  <cp:contentStatus> </cp:contentStatus>
</cp:coreProperties>
</file>