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C7" w:rsidRPr="003C2B31" w:rsidRDefault="009775C7">
      <w:pPr>
        <w:jc w:val="center"/>
        <w:rPr>
          <w:b/>
          <w:kern w:val="0"/>
          <w:szCs w:val="22"/>
        </w:rPr>
      </w:pPr>
      <w:bookmarkStart w:id="0" w:name="_GoBack"/>
      <w:bookmarkEnd w:id="0"/>
    </w:p>
    <w:p w:rsidR="004C2EE3" w:rsidRPr="003C2B31" w:rsidRDefault="004C2EE3">
      <w:pPr>
        <w:jc w:val="center"/>
        <w:rPr>
          <w:b/>
          <w:szCs w:val="22"/>
        </w:rPr>
      </w:pPr>
      <w:r w:rsidRPr="003C2B31">
        <w:rPr>
          <w:b/>
          <w:kern w:val="0"/>
          <w:szCs w:val="22"/>
        </w:rPr>
        <w:t>Before</w:t>
      </w:r>
      <w:r w:rsidRPr="003C2B31">
        <w:rPr>
          <w:b/>
          <w:szCs w:val="22"/>
        </w:rPr>
        <w:t xml:space="preserve"> the</w:t>
      </w:r>
    </w:p>
    <w:p w:rsidR="00921803" w:rsidRPr="003C2B31" w:rsidRDefault="00921803" w:rsidP="00921803">
      <w:pPr>
        <w:pStyle w:val="StyleBoldCentered"/>
        <w:rPr>
          <w:rFonts w:ascii="Times New Roman" w:hAnsi="Times New Roman"/>
        </w:rPr>
      </w:pPr>
      <w:r w:rsidRPr="003C2B31">
        <w:rPr>
          <w:rFonts w:ascii="Times New Roman" w:hAnsi="Times New Roman"/>
        </w:rPr>
        <w:t>F</w:t>
      </w:r>
      <w:r w:rsidRPr="003C2B31">
        <w:rPr>
          <w:rFonts w:ascii="Times New Roman" w:hAnsi="Times New Roman"/>
          <w:caps w:val="0"/>
        </w:rPr>
        <w:t>ederal Communications Commission</w:t>
      </w:r>
    </w:p>
    <w:p w:rsidR="004C2EE3" w:rsidRPr="003C2B31" w:rsidRDefault="00810B6F" w:rsidP="00096D8C">
      <w:pPr>
        <w:pStyle w:val="StyleBoldCentered"/>
        <w:rPr>
          <w:rFonts w:ascii="Times New Roman" w:hAnsi="Times New Roman"/>
        </w:rPr>
      </w:pPr>
      <w:r w:rsidRPr="003C2B31">
        <w:rPr>
          <w:rFonts w:ascii="Times New Roman" w:hAnsi="Times New Roman"/>
          <w:caps w:val="0"/>
        </w:rPr>
        <w:t>Washington, D.C. 20554</w:t>
      </w:r>
    </w:p>
    <w:p w:rsidR="004C2EE3" w:rsidRPr="003C2B31" w:rsidRDefault="004C2EE3" w:rsidP="0070224F">
      <w:pPr>
        <w:rPr>
          <w:szCs w:val="22"/>
        </w:rPr>
      </w:pPr>
    </w:p>
    <w:p w:rsidR="004C2EE3" w:rsidRPr="003C2B31"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3C2B31">
        <w:tc>
          <w:tcPr>
            <w:tcW w:w="4698" w:type="dxa"/>
          </w:tcPr>
          <w:p w:rsidR="004C2EE3" w:rsidRPr="003C2B31" w:rsidRDefault="004C2EE3">
            <w:pPr>
              <w:tabs>
                <w:tab w:val="center" w:pos="4680"/>
              </w:tabs>
              <w:suppressAutoHyphens/>
              <w:rPr>
                <w:spacing w:val="-2"/>
                <w:szCs w:val="22"/>
              </w:rPr>
            </w:pPr>
            <w:r w:rsidRPr="003C2B31">
              <w:rPr>
                <w:spacing w:val="-2"/>
                <w:szCs w:val="22"/>
              </w:rPr>
              <w:t>In the Matter of</w:t>
            </w:r>
          </w:p>
          <w:p w:rsidR="004C2EE3" w:rsidRPr="003C2B31" w:rsidRDefault="004C2EE3">
            <w:pPr>
              <w:tabs>
                <w:tab w:val="center" w:pos="4680"/>
              </w:tabs>
              <w:suppressAutoHyphens/>
              <w:rPr>
                <w:spacing w:val="-2"/>
                <w:szCs w:val="22"/>
              </w:rPr>
            </w:pPr>
          </w:p>
          <w:p w:rsidR="004C2EE3" w:rsidRPr="003C2B31" w:rsidRDefault="00B51AD8" w:rsidP="007115F7">
            <w:pPr>
              <w:tabs>
                <w:tab w:val="center" w:pos="4680"/>
              </w:tabs>
              <w:suppressAutoHyphens/>
              <w:rPr>
                <w:spacing w:val="-2"/>
                <w:szCs w:val="22"/>
              </w:rPr>
            </w:pPr>
            <w:r w:rsidRPr="003C2B31">
              <w:rPr>
                <w:spacing w:val="-2"/>
                <w:szCs w:val="22"/>
              </w:rPr>
              <w:t>James Chelmowski</w:t>
            </w:r>
          </w:p>
          <w:p w:rsidR="00557632" w:rsidRPr="003C2B31" w:rsidRDefault="00557632" w:rsidP="007115F7">
            <w:pPr>
              <w:tabs>
                <w:tab w:val="center" w:pos="4680"/>
              </w:tabs>
              <w:suppressAutoHyphens/>
              <w:rPr>
                <w:spacing w:val="-2"/>
                <w:szCs w:val="22"/>
              </w:rPr>
            </w:pPr>
            <w:r w:rsidRPr="003C2B31">
              <w:rPr>
                <w:spacing w:val="-2"/>
                <w:szCs w:val="22"/>
              </w:rPr>
              <w:t xml:space="preserve">     Complainant,</w:t>
            </w:r>
          </w:p>
          <w:p w:rsidR="00557632" w:rsidRPr="003C2B31" w:rsidRDefault="00557632" w:rsidP="007115F7">
            <w:pPr>
              <w:tabs>
                <w:tab w:val="center" w:pos="4680"/>
              </w:tabs>
              <w:suppressAutoHyphens/>
              <w:rPr>
                <w:spacing w:val="-2"/>
                <w:szCs w:val="22"/>
              </w:rPr>
            </w:pPr>
          </w:p>
          <w:p w:rsidR="00557632" w:rsidRPr="003C2B31" w:rsidRDefault="00557632" w:rsidP="007115F7">
            <w:pPr>
              <w:tabs>
                <w:tab w:val="center" w:pos="4680"/>
              </w:tabs>
              <w:suppressAutoHyphens/>
              <w:rPr>
                <w:spacing w:val="-2"/>
                <w:szCs w:val="22"/>
              </w:rPr>
            </w:pPr>
            <w:r w:rsidRPr="003C2B31">
              <w:rPr>
                <w:spacing w:val="-2"/>
                <w:szCs w:val="22"/>
              </w:rPr>
              <w:t>v.</w:t>
            </w:r>
          </w:p>
          <w:p w:rsidR="00557632" w:rsidRPr="003C2B31" w:rsidRDefault="00557632" w:rsidP="007115F7">
            <w:pPr>
              <w:tabs>
                <w:tab w:val="center" w:pos="4680"/>
              </w:tabs>
              <w:suppressAutoHyphens/>
              <w:rPr>
                <w:spacing w:val="-2"/>
                <w:szCs w:val="22"/>
              </w:rPr>
            </w:pPr>
          </w:p>
          <w:p w:rsidR="00557632" w:rsidRPr="003C2B31" w:rsidRDefault="00557632" w:rsidP="007115F7">
            <w:pPr>
              <w:tabs>
                <w:tab w:val="center" w:pos="4680"/>
              </w:tabs>
              <w:suppressAutoHyphens/>
              <w:rPr>
                <w:spacing w:val="-2"/>
                <w:szCs w:val="22"/>
              </w:rPr>
            </w:pPr>
            <w:r w:rsidRPr="003C2B31">
              <w:rPr>
                <w:spacing w:val="-2"/>
                <w:szCs w:val="22"/>
              </w:rPr>
              <w:t>AT&amp;T Mobility LLC,</w:t>
            </w:r>
          </w:p>
          <w:p w:rsidR="00557632" w:rsidRPr="003C2B31" w:rsidRDefault="00557632" w:rsidP="007115F7">
            <w:pPr>
              <w:tabs>
                <w:tab w:val="center" w:pos="4680"/>
              </w:tabs>
              <w:suppressAutoHyphens/>
              <w:rPr>
                <w:spacing w:val="-2"/>
                <w:szCs w:val="22"/>
              </w:rPr>
            </w:pPr>
            <w:r w:rsidRPr="003C2B31">
              <w:rPr>
                <w:spacing w:val="-2"/>
                <w:szCs w:val="22"/>
              </w:rPr>
              <w:t xml:space="preserve">     Defendant</w:t>
            </w:r>
          </w:p>
          <w:p w:rsidR="00557632" w:rsidRPr="003C2B31" w:rsidRDefault="00557632" w:rsidP="007115F7">
            <w:pPr>
              <w:tabs>
                <w:tab w:val="center" w:pos="4680"/>
              </w:tabs>
              <w:suppressAutoHyphens/>
              <w:rPr>
                <w:spacing w:val="-2"/>
                <w:szCs w:val="22"/>
              </w:rPr>
            </w:pPr>
          </w:p>
        </w:tc>
        <w:tc>
          <w:tcPr>
            <w:tcW w:w="630" w:type="dxa"/>
          </w:tcPr>
          <w:p w:rsidR="004C2EE3" w:rsidRPr="003C2B31" w:rsidRDefault="004C2EE3">
            <w:pPr>
              <w:tabs>
                <w:tab w:val="center" w:pos="4680"/>
              </w:tabs>
              <w:suppressAutoHyphens/>
              <w:rPr>
                <w:b/>
                <w:spacing w:val="-2"/>
                <w:szCs w:val="22"/>
              </w:rPr>
            </w:pPr>
            <w:r w:rsidRPr="003C2B31">
              <w:rPr>
                <w:b/>
                <w:spacing w:val="-2"/>
                <w:szCs w:val="22"/>
              </w:rPr>
              <w:t>)</w:t>
            </w:r>
          </w:p>
          <w:p w:rsidR="004C2EE3" w:rsidRPr="003C2B31" w:rsidRDefault="004C2EE3">
            <w:pPr>
              <w:tabs>
                <w:tab w:val="center" w:pos="4680"/>
              </w:tabs>
              <w:suppressAutoHyphens/>
              <w:rPr>
                <w:b/>
                <w:spacing w:val="-2"/>
                <w:szCs w:val="22"/>
              </w:rPr>
            </w:pPr>
            <w:r w:rsidRPr="003C2B31">
              <w:rPr>
                <w:b/>
                <w:spacing w:val="-2"/>
                <w:szCs w:val="22"/>
              </w:rPr>
              <w:t>)</w:t>
            </w:r>
          </w:p>
          <w:p w:rsidR="004C2EE3" w:rsidRPr="003C2B31" w:rsidRDefault="004C2EE3">
            <w:pPr>
              <w:tabs>
                <w:tab w:val="center" w:pos="4680"/>
              </w:tabs>
              <w:suppressAutoHyphens/>
              <w:rPr>
                <w:b/>
                <w:spacing w:val="-2"/>
                <w:szCs w:val="22"/>
              </w:rPr>
            </w:pPr>
            <w:r w:rsidRPr="003C2B31">
              <w:rPr>
                <w:b/>
                <w:spacing w:val="-2"/>
                <w:szCs w:val="22"/>
              </w:rPr>
              <w:t>)</w:t>
            </w:r>
          </w:p>
          <w:p w:rsidR="004C2EE3" w:rsidRPr="003C2B31" w:rsidRDefault="004C2EE3">
            <w:pPr>
              <w:tabs>
                <w:tab w:val="center" w:pos="4680"/>
              </w:tabs>
              <w:suppressAutoHyphens/>
              <w:rPr>
                <w:b/>
                <w:spacing w:val="-2"/>
                <w:szCs w:val="22"/>
              </w:rPr>
            </w:pPr>
            <w:r w:rsidRPr="003C2B31">
              <w:rPr>
                <w:b/>
                <w:spacing w:val="-2"/>
                <w:szCs w:val="22"/>
              </w:rPr>
              <w:t>)</w:t>
            </w:r>
          </w:p>
          <w:p w:rsidR="004C2EE3" w:rsidRPr="003C2B31" w:rsidRDefault="004C2EE3">
            <w:pPr>
              <w:tabs>
                <w:tab w:val="center" w:pos="4680"/>
              </w:tabs>
              <w:suppressAutoHyphens/>
              <w:rPr>
                <w:b/>
                <w:spacing w:val="-2"/>
                <w:szCs w:val="22"/>
              </w:rPr>
            </w:pPr>
            <w:r w:rsidRPr="003C2B31">
              <w:rPr>
                <w:b/>
                <w:spacing w:val="-2"/>
                <w:szCs w:val="22"/>
              </w:rPr>
              <w:t>)</w:t>
            </w:r>
          </w:p>
          <w:p w:rsidR="004C2EE3" w:rsidRPr="003C2B31" w:rsidRDefault="004C2EE3">
            <w:pPr>
              <w:tabs>
                <w:tab w:val="center" w:pos="4680"/>
              </w:tabs>
              <w:suppressAutoHyphens/>
              <w:rPr>
                <w:b/>
                <w:spacing w:val="-2"/>
                <w:szCs w:val="22"/>
              </w:rPr>
            </w:pPr>
            <w:r w:rsidRPr="003C2B31">
              <w:rPr>
                <w:b/>
                <w:spacing w:val="-2"/>
                <w:szCs w:val="22"/>
              </w:rPr>
              <w:t>)</w:t>
            </w:r>
          </w:p>
          <w:p w:rsidR="004C2EE3" w:rsidRPr="003C2B31" w:rsidRDefault="004C2EE3">
            <w:pPr>
              <w:tabs>
                <w:tab w:val="center" w:pos="4680"/>
              </w:tabs>
              <w:suppressAutoHyphens/>
              <w:rPr>
                <w:b/>
                <w:spacing w:val="-2"/>
                <w:szCs w:val="22"/>
              </w:rPr>
            </w:pPr>
            <w:r w:rsidRPr="003C2B31">
              <w:rPr>
                <w:b/>
                <w:spacing w:val="-2"/>
                <w:szCs w:val="22"/>
              </w:rPr>
              <w:t>)</w:t>
            </w:r>
          </w:p>
          <w:p w:rsidR="004C2EE3" w:rsidRPr="003C2B31" w:rsidRDefault="004C2EE3">
            <w:pPr>
              <w:tabs>
                <w:tab w:val="center" w:pos="4680"/>
              </w:tabs>
              <w:suppressAutoHyphens/>
              <w:rPr>
                <w:b/>
                <w:spacing w:val="-2"/>
                <w:szCs w:val="22"/>
              </w:rPr>
            </w:pPr>
            <w:r w:rsidRPr="003C2B31">
              <w:rPr>
                <w:b/>
                <w:spacing w:val="-2"/>
                <w:szCs w:val="22"/>
              </w:rPr>
              <w:t>)</w:t>
            </w:r>
          </w:p>
          <w:p w:rsidR="004C2EE3" w:rsidRPr="003C2B31" w:rsidRDefault="004C2EE3">
            <w:pPr>
              <w:tabs>
                <w:tab w:val="center" w:pos="4680"/>
              </w:tabs>
              <w:suppressAutoHyphens/>
              <w:rPr>
                <w:spacing w:val="-2"/>
                <w:szCs w:val="22"/>
              </w:rPr>
            </w:pPr>
            <w:r w:rsidRPr="003C2B31">
              <w:rPr>
                <w:b/>
                <w:spacing w:val="-2"/>
                <w:szCs w:val="22"/>
              </w:rPr>
              <w:t>)</w:t>
            </w:r>
          </w:p>
        </w:tc>
        <w:tc>
          <w:tcPr>
            <w:tcW w:w="4248" w:type="dxa"/>
          </w:tcPr>
          <w:p w:rsidR="004C2EE3" w:rsidRPr="003C2B31" w:rsidRDefault="004C2EE3">
            <w:pPr>
              <w:tabs>
                <w:tab w:val="center" w:pos="4680"/>
              </w:tabs>
              <w:suppressAutoHyphens/>
              <w:rPr>
                <w:spacing w:val="-2"/>
                <w:szCs w:val="22"/>
              </w:rPr>
            </w:pPr>
          </w:p>
          <w:p w:rsidR="004C2EE3" w:rsidRPr="003C2B31" w:rsidRDefault="004C2EE3">
            <w:pPr>
              <w:pStyle w:val="TOAHeading"/>
              <w:tabs>
                <w:tab w:val="clear" w:pos="9360"/>
                <w:tab w:val="center" w:pos="4680"/>
              </w:tabs>
              <w:rPr>
                <w:spacing w:val="-2"/>
                <w:szCs w:val="22"/>
              </w:rPr>
            </w:pPr>
          </w:p>
          <w:p w:rsidR="00BA044A" w:rsidRPr="003C2B31" w:rsidRDefault="00BA044A">
            <w:pPr>
              <w:tabs>
                <w:tab w:val="center" w:pos="4680"/>
              </w:tabs>
              <w:suppressAutoHyphens/>
              <w:rPr>
                <w:spacing w:val="-2"/>
                <w:szCs w:val="22"/>
              </w:rPr>
            </w:pPr>
          </w:p>
          <w:p w:rsidR="004C2EE3" w:rsidRPr="003C2B31" w:rsidRDefault="00557632">
            <w:pPr>
              <w:tabs>
                <w:tab w:val="center" w:pos="4680"/>
              </w:tabs>
              <w:suppressAutoHyphens/>
              <w:rPr>
                <w:spacing w:val="-2"/>
                <w:szCs w:val="22"/>
              </w:rPr>
            </w:pPr>
            <w:r w:rsidRPr="003C2B31">
              <w:rPr>
                <w:spacing w:val="-2"/>
                <w:szCs w:val="22"/>
              </w:rPr>
              <w:t>Proceeding No. 14-260</w:t>
            </w:r>
          </w:p>
          <w:p w:rsidR="00557632" w:rsidRPr="003C2B31" w:rsidRDefault="00557632">
            <w:pPr>
              <w:tabs>
                <w:tab w:val="center" w:pos="4680"/>
              </w:tabs>
              <w:suppressAutoHyphens/>
              <w:rPr>
                <w:spacing w:val="-2"/>
                <w:szCs w:val="22"/>
              </w:rPr>
            </w:pPr>
            <w:r w:rsidRPr="003C2B31">
              <w:rPr>
                <w:spacing w:val="-2"/>
                <w:szCs w:val="22"/>
              </w:rPr>
              <w:t>File No. EB-14-MD-016</w:t>
            </w:r>
          </w:p>
        </w:tc>
      </w:tr>
    </w:tbl>
    <w:p w:rsidR="00841AB1" w:rsidRPr="003C2B31" w:rsidRDefault="00557632" w:rsidP="00F021FA">
      <w:pPr>
        <w:pStyle w:val="StyleBoldCentered"/>
        <w:rPr>
          <w:rFonts w:ascii="Times New Roman" w:hAnsi="Times New Roman"/>
        </w:rPr>
      </w:pPr>
      <w:r w:rsidRPr="003C2B31">
        <w:rPr>
          <w:rFonts w:ascii="Times New Roman" w:hAnsi="Times New Roman"/>
        </w:rPr>
        <w:t>memorandum opinion and order</w:t>
      </w:r>
    </w:p>
    <w:p w:rsidR="004C2EE3" w:rsidRPr="003C2B31" w:rsidRDefault="004C2EE3">
      <w:pPr>
        <w:tabs>
          <w:tab w:val="left" w:pos="-720"/>
        </w:tabs>
        <w:suppressAutoHyphens/>
        <w:spacing w:line="227" w:lineRule="auto"/>
        <w:rPr>
          <w:spacing w:val="-2"/>
          <w:szCs w:val="22"/>
        </w:rPr>
      </w:pPr>
    </w:p>
    <w:p w:rsidR="004C2EE3" w:rsidRPr="003C2B31" w:rsidRDefault="004C2EE3" w:rsidP="00133F79">
      <w:pPr>
        <w:tabs>
          <w:tab w:val="left" w:pos="720"/>
          <w:tab w:val="right" w:pos="9360"/>
        </w:tabs>
        <w:suppressAutoHyphens/>
        <w:spacing w:line="227" w:lineRule="auto"/>
        <w:rPr>
          <w:spacing w:val="-2"/>
          <w:szCs w:val="22"/>
        </w:rPr>
      </w:pPr>
      <w:r w:rsidRPr="003C2B31">
        <w:rPr>
          <w:b/>
          <w:spacing w:val="-2"/>
          <w:szCs w:val="22"/>
        </w:rPr>
        <w:t xml:space="preserve">Adopted: </w:t>
      </w:r>
      <w:r w:rsidR="00533048">
        <w:rPr>
          <w:b/>
          <w:spacing w:val="-2"/>
          <w:szCs w:val="22"/>
        </w:rPr>
        <w:t>July 10, 2015</w:t>
      </w:r>
      <w:r w:rsidRPr="003C2B31">
        <w:rPr>
          <w:b/>
          <w:spacing w:val="-2"/>
          <w:szCs w:val="22"/>
        </w:rPr>
        <w:tab/>
      </w:r>
      <w:r w:rsidR="00822CE0" w:rsidRPr="003C2B31">
        <w:rPr>
          <w:b/>
          <w:spacing w:val="-2"/>
          <w:szCs w:val="22"/>
        </w:rPr>
        <w:t>Released</w:t>
      </w:r>
      <w:r w:rsidRPr="003C2B31">
        <w:rPr>
          <w:b/>
          <w:spacing w:val="-2"/>
          <w:szCs w:val="22"/>
        </w:rPr>
        <w:t>:</w:t>
      </w:r>
      <w:r w:rsidR="00822CE0" w:rsidRPr="003C2B31">
        <w:rPr>
          <w:b/>
          <w:spacing w:val="-2"/>
          <w:szCs w:val="22"/>
        </w:rPr>
        <w:t xml:space="preserve"> </w:t>
      </w:r>
      <w:r w:rsidR="00533048">
        <w:rPr>
          <w:b/>
          <w:spacing w:val="-2"/>
          <w:szCs w:val="22"/>
        </w:rPr>
        <w:t>July 10, 2015</w:t>
      </w:r>
    </w:p>
    <w:p w:rsidR="00822CE0" w:rsidRPr="003C2B31" w:rsidRDefault="00822CE0">
      <w:pPr>
        <w:rPr>
          <w:szCs w:val="22"/>
        </w:rPr>
      </w:pPr>
    </w:p>
    <w:p w:rsidR="00822CE0" w:rsidRPr="003C2B31" w:rsidRDefault="004C2EE3">
      <w:pPr>
        <w:rPr>
          <w:spacing w:val="-2"/>
          <w:szCs w:val="22"/>
        </w:rPr>
      </w:pPr>
      <w:r w:rsidRPr="003C2B31">
        <w:rPr>
          <w:szCs w:val="22"/>
        </w:rPr>
        <w:t xml:space="preserve">By </w:t>
      </w:r>
      <w:r w:rsidR="004E4A22" w:rsidRPr="003C2B31">
        <w:rPr>
          <w:szCs w:val="22"/>
        </w:rPr>
        <w:t>the</w:t>
      </w:r>
      <w:r w:rsidR="002A2D2E" w:rsidRPr="003C2B31">
        <w:rPr>
          <w:szCs w:val="22"/>
        </w:rPr>
        <w:t xml:space="preserve"> </w:t>
      </w:r>
      <w:r w:rsidR="00952871">
        <w:rPr>
          <w:szCs w:val="22"/>
        </w:rPr>
        <w:t xml:space="preserve">Chief, Enforcement </w:t>
      </w:r>
      <w:r w:rsidR="00557632" w:rsidRPr="003C2B31">
        <w:rPr>
          <w:spacing w:val="-2"/>
          <w:szCs w:val="22"/>
        </w:rPr>
        <w:t>Bureau</w:t>
      </w:r>
      <w:r w:rsidRPr="003C2B31">
        <w:rPr>
          <w:spacing w:val="-2"/>
          <w:szCs w:val="22"/>
        </w:rPr>
        <w:t>:</w:t>
      </w:r>
    </w:p>
    <w:p w:rsidR="00412FC5" w:rsidRPr="003C2B31" w:rsidRDefault="00412FC5" w:rsidP="00412FC5">
      <w:pPr>
        <w:rPr>
          <w:szCs w:val="22"/>
        </w:rPr>
      </w:pPr>
    </w:p>
    <w:p w:rsidR="002C00E8" w:rsidRPr="003C2B31" w:rsidRDefault="00421C05" w:rsidP="002C00E8">
      <w:pPr>
        <w:pStyle w:val="Heading1"/>
        <w:rPr>
          <w:rFonts w:ascii="Times New Roman" w:hAnsi="Times New Roman"/>
          <w:szCs w:val="22"/>
        </w:rPr>
      </w:pPr>
      <w:r w:rsidRPr="003C2B31">
        <w:rPr>
          <w:rFonts w:ascii="Times New Roman" w:hAnsi="Times New Roman"/>
          <w:szCs w:val="22"/>
        </w:rPr>
        <w:t>INTRODUCTION</w:t>
      </w:r>
    </w:p>
    <w:p w:rsidR="00CF6A9C" w:rsidRPr="003C2B31" w:rsidRDefault="004C1DD7" w:rsidP="00B123C7">
      <w:pPr>
        <w:pStyle w:val="ParaNum"/>
        <w:tabs>
          <w:tab w:val="clear" w:pos="1080"/>
          <w:tab w:val="num" w:pos="1440"/>
        </w:tabs>
        <w:rPr>
          <w:szCs w:val="22"/>
        </w:rPr>
      </w:pPr>
      <w:r w:rsidRPr="003C2B31">
        <w:rPr>
          <w:szCs w:val="22"/>
        </w:rPr>
        <w:t xml:space="preserve">The </w:t>
      </w:r>
      <w:r w:rsidR="00CF6A9C" w:rsidRPr="003C2B31">
        <w:rPr>
          <w:szCs w:val="22"/>
        </w:rPr>
        <w:t xml:space="preserve">Communications Act </w:t>
      </w:r>
      <w:r w:rsidRPr="003C2B31">
        <w:rPr>
          <w:szCs w:val="22"/>
        </w:rPr>
        <w:t>provides that a</w:t>
      </w:r>
      <w:r w:rsidR="00CF6A9C" w:rsidRPr="003C2B31">
        <w:rPr>
          <w:szCs w:val="22"/>
        </w:rPr>
        <w:t xml:space="preserve"> complaint against a carrier </w:t>
      </w:r>
      <w:r w:rsidR="00BC7E23" w:rsidRPr="003C2B31">
        <w:rPr>
          <w:szCs w:val="22"/>
        </w:rPr>
        <w:t>for the recovery of</w:t>
      </w:r>
      <w:r w:rsidR="002D5189" w:rsidRPr="003C2B31">
        <w:rPr>
          <w:szCs w:val="22"/>
        </w:rPr>
        <w:t xml:space="preserve"> </w:t>
      </w:r>
      <w:r w:rsidR="00CF6A9C" w:rsidRPr="003C2B31">
        <w:rPr>
          <w:szCs w:val="22"/>
        </w:rPr>
        <w:t xml:space="preserve">damages </w:t>
      </w:r>
      <w:r w:rsidRPr="003C2B31">
        <w:rPr>
          <w:szCs w:val="22"/>
        </w:rPr>
        <w:t xml:space="preserve">must be filed </w:t>
      </w:r>
      <w:r w:rsidR="00CF6A9C" w:rsidRPr="003C2B31">
        <w:rPr>
          <w:szCs w:val="22"/>
        </w:rPr>
        <w:t xml:space="preserve">within two years of </w:t>
      </w:r>
      <w:r w:rsidR="00F00DED" w:rsidRPr="003C2B31">
        <w:rPr>
          <w:szCs w:val="22"/>
        </w:rPr>
        <w:t>the injury.  In this O</w:t>
      </w:r>
      <w:r w:rsidR="00CF6A9C" w:rsidRPr="003C2B31">
        <w:rPr>
          <w:szCs w:val="22"/>
        </w:rPr>
        <w:t xml:space="preserve">rder, we </w:t>
      </w:r>
      <w:r w:rsidR="00CB2E54" w:rsidRPr="003C2B31">
        <w:rPr>
          <w:szCs w:val="22"/>
        </w:rPr>
        <w:t xml:space="preserve">dismiss </w:t>
      </w:r>
      <w:r w:rsidR="002D5189" w:rsidRPr="003C2B31">
        <w:rPr>
          <w:szCs w:val="22"/>
        </w:rPr>
        <w:t xml:space="preserve">such </w:t>
      </w:r>
      <w:r w:rsidR="00CF6A9C" w:rsidRPr="003C2B31">
        <w:rPr>
          <w:szCs w:val="22"/>
        </w:rPr>
        <w:t>a complaint</w:t>
      </w:r>
      <w:r w:rsidR="0018762E" w:rsidRPr="003C2B31">
        <w:rPr>
          <w:szCs w:val="22"/>
        </w:rPr>
        <w:t xml:space="preserve"> </w:t>
      </w:r>
      <w:r w:rsidRPr="003C2B31">
        <w:rPr>
          <w:szCs w:val="22"/>
        </w:rPr>
        <w:t xml:space="preserve">because it was filed outside </w:t>
      </w:r>
      <w:r w:rsidR="002D5189" w:rsidRPr="003C2B31">
        <w:rPr>
          <w:szCs w:val="22"/>
        </w:rPr>
        <w:t>this strict</w:t>
      </w:r>
      <w:r w:rsidRPr="003C2B31">
        <w:rPr>
          <w:szCs w:val="22"/>
        </w:rPr>
        <w:t xml:space="preserve"> t</w:t>
      </w:r>
      <w:r w:rsidR="00BA044A" w:rsidRPr="003C2B31">
        <w:rPr>
          <w:szCs w:val="22"/>
        </w:rPr>
        <w:t>wo-</w:t>
      </w:r>
      <w:r w:rsidRPr="003C2B31">
        <w:rPr>
          <w:szCs w:val="22"/>
        </w:rPr>
        <w:t>year period.</w:t>
      </w:r>
    </w:p>
    <w:p w:rsidR="00FF0FDE" w:rsidRPr="003C2B31" w:rsidRDefault="00CF6A9C" w:rsidP="00B123C7">
      <w:pPr>
        <w:pStyle w:val="ParaNum"/>
        <w:tabs>
          <w:tab w:val="clear" w:pos="1080"/>
          <w:tab w:val="num" w:pos="1440"/>
        </w:tabs>
        <w:rPr>
          <w:szCs w:val="22"/>
        </w:rPr>
      </w:pPr>
      <w:r w:rsidRPr="003C2B31">
        <w:rPr>
          <w:szCs w:val="22"/>
        </w:rPr>
        <w:t>Specifically, i</w:t>
      </w:r>
      <w:r w:rsidR="000B5AC8" w:rsidRPr="003C2B31">
        <w:rPr>
          <w:szCs w:val="22"/>
        </w:rPr>
        <w:t xml:space="preserve">n this Order, we </w:t>
      </w:r>
      <w:r w:rsidR="009038F5" w:rsidRPr="003C2B31">
        <w:rPr>
          <w:szCs w:val="22"/>
        </w:rPr>
        <w:t>address</w:t>
      </w:r>
      <w:r w:rsidR="000B5AC8" w:rsidRPr="003C2B31">
        <w:rPr>
          <w:szCs w:val="22"/>
        </w:rPr>
        <w:t xml:space="preserve"> </w:t>
      </w:r>
      <w:r w:rsidRPr="003C2B31">
        <w:rPr>
          <w:szCs w:val="22"/>
        </w:rPr>
        <w:t>a formal c</w:t>
      </w:r>
      <w:r w:rsidR="004829BD" w:rsidRPr="003C2B31">
        <w:rPr>
          <w:szCs w:val="22"/>
        </w:rPr>
        <w:t xml:space="preserve">omplaint </w:t>
      </w:r>
      <w:r w:rsidR="004E5F8D" w:rsidRPr="003C2B31">
        <w:rPr>
          <w:szCs w:val="22"/>
        </w:rPr>
        <w:t xml:space="preserve">seeking damages </w:t>
      </w:r>
      <w:r w:rsidR="00CB2E54" w:rsidRPr="003C2B31">
        <w:rPr>
          <w:szCs w:val="22"/>
        </w:rPr>
        <w:t xml:space="preserve">that </w:t>
      </w:r>
      <w:r w:rsidR="000B5AC8" w:rsidRPr="003C2B31">
        <w:rPr>
          <w:szCs w:val="22"/>
        </w:rPr>
        <w:t xml:space="preserve">James Chelmowski (Chelmowski) </w:t>
      </w:r>
      <w:r w:rsidR="00CB2E54" w:rsidRPr="003C2B31">
        <w:rPr>
          <w:szCs w:val="22"/>
        </w:rPr>
        <w:t xml:space="preserve">filed </w:t>
      </w:r>
      <w:r w:rsidR="000B5AC8" w:rsidRPr="003C2B31">
        <w:rPr>
          <w:szCs w:val="22"/>
        </w:rPr>
        <w:t xml:space="preserve">against </w:t>
      </w:r>
      <w:r w:rsidR="000B5AC8" w:rsidRPr="003C2B31">
        <w:rPr>
          <w:spacing w:val="-2"/>
          <w:szCs w:val="22"/>
        </w:rPr>
        <w:t>AT&amp;T Mobility LLC (AT&amp;T)</w:t>
      </w:r>
      <w:r w:rsidR="0018762E" w:rsidRPr="003C2B31">
        <w:rPr>
          <w:spacing w:val="-2"/>
          <w:szCs w:val="22"/>
        </w:rPr>
        <w:t>.</w:t>
      </w:r>
      <w:r w:rsidR="0018762E" w:rsidRPr="003C2B31">
        <w:rPr>
          <w:rStyle w:val="FootnoteReference"/>
          <w:sz w:val="22"/>
          <w:szCs w:val="22"/>
        </w:rPr>
        <w:footnoteReference w:id="2"/>
      </w:r>
      <w:r w:rsidR="00A551E4" w:rsidRPr="003C2B31">
        <w:rPr>
          <w:spacing w:val="-2"/>
          <w:szCs w:val="22"/>
        </w:rPr>
        <w:t xml:space="preserve">  </w:t>
      </w:r>
      <w:r w:rsidR="009038F5" w:rsidRPr="003C2B31">
        <w:rPr>
          <w:szCs w:val="22"/>
        </w:rPr>
        <w:t xml:space="preserve">Chelmowski, a former AT&amp;T customer, alleges that </w:t>
      </w:r>
      <w:r w:rsidR="001A1D39" w:rsidRPr="003C2B31">
        <w:rPr>
          <w:szCs w:val="22"/>
        </w:rPr>
        <w:t xml:space="preserve">AT&amp;T failed </w:t>
      </w:r>
      <w:r w:rsidR="004E5F8D" w:rsidRPr="003C2B31">
        <w:rPr>
          <w:szCs w:val="22"/>
        </w:rPr>
        <w:t xml:space="preserve">in March and April of 2011 </w:t>
      </w:r>
      <w:r w:rsidR="001A1D39" w:rsidRPr="003C2B31">
        <w:rPr>
          <w:szCs w:val="22"/>
        </w:rPr>
        <w:t xml:space="preserve">to </w:t>
      </w:r>
      <w:r w:rsidR="00A551E4" w:rsidRPr="003C2B31">
        <w:rPr>
          <w:szCs w:val="22"/>
        </w:rPr>
        <w:t xml:space="preserve">port a telephone number to </w:t>
      </w:r>
      <w:r w:rsidR="0097745F" w:rsidRPr="003C2B31">
        <w:rPr>
          <w:szCs w:val="22"/>
        </w:rPr>
        <w:t>hi</w:t>
      </w:r>
      <w:r w:rsidR="00A551E4" w:rsidRPr="003C2B31">
        <w:rPr>
          <w:szCs w:val="22"/>
        </w:rPr>
        <w:t>s new provider</w:t>
      </w:r>
      <w:r w:rsidR="004E5F8D" w:rsidRPr="003C2B31">
        <w:rPr>
          <w:szCs w:val="22"/>
        </w:rPr>
        <w:t xml:space="preserve">.  The </w:t>
      </w:r>
      <w:r w:rsidR="009038F5" w:rsidRPr="003C2B31">
        <w:rPr>
          <w:szCs w:val="22"/>
        </w:rPr>
        <w:t>Complaint</w:t>
      </w:r>
      <w:r w:rsidR="004E5F8D" w:rsidRPr="003C2B31">
        <w:rPr>
          <w:szCs w:val="22"/>
        </w:rPr>
        <w:t xml:space="preserve"> </w:t>
      </w:r>
      <w:r w:rsidR="009038F5" w:rsidRPr="003C2B31">
        <w:rPr>
          <w:szCs w:val="22"/>
        </w:rPr>
        <w:t xml:space="preserve">was </w:t>
      </w:r>
      <w:r w:rsidR="004E5F8D" w:rsidRPr="003C2B31">
        <w:rPr>
          <w:szCs w:val="22"/>
        </w:rPr>
        <w:t xml:space="preserve">filed in December 2014, </w:t>
      </w:r>
      <w:r w:rsidR="00430E8F">
        <w:rPr>
          <w:szCs w:val="22"/>
        </w:rPr>
        <w:t xml:space="preserve">approximately three and a half </w:t>
      </w:r>
      <w:r w:rsidR="00A551E4" w:rsidRPr="003C2B31">
        <w:rPr>
          <w:szCs w:val="22"/>
        </w:rPr>
        <w:t>years after</w:t>
      </w:r>
      <w:r w:rsidR="0030131F" w:rsidRPr="003C2B31">
        <w:rPr>
          <w:szCs w:val="22"/>
        </w:rPr>
        <w:t xml:space="preserve"> the </w:t>
      </w:r>
      <w:r w:rsidR="002D5189" w:rsidRPr="003C2B31">
        <w:rPr>
          <w:szCs w:val="22"/>
        </w:rPr>
        <w:t xml:space="preserve">alleged </w:t>
      </w:r>
      <w:r w:rsidR="0030131F" w:rsidRPr="003C2B31">
        <w:rPr>
          <w:szCs w:val="22"/>
        </w:rPr>
        <w:t>number porting failure occurred</w:t>
      </w:r>
      <w:r w:rsidR="00A551E4" w:rsidRPr="003C2B31">
        <w:rPr>
          <w:szCs w:val="22"/>
        </w:rPr>
        <w:t>.</w:t>
      </w:r>
      <w:r w:rsidR="0018762E" w:rsidRPr="003C2B31">
        <w:rPr>
          <w:szCs w:val="22"/>
        </w:rPr>
        <w:t xml:space="preserve">  </w:t>
      </w:r>
      <w:r w:rsidR="008B4A61" w:rsidRPr="003C2B31">
        <w:rPr>
          <w:szCs w:val="22"/>
        </w:rPr>
        <w:t>For the reasons e</w:t>
      </w:r>
      <w:r w:rsidR="00247AE0" w:rsidRPr="003C2B31">
        <w:rPr>
          <w:szCs w:val="22"/>
        </w:rPr>
        <w:t>xplained below, we hold that</w:t>
      </w:r>
      <w:r w:rsidR="008B4A61" w:rsidRPr="003C2B31">
        <w:rPr>
          <w:szCs w:val="22"/>
        </w:rPr>
        <w:t xml:space="preserve"> </w:t>
      </w:r>
      <w:r w:rsidR="00247AE0" w:rsidRPr="003C2B31">
        <w:rPr>
          <w:szCs w:val="22"/>
        </w:rPr>
        <w:t>the Complaint is</w:t>
      </w:r>
      <w:r w:rsidR="008B4A61" w:rsidRPr="003C2B31">
        <w:rPr>
          <w:szCs w:val="22"/>
        </w:rPr>
        <w:t xml:space="preserve"> time-barred under the two-year statute of limitations in </w:t>
      </w:r>
      <w:r w:rsidR="0080490D">
        <w:rPr>
          <w:szCs w:val="22"/>
        </w:rPr>
        <w:t>S</w:t>
      </w:r>
      <w:r w:rsidR="008B4A61" w:rsidRPr="003C2B31">
        <w:rPr>
          <w:szCs w:val="22"/>
        </w:rPr>
        <w:t xml:space="preserve">ection 415(b) </w:t>
      </w:r>
      <w:r w:rsidR="004E5F8D" w:rsidRPr="003C2B31">
        <w:rPr>
          <w:spacing w:val="-2"/>
          <w:szCs w:val="22"/>
        </w:rPr>
        <w:t>the Communications Act of 1934, as amended (Act)</w:t>
      </w:r>
      <w:r w:rsidR="008B4A61" w:rsidRPr="003C2B31">
        <w:rPr>
          <w:szCs w:val="22"/>
        </w:rPr>
        <w:t>,</w:t>
      </w:r>
      <w:r w:rsidR="008B4A61" w:rsidRPr="003C2B31">
        <w:rPr>
          <w:rStyle w:val="FootnoteReference"/>
          <w:sz w:val="22"/>
          <w:szCs w:val="22"/>
        </w:rPr>
        <w:footnoteReference w:id="3"/>
      </w:r>
      <w:r w:rsidR="008B4A61" w:rsidRPr="003C2B31">
        <w:rPr>
          <w:szCs w:val="22"/>
        </w:rPr>
        <w:t xml:space="preserve"> and must be dismissed</w:t>
      </w:r>
      <w:r w:rsidR="00A551E4" w:rsidRPr="003C2B31">
        <w:rPr>
          <w:szCs w:val="22"/>
        </w:rPr>
        <w:t xml:space="preserve"> with prejudice</w:t>
      </w:r>
      <w:r w:rsidR="008B4A61" w:rsidRPr="003C2B31">
        <w:rPr>
          <w:szCs w:val="22"/>
        </w:rPr>
        <w:t>.</w:t>
      </w:r>
    </w:p>
    <w:p w:rsidR="00421C05" w:rsidRPr="003C2B31" w:rsidRDefault="00FF0FDE" w:rsidP="00FF0FDE">
      <w:pPr>
        <w:pStyle w:val="Heading1"/>
        <w:rPr>
          <w:rFonts w:ascii="Times New Roman" w:hAnsi="Times New Roman"/>
          <w:szCs w:val="22"/>
        </w:rPr>
      </w:pPr>
      <w:r w:rsidRPr="003C2B31">
        <w:rPr>
          <w:rFonts w:ascii="Times New Roman" w:hAnsi="Times New Roman"/>
          <w:szCs w:val="22"/>
        </w:rPr>
        <w:t>background</w:t>
      </w:r>
    </w:p>
    <w:p w:rsidR="00CA1880" w:rsidRPr="003C2B31" w:rsidRDefault="00D11167" w:rsidP="00B123C7">
      <w:pPr>
        <w:pStyle w:val="ParaNum"/>
        <w:tabs>
          <w:tab w:val="clear" w:pos="1080"/>
          <w:tab w:val="num" w:pos="1440"/>
        </w:tabs>
        <w:rPr>
          <w:szCs w:val="22"/>
        </w:rPr>
      </w:pPr>
      <w:r w:rsidRPr="003C2B31">
        <w:rPr>
          <w:szCs w:val="22"/>
        </w:rPr>
        <w:t xml:space="preserve">In </w:t>
      </w:r>
      <w:r w:rsidR="00F35111" w:rsidRPr="003C2B31">
        <w:rPr>
          <w:szCs w:val="22"/>
        </w:rPr>
        <w:t>2010 and</w:t>
      </w:r>
      <w:r w:rsidRPr="003C2B31">
        <w:rPr>
          <w:szCs w:val="22"/>
        </w:rPr>
        <w:t xml:space="preserve"> 2011, Chelmowski was a customer of AT&amp;T with four lines of</w:t>
      </w:r>
      <w:r w:rsidR="001D05E1" w:rsidRPr="003C2B31">
        <w:rPr>
          <w:szCs w:val="22"/>
        </w:rPr>
        <w:t xml:space="preserve"> wireless</w:t>
      </w:r>
      <w:r w:rsidRPr="003C2B31">
        <w:rPr>
          <w:szCs w:val="22"/>
        </w:rPr>
        <w:t xml:space="preserve"> service.</w:t>
      </w:r>
      <w:r w:rsidRPr="003C2B31">
        <w:rPr>
          <w:rStyle w:val="FootnoteReference"/>
          <w:sz w:val="22"/>
          <w:szCs w:val="22"/>
        </w:rPr>
        <w:footnoteReference w:id="4"/>
      </w:r>
      <w:r w:rsidRPr="003C2B31">
        <w:rPr>
          <w:szCs w:val="22"/>
        </w:rPr>
        <w:t xml:space="preserve">  In </w:t>
      </w:r>
      <w:r w:rsidR="00F35111" w:rsidRPr="003C2B31">
        <w:rPr>
          <w:szCs w:val="22"/>
        </w:rPr>
        <w:t>January 2010, AT&amp;T received a request from Chelmowski’s new provider, XO Communications</w:t>
      </w:r>
      <w:r w:rsidR="00CB2E54" w:rsidRPr="003C2B31">
        <w:rPr>
          <w:szCs w:val="22"/>
        </w:rPr>
        <w:t>,</w:t>
      </w:r>
      <w:r w:rsidR="00F35111" w:rsidRPr="003C2B31">
        <w:rPr>
          <w:szCs w:val="22"/>
        </w:rPr>
        <w:t xml:space="preserve"> to port </w:t>
      </w:r>
      <w:r w:rsidR="00CB2E54" w:rsidRPr="003C2B31">
        <w:rPr>
          <w:szCs w:val="22"/>
        </w:rPr>
        <w:t xml:space="preserve">the number for </w:t>
      </w:r>
      <w:r w:rsidR="0024584A" w:rsidRPr="003C2B31">
        <w:rPr>
          <w:szCs w:val="22"/>
        </w:rPr>
        <w:t>one of the lines:</w:t>
      </w:r>
      <w:r w:rsidR="00CA1880" w:rsidRPr="003C2B31">
        <w:rPr>
          <w:szCs w:val="22"/>
        </w:rPr>
        <w:t xml:space="preserve"> </w:t>
      </w:r>
      <w:r w:rsidR="00F35111" w:rsidRPr="003C2B31">
        <w:rPr>
          <w:szCs w:val="22"/>
        </w:rPr>
        <w:t>(847) 768-0400 (the “0400 number</w:t>
      </w:r>
      <w:r w:rsidR="00CA1880" w:rsidRPr="003C2B31">
        <w:rPr>
          <w:szCs w:val="22"/>
        </w:rPr>
        <w:t>”</w:t>
      </w:r>
      <w:r w:rsidR="00F35111" w:rsidRPr="003C2B31">
        <w:rPr>
          <w:szCs w:val="22"/>
        </w:rPr>
        <w:t xml:space="preserve">).  The January </w:t>
      </w:r>
      <w:r w:rsidR="0045650B" w:rsidRPr="003C2B31">
        <w:rPr>
          <w:szCs w:val="22"/>
        </w:rPr>
        <w:t xml:space="preserve">2010 </w:t>
      </w:r>
      <w:r w:rsidR="00F35111" w:rsidRPr="003C2B31">
        <w:rPr>
          <w:szCs w:val="22"/>
        </w:rPr>
        <w:t>porting request</w:t>
      </w:r>
      <w:r w:rsidR="00AA5D5D" w:rsidRPr="003C2B31">
        <w:rPr>
          <w:szCs w:val="22"/>
        </w:rPr>
        <w:t>, however,</w:t>
      </w:r>
      <w:r w:rsidR="00F35111" w:rsidRPr="003C2B31">
        <w:rPr>
          <w:szCs w:val="22"/>
        </w:rPr>
        <w:t xml:space="preserve"> was never completed because, according to AT&amp;T, the information provided by XO was incorrect.</w:t>
      </w:r>
      <w:r w:rsidR="00CA1880" w:rsidRPr="003C2B31">
        <w:rPr>
          <w:rStyle w:val="FootnoteReference"/>
          <w:sz w:val="22"/>
          <w:szCs w:val="22"/>
        </w:rPr>
        <w:footnoteReference w:id="5"/>
      </w:r>
      <w:r w:rsidR="00F35111" w:rsidRPr="003C2B31">
        <w:rPr>
          <w:szCs w:val="22"/>
        </w:rPr>
        <w:t xml:space="preserve">  </w:t>
      </w:r>
      <w:r w:rsidR="00AA5D5D" w:rsidRPr="003C2B31">
        <w:rPr>
          <w:szCs w:val="22"/>
        </w:rPr>
        <w:t xml:space="preserve">AT&amp;T </w:t>
      </w:r>
      <w:r w:rsidR="007056FE" w:rsidRPr="003C2B31">
        <w:rPr>
          <w:szCs w:val="22"/>
        </w:rPr>
        <w:t>also state</w:t>
      </w:r>
      <w:r w:rsidR="00AA5D5D" w:rsidRPr="003C2B31">
        <w:rPr>
          <w:szCs w:val="22"/>
        </w:rPr>
        <w:t xml:space="preserve">s that </w:t>
      </w:r>
      <w:r w:rsidR="00062FE8" w:rsidRPr="003C2B31">
        <w:rPr>
          <w:szCs w:val="22"/>
        </w:rPr>
        <w:t>the January 2010</w:t>
      </w:r>
      <w:r w:rsidR="00CA1880" w:rsidRPr="003C2B31">
        <w:rPr>
          <w:szCs w:val="22"/>
        </w:rPr>
        <w:t xml:space="preserve"> request to port the </w:t>
      </w:r>
      <w:r w:rsidR="00AA5D5D" w:rsidRPr="003C2B31">
        <w:rPr>
          <w:szCs w:val="22"/>
        </w:rPr>
        <w:lastRenderedPageBreak/>
        <w:t xml:space="preserve">0400 </w:t>
      </w:r>
      <w:r w:rsidR="00CA1880" w:rsidRPr="003C2B31">
        <w:rPr>
          <w:szCs w:val="22"/>
        </w:rPr>
        <w:t xml:space="preserve">number </w:t>
      </w:r>
      <w:r w:rsidR="00AA5D5D" w:rsidRPr="003C2B31">
        <w:rPr>
          <w:szCs w:val="22"/>
        </w:rPr>
        <w:t>was “</w:t>
      </w:r>
      <w:r w:rsidR="00CA1880" w:rsidRPr="003C2B31">
        <w:rPr>
          <w:szCs w:val="22"/>
        </w:rPr>
        <w:t>never modified or cancelled,</w:t>
      </w:r>
      <w:r w:rsidR="00AA5D5D" w:rsidRPr="003C2B31">
        <w:rPr>
          <w:szCs w:val="22"/>
        </w:rPr>
        <w:t>”</w:t>
      </w:r>
      <w:r w:rsidR="00CA1880" w:rsidRPr="003C2B31">
        <w:rPr>
          <w:szCs w:val="22"/>
        </w:rPr>
        <w:t xml:space="preserve"> and, therefore, remained pending in AT&amp;T’s system.</w:t>
      </w:r>
      <w:r w:rsidR="00AA5D5D" w:rsidRPr="003C2B31">
        <w:rPr>
          <w:rStyle w:val="FootnoteReference"/>
          <w:sz w:val="22"/>
          <w:szCs w:val="22"/>
        </w:rPr>
        <w:footnoteReference w:id="6"/>
      </w:r>
    </w:p>
    <w:p w:rsidR="00FF0FDE" w:rsidRPr="007C774E" w:rsidRDefault="00F35111" w:rsidP="007C774E">
      <w:pPr>
        <w:pStyle w:val="ParaNum"/>
        <w:tabs>
          <w:tab w:val="clear" w:pos="1080"/>
          <w:tab w:val="num" w:pos="1440"/>
        </w:tabs>
        <w:rPr>
          <w:szCs w:val="22"/>
        </w:rPr>
      </w:pPr>
      <w:r w:rsidRPr="003C2B31">
        <w:rPr>
          <w:szCs w:val="22"/>
        </w:rPr>
        <w:t xml:space="preserve">In </w:t>
      </w:r>
      <w:r w:rsidR="00D11167" w:rsidRPr="003C2B31">
        <w:rPr>
          <w:szCs w:val="22"/>
        </w:rPr>
        <w:t xml:space="preserve">March and April 2011, AT&amp;T received requests to port </w:t>
      </w:r>
      <w:r w:rsidR="00CA1880" w:rsidRPr="003C2B31">
        <w:rPr>
          <w:szCs w:val="22"/>
        </w:rPr>
        <w:t xml:space="preserve">all four of </w:t>
      </w:r>
      <w:r w:rsidR="00AA5D5D" w:rsidRPr="003C2B31">
        <w:rPr>
          <w:szCs w:val="22"/>
        </w:rPr>
        <w:t>Chelmowski’s</w:t>
      </w:r>
      <w:r w:rsidR="008E158F" w:rsidRPr="003C2B31">
        <w:rPr>
          <w:szCs w:val="22"/>
        </w:rPr>
        <w:t xml:space="preserve"> numbers, including the 0400 number</w:t>
      </w:r>
      <w:r w:rsidR="007056FE" w:rsidRPr="003C2B31">
        <w:rPr>
          <w:szCs w:val="22"/>
        </w:rPr>
        <w:t>,</w:t>
      </w:r>
      <w:r w:rsidR="008E158F" w:rsidRPr="003C2B31">
        <w:rPr>
          <w:szCs w:val="22"/>
        </w:rPr>
        <w:t xml:space="preserve"> to Choice One, on behalf of Choice One’s wholesale customer OOMA, </w:t>
      </w:r>
      <w:r w:rsidR="00BC7E23" w:rsidRPr="003C2B31">
        <w:rPr>
          <w:szCs w:val="22"/>
        </w:rPr>
        <w:t xml:space="preserve">and OOMA’s retail customer, </w:t>
      </w:r>
      <w:r w:rsidR="008E158F" w:rsidRPr="003C2B31">
        <w:rPr>
          <w:szCs w:val="22"/>
        </w:rPr>
        <w:t>Chelmowski</w:t>
      </w:r>
      <w:r w:rsidR="00D11167" w:rsidRPr="003C2B31">
        <w:rPr>
          <w:szCs w:val="22"/>
        </w:rPr>
        <w:t>.</w:t>
      </w:r>
      <w:r w:rsidR="009E14E6" w:rsidRPr="003C2B31">
        <w:rPr>
          <w:rStyle w:val="FootnoteReference"/>
          <w:sz w:val="22"/>
          <w:szCs w:val="22"/>
        </w:rPr>
        <w:footnoteReference w:id="7"/>
      </w:r>
      <w:r w:rsidR="009E14E6" w:rsidRPr="003C2B31">
        <w:rPr>
          <w:szCs w:val="22"/>
        </w:rPr>
        <w:t xml:space="preserve">  </w:t>
      </w:r>
      <w:r w:rsidR="0045650B" w:rsidRPr="003C2B31">
        <w:rPr>
          <w:szCs w:val="22"/>
        </w:rPr>
        <w:t xml:space="preserve">Three of the four </w:t>
      </w:r>
      <w:r w:rsidR="008C663C" w:rsidRPr="003C2B31">
        <w:rPr>
          <w:szCs w:val="22"/>
        </w:rPr>
        <w:t>numbers</w:t>
      </w:r>
      <w:r w:rsidR="0045650B" w:rsidRPr="003C2B31">
        <w:rPr>
          <w:szCs w:val="22"/>
        </w:rPr>
        <w:t xml:space="preserve"> were </w:t>
      </w:r>
      <w:r w:rsidR="008C663C" w:rsidRPr="003C2B31">
        <w:rPr>
          <w:szCs w:val="22"/>
        </w:rPr>
        <w:t>ported</w:t>
      </w:r>
      <w:r w:rsidR="0045650B" w:rsidRPr="003C2B31">
        <w:rPr>
          <w:szCs w:val="22"/>
        </w:rPr>
        <w:t xml:space="preserve">, but </w:t>
      </w:r>
      <w:r w:rsidR="00AA5D5D" w:rsidRPr="003C2B31">
        <w:rPr>
          <w:szCs w:val="22"/>
        </w:rPr>
        <w:t xml:space="preserve">not </w:t>
      </w:r>
      <w:r w:rsidR="0045650B" w:rsidRPr="003C2B31">
        <w:rPr>
          <w:szCs w:val="22"/>
        </w:rPr>
        <w:t xml:space="preserve">the 0400 </w:t>
      </w:r>
      <w:r w:rsidR="008C663C" w:rsidRPr="003C2B31">
        <w:rPr>
          <w:szCs w:val="22"/>
        </w:rPr>
        <w:t>number</w:t>
      </w:r>
      <w:r w:rsidR="0045650B" w:rsidRPr="003C2B31">
        <w:rPr>
          <w:szCs w:val="22"/>
        </w:rPr>
        <w:t>.</w:t>
      </w:r>
      <w:r w:rsidR="00CA1880" w:rsidRPr="003C2B31">
        <w:rPr>
          <w:rStyle w:val="FootnoteReference"/>
          <w:sz w:val="22"/>
          <w:szCs w:val="22"/>
        </w:rPr>
        <w:footnoteReference w:id="8"/>
      </w:r>
      <w:r w:rsidR="007C774E">
        <w:rPr>
          <w:szCs w:val="22"/>
        </w:rPr>
        <w:t xml:space="preserve">  </w:t>
      </w:r>
      <w:r w:rsidR="00BA044A" w:rsidRPr="007C774E">
        <w:rPr>
          <w:szCs w:val="22"/>
        </w:rPr>
        <w:t>On March 1</w:t>
      </w:r>
      <w:r w:rsidR="001D05E1" w:rsidRPr="007C774E">
        <w:rPr>
          <w:szCs w:val="22"/>
        </w:rPr>
        <w:t>7, 2</w:t>
      </w:r>
      <w:r w:rsidR="00893392" w:rsidRPr="007C774E">
        <w:rPr>
          <w:szCs w:val="22"/>
        </w:rPr>
        <w:t xml:space="preserve">011, </w:t>
      </w:r>
      <w:r w:rsidR="00F33BC1" w:rsidRPr="007C774E">
        <w:rPr>
          <w:szCs w:val="22"/>
        </w:rPr>
        <w:t xml:space="preserve">after receiving repeated communications </w:t>
      </w:r>
      <w:r w:rsidR="008D52F1" w:rsidRPr="007C774E">
        <w:rPr>
          <w:szCs w:val="22"/>
        </w:rPr>
        <w:t xml:space="preserve">from Chelmowski accusing </w:t>
      </w:r>
      <w:r w:rsidR="004466B4" w:rsidRPr="007C774E">
        <w:rPr>
          <w:szCs w:val="22"/>
        </w:rPr>
        <w:t xml:space="preserve">AT&amp;T personnel </w:t>
      </w:r>
      <w:r w:rsidR="008D52F1" w:rsidRPr="007C774E">
        <w:rPr>
          <w:szCs w:val="22"/>
        </w:rPr>
        <w:t xml:space="preserve"> of </w:t>
      </w:r>
      <w:r w:rsidR="00A26937" w:rsidRPr="007C774E">
        <w:rPr>
          <w:szCs w:val="22"/>
        </w:rPr>
        <w:t>“repeatedly [lying and torturing] him</w:t>
      </w:r>
      <w:r w:rsidR="005E14AF" w:rsidRPr="007C774E">
        <w:rPr>
          <w:szCs w:val="22"/>
        </w:rPr>
        <w:t>,</w:t>
      </w:r>
      <w:r w:rsidR="00A26937" w:rsidRPr="007C774E">
        <w:rPr>
          <w:szCs w:val="22"/>
        </w:rPr>
        <w:t>”</w:t>
      </w:r>
      <w:r w:rsidR="008D52F1" w:rsidRPr="003C2B31">
        <w:rPr>
          <w:rStyle w:val="FootnoteReference"/>
          <w:sz w:val="22"/>
          <w:szCs w:val="22"/>
        </w:rPr>
        <w:footnoteReference w:id="9"/>
      </w:r>
      <w:r w:rsidR="008D52F1" w:rsidRPr="007C774E">
        <w:rPr>
          <w:szCs w:val="22"/>
        </w:rPr>
        <w:t xml:space="preserve"> </w:t>
      </w:r>
      <w:r w:rsidR="001D05E1" w:rsidRPr="007C774E">
        <w:rPr>
          <w:szCs w:val="22"/>
        </w:rPr>
        <w:t>AT&amp;T sent Chelmowski a letter stating</w:t>
      </w:r>
      <w:r w:rsidR="00F33BC1" w:rsidRPr="007C774E">
        <w:rPr>
          <w:szCs w:val="22"/>
        </w:rPr>
        <w:t xml:space="preserve"> that </w:t>
      </w:r>
      <w:r w:rsidR="004466B4" w:rsidRPr="00F37A0D">
        <w:rPr>
          <w:szCs w:val="22"/>
        </w:rPr>
        <w:t xml:space="preserve">AT&amp;T was </w:t>
      </w:r>
      <w:r w:rsidR="001D05E1" w:rsidRPr="00F37A0D">
        <w:rPr>
          <w:szCs w:val="22"/>
        </w:rPr>
        <w:t>terminat</w:t>
      </w:r>
      <w:r w:rsidR="004466B4" w:rsidRPr="00F37A0D">
        <w:rPr>
          <w:szCs w:val="22"/>
        </w:rPr>
        <w:t xml:space="preserve">ing his service due to </w:t>
      </w:r>
      <w:r w:rsidR="00F33BC1" w:rsidRPr="00F37A0D">
        <w:rPr>
          <w:szCs w:val="22"/>
        </w:rPr>
        <w:t>his “abusive treatment” of AT&amp;T employees</w:t>
      </w:r>
      <w:r w:rsidR="002C0F0F" w:rsidRPr="00F37A0D">
        <w:rPr>
          <w:szCs w:val="22"/>
        </w:rPr>
        <w:t>.</w:t>
      </w:r>
      <w:r w:rsidR="001D05E1" w:rsidRPr="003C2B31">
        <w:rPr>
          <w:rStyle w:val="FootnoteReference"/>
          <w:sz w:val="22"/>
          <w:szCs w:val="22"/>
        </w:rPr>
        <w:footnoteReference w:id="10"/>
      </w:r>
    </w:p>
    <w:p w:rsidR="000D1C0F" w:rsidRPr="003C2B31" w:rsidRDefault="005300F3" w:rsidP="000D1C0F">
      <w:pPr>
        <w:pStyle w:val="ParaNum"/>
        <w:tabs>
          <w:tab w:val="clear" w:pos="1080"/>
          <w:tab w:val="num" w:pos="1440"/>
        </w:tabs>
        <w:rPr>
          <w:szCs w:val="22"/>
        </w:rPr>
      </w:pPr>
      <w:r w:rsidRPr="003C2B31">
        <w:rPr>
          <w:szCs w:val="22"/>
        </w:rPr>
        <w:t xml:space="preserve">Subsequently, </w:t>
      </w:r>
      <w:r w:rsidR="00AA5D5D" w:rsidRPr="003C2B31">
        <w:rPr>
          <w:szCs w:val="22"/>
        </w:rPr>
        <w:t xml:space="preserve">Chelmowski filed </w:t>
      </w:r>
      <w:r w:rsidR="00CA1880" w:rsidRPr="003C2B31">
        <w:rPr>
          <w:szCs w:val="22"/>
        </w:rPr>
        <w:t xml:space="preserve">with the Commission </w:t>
      </w:r>
      <w:r w:rsidR="009B14FB" w:rsidRPr="003C2B31">
        <w:rPr>
          <w:szCs w:val="22"/>
        </w:rPr>
        <w:t>three</w:t>
      </w:r>
      <w:r w:rsidR="00AA5D5D" w:rsidRPr="003C2B31">
        <w:rPr>
          <w:szCs w:val="22"/>
        </w:rPr>
        <w:t xml:space="preserve"> informal complaints</w:t>
      </w:r>
      <w:r w:rsidRPr="003C2B31">
        <w:rPr>
          <w:szCs w:val="22"/>
        </w:rPr>
        <w:t xml:space="preserve"> regarding the unsuccessful porting requests for the 0400 number</w:t>
      </w:r>
      <w:r w:rsidR="009B14FB" w:rsidRPr="003C2B31">
        <w:rPr>
          <w:szCs w:val="22"/>
        </w:rPr>
        <w:t xml:space="preserve">.  </w:t>
      </w:r>
      <w:r w:rsidR="002D5189" w:rsidRPr="003C2B31">
        <w:rPr>
          <w:szCs w:val="22"/>
        </w:rPr>
        <w:t>He filed t</w:t>
      </w:r>
      <w:r w:rsidR="009B14FB" w:rsidRPr="003C2B31">
        <w:rPr>
          <w:szCs w:val="22"/>
        </w:rPr>
        <w:t xml:space="preserve">he first informal complaint </w:t>
      </w:r>
      <w:r w:rsidR="000D1C0F" w:rsidRPr="003C2B31">
        <w:rPr>
          <w:szCs w:val="22"/>
        </w:rPr>
        <w:t>o</w:t>
      </w:r>
      <w:r w:rsidR="00AA5D5D" w:rsidRPr="003C2B31">
        <w:rPr>
          <w:szCs w:val="22"/>
        </w:rPr>
        <w:t xml:space="preserve">n </w:t>
      </w:r>
      <w:r w:rsidRPr="003C2B31">
        <w:rPr>
          <w:szCs w:val="22"/>
        </w:rPr>
        <w:t>March</w:t>
      </w:r>
      <w:r w:rsidR="00AA5D5D" w:rsidRPr="003C2B31">
        <w:rPr>
          <w:szCs w:val="22"/>
        </w:rPr>
        <w:t xml:space="preserve"> </w:t>
      </w:r>
      <w:r w:rsidR="000D1C0F" w:rsidRPr="003C2B31">
        <w:rPr>
          <w:szCs w:val="22"/>
        </w:rPr>
        <w:t xml:space="preserve">23, </w:t>
      </w:r>
      <w:r w:rsidR="00AA5D5D" w:rsidRPr="003C2B31">
        <w:rPr>
          <w:szCs w:val="22"/>
        </w:rPr>
        <w:t>2011</w:t>
      </w:r>
      <w:r w:rsidR="009B14FB" w:rsidRPr="003C2B31">
        <w:rPr>
          <w:szCs w:val="22"/>
        </w:rPr>
        <w:t>,</w:t>
      </w:r>
      <w:r w:rsidR="008E158F" w:rsidRPr="003C2B31">
        <w:rPr>
          <w:rStyle w:val="FootnoteReference"/>
          <w:sz w:val="22"/>
          <w:szCs w:val="22"/>
        </w:rPr>
        <w:footnoteReference w:id="11"/>
      </w:r>
      <w:r w:rsidR="00AA5D5D" w:rsidRPr="003C2B31">
        <w:rPr>
          <w:szCs w:val="22"/>
        </w:rPr>
        <w:t xml:space="preserve"> and </w:t>
      </w:r>
      <w:r w:rsidR="009B14FB" w:rsidRPr="003C2B31">
        <w:rPr>
          <w:szCs w:val="22"/>
        </w:rPr>
        <w:t xml:space="preserve">the second </w:t>
      </w:r>
      <w:r w:rsidR="000D1C0F" w:rsidRPr="003C2B31">
        <w:rPr>
          <w:szCs w:val="22"/>
        </w:rPr>
        <w:t>o</w:t>
      </w:r>
      <w:r w:rsidR="008F677D" w:rsidRPr="003C2B31">
        <w:rPr>
          <w:szCs w:val="22"/>
        </w:rPr>
        <w:t xml:space="preserve">n August </w:t>
      </w:r>
      <w:r w:rsidR="000D1C0F" w:rsidRPr="003C2B31">
        <w:rPr>
          <w:szCs w:val="22"/>
        </w:rPr>
        <w:t xml:space="preserve">31, </w:t>
      </w:r>
      <w:r w:rsidR="008F677D" w:rsidRPr="003C2B31">
        <w:rPr>
          <w:szCs w:val="22"/>
        </w:rPr>
        <w:t>2011</w:t>
      </w:r>
      <w:r w:rsidR="00AA5D5D" w:rsidRPr="003C2B31">
        <w:rPr>
          <w:szCs w:val="22"/>
        </w:rPr>
        <w:t>.</w:t>
      </w:r>
      <w:r w:rsidR="00AA5D5D" w:rsidRPr="003C2B31">
        <w:rPr>
          <w:rStyle w:val="FootnoteReference"/>
          <w:sz w:val="22"/>
          <w:szCs w:val="22"/>
        </w:rPr>
        <w:footnoteReference w:id="12"/>
      </w:r>
      <w:r w:rsidR="00314BD3" w:rsidRPr="003C2B31">
        <w:rPr>
          <w:szCs w:val="22"/>
        </w:rPr>
        <w:t xml:space="preserve"> </w:t>
      </w:r>
      <w:r w:rsidR="00751226" w:rsidRPr="003C2B31">
        <w:rPr>
          <w:szCs w:val="22"/>
        </w:rPr>
        <w:t xml:space="preserve"> </w:t>
      </w:r>
      <w:r w:rsidR="00181624" w:rsidRPr="003C2B31">
        <w:rPr>
          <w:szCs w:val="22"/>
        </w:rPr>
        <w:t>AT&amp;T respon</w:t>
      </w:r>
      <w:r w:rsidR="002D5189" w:rsidRPr="003C2B31">
        <w:rPr>
          <w:szCs w:val="22"/>
        </w:rPr>
        <w:t>ded</w:t>
      </w:r>
      <w:r w:rsidR="00181624" w:rsidRPr="003C2B31">
        <w:rPr>
          <w:szCs w:val="22"/>
        </w:rPr>
        <w:t xml:space="preserve"> to th</w:t>
      </w:r>
      <w:r w:rsidR="0097745F" w:rsidRPr="003C2B31">
        <w:rPr>
          <w:szCs w:val="22"/>
        </w:rPr>
        <w:t>os</w:t>
      </w:r>
      <w:r w:rsidR="00181624" w:rsidRPr="003C2B31">
        <w:rPr>
          <w:szCs w:val="22"/>
        </w:rPr>
        <w:t>e informal complaint</w:t>
      </w:r>
      <w:r w:rsidR="0097745F" w:rsidRPr="003C2B31">
        <w:rPr>
          <w:szCs w:val="22"/>
        </w:rPr>
        <w:t>s</w:t>
      </w:r>
      <w:r w:rsidR="00181624" w:rsidRPr="003C2B31">
        <w:rPr>
          <w:szCs w:val="22"/>
        </w:rPr>
        <w:t xml:space="preserve"> on April 13 and September 22, 2011</w:t>
      </w:r>
      <w:r w:rsidR="0097745F" w:rsidRPr="003C2B31">
        <w:rPr>
          <w:szCs w:val="22"/>
        </w:rPr>
        <w:t>, respectively</w:t>
      </w:r>
      <w:r w:rsidR="00181624" w:rsidRPr="003C2B31">
        <w:rPr>
          <w:szCs w:val="22"/>
        </w:rPr>
        <w:t>.</w:t>
      </w:r>
      <w:r w:rsidR="00181624" w:rsidRPr="003C2B31">
        <w:rPr>
          <w:rStyle w:val="FootnoteReference"/>
          <w:sz w:val="22"/>
          <w:szCs w:val="22"/>
        </w:rPr>
        <w:footnoteReference w:id="13"/>
      </w:r>
      <w:r w:rsidR="00181624" w:rsidRPr="003C2B31">
        <w:rPr>
          <w:szCs w:val="22"/>
        </w:rPr>
        <w:t xml:space="preserve">  AT&amp;T states tha</w:t>
      </w:r>
      <w:r w:rsidR="00BC7E23" w:rsidRPr="003C2B31">
        <w:rPr>
          <w:szCs w:val="22"/>
        </w:rPr>
        <w:t xml:space="preserve">t it sent both responses to </w:t>
      </w:r>
      <w:r w:rsidR="00181624" w:rsidRPr="003C2B31">
        <w:rPr>
          <w:szCs w:val="22"/>
        </w:rPr>
        <w:t>Chelmowski.</w:t>
      </w:r>
      <w:r w:rsidR="00181624" w:rsidRPr="003C2B31">
        <w:rPr>
          <w:rStyle w:val="FootnoteReference"/>
          <w:sz w:val="22"/>
          <w:szCs w:val="22"/>
        </w:rPr>
        <w:footnoteReference w:id="14"/>
      </w:r>
      <w:r w:rsidR="00181624" w:rsidRPr="003C2B31">
        <w:rPr>
          <w:szCs w:val="22"/>
        </w:rPr>
        <w:t xml:space="preserve">  </w:t>
      </w:r>
      <w:r w:rsidR="00AA5D5D" w:rsidRPr="003C2B31">
        <w:rPr>
          <w:szCs w:val="22"/>
        </w:rPr>
        <w:t xml:space="preserve">Chelmowski </w:t>
      </w:r>
      <w:r w:rsidR="0030131F" w:rsidRPr="003C2B31">
        <w:rPr>
          <w:szCs w:val="22"/>
        </w:rPr>
        <w:t xml:space="preserve">disputes this assertion, </w:t>
      </w:r>
      <w:r w:rsidR="00181624" w:rsidRPr="003C2B31">
        <w:rPr>
          <w:szCs w:val="22"/>
        </w:rPr>
        <w:t xml:space="preserve">and </w:t>
      </w:r>
      <w:r w:rsidR="00AA5D5D" w:rsidRPr="003C2B31">
        <w:rPr>
          <w:szCs w:val="22"/>
        </w:rPr>
        <w:t xml:space="preserve">claims </w:t>
      </w:r>
      <w:r w:rsidR="00181624" w:rsidRPr="003C2B31">
        <w:rPr>
          <w:szCs w:val="22"/>
        </w:rPr>
        <w:t xml:space="preserve">that </w:t>
      </w:r>
      <w:r w:rsidR="00AA5D5D" w:rsidRPr="003C2B31">
        <w:rPr>
          <w:szCs w:val="22"/>
        </w:rPr>
        <w:t xml:space="preserve">AT&amp;T </w:t>
      </w:r>
      <w:r w:rsidR="00FF05FE" w:rsidRPr="003C2B31">
        <w:rPr>
          <w:szCs w:val="22"/>
        </w:rPr>
        <w:t xml:space="preserve">did not </w:t>
      </w:r>
      <w:r w:rsidR="00AA5D5D" w:rsidRPr="003C2B31">
        <w:rPr>
          <w:szCs w:val="22"/>
        </w:rPr>
        <w:t>sen</w:t>
      </w:r>
      <w:r w:rsidR="009863D7" w:rsidRPr="003C2B31">
        <w:rPr>
          <w:szCs w:val="22"/>
        </w:rPr>
        <w:t>d</w:t>
      </w:r>
      <w:r w:rsidR="009B14FB" w:rsidRPr="003C2B31">
        <w:rPr>
          <w:szCs w:val="22"/>
        </w:rPr>
        <w:t xml:space="preserve"> responses to </w:t>
      </w:r>
      <w:r w:rsidR="008F677D" w:rsidRPr="003C2B31">
        <w:rPr>
          <w:szCs w:val="22"/>
        </w:rPr>
        <w:lastRenderedPageBreak/>
        <w:t>the</w:t>
      </w:r>
      <w:r w:rsidR="00FF05FE" w:rsidRPr="003C2B31">
        <w:rPr>
          <w:szCs w:val="22"/>
        </w:rPr>
        <w:t>se</w:t>
      </w:r>
      <w:r w:rsidR="009B14FB" w:rsidRPr="003C2B31">
        <w:rPr>
          <w:szCs w:val="22"/>
        </w:rPr>
        <w:t xml:space="preserve"> </w:t>
      </w:r>
      <w:r w:rsidR="00AA5D5D" w:rsidRPr="003C2B31">
        <w:rPr>
          <w:szCs w:val="22"/>
        </w:rPr>
        <w:t>two informal complaints</w:t>
      </w:r>
      <w:r w:rsidR="00DB581B" w:rsidRPr="003C2B31">
        <w:rPr>
          <w:szCs w:val="22"/>
        </w:rPr>
        <w:t xml:space="preserve"> directly to him</w:t>
      </w:r>
      <w:r w:rsidR="00AA5D5D" w:rsidRPr="003C2B31">
        <w:rPr>
          <w:szCs w:val="22"/>
        </w:rPr>
        <w:t>.</w:t>
      </w:r>
      <w:r w:rsidR="00AA5D5D" w:rsidRPr="003C2B31">
        <w:rPr>
          <w:rStyle w:val="FootnoteReference"/>
          <w:sz w:val="22"/>
          <w:szCs w:val="22"/>
        </w:rPr>
        <w:footnoteReference w:id="15"/>
      </w:r>
      <w:r w:rsidR="00AA5D5D" w:rsidRPr="003C2B31">
        <w:rPr>
          <w:szCs w:val="22"/>
        </w:rPr>
        <w:t xml:space="preserve">  </w:t>
      </w:r>
      <w:r w:rsidR="002D5A44" w:rsidRPr="003C2B31">
        <w:rPr>
          <w:szCs w:val="22"/>
        </w:rPr>
        <w:t xml:space="preserve">In any event, </w:t>
      </w:r>
      <w:r w:rsidR="00D735D8" w:rsidRPr="003C2B31">
        <w:rPr>
          <w:szCs w:val="22"/>
        </w:rPr>
        <w:t>the record shows that the Commission provided Chelmowski</w:t>
      </w:r>
      <w:r w:rsidR="006548E4" w:rsidRPr="003C2B31">
        <w:rPr>
          <w:szCs w:val="22"/>
        </w:rPr>
        <w:t xml:space="preserve"> with a copy of AT&amp;T’s</w:t>
      </w:r>
      <w:r w:rsidR="00D735D8" w:rsidRPr="003C2B31">
        <w:rPr>
          <w:szCs w:val="22"/>
        </w:rPr>
        <w:t xml:space="preserve"> response to the first informal complaint on May 24, 2013</w:t>
      </w:r>
      <w:r w:rsidR="006548E4" w:rsidRPr="003C2B31">
        <w:rPr>
          <w:szCs w:val="22"/>
        </w:rPr>
        <w:t>,</w:t>
      </w:r>
      <w:r w:rsidR="006548E4" w:rsidRPr="003C2B31">
        <w:rPr>
          <w:rStyle w:val="FootnoteReference"/>
          <w:sz w:val="22"/>
          <w:szCs w:val="22"/>
        </w:rPr>
        <w:footnoteReference w:id="16"/>
      </w:r>
      <w:r w:rsidR="006548E4" w:rsidRPr="003C2B31">
        <w:rPr>
          <w:szCs w:val="22"/>
        </w:rPr>
        <w:t xml:space="preserve"> </w:t>
      </w:r>
      <w:r w:rsidR="00D735D8" w:rsidRPr="003C2B31">
        <w:rPr>
          <w:szCs w:val="22"/>
        </w:rPr>
        <w:t xml:space="preserve">and </w:t>
      </w:r>
      <w:r w:rsidR="006548E4" w:rsidRPr="003C2B31">
        <w:rPr>
          <w:szCs w:val="22"/>
        </w:rPr>
        <w:t xml:space="preserve">a copy of AT&amp;T’s </w:t>
      </w:r>
      <w:r w:rsidR="009F4386" w:rsidRPr="003C2B31">
        <w:rPr>
          <w:szCs w:val="22"/>
        </w:rPr>
        <w:t xml:space="preserve">response </w:t>
      </w:r>
      <w:r w:rsidR="007056FE" w:rsidRPr="003C2B31">
        <w:rPr>
          <w:szCs w:val="22"/>
        </w:rPr>
        <w:t xml:space="preserve">to </w:t>
      </w:r>
      <w:r w:rsidR="009F4386" w:rsidRPr="003C2B31">
        <w:rPr>
          <w:szCs w:val="22"/>
        </w:rPr>
        <w:t xml:space="preserve">the </w:t>
      </w:r>
      <w:r w:rsidR="00653ED1" w:rsidRPr="003C2B31">
        <w:rPr>
          <w:szCs w:val="22"/>
        </w:rPr>
        <w:t>second</w:t>
      </w:r>
      <w:r w:rsidR="009F4386" w:rsidRPr="003C2B31">
        <w:rPr>
          <w:szCs w:val="22"/>
        </w:rPr>
        <w:t xml:space="preserve"> informal complaint</w:t>
      </w:r>
      <w:r w:rsidR="00AA5D5D" w:rsidRPr="003C2B31">
        <w:rPr>
          <w:szCs w:val="22"/>
        </w:rPr>
        <w:t xml:space="preserve"> </w:t>
      </w:r>
      <w:r w:rsidR="00066559" w:rsidRPr="003C2B31">
        <w:rPr>
          <w:szCs w:val="22"/>
        </w:rPr>
        <w:t>o</w:t>
      </w:r>
      <w:r w:rsidR="00500CBD" w:rsidRPr="003C2B31">
        <w:rPr>
          <w:szCs w:val="22"/>
        </w:rPr>
        <w:t xml:space="preserve">n </w:t>
      </w:r>
      <w:r w:rsidR="00FF05FE" w:rsidRPr="003C2B31">
        <w:rPr>
          <w:szCs w:val="22"/>
        </w:rPr>
        <w:t>October</w:t>
      </w:r>
      <w:r w:rsidR="00066559" w:rsidRPr="003C2B31">
        <w:rPr>
          <w:szCs w:val="22"/>
        </w:rPr>
        <w:t xml:space="preserve"> 22,</w:t>
      </w:r>
      <w:r w:rsidR="00FF05FE" w:rsidRPr="003C2B31">
        <w:rPr>
          <w:szCs w:val="22"/>
        </w:rPr>
        <w:t xml:space="preserve"> 2013</w:t>
      </w:r>
      <w:r w:rsidR="00AA5D5D" w:rsidRPr="003C2B31">
        <w:rPr>
          <w:szCs w:val="22"/>
        </w:rPr>
        <w:t>.</w:t>
      </w:r>
      <w:r w:rsidR="00AA5D5D" w:rsidRPr="003C2B31">
        <w:rPr>
          <w:rStyle w:val="FootnoteReference"/>
          <w:sz w:val="22"/>
          <w:szCs w:val="22"/>
        </w:rPr>
        <w:footnoteReference w:id="17"/>
      </w:r>
    </w:p>
    <w:p w:rsidR="00A26937" w:rsidRPr="003C2B31" w:rsidRDefault="00893392" w:rsidP="000D1C0F">
      <w:pPr>
        <w:pStyle w:val="ParaNum"/>
        <w:tabs>
          <w:tab w:val="clear" w:pos="1080"/>
          <w:tab w:val="num" w:pos="1440"/>
        </w:tabs>
        <w:rPr>
          <w:szCs w:val="22"/>
        </w:rPr>
      </w:pPr>
      <w:r w:rsidRPr="003C2B31">
        <w:rPr>
          <w:szCs w:val="22"/>
        </w:rPr>
        <w:t xml:space="preserve">On </w:t>
      </w:r>
      <w:r w:rsidR="007056FE" w:rsidRPr="003C2B31">
        <w:rPr>
          <w:szCs w:val="22"/>
        </w:rPr>
        <w:t>February 26, 2013, Chelmowski initiated an arbitration proceeding rega</w:t>
      </w:r>
      <w:r w:rsidR="00A92237" w:rsidRPr="003C2B31">
        <w:rPr>
          <w:szCs w:val="22"/>
        </w:rPr>
        <w:t xml:space="preserve">rding the failed </w:t>
      </w:r>
      <w:r w:rsidR="002159D4" w:rsidRPr="003C2B31">
        <w:rPr>
          <w:szCs w:val="22"/>
        </w:rPr>
        <w:t xml:space="preserve">0400 </w:t>
      </w:r>
      <w:r w:rsidR="00A92237" w:rsidRPr="003C2B31">
        <w:rPr>
          <w:szCs w:val="22"/>
        </w:rPr>
        <w:t>number port</w:t>
      </w:r>
      <w:r w:rsidRPr="003C2B31">
        <w:rPr>
          <w:szCs w:val="22"/>
        </w:rPr>
        <w:t xml:space="preserve">, pursuant to an arbitration </w:t>
      </w:r>
      <w:r w:rsidR="0030131F" w:rsidRPr="003C2B31">
        <w:rPr>
          <w:szCs w:val="22"/>
        </w:rPr>
        <w:t>provision</w:t>
      </w:r>
      <w:r w:rsidRPr="003C2B31">
        <w:rPr>
          <w:szCs w:val="22"/>
        </w:rPr>
        <w:t xml:space="preserve"> in his customer agreement with AT&amp;T</w:t>
      </w:r>
      <w:r w:rsidR="00BC7E23" w:rsidRPr="003C2B31">
        <w:rPr>
          <w:szCs w:val="22"/>
        </w:rPr>
        <w:t>.</w:t>
      </w:r>
      <w:r w:rsidR="009E6BDA" w:rsidRPr="003C2B31">
        <w:rPr>
          <w:rStyle w:val="FootnoteReference"/>
          <w:sz w:val="22"/>
          <w:szCs w:val="22"/>
        </w:rPr>
        <w:footnoteReference w:id="18"/>
      </w:r>
      <w:r w:rsidR="00F44B52" w:rsidRPr="003C2B31">
        <w:rPr>
          <w:szCs w:val="22"/>
        </w:rPr>
        <w:t xml:space="preserve">  </w:t>
      </w:r>
      <w:r w:rsidR="00A3602C" w:rsidRPr="003C2B31">
        <w:rPr>
          <w:szCs w:val="22"/>
        </w:rPr>
        <w:t>On July 14, 2014, the arbitrator denied Chelmo</w:t>
      </w:r>
      <w:r w:rsidR="00A71729" w:rsidRPr="003C2B31">
        <w:rPr>
          <w:szCs w:val="22"/>
        </w:rPr>
        <w:t>w</w:t>
      </w:r>
      <w:r w:rsidR="00A3602C" w:rsidRPr="003C2B31">
        <w:rPr>
          <w:szCs w:val="22"/>
        </w:rPr>
        <w:t>ski’s claims.</w:t>
      </w:r>
      <w:r w:rsidR="00A3602C" w:rsidRPr="003C2B31">
        <w:rPr>
          <w:rStyle w:val="FootnoteReference"/>
          <w:sz w:val="22"/>
          <w:szCs w:val="22"/>
        </w:rPr>
        <w:footnoteReference w:id="19"/>
      </w:r>
      <w:r w:rsidR="00A3602C" w:rsidRPr="003C2B31">
        <w:rPr>
          <w:szCs w:val="22"/>
        </w:rPr>
        <w:t xml:space="preserve">  </w:t>
      </w:r>
      <w:r w:rsidR="0097745F" w:rsidRPr="003C2B31">
        <w:rPr>
          <w:szCs w:val="22"/>
        </w:rPr>
        <w:t>He</w:t>
      </w:r>
      <w:r w:rsidR="00511F34" w:rsidRPr="003C2B31">
        <w:rPr>
          <w:szCs w:val="22"/>
        </w:rPr>
        <w:t xml:space="preserve"> then brought an action in court seeking to vacate the arbitration award.  </w:t>
      </w:r>
      <w:r w:rsidR="00EE4525" w:rsidRPr="003C2B31">
        <w:rPr>
          <w:szCs w:val="22"/>
        </w:rPr>
        <w:t>The United States District Court for the Northern Dis</w:t>
      </w:r>
      <w:r w:rsidR="00A26937" w:rsidRPr="003C2B31">
        <w:rPr>
          <w:szCs w:val="22"/>
        </w:rPr>
        <w:t>tric</w:t>
      </w:r>
      <w:r w:rsidR="00EE4525" w:rsidRPr="003C2B31">
        <w:rPr>
          <w:szCs w:val="22"/>
        </w:rPr>
        <w:t xml:space="preserve">t of Illinois </w:t>
      </w:r>
      <w:r w:rsidR="001106E8" w:rsidRPr="003C2B31">
        <w:rPr>
          <w:szCs w:val="22"/>
        </w:rPr>
        <w:t xml:space="preserve">rejected </w:t>
      </w:r>
      <w:r w:rsidR="0097745F" w:rsidRPr="003C2B31">
        <w:rPr>
          <w:szCs w:val="22"/>
        </w:rPr>
        <w:t>his</w:t>
      </w:r>
      <w:r w:rsidR="001106E8" w:rsidRPr="003C2B31">
        <w:rPr>
          <w:szCs w:val="22"/>
        </w:rPr>
        <w:t xml:space="preserve"> request and affirmed the arbitration award.</w:t>
      </w:r>
      <w:r w:rsidR="00F44B52" w:rsidRPr="003C2B31">
        <w:rPr>
          <w:rStyle w:val="FootnoteReference"/>
          <w:sz w:val="22"/>
          <w:szCs w:val="22"/>
        </w:rPr>
        <w:footnoteReference w:id="20"/>
      </w:r>
      <w:r w:rsidR="00511F34" w:rsidRPr="003C2B31">
        <w:rPr>
          <w:szCs w:val="22"/>
        </w:rPr>
        <w:t xml:space="preserve">  </w:t>
      </w:r>
      <w:r w:rsidR="00511F34" w:rsidRPr="003C2B31">
        <w:rPr>
          <w:snapToGrid/>
          <w:kern w:val="0"/>
          <w:szCs w:val="22"/>
        </w:rPr>
        <w:t xml:space="preserve">Chelmowski </w:t>
      </w:r>
      <w:r w:rsidR="001106E8" w:rsidRPr="003C2B31">
        <w:rPr>
          <w:snapToGrid/>
          <w:kern w:val="0"/>
          <w:szCs w:val="22"/>
        </w:rPr>
        <w:t xml:space="preserve">is appealing the </w:t>
      </w:r>
      <w:r w:rsidR="00EE4525" w:rsidRPr="003C2B31">
        <w:rPr>
          <w:snapToGrid/>
          <w:kern w:val="0"/>
          <w:szCs w:val="22"/>
        </w:rPr>
        <w:t>District C</w:t>
      </w:r>
      <w:r w:rsidR="001106E8" w:rsidRPr="003C2B31">
        <w:rPr>
          <w:snapToGrid/>
          <w:kern w:val="0"/>
          <w:szCs w:val="22"/>
        </w:rPr>
        <w:t>ourt’s decision.</w:t>
      </w:r>
      <w:r w:rsidR="001106E8" w:rsidRPr="003C2B31">
        <w:rPr>
          <w:rStyle w:val="FootnoteReference"/>
          <w:sz w:val="22"/>
          <w:szCs w:val="22"/>
        </w:rPr>
        <w:footnoteReference w:id="21"/>
      </w:r>
    </w:p>
    <w:p w:rsidR="009B14FB" w:rsidRPr="003C2B31" w:rsidRDefault="00CA1880" w:rsidP="000D1C0F">
      <w:pPr>
        <w:pStyle w:val="ParaNum"/>
        <w:tabs>
          <w:tab w:val="clear" w:pos="1080"/>
          <w:tab w:val="num" w:pos="1440"/>
        </w:tabs>
        <w:rPr>
          <w:szCs w:val="22"/>
        </w:rPr>
      </w:pPr>
      <w:r w:rsidRPr="003C2B31">
        <w:rPr>
          <w:szCs w:val="22"/>
        </w:rPr>
        <w:t xml:space="preserve">On </w:t>
      </w:r>
      <w:r w:rsidR="009B14FB" w:rsidRPr="003C2B31">
        <w:rPr>
          <w:szCs w:val="22"/>
        </w:rPr>
        <w:t>July 31</w:t>
      </w:r>
      <w:r w:rsidRPr="003C2B31">
        <w:rPr>
          <w:szCs w:val="22"/>
        </w:rPr>
        <w:t>, 2014, Chelmowski filed a third informal complaint</w:t>
      </w:r>
      <w:r w:rsidR="009B14FB" w:rsidRPr="003C2B31">
        <w:rPr>
          <w:szCs w:val="22"/>
        </w:rPr>
        <w:t xml:space="preserve"> </w:t>
      </w:r>
      <w:r w:rsidR="009F4386" w:rsidRPr="003C2B31">
        <w:rPr>
          <w:szCs w:val="22"/>
        </w:rPr>
        <w:t>regarding the failed port of the 0400 number</w:t>
      </w:r>
      <w:r w:rsidRPr="003C2B31">
        <w:rPr>
          <w:szCs w:val="22"/>
        </w:rPr>
        <w:t>.</w:t>
      </w:r>
      <w:r w:rsidR="009B14FB" w:rsidRPr="003C2B31">
        <w:rPr>
          <w:rStyle w:val="FootnoteReference"/>
          <w:sz w:val="22"/>
          <w:szCs w:val="22"/>
        </w:rPr>
        <w:footnoteReference w:id="22"/>
      </w:r>
      <w:r w:rsidRPr="003C2B31">
        <w:rPr>
          <w:szCs w:val="22"/>
        </w:rPr>
        <w:t xml:space="preserve">  AT&amp;T responded to the third informal complain</w:t>
      </w:r>
      <w:r w:rsidR="00FA3C13" w:rsidRPr="003C2B31">
        <w:rPr>
          <w:szCs w:val="22"/>
        </w:rPr>
        <w:t>t on August 13</w:t>
      </w:r>
      <w:r w:rsidRPr="003C2B31">
        <w:rPr>
          <w:szCs w:val="22"/>
        </w:rPr>
        <w:t>, 2014</w:t>
      </w:r>
      <w:r w:rsidR="0030131F" w:rsidRPr="003C2B31">
        <w:rPr>
          <w:szCs w:val="22"/>
        </w:rPr>
        <w:t xml:space="preserve">, and </w:t>
      </w:r>
      <w:r w:rsidR="00A92237" w:rsidRPr="003C2B31">
        <w:rPr>
          <w:szCs w:val="22"/>
        </w:rPr>
        <w:t>Chelmowski acknowledges that he received this response</w:t>
      </w:r>
      <w:r w:rsidRPr="003C2B31">
        <w:rPr>
          <w:szCs w:val="22"/>
        </w:rPr>
        <w:t>.</w:t>
      </w:r>
      <w:r w:rsidR="00FA3C13" w:rsidRPr="003C2B31">
        <w:rPr>
          <w:rStyle w:val="FootnoteReference"/>
          <w:sz w:val="22"/>
          <w:szCs w:val="22"/>
        </w:rPr>
        <w:footnoteReference w:id="23"/>
      </w:r>
      <w:r w:rsidRPr="003C2B31">
        <w:rPr>
          <w:szCs w:val="22"/>
        </w:rPr>
        <w:t xml:space="preserve">  On December 11, 2014, Che</w:t>
      </w:r>
      <w:r w:rsidR="009B14FB" w:rsidRPr="003C2B31">
        <w:rPr>
          <w:szCs w:val="22"/>
        </w:rPr>
        <w:t>l</w:t>
      </w:r>
      <w:r w:rsidRPr="003C2B31">
        <w:rPr>
          <w:szCs w:val="22"/>
        </w:rPr>
        <w:t>mowski filed the instant Complaint</w:t>
      </w:r>
      <w:r w:rsidR="00A551E4" w:rsidRPr="003C2B31">
        <w:rPr>
          <w:szCs w:val="22"/>
        </w:rPr>
        <w:t xml:space="preserve"> </w:t>
      </w:r>
      <w:r w:rsidR="00EA2668" w:rsidRPr="003C2B31">
        <w:rPr>
          <w:szCs w:val="22"/>
        </w:rPr>
        <w:t xml:space="preserve">seeking damages </w:t>
      </w:r>
      <w:r w:rsidR="0080490D">
        <w:rPr>
          <w:spacing w:val="-2"/>
          <w:szCs w:val="22"/>
        </w:rPr>
        <w:t>pursuant to S</w:t>
      </w:r>
      <w:r w:rsidR="00A551E4" w:rsidRPr="003C2B31">
        <w:rPr>
          <w:spacing w:val="-2"/>
          <w:szCs w:val="22"/>
        </w:rPr>
        <w:t xml:space="preserve">ection 208 of the </w:t>
      </w:r>
      <w:r w:rsidR="004E5F8D" w:rsidRPr="003C2B31">
        <w:rPr>
          <w:spacing w:val="-2"/>
          <w:szCs w:val="22"/>
        </w:rPr>
        <w:t>Act,</w:t>
      </w:r>
      <w:r w:rsidR="00A551E4" w:rsidRPr="003C2B31">
        <w:rPr>
          <w:rStyle w:val="FootnoteReference"/>
          <w:spacing w:val="-2"/>
          <w:sz w:val="22"/>
          <w:szCs w:val="22"/>
        </w:rPr>
        <w:footnoteReference w:id="24"/>
      </w:r>
      <w:r w:rsidR="00A551E4" w:rsidRPr="003C2B31">
        <w:rPr>
          <w:spacing w:val="-2"/>
          <w:szCs w:val="22"/>
        </w:rPr>
        <w:t xml:space="preserve"> </w:t>
      </w:r>
      <w:r w:rsidR="004E5F8D" w:rsidRPr="003C2B31">
        <w:rPr>
          <w:szCs w:val="22"/>
        </w:rPr>
        <w:t>alleging</w:t>
      </w:r>
      <w:r w:rsidR="00A551E4" w:rsidRPr="003C2B31">
        <w:rPr>
          <w:szCs w:val="22"/>
        </w:rPr>
        <w:t xml:space="preserve"> that, in March and April of 2011, AT&amp;T failed to process </w:t>
      </w:r>
      <w:r w:rsidR="0097745F" w:rsidRPr="003C2B31">
        <w:rPr>
          <w:szCs w:val="22"/>
        </w:rPr>
        <w:t>his</w:t>
      </w:r>
      <w:r w:rsidR="00EA2668" w:rsidRPr="003C2B31">
        <w:rPr>
          <w:szCs w:val="22"/>
        </w:rPr>
        <w:t xml:space="preserve"> porting requests for the 0400 number,</w:t>
      </w:r>
      <w:r w:rsidR="00A551E4" w:rsidRPr="003C2B31">
        <w:rPr>
          <w:szCs w:val="22"/>
        </w:rPr>
        <w:t xml:space="preserve"> in violation of 47 C.F.R. §§ 52.35 and 52.36.</w:t>
      </w:r>
      <w:r w:rsidR="00A551E4" w:rsidRPr="003C2B31">
        <w:rPr>
          <w:rStyle w:val="FootnoteReference"/>
          <w:sz w:val="22"/>
          <w:szCs w:val="22"/>
        </w:rPr>
        <w:footnoteReference w:id="25"/>
      </w:r>
    </w:p>
    <w:p w:rsidR="00135556" w:rsidRPr="003C2B31" w:rsidRDefault="00135556" w:rsidP="00135556">
      <w:pPr>
        <w:pStyle w:val="Heading1"/>
        <w:rPr>
          <w:rFonts w:ascii="Times New Roman" w:hAnsi="Times New Roman"/>
          <w:szCs w:val="22"/>
        </w:rPr>
      </w:pPr>
      <w:r w:rsidRPr="003C2B31">
        <w:rPr>
          <w:rFonts w:ascii="Times New Roman" w:hAnsi="Times New Roman"/>
          <w:szCs w:val="22"/>
        </w:rPr>
        <w:t>discussion</w:t>
      </w:r>
    </w:p>
    <w:p w:rsidR="00135556" w:rsidRPr="003C2B31" w:rsidRDefault="00CD5876" w:rsidP="00135556">
      <w:pPr>
        <w:pStyle w:val="Heading2"/>
        <w:rPr>
          <w:szCs w:val="22"/>
        </w:rPr>
      </w:pPr>
      <w:r w:rsidRPr="003C2B31">
        <w:rPr>
          <w:szCs w:val="22"/>
        </w:rPr>
        <w:t>Chel</w:t>
      </w:r>
      <w:r w:rsidR="00135556" w:rsidRPr="003C2B31">
        <w:rPr>
          <w:szCs w:val="22"/>
        </w:rPr>
        <w:t>mowski’s Claims are Time-Barred</w:t>
      </w:r>
    </w:p>
    <w:p w:rsidR="000D1C0F" w:rsidRPr="003C2B31" w:rsidRDefault="00F0299A" w:rsidP="000D1C0F">
      <w:pPr>
        <w:pStyle w:val="ParaNum"/>
        <w:tabs>
          <w:tab w:val="clear" w:pos="1080"/>
          <w:tab w:val="num" w:pos="1440"/>
        </w:tabs>
        <w:rPr>
          <w:szCs w:val="22"/>
        </w:rPr>
      </w:pPr>
      <w:r w:rsidRPr="003C2B31">
        <w:rPr>
          <w:szCs w:val="22"/>
        </w:rPr>
        <w:t>Section 415(b) of the Act provides that “</w:t>
      </w:r>
      <w:r w:rsidR="00BB3B3B" w:rsidRPr="003C2B31">
        <w:rPr>
          <w:szCs w:val="22"/>
        </w:rPr>
        <w:t xml:space="preserve">[a]ll </w:t>
      </w:r>
      <w:r w:rsidRPr="003C2B31">
        <w:rPr>
          <w:szCs w:val="22"/>
        </w:rPr>
        <w:t>complaints against carriers for the recovery of damages not based on overcharges shall be filed within two years from the time the cause of action accrues.”</w:t>
      </w:r>
      <w:r w:rsidRPr="003C2B31">
        <w:rPr>
          <w:rStyle w:val="FootnoteReference"/>
          <w:sz w:val="22"/>
          <w:szCs w:val="22"/>
        </w:rPr>
        <w:footnoteReference w:id="26"/>
      </w:r>
      <w:r w:rsidRPr="003C2B31">
        <w:rPr>
          <w:szCs w:val="22"/>
        </w:rPr>
        <w:t xml:space="preserve"> </w:t>
      </w:r>
      <w:r w:rsidR="00AC3FD0" w:rsidRPr="003C2B31">
        <w:rPr>
          <w:szCs w:val="22"/>
        </w:rPr>
        <w:t xml:space="preserve"> </w:t>
      </w:r>
      <w:r w:rsidR="00E80F96" w:rsidRPr="003C2B31">
        <w:rPr>
          <w:szCs w:val="22"/>
        </w:rPr>
        <w:t>Under Section 415(b), a cause of action accrues at the date of the injury, if it is readily discoverable.</w:t>
      </w:r>
      <w:bookmarkStart w:id="1" w:name="FN[FN146]"/>
      <w:bookmarkEnd w:id="1"/>
      <w:r w:rsidR="00E80F96" w:rsidRPr="003C2B31">
        <w:rPr>
          <w:rStyle w:val="FootnoteReference"/>
          <w:sz w:val="22"/>
          <w:szCs w:val="22"/>
        </w:rPr>
        <w:footnoteReference w:id="27"/>
      </w:r>
      <w:r w:rsidR="00E80F96" w:rsidRPr="003C2B31">
        <w:rPr>
          <w:szCs w:val="22"/>
        </w:rPr>
        <w:t xml:space="preserve">  If the injury is not readily discoverable, the cause of action accrues when the complainant discovers</w:t>
      </w:r>
      <w:r w:rsidR="005E700A" w:rsidRPr="003C2B31">
        <w:rPr>
          <w:szCs w:val="22"/>
        </w:rPr>
        <w:t>, or should have discovered,</w:t>
      </w:r>
      <w:r w:rsidR="00E80F96" w:rsidRPr="003C2B31">
        <w:rPr>
          <w:szCs w:val="22"/>
        </w:rPr>
        <w:t xml:space="preserve"> the injury.</w:t>
      </w:r>
      <w:bookmarkStart w:id="2" w:name="FN[FN147]"/>
      <w:bookmarkEnd w:id="2"/>
      <w:r w:rsidR="00E80F96" w:rsidRPr="003C2B31">
        <w:rPr>
          <w:rStyle w:val="FootnoteReference"/>
          <w:sz w:val="22"/>
          <w:szCs w:val="22"/>
        </w:rPr>
        <w:footnoteReference w:id="28"/>
      </w:r>
      <w:r w:rsidR="00E80F96" w:rsidRPr="003C2B31">
        <w:rPr>
          <w:szCs w:val="22"/>
        </w:rPr>
        <w:t xml:space="preserve">  </w:t>
      </w:r>
      <w:r w:rsidR="008C6257" w:rsidRPr="003C2B31">
        <w:rPr>
          <w:szCs w:val="22"/>
        </w:rPr>
        <w:t>We find that any injury resulting from AT&amp;T’s failure to port the 0400 number was readily discoverable at the time the porting failures occurred</w:t>
      </w:r>
      <w:r w:rsidR="00662FB9" w:rsidRPr="003C2B31">
        <w:rPr>
          <w:szCs w:val="22"/>
        </w:rPr>
        <w:t xml:space="preserve">, and that </w:t>
      </w:r>
      <w:r w:rsidR="008C6257" w:rsidRPr="003C2B31">
        <w:rPr>
          <w:szCs w:val="22"/>
        </w:rPr>
        <w:t xml:space="preserve">Chelmowski in fact discovered his alleged injury </w:t>
      </w:r>
      <w:r w:rsidR="00371BD7" w:rsidRPr="003C2B31">
        <w:rPr>
          <w:szCs w:val="22"/>
        </w:rPr>
        <w:t>no later than when</w:t>
      </w:r>
      <w:r w:rsidR="008C6257" w:rsidRPr="003C2B31">
        <w:rPr>
          <w:szCs w:val="22"/>
        </w:rPr>
        <w:t xml:space="preserve"> he filed his first informal complaint in </w:t>
      </w:r>
      <w:r w:rsidR="00962E1E" w:rsidRPr="003C2B31">
        <w:rPr>
          <w:szCs w:val="22"/>
        </w:rPr>
        <w:t>March</w:t>
      </w:r>
      <w:r w:rsidR="008C6257" w:rsidRPr="003C2B31">
        <w:rPr>
          <w:szCs w:val="22"/>
        </w:rPr>
        <w:t xml:space="preserve"> 2011</w:t>
      </w:r>
      <w:r w:rsidR="00662FB9" w:rsidRPr="003C2B31">
        <w:rPr>
          <w:szCs w:val="22"/>
        </w:rPr>
        <w:t xml:space="preserve"> </w:t>
      </w:r>
      <w:r w:rsidR="001A2089" w:rsidRPr="003C2B31">
        <w:rPr>
          <w:szCs w:val="22"/>
        </w:rPr>
        <w:t xml:space="preserve">charging AT&amp;T with </w:t>
      </w:r>
      <w:r w:rsidR="00662FB9" w:rsidRPr="003C2B31">
        <w:rPr>
          <w:szCs w:val="22"/>
        </w:rPr>
        <w:t>“[n]ot porting” the 0400 number.</w:t>
      </w:r>
      <w:r w:rsidR="00662FB9" w:rsidRPr="003C2B31">
        <w:rPr>
          <w:rStyle w:val="FootnoteReference"/>
          <w:sz w:val="22"/>
          <w:szCs w:val="22"/>
        </w:rPr>
        <w:footnoteReference w:id="29"/>
      </w:r>
      <w:r w:rsidR="00962E1E" w:rsidRPr="003C2B31">
        <w:rPr>
          <w:szCs w:val="22"/>
        </w:rPr>
        <w:t xml:space="preserve">  Because Chelmows</w:t>
      </w:r>
      <w:r w:rsidR="00662FB9" w:rsidRPr="003C2B31">
        <w:rPr>
          <w:szCs w:val="22"/>
        </w:rPr>
        <w:t xml:space="preserve">ki </w:t>
      </w:r>
      <w:r w:rsidR="001A2089" w:rsidRPr="003C2B31">
        <w:rPr>
          <w:szCs w:val="22"/>
        </w:rPr>
        <w:t xml:space="preserve">did not file </w:t>
      </w:r>
      <w:r w:rsidR="00371BD7" w:rsidRPr="003C2B31">
        <w:rPr>
          <w:szCs w:val="22"/>
        </w:rPr>
        <w:t xml:space="preserve">his formal </w:t>
      </w:r>
      <w:r w:rsidR="001A2089" w:rsidRPr="003C2B31">
        <w:rPr>
          <w:szCs w:val="22"/>
        </w:rPr>
        <w:t xml:space="preserve">Complaint until </w:t>
      </w:r>
      <w:r w:rsidR="00662FB9" w:rsidRPr="003C2B31">
        <w:rPr>
          <w:szCs w:val="22"/>
        </w:rPr>
        <w:t xml:space="preserve">December </w:t>
      </w:r>
      <w:r w:rsidR="001A2089" w:rsidRPr="003C2B31">
        <w:rPr>
          <w:szCs w:val="22"/>
        </w:rPr>
        <w:t xml:space="preserve">11, </w:t>
      </w:r>
      <w:r w:rsidR="00662FB9" w:rsidRPr="003C2B31">
        <w:rPr>
          <w:szCs w:val="22"/>
        </w:rPr>
        <w:t>2014</w:t>
      </w:r>
      <w:r w:rsidR="00DD3BE5">
        <w:rPr>
          <w:szCs w:val="22"/>
        </w:rPr>
        <w:t xml:space="preserve">--significantly </w:t>
      </w:r>
      <w:r w:rsidR="00662FB9" w:rsidRPr="003C2B31">
        <w:rPr>
          <w:szCs w:val="22"/>
        </w:rPr>
        <w:t xml:space="preserve">more than two years </w:t>
      </w:r>
      <w:r w:rsidR="001A2089" w:rsidRPr="003C2B31">
        <w:rPr>
          <w:szCs w:val="22"/>
        </w:rPr>
        <w:t xml:space="preserve">after both the time of injury and </w:t>
      </w:r>
      <w:r w:rsidR="00994BE8" w:rsidRPr="003C2B31">
        <w:rPr>
          <w:szCs w:val="22"/>
        </w:rPr>
        <w:t xml:space="preserve">the time of </w:t>
      </w:r>
      <w:r w:rsidR="00662FB9" w:rsidRPr="003C2B31">
        <w:rPr>
          <w:szCs w:val="22"/>
        </w:rPr>
        <w:t>discovery</w:t>
      </w:r>
      <w:r w:rsidR="001A2089" w:rsidRPr="003C2B31">
        <w:rPr>
          <w:szCs w:val="22"/>
        </w:rPr>
        <w:t>--</w:t>
      </w:r>
      <w:r w:rsidR="00662FB9" w:rsidRPr="003C2B31">
        <w:rPr>
          <w:szCs w:val="22"/>
        </w:rPr>
        <w:t xml:space="preserve">the Complaint is </w:t>
      </w:r>
      <w:r w:rsidR="001A2089" w:rsidRPr="003C2B31">
        <w:rPr>
          <w:szCs w:val="22"/>
        </w:rPr>
        <w:t>b</w:t>
      </w:r>
      <w:r w:rsidR="00662FB9" w:rsidRPr="003C2B31">
        <w:rPr>
          <w:szCs w:val="22"/>
        </w:rPr>
        <w:t xml:space="preserve">arred </w:t>
      </w:r>
      <w:r w:rsidR="00DB2834" w:rsidRPr="003C2B31">
        <w:rPr>
          <w:szCs w:val="22"/>
        </w:rPr>
        <w:t xml:space="preserve">under </w:t>
      </w:r>
      <w:r w:rsidR="008E158F" w:rsidRPr="003C2B31">
        <w:rPr>
          <w:szCs w:val="22"/>
        </w:rPr>
        <w:t>Section 415(b)’s two-year limitation</w:t>
      </w:r>
      <w:r w:rsidR="00635085" w:rsidRPr="003C2B31">
        <w:rPr>
          <w:szCs w:val="22"/>
        </w:rPr>
        <w:t>s</w:t>
      </w:r>
      <w:r w:rsidR="008E158F" w:rsidRPr="003C2B31">
        <w:rPr>
          <w:szCs w:val="22"/>
        </w:rPr>
        <w:t xml:space="preserve"> period</w:t>
      </w:r>
      <w:r w:rsidR="00CD14F7" w:rsidRPr="003C2B31">
        <w:rPr>
          <w:szCs w:val="22"/>
        </w:rPr>
        <w:t>.</w:t>
      </w:r>
    </w:p>
    <w:p w:rsidR="000D1C0F" w:rsidRPr="003C2B31" w:rsidRDefault="005E700A" w:rsidP="000D1C0F">
      <w:pPr>
        <w:pStyle w:val="ParaNum"/>
        <w:tabs>
          <w:tab w:val="clear" w:pos="1080"/>
          <w:tab w:val="num" w:pos="1440"/>
        </w:tabs>
        <w:rPr>
          <w:szCs w:val="22"/>
        </w:rPr>
      </w:pPr>
      <w:r w:rsidRPr="003C2B31">
        <w:rPr>
          <w:szCs w:val="22"/>
        </w:rPr>
        <w:t>Additionally, we</w:t>
      </w:r>
      <w:r w:rsidR="003050C4" w:rsidRPr="003C2B31">
        <w:rPr>
          <w:szCs w:val="22"/>
        </w:rPr>
        <w:t xml:space="preserve"> find that the Complaint </w:t>
      </w:r>
      <w:r w:rsidRPr="003C2B31">
        <w:rPr>
          <w:szCs w:val="22"/>
        </w:rPr>
        <w:t>cannot be deemed</w:t>
      </w:r>
      <w:r w:rsidR="003050C4" w:rsidRPr="003C2B31">
        <w:rPr>
          <w:szCs w:val="22"/>
        </w:rPr>
        <w:t xml:space="preserve"> timely under the </w:t>
      </w:r>
      <w:r w:rsidR="00336820" w:rsidRPr="003C2B31">
        <w:rPr>
          <w:szCs w:val="22"/>
        </w:rPr>
        <w:t xml:space="preserve">“relation back” principle in </w:t>
      </w:r>
      <w:r w:rsidR="0080490D">
        <w:rPr>
          <w:szCs w:val="22"/>
        </w:rPr>
        <w:t>S</w:t>
      </w:r>
      <w:r w:rsidR="009B14FB" w:rsidRPr="003C2B31">
        <w:rPr>
          <w:szCs w:val="22"/>
        </w:rPr>
        <w:t>ection 1.718 of the Commission’s rules</w:t>
      </w:r>
      <w:r w:rsidR="003050C4" w:rsidRPr="003C2B31">
        <w:rPr>
          <w:szCs w:val="22"/>
        </w:rPr>
        <w:t>.</w:t>
      </w:r>
      <w:r w:rsidR="00CD14F7" w:rsidRPr="003C2B31">
        <w:rPr>
          <w:rStyle w:val="FootnoteReference"/>
          <w:sz w:val="22"/>
          <w:szCs w:val="22"/>
        </w:rPr>
        <w:footnoteReference w:id="30"/>
      </w:r>
      <w:r w:rsidR="00CD14F7" w:rsidRPr="003C2B31">
        <w:rPr>
          <w:szCs w:val="22"/>
        </w:rPr>
        <w:t xml:space="preserve">  Rule 1.718 provides that when </w:t>
      </w:r>
      <w:r w:rsidR="00CD14F7" w:rsidRPr="003C2B31">
        <w:rPr>
          <w:snapToGrid/>
          <w:kern w:val="0"/>
          <w:szCs w:val="22"/>
        </w:rPr>
        <w:t xml:space="preserve">an informal complaint against a carrier has not been satisfied, the complainant may file a formal complaint which “will be deemed to relate back to the filing date of the informal complaint” </w:t>
      </w:r>
      <w:r w:rsidR="00CD14F7" w:rsidRPr="003C2B31">
        <w:rPr>
          <w:i/>
          <w:snapToGrid/>
          <w:kern w:val="0"/>
          <w:szCs w:val="22"/>
        </w:rPr>
        <w:t xml:space="preserve">provided </w:t>
      </w:r>
      <w:r w:rsidR="00CD14F7" w:rsidRPr="003C2B31">
        <w:rPr>
          <w:snapToGrid/>
          <w:kern w:val="0"/>
          <w:szCs w:val="22"/>
        </w:rPr>
        <w:t xml:space="preserve">that the formal complaint </w:t>
      </w:r>
      <w:r w:rsidR="00F45799" w:rsidRPr="003C2B31">
        <w:rPr>
          <w:snapToGrid/>
          <w:kern w:val="0"/>
          <w:szCs w:val="22"/>
        </w:rPr>
        <w:t xml:space="preserve">is </w:t>
      </w:r>
      <w:r w:rsidR="00CD14F7" w:rsidRPr="003C2B31">
        <w:rPr>
          <w:snapToGrid/>
          <w:kern w:val="0"/>
          <w:szCs w:val="22"/>
        </w:rPr>
        <w:t xml:space="preserve">filed within 6 months from the date of </w:t>
      </w:r>
      <w:r w:rsidRPr="003C2B31">
        <w:rPr>
          <w:snapToGrid/>
          <w:kern w:val="0"/>
          <w:szCs w:val="22"/>
        </w:rPr>
        <w:t xml:space="preserve">the </w:t>
      </w:r>
      <w:r w:rsidR="00CD14F7" w:rsidRPr="003C2B31">
        <w:rPr>
          <w:snapToGrid/>
          <w:kern w:val="0"/>
          <w:szCs w:val="22"/>
        </w:rPr>
        <w:t>carrier’s response to the informal complaint.</w:t>
      </w:r>
      <w:r w:rsidR="00F45799" w:rsidRPr="003C2B31">
        <w:rPr>
          <w:rStyle w:val="FootnoteReference"/>
          <w:snapToGrid/>
          <w:kern w:val="0"/>
          <w:sz w:val="22"/>
          <w:szCs w:val="22"/>
        </w:rPr>
        <w:footnoteReference w:id="31"/>
      </w:r>
      <w:r w:rsidR="00635085" w:rsidRPr="003C2B31">
        <w:rPr>
          <w:szCs w:val="22"/>
        </w:rPr>
        <w:t xml:space="preserve"> </w:t>
      </w:r>
      <w:r w:rsidR="00AC1584" w:rsidRPr="003C2B31">
        <w:rPr>
          <w:szCs w:val="22"/>
        </w:rPr>
        <w:t xml:space="preserve"> </w:t>
      </w:r>
      <w:r w:rsidR="00F229AE" w:rsidRPr="003C2B31">
        <w:rPr>
          <w:szCs w:val="22"/>
        </w:rPr>
        <w:t>AT&amp;T responded to the first informal complaint on April 13, 2011, and the second informal complaint on September 22, 2011</w:t>
      </w:r>
      <w:r w:rsidR="00F44B14">
        <w:rPr>
          <w:szCs w:val="22"/>
        </w:rPr>
        <w:t>, al</w:t>
      </w:r>
      <w:r w:rsidR="00417182">
        <w:rPr>
          <w:szCs w:val="22"/>
        </w:rPr>
        <w:t>leging in both instances that it</w:t>
      </w:r>
      <w:r w:rsidR="00F44B14">
        <w:rPr>
          <w:szCs w:val="22"/>
        </w:rPr>
        <w:t xml:space="preserve"> provided a “copy to Mr. Chelmowski</w:t>
      </w:r>
      <w:r w:rsidR="00F229AE" w:rsidRPr="003C2B31">
        <w:rPr>
          <w:szCs w:val="22"/>
        </w:rPr>
        <w:t>.</w:t>
      </w:r>
      <w:r w:rsidR="00F44B14">
        <w:rPr>
          <w:szCs w:val="22"/>
        </w:rPr>
        <w:t>”</w:t>
      </w:r>
      <w:r w:rsidR="00D316BA">
        <w:rPr>
          <w:rStyle w:val="FootnoteReference"/>
          <w:szCs w:val="22"/>
        </w:rPr>
        <w:footnoteReference w:id="32"/>
      </w:r>
      <w:r w:rsidR="00F229AE" w:rsidRPr="003C2B31">
        <w:rPr>
          <w:szCs w:val="22"/>
        </w:rPr>
        <w:t xml:space="preserve">  </w:t>
      </w:r>
      <w:r w:rsidR="00F44B14">
        <w:rPr>
          <w:szCs w:val="22"/>
        </w:rPr>
        <w:t xml:space="preserve">While Mr. Chelmowski disputes receiving </w:t>
      </w:r>
      <w:r w:rsidR="00D316BA">
        <w:rPr>
          <w:szCs w:val="22"/>
        </w:rPr>
        <w:t xml:space="preserve">any of </w:t>
      </w:r>
      <w:r w:rsidR="00F44B14">
        <w:rPr>
          <w:szCs w:val="22"/>
        </w:rPr>
        <w:t>AT&amp;T’s responses in 2011, he</w:t>
      </w:r>
      <w:r w:rsidR="000E2D84">
        <w:rPr>
          <w:szCs w:val="22"/>
        </w:rPr>
        <w:t xml:space="preserve"> </w:t>
      </w:r>
      <w:r w:rsidR="00AD6410">
        <w:rPr>
          <w:szCs w:val="22"/>
        </w:rPr>
        <w:t xml:space="preserve">admits </w:t>
      </w:r>
      <w:r w:rsidR="00F44B14">
        <w:rPr>
          <w:szCs w:val="22"/>
        </w:rPr>
        <w:t>receiving</w:t>
      </w:r>
      <w:r w:rsidR="00AD6410">
        <w:rPr>
          <w:szCs w:val="22"/>
        </w:rPr>
        <w:t xml:space="preserve"> AT&amp;T’s responses to the first and second informal complaints </w:t>
      </w:r>
      <w:r w:rsidR="00AD6410" w:rsidRPr="00BA3FD7">
        <w:rPr>
          <w:i/>
          <w:szCs w:val="22"/>
        </w:rPr>
        <w:t>no later than</w:t>
      </w:r>
      <w:r w:rsidR="00AD6410">
        <w:rPr>
          <w:szCs w:val="22"/>
        </w:rPr>
        <w:t xml:space="preserve"> October 22, 2013.</w:t>
      </w:r>
      <w:r w:rsidR="00AD6410" w:rsidRPr="003C2B31">
        <w:rPr>
          <w:rStyle w:val="FootnoteReference"/>
          <w:sz w:val="22"/>
          <w:szCs w:val="22"/>
        </w:rPr>
        <w:footnoteReference w:id="33"/>
      </w:r>
      <w:r w:rsidR="00AD6410">
        <w:rPr>
          <w:szCs w:val="22"/>
        </w:rPr>
        <w:t xml:space="preserve">  </w:t>
      </w:r>
      <w:r w:rsidR="00F44B14">
        <w:rPr>
          <w:szCs w:val="22"/>
        </w:rPr>
        <w:t>We need not reach the question of whet</w:t>
      </w:r>
      <w:r w:rsidR="00417182">
        <w:rPr>
          <w:szCs w:val="22"/>
        </w:rPr>
        <w:t xml:space="preserve">her the six month relation </w:t>
      </w:r>
      <w:r w:rsidR="00F44B14">
        <w:rPr>
          <w:szCs w:val="22"/>
        </w:rPr>
        <w:t xml:space="preserve">back period runs from </w:t>
      </w:r>
      <w:r w:rsidR="00417182" w:rsidRPr="003C2B31">
        <w:rPr>
          <w:szCs w:val="22"/>
        </w:rPr>
        <w:t>April 13, 2011</w:t>
      </w:r>
      <w:r w:rsidR="00417182">
        <w:rPr>
          <w:szCs w:val="22"/>
        </w:rPr>
        <w:t xml:space="preserve">, </w:t>
      </w:r>
      <w:r w:rsidR="00417182" w:rsidRPr="003C2B31">
        <w:rPr>
          <w:szCs w:val="22"/>
        </w:rPr>
        <w:t>September 22, 2011</w:t>
      </w:r>
      <w:r w:rsidR="00F44B14">
        <w:rPr>
          <w:szCs w:val="22"/>
        </w:rPr>
        <w:t>, or October 22, 2013, b</w:t>
      </w:r>
      <w:r w:rsidR="00371BD7" w:rsidRPr="003C2B31">
        <w:rPr>
          <w:szCs w:val="22"/>
        </w:rPr>
        <w:t>ecause Chelmowski did not file t</w:t>
      </w:r>
      <w:r w:rsidR="00E00EFC" w:rsidRPr="003C2B31">
        <w:rPr>
          <w:szCs w:val="22"/>
        </w:rPr>
        <w:t>he instant formal C</w:t>
      </w:r>
      <w:r w:rsidR="00AC1584" w:rsidRPr="003C2B31">
        <w:rPr>
          <w:szCs w:val="22"/>
        </w:rPr>
        <w:t>omplaint</w:t>
      </w:r>
      <w:r w:rsidR="00371BD7" w:rsidRPr="003C2B31">
        <w:rPr>
          <w:szCs w:val="22"/>
        </w:rPr>
        <w:t xml:space="preserve"> until </w:t>
      </w:r>
      <w:r w:rsidR="00AC1584" w:rsidRPr="003C2B31">
        <w:rPr>
          <w:szCs w:val="22"/>
        </w:rPr>
        <w:t>December 11, 2014</w:t>
      </w:r>
      <w:r w:rsidR="00371BD7" w:rsidRPr="003C2B31">
        <w:rPr>
          <w:szCs w:val="22"/>
        </w:rPr>
        <w:t>—</w:t>
      </w:r>
      <w:r w:rsidR="00E00EFC" w:rsidRPr="003C2B31">
        <w:rPr>
          <w:szCs w:val="22"/>
        </w:rPr>
        <w:t xml:space="preserve">more than six months after </w:t>
      </w:r>
      <w:r w:rsidR="00BA3FD7">
        <w:rPr>
          <w:szCs w:val="22"/>
        </w:rPr>
        <w:t>all</w:t>
      </w:r>
      <w:r w:rsidR="00417182">
        <w:rPr>
          <w:szCs w:val="22"/>
        </w:rPr>
        <w:t xml:space="preserve"> of these</w:t>
      </w:r>
      <w:r w:rsidR="00F44B14">
        <w:rPr>
          <w:szCs w:val="22"/>
        </w:rPr>
        <w:t xml:space="preserve"> </w:t>
      </w:r>
      <w:r w:rsidR="00E00EFC" w:rsidRPr="003C2B31">
        <w:rPr>
          <w:szCs w:val="22"/>
        </w:rPr>
        <w:t>date</w:t>
      </w:r>
      <w:r w:rsidR="00417182">
        <w:rPr>
          <w:szCs w:val="22"/>
        </w:rPr>
        <w:t>s</w:t>
      </w:r>
      <w:r w:rsidR="00F44B14">
        <w:rPr>
          <w:szCs w:val="22"/>
        </w:rPr>
        <w:t xml:space="preserve">.  </w:t>
      </w:r>
      <w:r w:rsidR="00BA3FD7">
        <w:rPr>
          <w:szCs w:val="22"/>
        </w:rPr>
        <w:t>T</w:t>
      </w:r>
      <w:r w:rsidR="00417182">
        <w:rPr>
          <w:szCs w:val="22"/>
        </w:rPr>
        <w:t>he relation back principle in rule 1.718</w:t>
      </w:r>
      <w:r w:rsidR="00BA3FD7">
        <w:rPr>
          <w:szCs w:val="22"/>
        </w:rPr>
        <w:t xml:space="preserve"> is therefore inapplicable here</w:t>
      </w:r>
      <w:r w:rsidR="00E00EFC" w:rsidRPr="003C2B31">
        <w:rPr>
          <w:szCs w:val="22"/>
        </w:rPr>
        <w:t>.</w:t>
      </w:r>
      <w:r w:rsidR="00336820" w:rsidRPr="003C2B31">
        <w:rPr>
          <w:rStyle w:val="FootnoteReference"/>
          <w:sz w:val="22"/>
          <w:szCs w:val="22"/>
        </w:rPr>
        <w:footnoteReference w:id="34"/>
      </w:r>
      <w:r w:rsidR="00E00EFC" w:rsidRPr="003C2B31">
        <w:rPr>
          <w:szCs w:val="22"/>
        </w:rPr>
        <w:t xml:space="preserve">  </w:t>
      </w:r>
      <w:r w:rsidR="00242CAC" w:rsidRPr="003C2B31">
        <w:rPr>
          <w:szCs w:val="22"/>
        </w:rPr>
        <w:t>F</w:t>
      </w:r>
      <w:r w:rsidR="00240E77" w:rsidRPr="003C2B31">
        <w:rPr>
          <w:szCs w:val="22"/>
        </w:rPr>
        <w:t>inally</w:t>
      </w:r>
      <w:r w:rsidR="00242CAC" w:rsidRPr="003C2B31">
        <w:rPr>
          <w:szCs w:val="22"/>
        </w:rPr>
        <w:t>, we note</w:t>
      </w:r>
      <w:r w:rsidR="008F29D4" w:rsidRPr="003C2B31">
        <w:rPr>
          <w:szCs w:val="22"/>
        </w:rPr>
        <w:t xml:space="preserve"> that t</w:t>
      </w:r>
      <w:r w:rsidR="00392D32" w:rsidRPr="003C2B31">
        <w:rPr>
          <w:szCs w:val="22"/>
        </w:rPr>
        <w:t>he</w:t>
      </w:r>
      <w:r w:rsidR="00150129" w:rsidRPr="003C2B31">
        <w:rPr>
          <w:szCs w:val="22"/>
        </w:rPr>
        <w:t xml:space="preserve"> third informal complaint</w:t>
      </w:r>
      <w:r w:rsidR="00583966" w:rsidRPr="003C2B31">
        <w:rPr>
          <w:szCs w:val="22"/>
        </w:rPr>
        <w:t xml:space="preserve"> </w:t>
      </w:r>
      <w:r w:rsidR="007572A2" w:rsidRPr="003C2B31">
        <w:rPr>
          <w:szCs w:val="22"/>
        </w:rPr>
        <w:t>c</w:t>
      </w:r>
      <w:r w:rsidR="00E05657" w:rsidRPr="003C2B31">
        <w:rPr>
          <w:szCs w:val="22"/>
        </w:rPr>
        <w:t xml:space="preserve">annot provide a </w:t>
      </w:r>
      <w:r w:rsidR="00392D32" w:rsidRPr="003C2B31">
        <w:rPr>
          <w:szCs w:val="22"/>
        </w:rPr>
        <w:t xml:space="preserve">basis </w:t>
      </w:r>
      <w:r w:rsidR="00E05657" w:rsidRPr="003C2B31">
        <w:rPr>
          <w:szCs w:val="22"/>
        </w:rPr>
        <w:t xml:space="preserve">for </w:t>
      </w:r>
      <w:r w:rsidR="00EE4525" w:rsidRPr="003C2B31">
        <w:rPr>
          <w:szCs w:val="22"/>
        </w:rPr>
        <w:t xml:space="preserve">“relation back” under </w:t>
      </w:r>
      <w:r w:rsidR="00242CAC" w:rsidRPr="003C2B31">
        <w:rPr>
          <w:szCs w:val="22"/>
        </w:rPr>
        <w:t>rule 1.718</w:t>
      </w:r>
      <w:r w:rsidR="00392D32" w:rsidRPr="003C2B31">
        <w:rPr>
          <w:szCs w:val="22"/>
        </w:rPr>
        <w:t xml:space="preserve"> because that </w:t>
      </w:r>
      <w:r w:rsidR="00BE5602" w:rsidRPr="003C2B31">
        <w:rPr>
          <w:szCs w:val="22"/>
        </w:rPr>
        <w:t xml:space="preserve">complaint </w:t>
      </w:r>
      <w:r w:rsidR="007572A2" w:rsidRPr="003C2B31">
        <w:rPr>
          <w:szCs w:val="22"/>
        </w:rPr>
        <w:t>w</w:t>
      </w:r>
      <w:r w:rsidR="00150129" w:rsidRPr="003C2B31">
        <w:rPr>
          <w:szCs w:val="22"/>
        </w:rPr>
        <w:t>as itself time barred</w:t>
      </w:r>
      <w:r w:rsidR="00BB3B3B" w:rsidRPr="003C2B31">
        <w:rPr>
          <w:szCs w:val="22"/>
        </w:rPr>
        <w:t xml:space="preserve"> under Section 415(b)</w:t>
      </w:r>
      <w:r w:rsidR="00E05657" w:rsidRPr="003C2B31">
        <w:rPr>
          <w:szCs w:val="22"/>
        </w:rPr>
        <w:t xml:space="preserve"> when </w:t>
      </w:r>
      <w:r w:rsidR="00EE4525" w:rsidRPr="003C2B31">
        <w:rPr>
          <w:szCs w:val="22"/>
        </w:rPr>
        <w:t>Chelmowski</w:t>
      </w:r>
      <w:r w:rsidR="00E05657" w:rsidRPr="003C2B31">
        <w:rPr>
          <w:szCs w:val="22"/>
        </w:rPr>
        <w:t xml:space="preserve"> filed </w:t>
      </w:r>
      <w:r w:rsidR="00EE4525" w:rsidRPr="003C2B31">
        <w:rPr>
          <w:szCs w:val="22"/>
        </w:rPr>
        <w:t xml:space="preserve">it </w:t>
      </w:r>
      <w:r w:rsidR="00E05657" w:rsidRPr="003C2B31">
        <w:rPr>
          <w:szCs w:val="22"/>
        </w:rPr>
        <w:t>on July 31, 2014</w:t>
      </w:r>
      <w:r w:rsidR="00392D32" w:rsidRPr="003C2B31">
        <w:rPr>
          <w:szCs w:val="22"/>
        </w:rPr>
        <w:t xml:space="preserve">, </w:t>
      </w:r>
      <w:r w:rsidR="00150129" w:rsidRPr="003C2B31">
        <w:rPr>
          <w:szCs w:val="22"/>
        </w:rPr>
        <w:t>more than two years after the 0400 number porting claim accrued</w:t>
      </w:r>
      <w:r w:rsidR="00BB3B3B" w:rsidRPr="003C2B31">
        <w:rPr>
          <w:szCs w:val="22"/>
        </w:rPr>
        <w:t xml:space="preserve"> in 2011.</w:t>
      </w:r>
    </w:p>
    <w:p w:rsidR="00534934" w:rsidRPr="003C2B31" w:rsidRDefault="00534934" w:rsidP="009E6BDA">
      <w:pPr>
        <w:pStyle w:val="ParaNum"/>
        <w:tabs>
          <w:tab w:val="clear" w:pos="1080"/>
          <w:tab w:val="num" w:pos="1440"/>
        </w:tabs>
        <w:rPr>
          <w:szCs w:val="22"/>
        </w:rPr>
      </w:pPr>
      <w:r w:rsidRPr="003C2B31">
        <w:rPr>
          <w:szCs w:val="22"/>
        </w:rPr>
        <w:t>We reject Chelmowski’s assertion that the limitations period should be tolled because AT&amp;T continuously and fraudulently concealed the alleged “injury” he suffered.</w:t>
      </w:r>
      <w:r w:rsidRPr="003C2B31">
        <w:rPr>
          <w:rStyle w:val="FootnoteReference"/>
          <w:sz w:val="22"/>
          <w:szCs w:val="22"/>
        </w:rPr>
        <w:footnoteReference w:id="35"/>
      </w:r>
      <w:r w:rsidRPr="003C2B31">
        <w:rPr>
          <w:szCs w:val="22"/>
        </w:rPr>
        <w:t xml:space="preserve">  In short, Chelmowski argues that AT&amp;T failed to provide him with material information and thus rendered him unable to discover “material facts [relating] to the basis of his claim.”</w:t>
      </w:r>
      <w:r w:rsidRPr="003C2B31">
        <w:rPr>
          <w:rStyle w:val="FootnoteReference"/>
          <w:sz w:val="22"/>
          <w:szCs w:val="22"/>
        </w:rPr>
        <w:footnoteReference w:id="36"/>
      </w:r>
      <w:r w:rsidRPr="003C2B31">
        <w:rPr>
          <w:szCs w:val="22"/>
        </w:rPr>
        <w:t xml:space="preserve">  Chelmowski claims that this fraudulent concealment amounts to a continuing harm that tolls the statute of limitations.</w:t>
      </w:r>
      <w:r w:rsidRPr="003C2B31">
        <w:rPr>
          <w:rStyle w:val="FootnoteReference"/>
          <w:sz w:val="22"/>
          <w:szCs w:val="22"/>
        </w:rPr>
        <w:footnoteReference w:id="37"/>
      </w:r>
      <w:r w:rsidRPr="003C2B31">
        <w:rPr>
          <w:szCs w:val="22"/>
        </w:rPr>
        <w:t xml:space="preserve">  Although a defendant’s active concealment of facts giving rise to a cause of action may provide a basis for equitable tolling of the limitations period,</w:t>
      </w:r>
      <w:r w:rsidRPr="003C2B31">
        <w:rPr>
          <w:rStyle w:val="FootnoteReference"/>
          <w:sz w:val="22"/>
          <w:szCs w:val="22"/>
        </w:rPr>
        <w:footnoteReference w:id="38"/>
      </w:r>
      <w:r w:rsidRPr="003C2B31">
        <w:rPr>
          <w:szCs w:val="22"/>
        </w:rPr>
        <w:t xml:space="preserve"> such tolling is unavailable here.  The record shows that Chelmowski had the basic facts needed to assert a claim regarding the 0400 number port, and that he actually did so, in two informal complaints in 2011, and in an arbitration proceeding in 2013.</w:t>
      </w:r>
      <w:r w:rsidRPr="003C2B31">
        <w:rPr>
          <w:rStyle w:val="FootnoteReference"/>
          <w:sz w:val="22"/>
          <w:szCs w:val="22"/>
        </w:rPr>
        <w:footnoteReference w:id="39"/>
      </w:r>
      <w:r w:rsidRPr="003C2B31">
        <w:rPr>
          <w:szCs w:val="22"/>
        </w:rPr>
        <w:t xml:space="preserve">  Accordingly, Chelmowski cannot persuasively assert that a continuing course of fraudulent concealment by AT&amp;T </w:t>
      </w:r>
      <w:r w:rsidR="00371BD7" w:rsidRPr="003C2B31">
        <w:rPr>
          <w:szCs w:val="22"/>
        </w:rPr>
        <w:t xml:space="preserve">enables </w:t>
      </w:r>
      <w:r w:rsidRPr="003C2B31">
        <w:rPr>
          <w:szCs w:val="22"/>
        </w:rPr>
        <w:t>him to “avoid the limitations bar.”</w:t>
      </w:r>
      <w:r w:rsidRPr="003C2B31">
        <w:rPr>
          <w:rStyle w:val="FootnoteReference"/>
          <w:sz w:val="22"/>
          <w:szCs w:val="22"/>
        </w:rPr>
        <w:footnoteReference w:id="40"/>
      </w:r>
    </w:p>
    <w:p w:rsidR="007A77C4" w:rsidRPr="003C2B31" w:rsidRDefault="007A77C4" w:rsidP="007A77C4">
      <w:pPr>
        <w:pStyle w:val="Heading1"/>
        <w:rPr>
          <w:rFonts w:ascii="Times New Roman" w:hAnsi="Times New Roman"/>
          <w:szCs w:val="22"/>
        </w:rPr>
      </w:pPr>
      <w:r w:rsidRPr="003C2B31">
        <w:rPr>
          <w:rFonts w:ascii="Times New Roman" w:hAnsi="Times New Roman"/>
          <w:szCs w:val="22"/>
        </w:rPr>
        <w:t>CONCLUSION</w:t>
      </w:r>
    </w:p>
    <w:p w:rsidR="007A77C4" w:rsidRPr="003C2B31" w:rsidRDefault="00371BD7" w:rsidP="00DC231E">
      <w:pPr>
        <w:pStyle w:val="ParaNum"/>
        <w:tabs>
          <w:tab w:val="clear" w:pos="1080"/>
          <w:tab w:val="num" w:pos="1440"/>
        </w:tabs>
        <w:rPr>
          <w:szCs w:val="22"/>
        </w:rPr>
      </w:pPr>
      <w:r w:rsidRPr="003C2B31">
        <w:rPr>
          <w:szCs w:val="22"/>
        </w:rPr>
        <w:t xml:space="preserve">The two-year statute of limitations in </w:t>
      </w:r>
      <w:r w:rsidR="007A77C4" w:rsidRPr="003C2B31">
        <w:rPr>
          <w:szCs w:val="22"/>
        </w:rPr>
        <w:t xml:space="preserve">Section 415(b) of the Act </w:t>
      </w:r>
      <w:r w:rsidRPr="003C2B31">
        <w:rPr>
          <w:szCs w:val="22"/>
        </w:rPr>
        <w:t>bars</w:t>
      </w:r>
      <w:r w:rsidR="007A77C4" w:rsidRPr="003C2B31">
        <w:rPr>
          <w:szCs w:val="22"/>
        </w:rPr>
        <w:t xml:space="preserve"> Chelmowski’s claims.  Chelmowski’s claims regarding the 0400 number accrued no later than </w:t>
      </w:r>
      <w:r w:rsidR="00247B24" w:rsidRPr="003C2B31">
        <w:rPr>
          <w:szCs w:val="22"/>
        </w:rPr>
        <w:t>March 23</w:t>
      </w:r>
      <w:r w:rsidR="007A77C4" w:rsidRPr="003C2B31">
        <w:rPr>
          <w:szCs w:val="22"/>
        </w:rPr>
        <w:t>, 2011</w:t>
      </w:r>
      <w:r w:rsidR="00247B24" w:rsidRPr="003C2B31">
        <w:rPr>
          <w:szCs w:val="22"/>
        </w:rPr>
        <w:t xml:space="preserve"> when he filed the first informal complaint</w:t>
      </w:r>
      <w:r w:rsidR="007A77C4" w:rsidRPr="003C2B31">
        <w:rPr>
          <w:szCs w:val="22"/>
        </w:rPr>
        <w:t xml:space="preserve">.  </w:t>
      </w:r>
      <w:r w:rsidR="007024B0" w:rsidRPr="003C2B31">
        <w:rPr>
          <w:szCs w:val="22"/>
        </w:rPr>
        <w:t>B</w:t>
      </w:r>
      <w:r w:rsidR="007A77C4" w:rsidRPr="003C2B31">
        <w:rPr>
          <w:szCs w:val="22"/>
        </w:rPr>
        <w:t xml:space="preserve">ecause there is no basis for tolling of the two-year limitations period, Chelmowski’s claims expired by </w:t>
      </w:r>
      <w:r w:rsidR="00247B24" w:rsidRPr="003C2B31">
        <w:rPr>
          <w:szCs w:val="22"/>
        </w:rPr>
        <w:t>March 24</w:t>
      </w:r>
      <w:r w:rsidR="007A77C4" w:rsidRPr="003C2B31">
        <w:rPr>
          <w:szCs w:val="22"/>
        </w:rPr>
        <w:t xml:space="preserve">, 2013, well before </w:t>
      </w:r>
      <w:r w:rsidRPr="003C2B31">
        <w:rPr>
          <w:szCs w:val="22"/>
        </w:rPr>
        <w:t>he</w:t>
      </w:r>
      <w:r w:rsidR="00197FCA" w:rsidRPr="003C2B31">
        <w:rPr>
          <w:szCs w:val="22"/>
        </w:rPr>
        <w:t xml:space="preserve"> filed this formal C</w:t>
      </w:r>
      <w:r w:rsidR="007A77C4" w:rsidRPr="003C2B31">
        <w:rPr>
          <w:szCs w:val="22"/>
        </w:rPr>
        <w:t>omplaint on December 11, 2014.</w:t>
      </w:r>
      <w:r w:rsidR="008319E9" w:rsidRPr="003C2B31">
        <w:rPr>
          <w:rStyle w:val="FootnoteReference"/>
          <w:sz w:val="22"/>
          <w:szCs w:val="22"/>
        </w:rPr>
        <w:footnoteReference w:id="41"/>
      </w:r>
    </w:p>
    <w:p w:rsidR="002E26C5" w:rsidRPr="003C2B31" w:rsidRDefault="002E26C5" w:rsidP="002E26C5">
      <w:pPr>
        <w:pStyle w:val="Heading1"/>
        <w:rPr>
          <w:rFonts w:ascii="Times New Roman" w:hAnsi="Times New Roman"/>
          <w:szCs w:val="22"/>
        </w:rPr>
      </w:pPr>
      <w:r w:rsidRPr="003C2B31">
        <w:rPr>
          <w:rFonts w:ascii="Times New Roman" w:hAnsi="Times New Roman"/>
          <w:szCs w:val="22"/>
        </w:rPr>
        <w:t>ordering clause</w:t>
      </w:r>
    </w:p>
    <w:p w:rsidR="002E26C5" w:rsidRPr="003C2B31" w:rsidRDefault="002E26C5" w:rsidP="007024B0">
      <w:pPr>
        <w:pStyle w:val="ParaNum"/>
        <w:spacing w:after="220"/>
        <w:rPr>
          <w:spacing w:val="-2"/>
          <w:szCs w:val="22"/>
        </w:rPr>
      </w:pPr>
      <w:r w:rsidRPr="003C2B31">
        <w:rPr>
          <w:szCs w:val="22"/>
        </w:rPr>
        <w:t>According</w:t>
      </w:r>
      <w:r w:rsidR="0080490D">
        <w:rPr>
          <w:szCs w:val="22"/>
        </w:rPr>
        <w:t>ly, IT IS ORDERED, pursuant to S</w:t>
      </w:r>
      <w:r w:rsidRPr="003C2B31">
        <w:rPr>
          <w:szCs w:val="22"/>
        </w:rPr>
        <w:t>ections 1, 4(i), 4(j), 208, and 415 of the Communications Act of 1934, as amended, 47 U.S.C. §§ 151, 154</w:t>
      </w:r>
      <w:r w:rsidR="0080490D">
        <w:rPr>
          <w:szCs w:val="22"/>
        </w:rPr>
        <w:t>(i), 154(j), 208, and 415, and S</w:t>
      </w:r>
      <w:r w:rsidRPr="003C2B31">
        <w:rPr>
          <w:szCs w:val="22"/>
        </w:rPr>
        <w:t>ections 0.111, 0.311, and 1.711–1.735 of the Commission’s rules, 47 C.F.R. §§ 0.111, 0.311, and 1.711–1.735, that the Complaint IS D</w:t>
      </w:r>
      <w:r w:rsidR="00456365" w:rsidRPr="003C2B31">
        <w:rPr>
          <w:szCs w:val="22"/>
        </w:rPr>
        <w:t>ISMISSED WITH PREJUDICE</w:t>
      </w:r>
      <w:r w:rsidRPr="003C2B31">
        <w:rPr>
          <w:szCs w:val="22"/>
        </w:rPr>
        <w:t>.</w:t>
      </w:r>
    </w:p>
    <w:p w:rsidR="002E26C5" w:rsidRPr="003C2B31" w:rsidRDefault="002E26C5" w:rsidP="002E26C5">
      <w:pPr>
        <w:pStyle w:val="ParaNum"/>
        <w:widowControl/>
        <w:numPr>
          <w:ilvl w:val="0"/>
          <w:numId w:val="0"/>
        </w:numPr>
        <w:ind w:left="90"/>
        <w:rPr>
          <w:spacing w:val="-2"/>
          <w:szCs w:val="22"/>
        </w:rPr>
      </w:pPr>
    </w:p>
    <w:p w:rsidR="00533048" w:rsidRPr="00EF505E" w:rsidRDefault="00533048" w:rsidP="00533048">
      <w:pPr>
        <w:widowControl/>
        <w:ind w:left="2880" w:firstLine="720"/>
        <w:outlineLvl w:val="0"/>
        <w:rPr>
          <w:szCs w:val="22"/>
          <w:lang w:val="fr-FR"/>
        </w:rPr>
      </w:pPr>
      <w:r w:rsidRPr="00EF505E">
        <w:rPr>
          <w:szCs w:val="22"/>
          <w:lang w:val="fr-FR"/>
        </w:rPr>
        <w:t>FEDERAL COMMUNICATIONS COMMISSION</w:t>
      </w:r>
    </w:p>
    <w:p w:rsidR="00533048" w:rsidRPr="00EF505E" w:rsidRDefault="00533048" w:rsidP="00533048">
      <w:pPr>
        <w:widowControl/>
        <w:rPr>
          <w:szCs w:val="22"/>
          <w:lang w:val="fr-FR"/>
        </w:rPr>
      </w:pPr>
    </w:p>
    <w:p w:rsidR="00533048" w:rsidRPr="00EF505E" w:rsidRDefault="00533048" w:rsidP="00533048">
      <w:pPr>
        <w:widowControl/>
        <w:rPr>
          <w:szCs w:val="22"/>
          <w:lang w:val="fr-FR"/>
        </w:rPr>
      </w:pPr>
    </w:p>
    <w:p w:rsidR="00533048" w:rsidRPr="00EF505E" w:rsidRDefault="00533048" w:rsidP="00533048">
      <w:pPr>
        <w:widowControl/>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rsidR="00533048" w:rsidRPr="00EF505E" w:rsidRDefault="00533048" w:rsidP="00533048">
      <w:pPr>
        <w:widowControl/>
        <w:outlineLvl w:val="0"/>
        <w:rPr>
          <w:szCs w:val="22"/>
          <w:lang w:val="fr-FR"/>
        </w:rPr>
      </w:pPr>
    </w:p>
    <w:p w:rsidR="00533048" w:rsidRDefault="00533048" w:rsidP="00533048">
      <w:pPr>
        <w:widowControl/>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 xml:space="preserve">Travis LeBlanc </w:t>
      </w:r>
    </w:p>
    <w:p w:rsidR="00533048" w:rsidRDefault="00533048" w:rsidP="00533048">
      <w:pPr>
        <w:widowControl/>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 xml:space="preserve">hief </w:t>
      </w:r>
    </w:p>
    <w:p w:rsidR="00533048" w:rsidRPr="00195893" w:rsidRDefault="00533048" w:rsidP="00533048">
      <w:pPr>
        <w:widowControl/>
        <w:ind w:left="2880" w:firstLine="720"/>
        <w:outlineLvl w:val="0"/>
        <w:rPr>
          <w:snapToGrid/>
          <w:kern w:val="0"/>
          <w:szCs w:val="22"/>
        </w:rPr>
      </w:pPr>
      <w:r>
        <w:rPr>
          <w:szCs w:val="22"/>
        </w:rPr>
        <w:t>Enforcement Bureau</w:t>
      </w:r>
    </w:p>
    <w:p w:rsidR="008319E9" w:rsidRPr="003C2B31" w:rsidRDefault="008319E9" w:rsidP="006B4BC7">
      <w:pPr>
        <w:pStyle w:val="ParaNum"/>
        <w:numPr>
          <w:ilvl w:val="0"/>
          <w:numId w:val="0"/>
        </w:numPr>
        <w:spacing w:after="0"/>
        <w:rPr>
          <w:szCs w:val="22"/>
        </w:rPr>
      </w:pPr>
    </w:p>
    <w:sectPr w:rsidR="008319E9" w:rsidRPr="003C2B3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DE2" w:rsidRDefault="00136DE2">
      <w:pPr>
        <w:spacing w:line="20" w:lineRule="exact"/>
      </w:pPr>
    </w:p>
  </w:endnote>
  <w:endnote w:type="continuationSeparator" w:id="0">
    <w:p w:rsidR="00136DE2" w:rsidRDefault="00136DE2">
      <w:r>
        <w:t xml:space="preserve"> </w:t>
      </w:r>
    </w:p>
  </w:endnote>
  <w:endnote w:type="continuationNotice" w:id="1">
    <w:p w:rsidR="00136DE2" w:rsidRDefault="00136D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3E" w:rsidRDefault="008E123E" w:rsidP="0055614C">
    <w:pPr>
      <w:pStyle w:val="Footer"/>
      <w:framePr w:wrap="around" w:vAnchor="text" w:hAnchor="margin" w:xAlign="center" w:y="1"/>
    </w:pPr>
    <w:r>
      <w:fldChar w:fldCharType="begin"/>
    </w:r>
    <w:r>
      <w:instrText xml:space="preserve">PAGE  </w:instrText>
    </w:r>
    <w:r>
      <w:fldChar w:fldCharType="end"/>
    </w:r>
  </w:p>
  <w:p w:rsidR="008E123E" w:rsidRDefault="008E1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3E" w:rsidRDefault="008E123E" w:rsidP="0055614C">
    <w:pPr>
      <w:pStyle w:val="Footer"/>
      <w:framePr w:wrap="around" w:vAnchor="text" w:hAnchor="margin" w:xAlign="center" w:y="1"/>
    </w:pPr>
    <w:r>
      <w:fldChar w:fldCharType="begin"/>
    </w:r>
    <w:r>
      <w:instrText xml:space="preserve">PAGE  </w:instrText>
    </w:r>
    <w:r>
      <w:fldChar w:fldCharType="separate"/>
    </w:r>
    <w:r w:rsidR="00E53698">
      <w:rPr>
        <w:noProof/>
      </w:rPr>
      <w:t>2</w:t>
    </w:r>
    <w:r>
      <w:fldChar w:fldCharType="end"/>
    </w:r>
  </w:p>
  <w:p w:rsidR="008E123E" w:rsidRDefault="008E123E">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3E" w:rsidRDefault="008E123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DE2" w:rsidRDefault="00136DE2">
      <w:r>
        <w:separator/>
      </w:r>
    </w:p>
  </w:footnote>
  <w:footnote w:type="continuationSeparator" w:id="0">
    <w:p w:rsidR="00136DE2" w:rsidRDefault="00136DE2" w:rsidP="00C721AC">
      <w:pPr>
        <w:spacing w:before="120"/>
        <w:rPr>
          <w:sz w:val="20"/>
        </w:rPr>
      </w:pPr>
      <w:r>
        <w:rPr>
          <w:sz w:val="20"/>
        </w:rPr>
        <w:t xml:space="preserve">(Continued from previous page)  </w:t>
      </w:r>
      <w:r>
        <w:rPr>
          <w:sz w:val="20"/>
        </w:rPr>
        <w:separator/>
      </w:r>
    </w:p>
  </w:footnote>
  <w:footnote w:type="continuationNotice" w:id="1">
    <w:p w:rsidR="00136DE2" w:rsidRDefault="00136DE2" w:rsidP="00C721AC">
      <w:pPr>
        <w:jc w:val="right"/>
        <w:rPr>
          <w:sz w:val="20"/>
        </w:rPr>
      </w:pPr>
      <w:r>
        <w:rPr>
          <w:sz w:val="20"/>
        </w:rPr>
        <w:t>(continued….)</w:t>
      </w:r>
    </w:p>
  </w:footnote>
  <w:footnote w:id="2">
    <w:p w:rsidR="0018762E" w:rsidRPr="0030131F" w:rsidRDefault="0018762E" w:rsidP="001C5DA8">
      <w:pPr>
        <w:pStyle w:val="FootnoteText"/>
      </w:pPr>
      <w:r w:rsidRPr="0030131F">
        <w:rPr>
          <w:rStyle w:val="FootnoteReference"/>
        </w:rPr>
        <w:footnoteRef/>
      </w:r>
      <w:r w:rsidRPr="0030131F">
        <w:t xml:space="preserve"> Formal Complaint, File No. EB-14-MD-016, FCC No. 14-260 (filed Dec. 11, 2014) (Complaint); Answer to Complaint, File No. EB-14-MD-016, FCC No. 14-260 (filed Jan. 16, 2015) (Answer); FCC Formal Complaint Reply, File No. EB-14-MD-016, FCC No. 14-260 (filed Jan. 26, 2015) (Reply).</w:t>
      </w:r>
    </w:p>
  </w:footnote>
  <w:footnote w:id="3">
    <w:p w:rsidR="008E123E" w:rsidRPr="0030131F" w:rsidRDefault="008E123E" w:rsidP="001C5DA8">
      <w:pPr>
        <w:pStyle w:val="FootnoteText"/>
      </w:pPr>
      <w:r w:rsidRPr="0030131F">
        <w:rPr>
          <w:rStyle w:val="FootnoteReference"/>
        </w:rPr>
        <w:footnoteRef/>
      </w:r>
      <w:r w:rsidRPr="0030131F">
        <w:t xml:space="preserve"> 47 U.S.C. § 415(b).</w:t>
      </w:r>
    </w:p>
  </w:footnote>
  <w:footnote w:id="4">
    <w:p w:rsidR="008E123E" w:rsidRPr="0030131F" w:rsidRDefault="008E123E" w:rsidP="001C5DA8">
      <w:pPr>
        <w:pStyle w:val="FootnoteText"/>
      </w:pPr>
      <w:r w:rsidRPr="0030131F">
        <w:rPr>
          <w:rStyle w:val="FootnoteReference"/>
        </w:rPr>
        <w:footnoteRef/>
      </w:r>
      <w:r w:rsidRPr="0030131F">
        <w:t xml:space="preserve"> Answer at </w:t>
      </w:r>
      <w:r w:rsidR="00247B24">
        <w:t>4-</w:t>
      </w:r>
      <w:r w:rsidRPr="0030131F">
        <w:t>5</w:t>
      </w:r>
      <w:r w:rsidR="00247B24">
        <w:t>, para. 7</w:t>
      </w:r>
      <w:r w:rsidRPr="0030131F">
        <w:t>.</w:t>
      </w:r>
    </w:p>
  </w:footnote>
  <w:footnote w:id="5">
    <w:p w:rsidR="008E123E" w:rsidRPr="0030131F" w:rsidRDefault="008E123E" w:rsidP="001C5DA8">
      <w:pPr>
        <w:pStyle w:val="FootnoteText"/>
      </w:pPr>
      <w:r w:rsidRPr="0030131F">
        <w:rPr>
          <w:rStyle w:val="FootnoteReference"/>
        </w:rPr>
        <w:footnoteRef/>
      </w:r>
      <w:r w:rsidRPr="0030131F">
        <w:t xml:space="preserve"> Answer at 5</w:t>
      </w:r>
      <w:r w:rsidR="00247B24">
        <w:t>, para. 8</w:t>
      </w:r>
      <w:r w:rsidRPr="0030131F">
        <w:t xml:space="preserve"> (citing Answer, Ex. 1 (Transcript of Arbitrat</w:t>
      </w:r>
      <w:r w:rsidR="00BC7E23">
        <w:t>ion Proceeding, Testimony of</w:t>
      </w:r>
      <w:r w:rsidRPr="0030131F">
        <w:t xml:space="preserve"> James Camberis, AT&amp;T (dated May 29, 2014)</w:t>
      </w:r>
      <w:r w:rsidR="009E6BDA">
        <w:t>)</w:t>
      </w:r>
      <w:r w:rsidRPr="0030131F">
        <w:t>).</w:t>
      </w:r>
    </w:p>
  </w:footnote>
  <w:footnote w:id="6">
    <w:p w:rsidR="008E123E" w:rsidRPr="0030131F" w:rsidRDefault="008E123E" w:rsidP="001C5DA8">
      <w:pPr>
        <w:pStyle w:val="FootnoteText"/>
      </w:pPr>
      <w:r w:rsidRPr="0030131F">
        <w:rPr>
          <w:rStyle w:val="FootnoteReference"/>
        </w:rPr>
        <w:footnoteRef/>
      </w:r>
      <w:r w:rsidRPr="0030131F">
        <w:t xml:space="preserve"> Answer at 1</w:t>
      </w:r>
      <w:r w:rsidR="00247B24">
        <w:t xml:space="preserve">, para. 1; </w:t>
      </w:r>
      <w:r w:rsidR="00247B24" w:rsidRPr="00247B24">
        <w:rPr>
          <w:i/>
        </w:rPr>
        <w:t>see also id.</w:t>
      </w:r>
      <w:r w:rsidR="00247B24">
        <w:t xml:space="preserve"> at 5, para. 8</w:t>
      </w:r>
      <w:r w:rsidRPr="0030131F">
        <w:t>.</w:t>
      </w:r>
    </w:p>
  </w:footnote>
  <w:footnote w:id="7">
    <w:p w:rsidR="008E123E" w:rsidRPr="0030131F" w:rsidRDefault="008E123E" w:rsidP="001C5DA8">
      <w:pPr>
        <w:pStyle w:val="FootnoteText"/>
      </w:pPr>
      <w:r w:rsidRPr="0030131F">
        <w:rPr>
          <w:rStyle w:val="FootnoteReference"/>
        </w:rPr>
        <w:footnoteRef/>
      </w:r>
      <w:r w:rsidRPr="0030131F">
        <w:t xml:space="preserve"> Complaint at 17-18</w:t>
      </w:r>
      <w:r w:rsidR="006A26DF">
        <w:t>, paras. 52-66</w:t>
      </w:r>
      <w:r w:rsidRPr="0030131F">
        <w:t>; Answer at 5</w:t>
      </w:r>
      <w:r w:rsidR="006A26DF">
        <w:t>, para. 8</w:t>
      </w:r>
      <w:r w:rsidRPr="0030131F">
        <w:t xml:space="preserve">.  AT&amp;T asserts that all four of the 2011 requests were to port the numbers </w:t>
      </w:r>
      <w:r w:rsidR="00BC7E23">
        <w:t xml:space="preserve">to Choice One, for OOMA and </w:t>
      </w:r>
      <w:r w:rsidRPr="0030131F">
        <w:t>Chelmowski.  Answer at 5</w:t>
      </w:r>
      <w:r w:rsidR="006A26DF">
        <w:t>, para. 8</w:t>
      </w:r>
      <w:r w:rsidRPr="0030131F">
        <w:t>.  Chelmowski disputes this assertion and states that two of the four numbers were to be ported to Verizon.  Reply at 26, paras. 57-58.</w:t>
      </w:r>
      <w:r w:rsidR="00F37A0D">
        <w:t xml:space="preserve">  </w:t>
      </w:r>
      <w:r w:rsidRPr="0030131F">
        <w:t>Chelmowski does not appear to dispute, however, that the 0400 number</w:t>
      </w:r>
      <w:r w:rsidR="00834012" w:rsidRPr="0030131F">
        <w:t xml:space="preserve">, which is the </w:t>
      </w:r>
      <w:r w:rsidR="001F1A18" w:rsidRPr="0030131F">
        <w:t>focus</w:t>
      </w:r>
      <w:r w:rsidRPr="0030131F">
        <w:t xml:space="preserve"> of the Complaint</w:t>
      </w:r>
      <w:r w:rsidR="001F1A18" w:rsidRPr="0030131F">
        <w:t>,</w:t>
      </w:r>
      <w:r w:rsidRPr="0030131F">
        <w:t xml:space="preserve"> was to be ported to Choice One/OOMA.  Thus, we need not resolve any dispute about to which carrier(s) the other numbers were to be ported.</w:t>
      </w:r>
    </w:p>
  </w:footnote>
  <w:footnote w:id="8">
    <w:p w:rsidR="008E123E" w:rsidRPr="0030131F" w:rsidRDefault="008E123E" w:rsidP="001C5DA8">
      <w:pPr>
        <w:pStyle w:val="FootnoteText"/>
      </w:pPr>
      <w:r w:rsidRPr="0030131F">
        <w:rPr>
          <w:rStyle w:val="FootnoteReference"/>
        </w:rPr>
        <w:footnoteRef/>
      </w:r>
      <w:r w:rsidR="008A3984" w:rsidRPr="0030131F">
        <w:t xml:space="preserve"> </w:t>
      </w:r>
      <w:r w:rsidR="006A26DF" w:rsidRPr="0030131F">
        <w:t>Answer at 1</w:t>
      </w:r>
      <w:r w:rsidR="006A26DF">
        <w:t xml:space="preserve">, para. 2; </w:t>
      </w:r>
      <w:r w:rsidR="006A26DF" w:rsidRPr="00247B24">
        <w:rPr>
          <w:i/>
        </w:rPr>
        <w:t>see also id.</w:t>
      </w:r>
      <w:r w:rsidR="006A26DF">
        <w:t xml:space="preserve"> at 5, para. 8 and </w:t>
      </w:r>
      <w:r w:rsidR="003953D2">
        <w:t>Ex.</w:t>
      </w:r>
      <w:r w:rsidR="008A3984" w:rsidRPr="0030131F">
        <w:t xml:space="preserve"> 1, </w:t>
      </w:r>
      <w:r w:rsidR="00E16052">
        <w:t xml:space="preserve">transcript </w:t>
      </w:r>
      <w:r w:rsidR="008A3984" w:rsidRPr="0030131F">
        <w:t>p</w:t>
      </w:r>
      <w:r w:rsidR="00E16052">
        <w:t>age</w:t>
      </w:r>
      <w:r w:rsidR="008A3984" w:rsidRPr="0030131F">
        <w:t xml:space="preserve"> 243.</w:t>
      </w:r>
      <w:r w:rsidR="007C774E">
        <w:t xml:space="preserve">  </w:t>
      </w:r>
      <w:r w:rsidR="007C774E" w:rsidRPr="003C2B31">
        <w:rPr>
          <w:szCs w:val="22"/>
        </w:rPr>
        <w:t>The record is unclear about why the porting request for the 0400 number failed.  AT&amp;T states the port initially failed because “Choice One included an incorrect account number on the [request],” and the port continued to fail even after the account number was corrected in a modified port request, “because of the still pending, never modified and inaccurate port request submitted by XO the year before [for the 0400 number].”</w:t>
      </w:r>
      <w:r w:rsidR="007C774E">
        <w:rPr>
          <w:szCs w:val="22"/>
        </w:rPr>
        <w:t xml:space="preserve">  </w:t>
      </w:r>
      <w:r w:rsidR="007C774E" w:rsidRPr="0030131F">
        <w:t>Answer at 1</w:t>
      </w:r>
      <w:r w:rsidR="007C774E">
        <w:t>, para. 2</w:t>
      </w:r>
      <w:r w:rsidR="007C774E" w:rsidRPr="0030131F">
        <w:t xml:space="preserve">; </w:t>
      </w:r>
      <w:r w:rsidR="007C774E" w:rsidRPr="0030131F">
        <w:rPr>
          <w:i/>
        </w:rPr>
        <w:t>see also id.</w:t>
      </w:r>
      <w:r w:rsidR="007C774E">
        <w:t xml:space="preserve"> at 5</w:t>
      </w:r>
      <w:r w:rsidR="007C774E" w:rsidRPr="0030131F">
        <w:t>, para. 8 and Ex. 1</w:t>
      </w:r>
      <w:r w:rsidR="007C774E">
        <w:t>,</w:t>
      </w:r>
      <w:r w:rsidR="007C774E" w:rsidRPr="0030131F">
        <w:t xml:space="preserve"> </w:t>
      </w:r>
      <w:r w:rsidR="007C774E">
        <w:t xml:space="preserve">transcript pages </w:t>
      </w:r>
      <w:r w:rsidR="007C774E" w:rsidRPr="0030131F">
        <w:t>245-46.</w:t>
      </w:r>
    </w:p>
  </w:footnote>
  <w:footnote w:id="9">
    <w:p w:rsidR="008D52F1" w:rsidRDefault="008D52F1" w:rsidP="001C5DA8">
      <w:pPr>
        <w:pStyle w:val="FootnoteText"/>
      </w:pPr>
      <w:r>
        <w:rPr>
          <w:rStyle w:val="FootnoteReference"/>
        </w:rPr>
        <w:footnoteRef/>
      </w:r>
      <w:r>
        <w:t xml:space="preserve"> </w:t>
      </w:r>
      <w:r w:rsidRPr="008D52F1">
        <w:rPr>
          <w:i/>
        </w:rPr>
        <w:t>See</w:t>
      </w:r>
      <w:r>
        <w:t xml:space="preserve"> </w:t>
      </w:r>
      <w:r w:rsidR="004466B4">
        <w:t xml:space="preserve">Reply at Ex-0360 (Email from James Chelmowski to Ralph de la Vega, AT&amp;T, dated March 1, 2011); </w:t>
      </w:r>
      <w:r w:rsidR="004466B4" w:rsidRPr="00DC231E">
        <w:rPr>
          <w:i/>
        </w:rPr>
        <w:t>id.</w:t>
      </w:r>
      <w:r w:rsidR="004466B4">
        <w:t xml:space="preserve"> at </w:t>
      </w:r>
      <w:r>
        <w:t>Ex-0361</w:t>
      </w:r>
      <w:r w:rsidR="00F33BC1">
        <w:t xml:space="preserve">; </w:t>
      </w:r>
      <w:r w:rsidR="00F33BC1" w:rsidRPr="00DC231E">
        <w:rPr>
          <w:i/>
        </w:rPr>
        <w:t>see also id.</w:t>
      </w:r>
      <w:r w:rsidR="00F33BC1">
        <w:t xml:space="preserve"> at Ex. 0362</w:t>
      </w:r>
      <w:r w:rsidR="004466B4">
        <w:t xml:space="preserve"> to</w:t>
      </w:r>
      <w:r w:rsidR="00F33BC1">
        <w:t>-</w:t>
      </w:r>
      <w:r>
        <w:t>0519 (provi</w:t>
      </w:r>
      <w:r w:rsidR="00F33BC1">
        <w:t>di</w:t>
      </w:r>
      <w:r>
        <w:t>ng the text of a strin</w:t>
      </w:r>
      <w:r w:rsidR="00BC7E23">
        <w:t xml:space="preserve">g of email messages between </w:t>
      </w:r>
      <w:r>
        <w:t>Chelmowski and AT&amp;T).</w:t>
      </w:r>
    </w:p>
  </w:footnote>
  <w:footnote w:id="10">
    <w:p w:rsidR="001D05E1" w:rsidRPr="0030131F" w:rsidRDefault="001D05E1" w:rsidP="001C5DA8">
      <w:pPr>
        <w:pStyle w:val="FootnoteText"/>
      </w:pPr>
      <w:r w:rsidRPr="0030131F">
        <w:rPr>
          <w:rStyle w:val="FootnoteReference"/>
        </w:rPr>
        <w:footnoteRef/>
      </w:r>
      <w:r w:rsidRPr="0030131F">
        <w:t xml:space="preserve"> Answer at Ex. 2 (Letter from </w:t>
      </w:r>
      <w:r w:rsidR="00BC7E23">
        <w:t xml:space="preserve">Stephanie Maidlow, AT&amp;T, to </w:t>
      </w:r>
      <w:r w:rsidRPr="0030131F">
        <w:t>Jim Chelmowski (dated Mar. 17, 2011)</w:t>
      </w:r>
      <w:r w:rsidR="00831D1F">
        <w:t xml:space="preserve"> (citing term of AT&amp;T’s service agreement allowing termination for abusive or unreasonable behavior toward AT&amp;T representatives)</w:t>
      </w:r>
      <w:r w:rsidRPr="0030131F">
        <w:t>.</w:t>
      </w:r>
      <w:r w:rsidR="00751226">
        <w:t xml:space="preserve">  </w:t>
      </w:r>
      <w:r w:rsidR="00751226">
        <w:rPr>
          <w:color w:val="000000"/>
        </w:rPr>
        <w:t xml:space="preserve">AT&amp;T terminated </w:t>
      </w:r>
      <w:r w:rsidR="00751226" w:rsidRPr="0030131F">
        <w:rPr>
          <w:color w:val="000000"/>
        </w:rPr>
        <w:t xml:space="preserve">Chelmowski’s account </w:t>
      </w:r>
      <w:r w:rsidR="00E16052">
        <w:rPr>
          <w:color w:val="000000"/>
        </w:rPr>
        <w:t>o</w:t>
      </w:r>
      <w:r w:rsidR="00751226">
        <w:rPr>
          <w:color w:val="000000"/>
        </w:rPr>
        <w:t xml:space="preserve">n </w:t>
      </w:r>
      <w:r w:rsidR="00751226" w:rsidRPr="0030131F">
        <w:rPr>
          <w:color w:val="000000"/>
        </w:rPr>
        <w:t>May 15, 2011</w:t>
      </w:r>
      <w:r w:rsidR="00751226">
        <w:rPr>
          <w:color w:val="000000"/>
        </w:rPr>
        <w:t>.</w:t>
      </w:r>
      <w:r w:rsidR="00751226" w:rsidRPr="0030131F">
        <w:rPr>
          <w:color w:val="000000"/>
        </w:rPr>
        <w:t xml:space="preserve">  </w:t>
      </w:r>
      <w:r w:rsidR="00751226" w:rsidRPr="0030131F">
        <w:rPr>
          <w:i/>
        </w:rPr>
        <w:t>See</w:t>
      </w:r>
      <w:r w:rsidR="00751226" w:rsidRPr="0030131F">
        <w:t xml:space="preserve"> Complaint, Ex-0029 (Response to Notice of Informal Complaint 11-C00325771-1 (dated Sept. 22, 2011)).</w:t>
      </w:r>
    </w:p>
  </w:footnote>
  <w:footnote w:id="11">
    <w:p w:rsidR="008E123E" w:rsidRPr="0030131F" w:rsidRDefault="008E123E" w:rsidP="001C5DA8">
      <w:pPr>
        <w:pStyle w:val="FootnoteText"/>
      </w:pPr>
      <w:r w:rsidRPr="0030131F">
        <w:rPr>
          <w:rStyle w:val="FootnoteReference"/>
        </w:rPr>
        <w:footnoteRef/>
      </w:r>
      <w:r w:rsidRPr="0030131F">
        <w:t xml:space="preserve"> </w:t>
      </w:r>
      <w:r w:rsidRPr="0030131F">
        <w:rPr>
          <w:i/>
          <w:iCs/>
        </w:rPr>
        <w:t>See</w:t>
      </w:r>
      <w:r w:rsidRPr="0030131F">
        <w:t xml:space="preserve"> Answer, Exhibit 2 (Informal Complaint 11-C00292341-1 (filed </w:t>
      </w:r>
      <w:r w:rsidR="005300F3">
        <w:t>March 23</w:t>
      </w:r>
      <w:r w:rsidRPr="0030131F">
        <w:t>, 2011) (stating that the telephone numbers involved are “(847) 744-5626[, and] (847) 768-0400” and that the issue</w:t>
      </w:r>
      <w:r w:rsidR="00EF1592" w:rsidRPr="0030131F">
        <w:t xml:space="preserve"> is </w:t>
      </w:r>
      <w:r w:rsidRPr="0030131F">
        <w:t>“[n]ot porting - denied porting”).</w:t>
      </w:r>
    </w:p>
  </w:footnote>
  <w:footnote w:id="12">
    <w:p w:rsidR="008E123E" w:rsidRPr="0030131F" w:rsidRDefault="008E123E" w:rsidP="001C5DA8">
      <w:pPr>
        <w:spacing w:after="120"/>
        <w:rPr>
          <w:sz w:val="20"/>
        </w:rPr>
      </w:pPr>
      <w:r w:rsidRPr="0030131F">
        <w:rPr>
          <w:rStyle w:val="FootnoteReference"/>
        </w:rPr>
        <w:footnoteRef/>
      </w:r>
      <w:r w:rsidRPr="0030131F">
        <w:rPr>
          <w:sz w:val="20"/>
        </w:rPr>
        <w:t xml:space="preserve"> </w:t>
      </w:r>
      <w:r w:rsidRPr="0030131F">
        <w:rPr>
          <w:i/>
          <w:sz w:val="20"/>
        </w:rPr>
        <w:t xml:space="preserve">See </w:t>
      </w:r>
      <w:r w:rsidRPr="0030131F">
        <w:rPr>
          <w:sz w:val="20"/>
        </w:rPr>
        <w:t>Answer, Exhibit 4 (Informal Complaint 11-C00325771-1 (filed Aug. 31, 2011))</w:t>
      </w:r>
      <w:r w:rsidR="00865681" w:rsidRPr="0030131F">
        <w:rPr>
          <w:sz w:val="20"/>
        </w:rPr>
        <w:t xml:space="preserve"> </w:t>
      </w:r>
      <w:r w:rsidRPr="0030131F">
        <w:rPr>
          <w:sz w:val="20"/>
        </w:rPr>
        <w:t xml:space="preserve">(stating that the telephone number involved is “(847) 768-0400” and that the issue is “AT&amp;T continues to block porting of </w:t>
      </w:r>
      <w:r w:rsidR="00865681" w:rsidRPr="0030131F">
        <w:rPr>
          <w:sz w:val="20"/>
        </w:rPr>
        <w:t>847-</w:t>
      </w:r>
      <w:r w:rsidRPr="0030131F">
        <w:rPr>
          <w:sz w:val="20"/>
        </w:rPr>
        <w:t>768-0400”).</w:t>
      </w:r>
      <w:r w:rsidR="005942C4" w:rsidRPr="0030131F">
        <w:rPr>
          <w:sz w:val="20"/>
        </w:rPr>
        <w:t xml:space="preserve">  </w:t>
      </w:r>
      <w:r w:rsidR="002C6227" w:rsidRPr="0030131F">
        <w:rPr>
          <w:sz w:val="20"/>
        </w:rPr>
        <w:t>The Complaint states</w:t>
      </w:r>
      <w:r w:rsidR="001C5DA8">
        <w:rPr>
          <w:sz w:val="20"/>
        </w:rPr>
        <w:t>,</w:t>
      </w:r>
      <w:r w:rsidR="002C6227" w:rsidRPr="0030131F">
        <w:rPr>
          <w:sz w:val="20"/>
        </w:rPr>
        <w:t xml:space="preserve"> without support</w:t>
      </w:r>
      <w:r w:rsidR="001C5DA8">
        <w:rPr>
          <w:sz w:val="20"/>
        </w:rPr>
        <w:t>,</w:t>
      </w:r>
      <w:r w:rsidR="002C6227" w:rsidRPr="0030131F">
        <w:rPr>
          <w:sz w:val="20"/>
        </w:rPr>
        <w:t xml:space="preserve"> </w:t>
      </w:r>
      <w:r w:rsidR="005942C4" w:rsidRPr="0030131F">
        <w:rPr>
          <w:sz w:val="20"/>
        </w:rPr>
        <w:t xml:space="preserve">that “AT&amp;T impersonated the Complainant and forged the [second] FCC informal complaint.”  Complaint at 9, para. 31.  We do not find this assertion credible, and note that Chelmowski’s second informal complaint appears entirely consistent with </w:t>
      </w:r>
      <w:r w:rsidR="002C6227" w:rsidRPr="0030131F">
        <w:rPr>
          <w:sz w:val="20"/>
        </w:rPr>
        <w:t xml:space="preserve">all of </w:t>
      </w:r>
      <w:r w:rsidR="005942C4" w:rsidRPr="0030131F">
        <w:rPr>
          <w:sz w:val="20"/>
        </w:rPr>
        <w:t>his other filings and</w:t>
      </w:r>
      <w:r w:rsidR="00B54FE0">
        <w:rPr>
          <w:sz w:val="20"/>
        </w:rPr>
        <w:t xml:space="preserve"> communications in the record.</w:t>
      </w:r>
    </w:p>
  </w:footnote>
  <w:footnote w:id="13">
    <w:p w:rsidR="00181624" w:rsidRPr="0030131F" w:rsidRDefault="00181624" w:rsidP="001C5DA8">
      <w:pPr>
        <w:pStyle w:val="FootnoteText"/>
      </w:pPr>
      <w:r w:rsidRPr="0030131F">
        <w:rPr>
          <w:rStyle w:val="FootnoteReference"/>
        </w:rPr>
        <w:footnoteRef/>
      </w:r>
      <w:r w:rsidRPr="0030131F">
        <w:t xml:space="preserve"> </w:t>
      </w:r>
      <w:r w:rsidRPr="0030131F">
        <w:rPr>
          <w:i/>
        </w:rPr>
        <w:t>See</w:t>
      </w:r>
      <w:r w:rsidRPr="0030131F">
        <w:t xml:space="preserve"> Complaint, Ex-0030 (Response to Notice of Informal Complaint 11-C00292341-1 (</w:t>
      </w:r>
      <w:r w:rsidR="0013205D">
        <w:t>stating the “service date” is Apr. 13, 2011)</w:t>
      </w:r>
      <w:r w:rsidRPr="0030131F">
        <w:t>; Complaint, Ex-0029 (Response to Notice of Informal Complaint 11-C00325771-1 (dated Sept. 22, 2011)).</w:t>
      </w:r>
    </w:p>
  </w:footnote>
  <w:footnote w:id="14">
    <w:p w:rsidR="00181624" w:rsidRPr="0030131F" w:rsidRDefault="00181624" w:rsidP="001C5DA8">
      <w:pPr>
        <w:pStyle w:val="FootnoteText"/>
      </w:pPr>
      <w:r w:rsidRPr="0030131F">
        <w:rPr>
          <w:rStyle w:val="FootnoteReference"/>
        </w:rPr>
        <w:footnoteRef/>
      </w:r>
      <w:r w:rsidR="001C5DA8">
        <w:t xml:space="preserve"> Answer at 5-7, paras. 10, 14</w:t>
      </w:r>
      <w:r w:rsidRPr="0030131F">
        <w:t>.</w:t>
      </w:r>
      <w:r w:rsidR="00FB5639" w:rsidRPr="0030131F">
        <w:t xml:space="preserve">  The responses to the first and second informal complaints that AT&amp;T filed with the Commission contain the notation, “cc: James Chelmowski.”  Answer, Exhibit 2 (Informal Complaint 11-C00292341-1 (filed Apr. 13, 2011); Answer, Exhibit 4 (Informal Complaint 11-C00325771-1 (filed Aug. 31, 2011)).  </w:t>
      </w:r>
      <w:r w:rsidR="00565010" w:rsidRPr="0030131F">
        <w:t>The record</w:t>
      </w:r>
      <w:r w:rsidR="0013205D">
        <w:t xml:space="preserve">, </w:t>
      </w:r>
      <w:r w:rsidR="002D5A44" w:rsidRPr="0030131F">
        <w:t>however,</w:t>
      </w:r>
      <w:r w:rsidR="00565010" w:rsidRPr="0030131F">
        <w:t xml:space="preserve"> contains no pro</w:t>
      </w:r>
      <w:r w:rsidR="002D5A44" w:rsidRPr="0030131F">
        <w:t>of</w:t>
      </w:r>
      <w:r w:rsidR="00565010" w:rsidRPr="0030131F">
        <w:t xml:space="preserve"> of service confirming delivery of these responses to </w:t>
      </w:r>
      <w:r w:rsidR="00FB5639" w:rsidRPr="0030131F">
        <w:t>Chelmowski</w:t>
      </w:r>
      <w:r w:rsidR="00565010" w:rsidRPr="0030131F">
        <w:t>.</w:t>
      </w:r>
    </w:p>
  </w:footnote>
  <w:footnote w:id="15">
    <w:p w:rsidR="008E123E" w:rsidRPr="0030131F" w:rsidRDefault="008E123E" w:rsidP="001C5DA8">
      <w:pPr>
        <w:pStyle w:val="FootnoteText"/>
      </w:pPr>
      <w:r w:rsidRPr="0030131F">
        <w:rPr>
          <w:rStyle w:val="FootnoteReference"/>
        </w:rPr>
        <w:footnoteRef/>
      </w:r>
      <w:r w:rsidRPr="0030131F">
        <w:t xml:space="preserve"> </w:t>
      </w:r>
      <w:r w:rsidR="00FB5639" w:rsidRPr="0030131F">
        <w:t xml:space="preserve">Chelmowski states that AT&amp;T </w:t>
      </w:r>
      <w:r w:rsidR="001C5DA8">
        <w:t>“never” sent</w:t>
      </w:r>
      <w:r w:rsidR="00FB5639" w:rsidRPr="0030131F">
        <w:t xml:space="preserve"> him a response to the first informal complaint.  </w:t>
      </w:r>
      <w:r w:rsidR="00FB5639" w:rsidRPr="001C5DA8">
        <w:rPr>
          <w:i/>
        </w:rPr>
        <w:t>See</w:t>
      </w:r>
      <w:r w:rsidR="001C5DA8" w:rsidRPr="001C5DA8">
        <w:rPr>
          <w:i/>
        </w:rPr>
        <w:t>, e.g.</w:t>
      </w:r>
      <w:r w:rsidR="001C5DA8">
        <w:t xml:space="preserve">, </w:t>
      </w:r>
      <w:r w:rsidR="00FB5639" w:rsidRPr="0030131F">
        <w:t xml:space="preserve">Complaint at </w:t>
      </w:r>
      <w:r w:rsidR="001C5DA8">
        <w:t>18, para. 63</w:t>
      </w:r>
      <w:r w:rsidR="00B54FE0">
        <w:t>.</w:t>
      </w:r>
    </w:p>
  </w:footnote>
  <w:footnote w:id="16">
    <w:p w:rsidR="006548E4" w:rsidRPr="0030131F" w:rsidRDefault="006548E4" w:rsidP="001C5DA8">
      <w:pPr>
        <w:spacing w:after="120"/>
        <w:rPr>
          <w:sz w:val="20"/>
        </w:rPr>
      </w:pPr>
      <w:r w:rsidRPr="0030131F">
        <w:rPr>
          <w:rStyle w:val="FootnoteReference"/>
        </w:rPr>
        <w:footnoteRef/>
      </w:r>
      <w:r w:rsidR="00AD484B" w:rsidRPr="0030131F">
        <w:rPr>
          <w:sz w:val="20"/>
        </w:rPr>
        <w:t xml:space="preserve">  </w:t>
      </w:r>
      <w:r w:rsidR="00AD484B" w:rsidRPr="0030131F">
        <w:rPr>
          <w:i/>
          <w:sz w:val="20"/>
        </w:rPr>
        <w:t>See</w:t>
      </w:r>
      <w:r w:rsidR="00AD484B" w:rsidRPr="0030131F">
        <w:rPr>
          <w:sz w:val="20"/>
        </w:rPr>
        <w:t xml:space="preserve"> Complaint, Ex-0030 (Response to Notice of Informal Complaint 11-C00292341-1 (dated Apr. 13, 2011)) (showing a facsimile date-stamp from the Commission of May 24, 2013)</w:t>
      </w:r>
      <w:r w:rsidR="007C700B" w:rsidRPr="0030131F">
        <w:rPr>
          <w:sz w:val="20"/>
        </w:rPr>
        <w:t xml:space="preserve">;  </w:t>
      </w:r>
      <w:r w:rsidR="007C700B" w:rsidRPr="0030131F">
        <w:rPr>
          <w:i/>
          <w:sz w:val="20"/>
        </w:rPr>
        <w:t>See also</w:t>
      </w:r>
      <w:r w:rsidR="007C700B" w:rsidRPr="0030131F">
        <w:rPr>
          <w:sz w:val="20"/>
        </w:rPr>
        <w:t xml:space="preserve"> Reply at 22 (noting that AT&amp;T’s letters responding to the first and second informal complaints “were faxed from the FCC to me in 2013.”)</w:t>
      </w:r>
      <w:r w:rsidR="00B90EBF" w:rsidRPr="0030131F">
        <w:rPr>
          <w:sz w:val="20"/>
        </w:rPr>
        <w:t xml:space="preserve">; </w:t>
      </w:r>
      <w:r w:rsidR="00B90EBF" w:rsidRPr="0030131F">
        <w:rPr>
          <w:i/>
          <w:sz w:val="20"/>
        </w:rPr>
        <w:t>see also</w:t>
      </w:r>
      <w:r w:rsidR="00B90EBF" w:rsidRPr="0030131F">
        <w:rPr>
          <w:sz w:val="20"/>
        </w:rPr>
        <w:t xml:space="preserve"> Complaint, Ex-0141 (</w:t>
      </w:r>
      <w:r w:rsidR="002E6C11" w:rsidRPr="0030131F">
        <w:rPr>
          <w:sz w:val="20"/>
        </w:rPr>
        <w:t>asserting that AT&amp;T never sent Chelmowski its responses to Informal Complaint 11-C00292341-1 and Informal Complaint 11-C00325771-1 “until late 2013”</w:t>
      </w:r>
      <w:r w:rsidR="00B90EBF" w:rsidRPr="0030131F">
        <w:rPr>
          <w:sz w:val="20"/>
        </w:rPr>
        <w:t>)</w:t>
      </w:r>
      <w:r w:rsidR="007C700B" w:rsidRPr="0030131F">
        <w:rPr>
          <w:sz w:val="20"/>
        </w:rPr>
        <w:t>.</w:t>
      </w:r>
    </w:p>
  </w:footnote>
  <w:footnote w:id="17">
    <w:p w:rsidR="008E123E" w:rsidRPr="0030131F" w:rsidRDefault="008E123E" w:rsidP="001C5DA8">
      <w:pPr>
        <w:spacing w:after="120"/>
        <w:rPr>
          <w:sz w:val="20"/>
        </w:rPr>
      </w:pPr>
      <w:r w:rsidRPr="0030131F">
        <w:rPr>
          <w:rStyle w:val="FootnoteReference"/>
        </w:rPr>
        <w:footnoteRef/>
      </w:r>
      <w:r w:rsidRPr="0030131F">
        <w:rPr>
          <w:sz w:val="20"/>
        </w:rPr>
        <w:t xml:space="preserve"> </w:t>
      </w:r>
      <w:r w:rsidR="005D30BD" w:rsidRPr="0030131F">
        <w:rPr>
          <w:i/>
          <w:sz w:val="20"/>
        </w:rPr>
        <w:t>See</w:t>
      </w:r>
      <w:r w:rsidR="005D30BD" w:rsidRPr="0030131F">
        <w:rPr>
          <w:sz w:val="20"/>
        </w:rPr>
        <w:t xml:space="preserve"> Complaint, para. 47 and n.57 (citing Ex-0029 (Response to Notice of Informal Complaint 11-C00325771-1 (dated Sept. 22, 2011)) (showing a facsimile date-stamp from the Commission of October 22, 2013)).  </w:t>
      </w:r>
      <w:r w:rsidR="001D05E1" w:rsidRPr="0030131F">
        <w:rPr>
          <w:sz w:val="20"/>
        </w:rPr>
        <w:t xml:space="preserve">The record also indicates that </w:t>
      </w:r>
      <w:r w:rsidR="00EB26CF" w:rsidRPr="0030131F">
        <w:rPr>
          <w:sz w:val="20"/>
        </w:rPr>
        <w:t>on October 18, 2013</w:t>
      </w:r>
      <w:r w:rsidR="002D5A44" w:rsidRPr="0030131F">
        <w:rPr>
          <w:sz w:val="20"/>
        </w:rPr>
        <w:t xml:space="preserve"> a copy of AT&amp;T’s response to the second informal complaint was provided to the counsel who represented </w:t>
      </w:r>
      <w:r w:rsidR="001D05E1" w:rsidRPr="0030131F">
        <w:rPr>
          <w:sz w:val="20"/>
        </w:rPr>
        <w:t>Chelmowski</w:t>
      </w:r>
      <w:r w:rsidR="002D5A44" w:rsidRPr="0030131F">
        <w:rPr>
          <w:sz w:val="20"/>
        </w:rPr>
        <w:t xml:space="preserve"> in the </w:t>
      </w:r>
      <w:r w:rsidR="001D05E1" w:rsidRPr="0030131F">
        <w:rPr>
          <w:sz w:val="20"/>
        </w:rPr>
        <w:t>arbitration proceeding</w:t>
      </w:r>
      <w:r w:rsidR="00EB26CF" w:rsidRPr="0030131F">
        <w:rPr>
          <w:sz w:val="20"/>
        </w:rPr>
        <w:t xml:space="preserve"> </w:t>
      </w:r>
      <w:r w:rsidR="002D5A44" w:rsidRPr="0030131F">
        <w:rPr>
          <w:sz w:val="20"/>
        </w:rPr>
        <w:t xml:space="preserve">he initiated </w:t>
      </w:r>
      <w:r w:rsidR="001D05E1" w:rsidRPr="0030131F">
        <w:rPr>
          <w:sz w:val="20"/>
        </w:rPr>
        <w:t>against AT&amp;T (</w:t>
      </w:r>
      <w:r w:rsidR="001D05E1" w:rsidRPr="0030131F">
        <w:rPr>
          <w:i/>
          <w:sz w:val="20"/>
        </w:rPr>
        <w:t>see infra</w:t>
      </w:r>
      <w:r w:rsidR="00EB26CF" w:rsidRPr="0030131F">
        <w:rPr>
          <w:sz w:val="20"/>
        </w:rPr>
        <w:t>)</w:t>
      </w:r>
      <w:r w:rsidR="001D05E1" w:rsidRPr="0030131F">
        <w:rPr>
          <w:sz w:val="20"/>
        </w:rPr>
        <w:t xml:space="preserve">.  </w:t>
      </w:r>
      <w:r w:rsidR="001D05E1" w:rsidRPr="0030131F">
        <w:rPr>
          <w:i/>
          <w:sz w:val="20"/>
        </w:rPr>
        <w:t>See</w:t>
      </w:r>
      <w:r w:rsidR="001D05E1" w:rsidRPr="0030131F">
        <w:rPr>
          <w:sz w:val="20"/>
        </w:rPr>
        <w:t xml:space="preserve"> Answer at Exhibit 9 (</w:t>
      </w:r>
      <w:r w:rsidR="001D05E1" w:rsidRPr="0030131F">
        <w:rPr>
          <w:i/>
          <w:sz w:val="20"/>
        </w:rPr>
        <w:t>James Chelmowski v. AT&amp;T Mobility</w:t>
      </w:r>
      <w:r w:rsidR="001D05E1" w:rsidRPr="0030131F">
        <w:rPr>
          <w:sz w:val="20"/>
        </w:rPr>
        <w:t>, American Arbitration Association Award of Arbitrator (dated July 14, 2014)).</w:t>
      </w:r>
    </w:p>
  </w:footnote>
  <w:footnote w:id="18">
    <w:p w:rsidR="009E6BDA" w:rsidRDefault="009E6BDA">
      <w:pPr>
        <w:pStyle w:val="FootnoteText"/>
      </w:pPr>
      <w:r>
        <w:rPr>
          <w:rStyle w:val="FootnoteReference"/>
        </w:rPr>
        <w:footnoteRef/>
      </w:r>
      <w:r>
        <w:t xml:space="preserve"> Answer at 7, para. 15.</w:t>
      </w:r>
    </w:p>
  </w:footnote>
  <w:footnote w:id="19">
    <w:p w:rsidR="00A3602C" w:rsidRPr="0030131F" w:rsidRDefault="00A3602C" w:rsidP="001C5DA8">
      <w:pPr>
        <w:pStyle w:val="FootnoteText"/>
      </w:pPr>
      <w:r w:rsidRPr="0030131F">
        <w:rPr>
          <w:rStyle w:val="FootnoteReference"/>
        </w:rPr>
        <w:footnoteRef/>
      </w:r>
      <w:r w:rsidRPr="0030131F">
        <w:t xml:space="preserve"> </w:t>
      </w:r>
      <w:r w:rsidR="002159D4" w:rsidRPr="0030131F">
        <w:rPr>
          <w:i/>
        </w:rPr>
        <w:t>See</w:t>
      </w:r>
      <w:r w:rsidR="002159D4" w:rsidRPr="0030131F">
        <w:t xml:space="preserve"> </w:t>
      </w:r>
      <w:r w:rsidR="00C43A4C" w:rsidRPr="0030131F">
        <w:t>Answer at Exhibit 9 (</w:t>
      </w:r>
      <w:r w:rsidR="00C43A4C" w:rsidRPr="0030131F">
        <w:rPr>
          <w:i/>
        </w:rPr>
        <w:t>James Chelmowski v. AT&amp;T Mobility</w:t>
      </w:r>
      <w:r w:rsidR="00C43A4C" w:rsidRPr="0030131F">
        <w:t>, American Arbitration Association Award of Arbitrator (dated July 14, 2014)</w:t>
      </w:r>
      <w:r w:rsidR="002159D4" w:rsidRPr="0030131F">
        <w:t>).</w:t>
      </w:r>
    </w:p>
  </w:footnote>
  <w:footnote w:id="20">
    <w:p w:rsidR="00F44B52" w:rsidRPr="0030131F" w:rsidRDefault="00F44B52" w:rsidP="001C5DA8">
      <w:pPr>
        <w:pStyle w:val="FootnoteText"/>
      </w:pPr>
      <w:r w:rsidRPr="0030131F">
        <w:rPr>
          <w:rStyle w:val="FootnoteReference"/>
        </w:rPr>
        <w:footnoteRef/>
      </w:r>
      <w:r w:rsidRPr="0030131F">
        <w:t xml:space="preserve"> </w:t>
      </w:r>
      <w:r w:rsidRPr="0030131F">
        <w:rPr>
          <w:i/>
        </w:rPr>
        <w:t>See</w:t>
      </w:r>
      <w:r w:rsidR="00C43A4C" w:rsidRPr="0030131F">
        <w:t xml:space="preserve"> Letter from James Chelmowski to Market Disputes Resolution Division, FCC, File No. EB-14-MD-016, FCC No. 14-260 (dated Feb. 19, 2015) at 9</w:t>
      </w:r>
      <w:r w:rsidR="00691143" w:rsidRPr="0030131F">
        <w:t xml:space="preserve">; </w:t>
      </w:r>
      <w:r w:rsidRPr="0030131F">
        <w:t xml:space="preserve">Reply at </w:t>
      </w:r>
      <w:r w:rsidR="0025610C">
        <w:t xml:space="preserve">20, </w:t>
      </w:r>
      <w:r w:rsidRPr="0030131F">
        <w:t>para. 82.  Because the Complaint is time-barred, as dis</w:t>
      </w:r>
      <w:r w:rsidR="00A4346A" w:rsidRPr="0030131F">
        <w:t>c</w:t>
      </w:r>
      <w:r w:rsidRPr="0030131F">
        <w:t>ussed below, we need not reach AT&amp;T’s defense that</w:t>
      </w:r>
      <w:r w:rsidR="001E7D63">
        <w:t>,</w:t>
      </w:r>
      <w:r w:rsidRPr="0030131F">
        <w:t xml:space="preserve"> </w:t>
      </w:r>
      <w:r w:rsidR="001106E8">
        <w:t xml:space="preserve">because </w:t>
      </w:r>
      <w:r w:rsidRPr="0030131F">
        <w:t>the Complaint’s claims were</w:t>
      </w:r>
      <w:r w:rsidR="001106E8">
        <w:t xml:space="preserve"> adjudicated in a prior arbitration proceeding</w:t>
      </w:r>
      <w:r w:rsidR="001E7D63">
        <w:t>,</w:t>
      </w:r>
      <w:r w:rsidR="001106E8">
        <w:t xml:space="preserve"> they </w:t>
      </w:r>
      <w:r w:rsidRPr="0030131F">
        <w:t xml:space="preserve">are barred under the doctrine of </w:t>
      </w:r>
      <w:r w:rsidRPr="0030131F">
        <w:rPr>
          <w:i/>
        </w:rPr>
        <w:t>res judicata</w:t>
      </w:r>
      <w:r w:rsidRPr="0030131F">
        <w:t xml:space="preserve">.  </w:t>
      </w:r>
      <w:r w:rsidRPr="0030131F">
        <w:rPr>
          <w:i/>
        </w:rPr>
        <w:t>See</w:t>
      </w:r>
      <w:r w:rsidRPr="0030131F">
        <w:t xml:space="preserve"> Answer at 8</w:t>
      </w:r>
      <w:r w:rsidR="0025610C">
        <w:t xml:space="preserve">-9, paras. 19-21; </w:t>
      </w:r>
      <w:r w:rsidR="0025610C" w:rsidRPr="00EC4325">
        <w:rPr>
          <w:i/>
        </w:rPr>
        <w:t>see</w:t>
      </w:r>
      <w:r w:rsidR="0025610C">
        <w:t xml:space="preserve"> Letter from Michael P. Goggin, Counsel for AT&amp;T, to </w:t>
      </w:r>
      <w:r w:rsidR="0025610C" w:rsidRPr="0030131F">
        <w:t xml:space="preserve">Market Disputes Resolution Division, FCC, File No. EB-14-MD-016, FCC No. 14-260 (dated </w:t>
      </w:r>
      <w:r w:rsidR="0025610C">
        <w:t>Jan. 20</w:t>
      </w:r>
      <w:r w:rsidR="0025610C" w:rsidRPr="0030131F">
        <w:t>, 2015)</w:t>
      </w:r>
      <w:r w:rsidR="0025610C">
        <w:t xml:space="preserve"> (attaching </w:t>
      </w:r>
      <w:r w:rsidR="008D4AF7">
        <w:t>the</w:t>
      </w:r>
      <w:r w:rsidR="0025610C">
        <w:t xml:space="preserve"> United States District Court for the Northern District of Illinois </w:t>
      </w:r>
      <w:r w:rsidR="008D4AF7">
        <w:t xml:space="preserve">January 15, 2015 </w:t>
      </w:r>
      <w:r w:rsidR="0025610C">
        <w:t>Memorandum Opinion and Order denying Chelmowski’s petition</w:t>
      </w:r>
      <w:r w:rsidR="008D4AF7">
        <w:t xml:space="preserve"> to vacate the arbitration award).</w:t>
      </w:r>
    </w:p>
  </w:footnote>
  <w:footnote w:id="21">
    <w:p w:rsidR="001106E8" w:rsidRDefault="001106E8">
      <w:pPr>
        <w:pStyle w:val="FootnoteText"/>
      </w:pPr>
      <w:r>
        <w:rPr>
          <w:rStyle w:val="FootnoteReference"/>
        </w:rPr>
        <w:footnoteRef/>
      </w:r>
      <w:r>
        <w:t xml:space="preserve"> </w:t>
      </w:r>
      <w:r w:rsidR="00DB1B9D" w:rsidRPr="0030131F">
        <w:rPr>
          <w:i/>
        </w:rPr>
        <w:t>See</w:t>
      </w:r>
      <w:r w:rsidR="00DB1B9D" w:rsidRPr="0030131F">
        <w:t xml:space="preserve"> Letter from James Chelmowski to Market Disputes Resolution Division, FCC, File No. EB-14-MD-016, FCC No. 14-260 (dated Feb. 19, 2015)</w:t>
      </w:r>
      <w:r w:rsidR="002C220F">
        <w:t>.</w:t>
      </w:r>
    </w:p>
  </w:footnote>
  <w:footnote w:id="22">
    <w:p w:rsidR="008E123E" w:rsidRPr="0030131F" w:rsidRDefault="008E123E" w:rsidP="001C5DA8">
      <w:pPr>
        <w:pStyle w:val="FootnoteText"/>
      </w:pPr>
      <w:r w:rsidRPr="0030131F">
        <w:rPr>
          <w:rStyle w:val="FootnoteReference"/>
        </w:rPr>
        <w:footnoteRef/>
      </w:r>
      <w:r w:rsidRPr="0030131F">
        <w:t xml:space="preserve"> Informal Complaint 14-</w:t>
      </w:r>
      <w:r w:rsidR="009F4386" w:rsidRPr="0030131F">
        <w:t>C00602676 (dated July 31, 2014) (referencing the first (April 2011) informal complaint, and stating that the involved telephone number was “(8</w:t>
      </w:r>
      <w:r w:rsidR="002C7089" w:rsidRPr="0030131F">
        <w:t>47</w:t>
      </w:r>
      <w:r w:rsidR="009F4386" w:rsidRPr="0030131F">
        <w:t>) 768-0400”)</w:t>
      </w:r>
      <w:r w:rsidR="00B90EBF" w:rsidRPr="0030131F">
        <w:t xml:space="preserve">.  </w:t>
      </w:r>
      <w:r w:rsidR="00B90EBF" w:rsidRPr="0030131F">
        <w:rPr>
          <w:i/>
        </w:rPr>
        <w:t>See</w:t>
      </w:r>
      <w:r w:rsidR="00B90EBF" w:rsidRPr="0030131F">
        <w:t xml:space="preserve"> Complaint, Ex-0141 (summarizing text of Informal Complaint 14-C00602676);</w:t>
      </w:r>
      <w:r w:rsidR="00EC4325">
        <w:t xml:space="preserve"> Answer at 10-11, para. 25.</w:t>
      </w:r>
    </w:p>
  </w:footnote>
  <w:footnote w:id="23">
    <w:p w:rsidR="008E123E" w:rsidRPr="0030131F" w:rsidRDefault="008E123E" w:rsidP="001C5DA8">
      <w:pPr>
        <w:spacing w:after="120"/>
        <w:rPr>
          <w:sz w:val="20"/>
        </w:rPr>
      </w:pPr>
      <w:r w:rsidRPr="0030131F">
        <w:rPr>
          <w:rStyle w:val="FootnoteReference"/>
        </w:rPr>
        <w:footnoteRef/>
      </w:r>
      <w:r w:rsidRPr="0030131F">
        <w:rPr>
          <w:sz w:val="20"/>
        </w:rPr>
        <w:t xml:space="preserve"> </w:t>
      </w:r>
      <w:r w:rsidRPr="0030131F">
        <w:rPr>
          <w:i/>
          <w:sz w:val="20"/>
        </w:rPr>
        <w:t>See</w:t>
      </w:r>
      <w:r w:rsidRPr="0030131F">
        <w:rPr>
          <w:sz w:val="20"/>
        </w:rPr>
        <w:t xml:space="preserve"> Complaint, Ex-0029 (Response to Notice of Informal Complaint 14-C00602676-1 (dated Aug. 13, 2014).</w:t>
      </w:r>
    </w:p>
  </w:footnote>
  <w:footnote w:id="24">
    <w:p w:rsidR="00A551E4" w:rsidRPr="0030131F" w:rsidRDefault="00A551E4" w:rsidP="001C5DA8">
      <w:pPr>
        <w:pStyle w:val="FootnoteText"/>
      </w:pPr>
      <w:r w:rsidRPr="0030131F">
        <w:rPr>
          <w:rStyle w:val="FootnoteReference"/>
        </w:rPr>
        <w:footnoteRef/>
      </w:r>
      <w:r w:rsidRPr="0030131F">
        <w:t xml:space="preserve"> 47 U.S.C. § 208.</w:t>
      </w:r>
    </w:p>
  </w:footnote>
  <w:footnote w:id="25">
    <w:p w:rsidR="00A551E4" w:rsidRPr="0030131F" w:rsidRDefault="00A551E4" w:rsidP="001C5DA8">
      <w:pPr>
        <w:pStyle w:val="FootnoteText"/>
      </w:pPr>
      <w:r w:rsidRPr="0030131F">
        <w:rPr>
          <w:rStyle w:val="FootnoteReference"/>
        </w:rPr>
        <w:footnoteRef/>
      </w:r>
      <w:r w:rsidRPr="0030131F">
        <w:t xml:space="preserve"> </w:t>
      </w:r>
      <w:r w:rsidRPr="0030131F">
        <w:rPr>
          <w:i/>
          <w:iCs/>
        </w:rPr>
        <w:t>See</w:t>
      </w:r>
      <w:r w:rsidR="00533048">
        <w:t xml:space="preserve"> Complaint at 2-3, paras. 4-9. </w:t>
      </w:r>
      <w:r w:rsidRPr="0030131F">
        <w:t xml:space="preserve">The Complaint incorrectly references rules “53.35” and “53.36” as the bases for the alleged number porting violations.  </w:t>
      </w:r>
      <w:r w:rsidRPr="0030131F">
        <w:rPr>
          <w:i/>
        </w:rPr>
        <w:t>See</w:t>
      </w:r>
      <w:r w:rsidRPr="0030131F">
        <w:t xml:space="preserve"> Complaint at 5-8.  The relevant rules concerning the porting intervals are Commission rules 52.35 and 52.36.  47 C.F.R. §§ 52.35, 52.36.  The Complaint also briefly mentions, but does not include as counts, several non-Act legal theories, such as, for example, “theft of a vanity number,” “libel,” and “wrongful deprivation of property.”  </w:t>
      </w:r>
      <w:r w:rsidRPr="0030131F">
        <w:rPr>
          <w:i/>
        </w:rPr>
        <w:t>See</w:t>
      </w:r>
      <w:r w:rsidRPr="00565E2B">
        <w:rPr>
          <w:i/>
        </w:rPr>
        <w:t>,</w:t>
      </w:r>
      <w:r w:rsidRPr="0030131F">
        <w:t xml:space="preserve"> </w:t>
      </w:r>
      <w:r w:rsidRPr="0030131F">
        <w:rPr>
          <w:i/>
        </w:rPr>
        <w:t>e.g</w:t>
      </w:r>
      <w:r w:rsidRPr="0030131F">
        <w:t>., Complaint at 25.  Because these legal theories are not presented as counts in the Complaint</w:t>
      </w:r>
      <w:r w:rsidR="004E5F8D" w:rsidRPr="0030131F">
        <w:t xml:space="preserve"> and do not allege a violation of the Act</w:t>
      </w:r>
      <w:r w:rsidRPr="0030131F">
        <w:t>, we do not consider them</w:t>
      </w:r>
      <w:r w:rsidR="004E5F8D" w:rsidRPr="0030131F">
        <w:t xml:space="preserve"> here</w:t>
      </w:r>
      <w:r w:rsidRPr="0030131F">
        <w:t>.</w:t>
      </w:r>
    </w:p>
  </w:footnote>
  <w:footnote w:id="26">
    <w:p w:rsidR="008E123E" w:rsidRPr="0030131F" w:rsidRDefault="008E123E" w:rsidP="001C5DA8">
      <w:pPr>
        <w:pStyle w:val="FootnoteText"/>
      </w:pPr>
      <w:r w:rsidRPr="0030131F">
        <w:rPr>
          <w:rStyle w:val="FootnoteReference"/>
        </w:rPr>
        <w:footnoteRef/>
      </w:r>
      <w:r w:rsidRPr="0030131F">
        <w:t xml:space="preserve"> 47 U.S.C. § 415(b).</w:t>
      </w:r>
      <w:r w:rsidR="00453DAD">
        <w:t xml:space="preserve">  </w:t>
      </w:r>
      <w:r w:rsidR="00453DAD">
        <w:rPr>
          <w:color w:val="000000"/>
        </w:rPr>
        <w:t>The two-</w:t>
      </w:r>
      <w:r w:rsidR="0080490D">
        <w:rPr>
          <w:color w:val="000000"/>
        </w:rPr>
        <w:t>year statute of limitations in S</w:t>
      </w:r>
      <w:r w:rsidR="00453DAD">
        <w:rPr>
          <w:color w:val="000000"/>
        </w:rPr>
        <w:t xml:space="preserve">ection 415 “’is a statute of repose, designed to protect a potential defendant against stale and vexatious claims by ending the possibility of litigation after a reasonable period of time has elapsed.’”  </w:t>
      </w:r>
      <w:r w:rsidR="00453DAD">
        <w:rPr>
          <w:i/>
          <w:iCs/>
          <w:color w:val="000000"/>
        </w:rPr>
        <w:t>See</w:t>
      </w:r>
      <w:r w:rsidR="00453DAD">
        <w:rPr>
          <w:color w:val="000000"/>
        </w:rPr>
        <w:t xml:space="preserve"> </w:t>
      </w:r>
      <w:r w:rsidR="00453DAD">
        <w:rPr>
          <w:i/>
          <w:iCs/>
          <w:color w:val="000000"/>
        </w:rPr>
        <w:t>Operator Communications, Inc. v. Verizon Telephone Companies</w:t>
      </w:r>
      <w:r w:rsidR="00453DAD">
        <w:rPr>
          <w:color w:val="000000"/>
        </w:rPr>
        <w:t>, Memorandum Opinion and Order, 20 FCC Rcd 19783, 19786</w:t>
      </w:r>
      <w:r w:rsidR="002C220F">
        <w:rPr>
          <w:color w:val="000000"/>
        </w:rPr>
        <w:t xml:space="preserve">, </w:t>
      </w:r>
      <w:r w:rsidR="00453DAD">
        <w:rPr>
          <w:color w:val="000000"/>
        </w:rPr>
        <w:t>para. 140 (citations omitted)</w:t>
      </w:r>
      <w:r w:rsidR="008F21D0">
        <w:rPr>
          <w:color w:val="000000"/>
        </w:rPr>
        <w:t xml:space="preserve"> (2005) (“</w:t>
      </w:r>
      <w:r w:rsidR="008F21D0" w:rsidRPr="00DC231E">
        <w:rPr>
          <w:i/>
          <w:color w:val="000000"/>
        </w:rPr>
        <w:t>OCI</w:t>
      </w:r>
      <w:r w:rsidR="008F21D0">
        <w:rPr>
          <w:color w:val="000000"/>
        </w:rPr>
        <w:t>”)</w:t>
      </w:r>
      <w:r w:rsidR="00453DAD">
        <w:rPr>
          <w:color w:val="000000"/>
        </w:rPr>
        <w:t>.</w:t>
      </w:r>
    </w:p>
  </w:footnote>
  <w:footnote w:id="27">
    <w:p w:rsidR="008E123E" w:rsidRPr="0030131F" w:rsidRDefault="008E123E" w:rsidP="001C5DA8">
      <w:pPr>
        <w:pStyle w:val="FootnoteText"/>
      </w:pPr>
      <w:r w:rsidRPr="0030131F">
        <w:rPr>
          <w:rStyle w:val="FootnoteReference"/>
        </w:rPr>
        <w:footnoteRef/>
      </w:r>
      <w:r w:rsidRPr="0030131F">
        <w:t xml:space="preserve"> </w:t>
      </w:r>
      <w:r w:rsidRPr="0030131F">
        <w:rPr>
          <w:i/>
          <w:iCs/>
          <w:color w:val="000000"/>
        </w:rPr>
        <w:t>Se</w:t>
      </w:r>
      <w:r w:rsidR="00D61476">
        <w:rPr>
          <w:i/>
          <w:iCs/>
          <w:color w:val="000000"/>
        </w:rPr>
        <w:t>e Communications Vending Corp. of Arizona v. FCC</w:t>
      </w:r>
      <w:r w:rsidR="00D61476" w:rsidRPr="00D61476">
        <w:rPr>
          <w:iCs/>
          <w:color w:val="000000"/>
        </w:rPr>
        <w:t>, 365 F.3d 1064, 1074 (D.C. Cir. 2004)</w:t>
      </w:r>
      <w:r w:rsidR="00D61476">
        <w:rPr>
          <w:iCs/>
          <w:color w:val="000000"/>
        </w:rPr>
        <w:t xml:space="preserve"> </w:t>
      </w:r>
      <w:r w:rsidR="005F7446" w:rsidRPr="0030131F">
        <w:rPr>
          <w:iCs/>
          <w:color w:val="000000"/>
        </w:rPr>
        <w:t>(</w:t>
      </w:r>
      <w:r w:rsidR="00D61476">
        <w:rPr>
          <w:iCs/>
          <w:color w:val="000000"/>
        </w:rPr>
        <w:t>stating that under S</w:t>
      </w:r>
      <w:r w:rsidR="005F7446" w:rsidRPr="0030131F">
        <w:rPr>
          <w:iCs/>
          <w:color w:val="000000"/>
        </w:rPr>
        <w:t xml:space="preserve">ection 415, “a cause of action accrues </w:t>
      </w:r>
      <w:r w:rsidR="005F7446" w:rsidRPr="0030131F">
        <w:rPr>
          <w:color w:val="000000"/>
        </w:rPr>
        <w:t>either when a readily discoverable injury occurs or, if an injury is not readily discoverable, when the plaintiff should have discovered it”)</w:t>
      </w:r>
      <w:r w:rsidR="00D61476">
        <w:rPr>
          <w:color w:val="000000"/>
        </w:rPr>
        <w:t xml:space="preserve"> </w:t>
      </w:r>
      <w:r w:rsidR="005F7446" w:rsidRPr="0030131F">
        <w:rPr>
          <w:color w:val="000000"/>
        </w:rPr>
        <w:t>(citing</w:t>
      </w:r>
      <w:r w:rsidR="00D61476">
        <w:rPr>
          <w:i/>
          <w:iCs/>
          <w:color w:val="000000"/>
        </w:rPr>
        <w:t xml:space="preserve"> MCI Telecomms. Corp. v. FCC</w:t>
      </w:r>
      <w:r w:rsidR="00D61476" w:rsidRPr="00D61476">
        <w:rPr>
          <w:iCs/>
          <w:color w:val="000000"/>
        </w:rPr>
        <w:t>, 59 F.3d 1407, 1417 (D.C. Cir. 1995)</w:t>
      </w:r>
      <w:r w:rsidR="00D61476">
        <w:rPr>
          <w:iCs/>
          <w:color w:val="000000"/>
        </w:rPr>
        <w:t>)</w:t>
      </w:r>
      <w:r w:rsidR="00D61476" w:rsidRPr="00D61476">
        <w:rPr>
          <w:iCs/>
          <w:color w:val="000000"/>
        </w:rPr>
        <w:t>.</w:t>
      </w:r>
      <w:r w:rsidR="00D61476">
        <w:rPr>
          <w:iCs/>
          <w:color w:val="000000"/>
        </w:rPr>
        <w:t xml:space="preserve">  </w:t>
      </w:r>
      <w:r w:rsidR="00DB2834" w:rsidRPr="0030131F">
        <w:rPr>
          <w:i/>
          <w:color w:val="000000"/>
        </w:rPr>
        <w:t>See also</w:t>
      </w:r>
      <w:r w:rsidR="00DB2834" w:rsidRPr="0030131F">
        <w:rPr>
          <w:color w:val="000000"/>
        </w:rPr>
        <w:t xml:space="preserve"> </w:t>
      </w:r>
      <w:r w:rsidR="00DB2834" w:rsidRPr="0030131F">
        <w:rPr>
          <w:i/>
          <w:iCs/>
          <w:color w:val="000000"/>
        </w:rPr>
        <w:t>AirTouch Cellular v. Pacific Bell</w:t>
      </w:r>
      <w:r w:rsidR="00DB2834" w:rsidRPr="0030131F">
        <w:rPr>
          <w:color w:val="000000"/>
        </w:rPr>
        <w:t>, Memorandum Opinion and Order, 16 FCC Rcd 13502, 13504, para. 6 (2001) (stating that, under Section 415(b), a cause of action accrues “when the carrier does the unlawful act or fa</w:t>
      </w:r>
      <w:r w:rsidR="00D61476">
        <w:rPr>
          <w:color w:val="000000"/>
        </w:rPr>
        <w:t>ils to do what the law requires</w:t>
      </w:r>
      <w:r w:rsidR="00DB2834" w:rsidRPr="0030131F">
        <w:rPr>
          <w:color w:val="000000"/>
        </w:rPr>
        <w:t>”).</w:t>
      </w:r>
    </w:p>
  </w:footnote>
  <w:footnote w:id="28">
    <w:p w:rsidR="008E123E" w:rsidRPr="0030131F" w:rsidRDefault="008E123E" w:rsidP="001C5DA8">
      <w:pPr>
        <w:pStyle w:val="FootnoteText"/>
      </w:pPr>
      <w:r w:rsidRPr="0030131F">
        <w:rPr>
          <w:rStyle w:val="FootnoteReference"/>
        </w:rPr>
        <w:footnoteRef/>
      </w:r>
      <w:r w:rsidRPr="0030131F">
        <w:t xml:space="preserve"> </w:t>
      </w:r>
      <w:r w:rsidR="00DB2834" w:rsidRPr="0030131F">
        <w:rPr>
          <w:i/>
          <w:iCs/>
          <w:color w:val="000000"/>
        </w:rPr>
        <w:t>Se</w:t>
      </w:r>
      <w:r w:rsidR="00D61476">
        <w:rPr>
          <w:i/>
          <w:iCs/>
          <w:color w:val="000000"/>
        </w:rPr>
        <w:t>e Communications Vending Corp. of Arizona v. FCC</w:t>
      </w:r>
      <w:r w:rsidR="008526D3" w:rsidRPr="008526D3">
        <w:rPr>
          <w:iCs/>
          <w:color w:val="000000"/>
        </w:rPr>
        <w:t>, 365 F.3d at 1074</w:t>
      </w:r>
      <w:r w:rsidR="007572A2" w:rsidRPr="008526D3">
        <w:rPr>
          <w:color w:val="000000"/>
        </w:rPr>
        <w:t>;</w:t>
      </w:r>
      <w:r w:rsidR="007572A2" w:rsidRPr="0030131F">
        <w:rPr>
          <w:color w:val="000000"/>
        </w:rPr>
        <w:t xml:space="preserve"> </w:t>
      </w:r>
      <w:r w:rsidR="00DB2834" w:rsidRPr="0030131F">
        <w:rPr>
          <w:i/>
          <w:color w:val="000000"/>
        </w:rPr>
        <w:t>Sprint Communications Co. v. FCC</w:t>
      </w:r>
      <w:r w:rsidR="00DB2834" w:rsidRPr="0030131F">
        <w:rPr>
          <w:color w:val="000000"/>
        </w:rPr>
        <w:t>, 76 F.3d 1221, 1225 (D.C. Cir. 1996)</w:t>
      </w:r>
      <w:r w:rsidR="00565E2B">
        <w:rPr>
          <w:color w:val="000000"/>
        </w:rPr>
        <w:t xml:space="preserve"> (</w:t>
      </w:r>
      <w:r w:rsidR="00565E2B" w:rsidRPr="00565E2B">
        <w:rPr>
          <w:i/>
          <w:color w:val="000000"/>
        </w:rPr>
        <w:t>Sprint</w:t>
      </w:r>
      <w:r w:rsidR="00565E2B">
        <w:rPr>
          <w:color w:val="000000"/>
        </w:rPr>
        <w:t>)</w:t>
      </w:r>
      <w:r w:rsidR="00DB2834" w:rsidRPr="0030131F">
        <w:rPr>
          <w:color w:val="000000"/>
        </w:rPr>
        <w:t xml:space="preserve"> (</w:t>
      </w:r>
      <w:r w:rsidR="00565E2B">
        <w:rPr>
          <w:color w:val="000000"/>
        </w:rPr>
        <w:t xml:space="preserve">stating that </w:t>
      </w:r>
      <w:r w:rsidR="00DB2834" w:rsidRPr="0030131F">
        <w:rPr>
          <w:color w:val="000000"/>
        </w:rPr>
        <w:t>a cause of action accrues and the limitations period begins to run only when the plaintiff discovers, or with due diligence should have discovered, the injury that is the basis of the action).</w:t>
      </w:r>
    </w:p>
  </w:footnote>
  <w:footnote w:id="29">
    <w:p w:rsidR="00662FB9" w:rsidRPr="0030131F" w:rsidRDefault="00662FB9" w:rsidP="001C5DA8">
      <w:pPr>
        <w:pStyle w:val="FootnoteText"/>
      </w:pPr>
      <w:r w:rsidRPr="0030131F">
        <w:rPr>
          <w:rStyle w:val="FootnoteReference"/>
        </w:rPr>
        <w:footnoteRef/>
      </w:r>
      <w:r w:rsidRPr="0030131F">
        <w:t xml:space="preserve"> </w:t>
      </w:r>
      <w:r w:rsidRPr="0030131F">
        <w:rPr>
          <w:i/>
          <w:iCs/>
        </w:rPr>
        <w:t>See</w:t>
      </w:r>
      <w:r w:rsidRPr="0030131F">
        <w:t xml:space="preserve"> Answer, Exhibit 2 (responses to questions 1-3, 5).</w:t>
      </w:r>
    </w:p>
  </w:footnote>
  <w:footnote w:id="30">
    <w:p w:rsidR="00CD14F7" w:rsidRPr="0030131F" w:rsidRDefault="00CD14F7" w:rsidP="00DC231E">
      <w:pPr>
        <w:spacing w:after="120"/>
      </w:pPr>
      <w:r w:rsidRPr="0030131F">
        <w:rPr>
          <w:rStyle w:val="FootnoteReference"/>
        </w:rPr>
        <w:footnoteRef/>
      </w:r>
      <w:r w:rsidRPr="0030131F">
        <w:rPr>
          <w:sz w:val="20"/>
        </w:rPr>
        <w:t xml:space="preserve"> </w:t>
      </w:r>
      <w:r w:rsidRPr="0030131F">
        <w:rPr>
          <w:color w:val="000000"/>
          <w:sz w:val="20"/>
        </w:rPr>
        <w:t xml:space="preserve">47 C.F.R. </w:t>
      </w:r>
      <w:r w:rsidRPr="0030131F">
        <w:rPr>
          <w:sz w:val="20"/>
        </w:rPr>
        <w:t xml:space="preserve">§ </w:t>
      </w:r>
      <w:r w:rsidRPr="0030131F">
        <w:rPr>
          <w:color w:val="000000"/>
          <w:sz w:val="20"/>
        </w:rPr>
        <w:t>1.718</w:t>
      </w:r>
      <w:r w:rsidR="00F45799" w:rsidRPr="0030131F">
        <w:rPr>
          <w:color w:val="000000"/>
          <w:sz w:val="20"/>
        </w:rPr>
        <w:t>.</w:t>
      </w:r>
    </w:p>
  </w:footnote>
  <w:footnote w:id="31">
    <w:p w:rsidR="00F45799" w:rsidRPr="0030131F" w:rsidRDefault="00F45799" w:rsidP="001C5DA8">
      <w:pPr>
        <w:pStyle w:val="FootnoteText"/>
      </w:pPr>
      <w:r w:rsidRPr="0030131F">
        <w:rPr>
          <w:rStyle w:val="FootnoteReference"/>
        </w:rPr>
        <w:footnoteRef/>
      </w:r>
      <w:r w:rsidRPr="0030131F">
        <w:t xml:space="preserve"> </w:t>
      </w:r>
      <w:r w:rsidR="00336820" w:rsidRPr="0030131F">
        <w:rPr>
          <w:color w:val="000000"/>
        </w:rPr>
        <w:t xml:space="preserve">47 C.F.R. </w:t>
      </w:r>
      <w:r w:rsidR="00336820" w:rsidRPr="0030131F">
        <w:t xml:space="preserve">§ </w:t>
      </w:r>
      <w:r w:rsidR="00336820" w:rsidRPr="0030131F">
        <w:rPr>
          <w:color w:val="000000"/>
        </w:rPr>
        <w:t xml:space="preserve">1.718 (stating, in pertinent part, that a formal complaint “will be deemed to relate back to the filing date of the informal complaint: </w:t>
      </w:r>
      <w:r w:rsidR="00336820" w:rsidRPr="0030131F">
        <w:rPr>
          <w:i/>
          <w:iCs/>
          <w:color w:val="000000"/>
        </w:rPr>
        <w:t>Provided</w:t>
      </w:r>
      <w:r w:rsidR="00336820" w:rsidRPr="0030131F">
        <w:rPr>
          <w:color w:val="000000"/>
        </w:rPr>
        <w:t>, That the formal complaint: (a) Is filed within six months from the date of the carrier’s [</w:t>
      </w:r>
      <w:r w:rsidR="00336820" w:rsidRPr="0030131F">
        <w:rPr>
          <w:i/>
          <w:iCs/>
          <w:color w:val="000000"/>
        </w:rPr>
        <w:t>i.e.</w:t>
      </w:r>
      <w:r w:rsidR="00336820" w:rsidRPr="000B1263">
        <w:rPr>
          <w:iCs/>
          <w:color w:val="000000"/>
        </w:rPr>
        <w:t>,</w:t>
      </w:r>
      <w:r w:rsidR="00336820" w:rsidRPr="0030131F">
        <w:rPr>
          <w:color w:val="000000"/>
        </w:rPr>
        <w:t xml:space="preserve"> the defendant’s] report ...”).</w:t>
      </w:r>
      <w:r w:rsidR="00336820" w:rsidRPr="0030131F">
        <w:t xml:space="preserve">  </w:t>
      </w:r>
      <w:r w:rsidR="00585B1F">
        <w:rPr>
          <w:i/>
        </w:rPr>
        <w:t>S</w:t>
      </w:r>
      <w:r w:rsidR="00585B1F" w:rsidRPr="00585B1F">
        <w:rPr>
          <w:i/>
        </w:rPr>
        <w:t>ee</w:t>
      </w:r>
      <w:r w:rsidR="00501524">
        <w:rPr>
          <w:i/>
        </w:rPr>
        <w:t>, e.g.</w:t>
      </w:r>
      <w:r w:rsidR="00501524">
        <w:t>,</w:t>
      </w:r>
      <w:r w:rsidR="00585B1F" w:rsidRPr="00585B1F">
        <w:t xml:space="preserve"> </w:t>
      </w:r>
      <w:r w:rsidR="00585B1F" w:rsidRPr="00585B1F">
        <w:rPr>
          <w:i/>
        </w:rPr>
        <w:t>In The Matter of American Cellular Corporation and Dobson Cellular Systems, Inc., v. Bellsouth Telecommunications, Inc.</w:t>
      </w:r>
      <w:r w:rsidR="00585B1F" w:rsidRPr="00585B1F">
        <w:t>, Memorandum Opinion and Order, 22 FCC Rcd 1083, 1087-88, para. 10 (Enf. Bur. 2007) (</w:t>
      </w:r>
      <w:r w:rsidR="00501524">
        <w:t xml:space="preserve">stating that </w:t>
      </w:r>
      <w:r w:rsidR="00585B1F" w:rsidRPr="00585B1F">
        <w:t xml:space="preserve">where </w:t>
      </w:r>
      <w:r w:rsidR="00501524">
        <w:t xml:space="preserve">the </w:t>
      </w:r>
      <w:r w:rsidR="00585B1F" w:rsidRPr="00585B1F">
        <w:t xml:space="preserve">response to </w:t>
      </w:r>
      <w:r w:rsidR="00501524">
        <w:t xml:space="preserve">an </w:t>
      </w:r>
      <w:r w:rsidR="00585B1F" w:rsidRPr="00585B1F">
        <w:t>informal complaint was filed on August 8, 2003, the last day of the six-month relation-back period under ru</w:t>
      </w:r>
      <w:r w:rsidR="00501524">
        <w:t>le 1.718 was February 8, 2004).</w:t>
      </w:r>
    </w:p>
  </w:footnote>
  <w:footnote w:id="32">
    <w:p w:rsidR="00D316BA" w:rsidRDefault="00D316BA">
      <w:pPr>
        <w:pStyle w:val="FootnoteText"/>
      </w:pPr>
      <w:r>
        <w:rPr>
          <w:rStyle w:val="FootnoteReference"/>
        </w:rPr>
        <w:footnoteRef/>
      </w:r>
      <w:r>
        <w:t xml:space="preserve"> Answer at 6-7.</w:t>
      </w:r>
    </w:p>
  </w:footnote>
  <w:footnote w:id="33">
    <w:p w:rsidR="00AD6410" w:rsidRPr="0030131F" w:rsidRDefault="00AD6410" w:rsidP="00AD6410">
      <w:pPr>
        <w:pStyle w:val="ParaNum"/>
        <w:numPr>
          <w:ilvl w:val="0"/>
          <w:numId w:val="0"/>
        </w:numPr>
        <w:rPr>
          <w:sz w:val="20"/>
        </w:rPr>
      </w:pPr>
      <w:r w:rsidRPr="0030131F">
        <w:rPr>
          <w:rStyle w:val="FootnoteReference"/>
        </w:rPr>
        <w:footnoteRef/>
      </w:r>
      <w:r w:rsidRPr="0030131F">
        <w:rPr>
          <w:sz w:val="20"/>
        </w:rPr>
        <w:t xml:space="preserve"> </w:t>
      </w:r>
      <w:r w:rsidR="007D6B92" w:rsidRPr="00BA3FD7">
        <w:rPr>
          <w:i/>
          <w:sz w:val="20"/>
        </w:rPr>
        <w:t>See supra</w:t>
      </w:r>
      <w:r w:rsidR="007D6B92">
        <w:rPr>
          <w:sz w:val="20"/>
        </w:rPr>
        <w:t xml:space="preserve"> paragraph 5 and note</w:t>
      </w:r>
      <w:r w:rsidR="00BA3FD7">
        <w:rPr>
          <w:sz w:val="20"/>
        </w:rPr>
        <w:t>s</w:t>
      </w:r>
      <w:r w:rsidR="007D6B92">
        <w:rPr>
          <w:sz w:val="20"/>
        </w:rPr>
        <w:t xml:space="preserve"> </w:t>
      </w:r>
      <w:r w:rsidR="00BA3FD7">
        <w:rPr>
          <w:sz w:val="20"/>
        </w:rPr>
        <w:t>15-</w:t>
      </w:r>
      <w:r w:rsidR="007D6B92">
        <w:rPr>
          <w:sz w:val="20"/>
        </w:rPr>
        <w:t xml:space="preserve">16.  </w:t>
      </w:r>
      <w:r w:rsidRPr="0030131F">
        <w:rPr>
          <w:i/>
          <w:iCs/>
          <w:sz w:val="20"/>
        </w:rPr>
        <w:t>See</w:t>
      </w:r>
      <w:r w:rsidRPr="0030131F">
        <w:rPr>
          <w:sz w:val="20"/>
        </w:rPr>
        <w:t xml:space="preserve"> </w:t>
      </w:r>
      <w:r w:rsidR="00FD7E36" w:rsidRPr="00BA3FD7">
        <w:rPr>
          <w:i/>
          <w:sz w:val="20"/>
        </w:rPr>
        <w:t>also</w:t>
      </w:r>
      <w:r w:rsidR="00FD7E36">
        <w:rPr>
          <w:sz w:val="20"/>
        </w:rPr>
        <w:t xml:space="preserve"> </w:t>
      </w:r>
      <w:r w:rsidRPr="0030131F">
        <w:rPr>
          <w:sz w:val="20"/>
        </w:rPr>
        <w:t>Reply at 22 (stating that, in requesting AT&amp;T provide proof that it sent responses to “informal complaints 11-C00325771 and 11-C00292341 … [that] … AT&amp;T did not send these letters to me in the Fraudulent Concealment scheme.  These letters were faxed from the FCC to me in 2013</w:t>
      </w:r>
      <w:r>
        <w:rPr>
          <w:sz w:val="20"/>
        </w:rPr>
        <w:t>.</w:t>
      </w:r>
      <w:r w:rsidRPr="0030131F">
        <w:rPr>
          <w:sz w:val="20"/>
        </w:rPr>
        <w:t xml:space="preserve">”).  </w:t>
      </w:r>
      <w:r w:rsidRPr="0030131F">
        <w:rPr>
          <w:color w:val="000000"/>
          <w:sz w:val="20"/>
        </w:rPr>
        <w:t>As discussed above,</w:t>
      </w:r>
      <w:r w:rsidR="00BA3FD7">
        <w:rPr>
          <w:color w:val="000000"/>
          <w:sz w:val="20"/>
        </w:rPr>
        <w:t xml:space="preserve"> </w:t>
      </w:r>
      <w:r w:rsidRPr="0030131F">
        <w:rPr>
          <w:color w:val="000000"/>
          <w:sz w:val="20"/>
        </w:rPr>
        <w:t xml:space="preserve">the record shows that October 22, 2013 is the </w:t>
      </w:r>
      <w:r w:rsidRPr="0030131F">
        <w:rPr>
          <w:i/>
          <w:color w:val="000000"/>
          <w:sz w:val="20"/>
        </w:rPr>
        <w:t>latest</w:t>
      </w:r>
      <w:r>
        <w:rPr>
          <w:color w:val="000000"/>
          <w:sz w:val="20"/>
        </w:rPr>
        <w:t xml:space="preserve"> date that </w:t>
      </w:r>
      <w:r w:rsidRPr="0030131F">
        <w:rPr>
          <w:color w:val="000000"/>
          <w:sz w:val="20"/>
        </w:rPr>
        <w:t>Chelmowski received AT&amp;T’s response regarding the 0400 port request</w:t>
      </w:r>
      <w:r w:rsidRPr="0030131F">
        <w:rPr>
          <w:sz w:val="20"/>
        </w:rPr>
        <w:t>.</w:t>
      </w:r>
    </w:p>
  </w:footnote>
  <w:footnote w:id="34">
    <w:p w:rsidR="00336820" w:rsidRPr="0030131F" w:rsidRDefault="00336820" w:rsidP="001C5DA8">
      <w:pPr>
        <w:pStyle w:val="FootnoteText"/>
      </w:pPr>
      <w:r w:rsidRPr="0030131F">
        <w:rPr>
          <w:rStyle w:val="FootnoteReference"/>
        </w:rPr>
        <w:footnoteRef/>
      </w:r>
      <w:r w:rsidRPr="0030131F">
        <w:t xml:space="preserve"> </w:t>
      </w:r>
      <w:r w:rsidR="00E05657">
        <w:t xml:space="preserve">We note that </w:t>
      </w:r>
      <w:r w:rsidR="003050C4" w:rsidRPr="0030131F">
        <w:t>a complainant can</w:t>
      </w:r>
      <w:r w:rsidR="00E05657">
        <w:t>not</w:t>
      </w:r>
      <w:r w:rsidR="003050C4" w:rsidRPr="0030131F">
        <w:t xml:space="preserve"> re-start the six month period under </w:t>
      </w:r>
      <w:r w:rsidR="00F130E0">
        <w:t>r</w:t>
      </w:r>
      <w:r w:rsidR="003050C4" w:rsidRPr="0030131F">
        <w:t>ule 1.718 by filing</w:t>
      </w:r>
      <w:r w:rsidR="00240E77" w:rsidRPr="0030131F">
        <w:t xml:space="preserve"> a </w:t>
      </w:r>
      <w:r w:rsidR="00E05657">
        <w:t>later</w:t>
      </w:r>
      <w:r w:rsidR="00240E77" w:rsidRPr="0030131F">
        <w:t xml:space="preserve"> informal complaint that</w:t>
      </w:r>
      <w:r w:rsidR="003050C4" w:rsidRPr="0030131F">
        <w:t xml:space="preserve"> re-states the claims asserted in a previously filed informal complaint</w:t>
      </w:r>
      <w:r w:rsidR="00E05657">
        <w:t xml:space="preserve"> to which a carrier has already responded</w:t>
      </w:r>
      <w:r w:rsidR="00456365">
        <w:t xml:space="preserve">.  In any event, the record here </w:t>
      </w:r>
      <w:r w:rsidR="003050C4" w:rsidRPr="0030131F">
        <w:t>establishes that the Complaint was not filed within six months of AT&amp;T’s response to either the first informal complaint or the second informal complaint</w:t>
      </w:r>
      <w:r w:rsidR="00240E77" w:rsidRPr="0030131F">
        <w:t>.</w:t>
      </w:r>
    </w:p>
  </w:footnote>
  <w:footnote w:id="35">
    <w:p w:rsidR="00534934" w:rsidRPr="0030131F" w:rsidRDefault="00534934" w:rsidP="00534934">
      <w:pPr>
        <w:pStyle w:val="FootnoteText"/>
      </w:pPr>
      <w:r w:rsidRPr="0030131F">
        <w:rPr>
          <w:rStyle w:val="FootnoteReference"/>
        </w:rPr>
        <w:footnoteRef/>
      </w:r>
      <w:r w:rsidRPr="0030131F">
        <w:t xml:space="preserve"> Complaint at 9-12</w:t>
      </w:r>
      <w:r>
        <w:t>, 16-17 paras. 29-41, 49-51</w:t>
      </w:r>
      <w:r w:rsidRPr="0030131F">
        <w:t>; Reply at 19</w:t>
      </w:r>
      <w:r>
        <w:t>, para. 51.</w:t>
      </w:r>
    </w:p>
  </w:footnote>
  <w:footnote w:id="36">
    <w:p w:rsidR="00534934" w:rsidRPr="0030131F" w:rsidRDefault="00534934" w:rsidP="00534934">
      <w:pPr>
        <w:pStyle w:val="FootnoteText"/>
      </w:pPr>
      <w:r w:rsidRPr="0030131F">
        <w:rPr>
          <w:rStyle w:val="FootnoteReference"/>
        </w:rPr>
        <w:footnoteRef/>
      </w:r>
      <w:r>
        <w:t xml:space="preserve"> Complaint at 10</w:t>
      </w:r>
      <w:r w:rsidRPr="0030131F">
        <w:t>-11</w:t>
      </w:r>
      <w:r>
        <w:t>, para. 35</w:t>
      </w:r>
      <w:r w:rsidRPr="0030131F">
        <w:t>.</w:t>
      </w:r>
    </w:p>
  </w:footnote>
  <w:footnote w:id="37">
    <w:p w:rsidR="00534934" w:rsidRDefault="00534934" w:rsidP="00534934">
      <w:pPr>
        <w:pStyle w:val="FootnoteText"/>
      </w:pPr>
      <w:r>
        <w:rPr>
          <w:rStyle w:val="FootnoteReference"/>
        </w:rPr>
        <w:footnoteRef/>
      </w:r>
      <w:r>
        <w:t xml:space="preserve"> </w:t>
      </w:r>
      <w:r w:rsidR="002C53AB" w:rsidRPr="002C53AB">
        <w:rPr>
          <w:i/>
        </w:rPr>
        <w:t>Id.</w:t>
      </w:r>
      <w:r w:rsidR="002C53AB">
        <w:t xml:space="preserve"> </w:t>
      </w:r>
      <w:r>
        <w:t>at 16-17, paras. 49-51. </w:t>
      </w:r>
    </w:p>
  </w:footnote>
  <w:footnote w:id="38">
    <w:p w:rsidR="00534934" w:rsidRPr="0044531D" w:rsidRDefault="00534934" w:rsidP="00534934">
      <w:pPr>
        <w:spacing w:after="120"/>
        <w:rPr>
          <w:sz w:val="20"/>
        </w:rPr>
      </w:pPr>
      <w:r w:rsidRPr="0030131F">
        <w:rPr>
          <w:rStyle w:val="FootnoteReference"/>
        </w:rPr>
        <w:footnoteRef/>
      </w:r>
      <w:r w:rsidRPr="0030131F">
        <w:rPr>
          <w:sz w:val="20"/>
        </w:rPr>
        <w:t xml:space="preserve"> </w:t>
      </w:r>
      <w:r w:rsidRPr="0030131F">
        <w:rPr>
          <w:i/>
          <w:sz w:val="20"/>
        </w:rPr>
        <w:t>See, e.g.</w:t>
      </w:r>
      <w:r w:rsidRPr="0030131F">
        <w:rPr>
          <w:sz w:val="20"/>
        </w:rPr>
        <w:t xml:space="preserve">, </w:t>
      </w:r>
      <w:r w:rsidRPr="00C85EB2">
        <w:rPr>
          <w:i/>
          <w:color w:val="000000"/>
          <w:sz w:val="20"/>
        </w:rPr>
        <w:t>OCI</w:t>
      </w:r>
      <w:r>
        <w:rPr>
          <w:color w:val="000000"/>
          <w:sz w:val="20"/>
        </w:rPr>
        <w:t xml:space="preserve">, 20 FCC Rcd at 19788, para. 14 (“’The construction of section 415 by the Commission and the federal courts </w:t>
      </w:r>
      <w:r w:rsidR="00727EA0">
        <w:rPr>
          <w:color w:val="000000"/>
          <w:sz w:val="20"/>
        </w:rPr>
        <w:t>has been strict ...’” and</w:t>
      </w:r>
      <w:r>
        <w:rPr>
          <w:color w:val="000000"/>
          <w:sz w:val="20"/>
        </w:rPr>
        <w:t xml:space="preserve"> “the Commission has identified only one circumstance that warrants equitable tolling of section 415 -- fraudulent concealment by the defendant of the facts giving rise to the claim.</w:t>
      </w:r>
      <w:r>
        <w:rPr>
          <w:color w:val="000000"/>
          <w:sz w:val="20"/>
          <w:vertAlign w:val="superscript"/>
        </w:rPr>
        <w:t xml:space="preserve">” </w:t>
      </w:r>
      <w:r>
        <w:rPr>
          <w:sz w:val="20"/>
        </w:rPr>
        <w:t xml:space="preserve">(citations omitted);  </w:t>
      </w:r>
      <w:r w:rsidRPr="0030131F">
        <w:rPr>
          <w:i/>
          <w:color w:val="000000"/>
          <w:sz w:val="20"/>
        </w:rPr>
        <w:t>Aetna Life Insurance Company and Aetna Casualty and Surety Company v. AT&amp;T</w:t>
      </w:r>
      <w:r w:rsidRPr="0030131F">
        <w:rPr>
          <w:color w:val="000000"/>
          <w:sz w:val="20"/>
        </w:rPr>
        <w:t>, Memorandum Opinion and Order, 3 FCC Rcd 2126, para. 16 (1988) (“</w:t>
      </w:r>
      <w:r w:rsidRPr="0030131F">
        <w:rPr>
          <w:i/>
          <w:color w:val="000000"/>
          <w:sz w:val="20"/>
        </w:rPr>
        <w:t>Aetna Life</w:t>
      </w:r>
      <w:r w:rsidRPr="0030131F">
        <w:rPr>
          <w:color w:val="000000"/>
          <w:sz w:val="20"/>
        </w:rPr>
        <w:t xml:space="preserve">”); </w:t>
      </w:r>
      <w:r w:rsidRPr="0030131F">
        <w:rPr>
          <w:i/>
          <w:color w:val="000000"/>
          <w:sz w:val="20"/>
        </w:rPr>
        <w:t>see also</w:t>
      </w:r>
      <w:r w:rsidRPr="0030131F">
        <w:rPr>
          <w:color w:val="000000"/>
          <w:sz w:val="20"/>
        </w:rPr>
        <w:t xml:space="preserve"> </w:t>
      </w:r>
      <w:r w:rsidRPr="0030131F">
        <w:rPr>
          <w:i/>
          <w:color w:val="000000"/>
          <w:sz w:val="20"/>
        </w:rPr>
        <w:t>Sprint</w:t>
      </w:r>
      <w:r w:rsidRPr="0030131F">
        <w:rPr>
          <w:color w:val="000000"/>
          <w:sz w:val="20"/>
        </w:rPr>
        <w:t>, 76 F.3d at 1226 (</w:t>
      </w:r>
      <w:r>
        <w:rPr>
          <w:color w:val="000000"/>
          <w:sz w:val="20"/>
        </w:rPr>
        <w:t xml:space="preserve">stating that </w:t>
      </w:r>
      <w:r w:rsidRPr="0030131F">
        <w:rPr>
          <w:color w:val="000000"/>
          <w:sz w:val="20"/>
        </w:rPr>
        <w:t>“where the defendant fraudulently concealed material facts related to its wrongdoing,” the cause of action does not accrue until the plaintiff has “some</w:t>
      </w:r>
      <w:r>
        <w:rPr>
          <w:color w:val="000000"/>
          <w:sz w:val="20"/>
        </w:rPr>
        <w:t>thing approaching actual notice</w:t>
      </w:r>
      <w:r w:rsidRPr="0030131F">
        <w:rPr>
          <w:color w:val="000000"/>
          <w:sz w:val="20"/>
        </w:rPr>
        <w:t>”).</w:t>
      </w:r>
    </w:p>
  </w:footnote>
  <w:footnote w:id="39">
    <w:p w:rsidR="00534934" w:rsidRPr="0030131F" w:rsidRDefault="00534934" w:rsidP="00534934">
      <w:pPr>
        <w:pStyle w:val="FootnoteText"/>
      </w:pPr>
      <w:r w:rsidRPr="0030131F">
        <w:rPr>
          <w:rStyle w:val="FootnoteReference"/>
        </w:rPr>
        <w:footnoteRef/>
      </w:r>
      <w:r w:rsidRPr="0030131F">
        <w:t xml:space="preserve"> Because the Complaint is time-barred, we need not reach AT&amp;T’s defense that the Complaint’s claims were arbitrated and are barred under the doctrine of res judicata.  </w:t>
      </w:r>
      <w:r w:rsidRPr="0030131F">
        <w:rPr>
          <w:i/>
        </w:rPr>
        <w:t>See</w:t>
      </w:r>
      <w:r>
        <w:t xml:space="preserve"> Answer at 9-12, paras. 22-27</w:t>
      </w:r>
      <w:r w:rsidRPr="0030131F">
        <w:t>.</w:t>
      </w:r>
    </w:p>
  </w:footnote>
  <w:footnote w:id="40">
    <w:p w:rsidR="00534934" w:rsidRPr="00DC231E" w:rsidRDefault="00534934" w:rsidP="00534934">
      <w:pPr>
        <w:pStyle w:val="FootnoteText"/>
      </w:pPr>
      <w:r w:rsidRPr="0030131F">
        <w:rPr>
          <w:rStyle w:val="FootnoteReference"/>
        </w:rPr>
        <w:footnoteRef/>
      </w:r>
      <w:r w:rsidRPr="0030131F">
        <w:t xml:space="preserve"> </w:t>
      </w:r>
      <w:r w:rsidRPr="00501524">
        <w:rPr>
          <w:i/>
          <w:color w:val="000000"/>
        </w:rPr>
        <w:t>See, e.g.</w:t>
      </w:r>
      <w:r w:rsidRPr="00501524">
        <w:rPr>
          <w:color w:val="000000"/>
        </w:rPr>
        <w:t>,</w:t>
      </w:r>
      <w:r w:rsidRPr="00501524">
        <w:rPr>
          <w:i/>
          <w:color w:val="000000"/>
        </w:rPr>
        <w:t xml:space="preserve"> Aetna Life</w:t>
      </w:r>
      <w:r w:rsidRPr="00501524">
        <w:rPr>
          <w:color w:val="000000"/>
        </w:rPr>
        <w:t xml:space="preserve">, 3 FCC Rcd at 2130, para. 17 (“In our view, the complainants knew, or by the exercise of due diligence should have known, all of the facts they needed </w:t>
      </w:r>
      <w:r w:rsidRPr="009E6BDA">
        <w:rPr>
          <w:color w:val="000000"/>
        </w:rPr>
        <w:t xml:space="preserve">to allege a cause of action against [the Defendant] well within the statutory limitations period.  Under these circumstances, complainants cannot successfully assert fraudulent concealment to avoid </w:t>
      </w:r>
      <w:r w:rsidRPr="00DC231E">
        <w:rPr>
          <w:color w:val="000000"/>
        </w:rPr>
        <w:t>the limitations bar.”).</w:t>
      </w:r>
    </w:p>
  </w:footnote>
  <w:footnote w:id="41">
    <w:p w:rsidR="008E123E" w:rsidRPr="0030131F" w:rsidRDefault="008E123E" w:rsidP="001C5DA8">
      <w:pPr>
        <w:pStyle w:val="FootnoteText"/>
      </w:pPr>
      <w:r w:rsidRPr="0030131F">
        <w:rPr>
          <w:rStyle w:val="FootnoteReference"/>
        </w:rPr>
        <w:footnoteRef/>
      </w:r>
      <w:r w:rsidRPr="0030131F">
        <w:t xml:space="preserve"> The Complaint contains </w:t>
      </w:r>
      <w:r w:rsidR="00D97159" w:rsidRPr="0030131F">
        <w:t xml:space="preserve">several </w:t>
      </w:r>
      <w:r w:rsidRPr="0030131F">
        <w:t>requests for interrogatories, all relating to why the porting request</w:t>
      </w:r>
      <w:r w:rsidR="00D97159" w:rsidRPr="0030131F">
        <w:t>s were</w:t>
      </w:r>
      <w:r w:rsidRPr="0030131F">
        <w:t xml:space="preserve"> not successful, and who at AT&amp;T was involved either in processing the request(s) or responding to Chelmowski’s complaints.  </w:t>
      </w:r>
      <w:r w:rsidRPr="0030131F">
        <w:rPr>
          <w:i/>
        </w:rPr>
        <w:t>See</w:t>
      </w:r>
      <w:r w:rsidRPr="0030131F">
        <w:t xml:space="preserve"> Complaint at 28-30.  Because the claims in</w:t>
      </w:r>
      <w:r w:rsidR="00647FE1" w:rsidRPr="0030131F">
        <w:t xml:space="preserve"> the Complaint are time-barred</w:t>
      </w:r>
      <w:r w:rsidRPr="0030131F">
        <w:t>, we deny all requests for discovery.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AE" w:rsidRDefault="000E1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1E4" w:rsidRDefault="00A551E4" w:rsidP="00A551E4">
    <w:pPr>
      <w:pStyle w:val="Header"/>
      <w:jc w:val="center"/>
      <w:rPr>
        <w:szCs w:val="22"/>
      </w:rPr>
    </w:pPr>
  </w:p>
  <w:p w:rsidR="008E123E" w:rsidRDefault="008E123E" w:rsidP="00810B6F">
    <w:pPr>
      <w:pStyle w:val="Header"/>
      <w:rPr>
        <w:b w:val="0"/>
      </w:rPr>
    </w:pPr>
    <w:r>
      <w:tab/>
      <w:t>Federal Communications Commission</w:t>
    </w:r>
    <w:r>
      <w:tab/>
    </w:r>
    <w:r w:rsidR="00533048">
      <w:rPr>
        <w:spacing w:val="-2"/>
      </w:rPr>
      <w:t>DA 15-804</w:t>
    </w:r>
  </w:p>
  <w:p w:rsidR="008E123E" w:rsidRDefault="008E123E">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4C0DB7D" wp14:editId="55B124D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5E0BCF"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8E123E" w:rsidRDefault="008E123E">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1E4" w:rsidRDefault="00A551E4" w:rsidP="00A551E4">
    <w:pPr>
      <w:pStyle w:val="Header"/>
      <w:jc w:val="center"/>
      <w:rPr>
        <w:szCs w:val="22"/>
      </w:rPr>
    </w:pPr>
  </w:p>
  <w:p w:rsidR="008E123E" w:rsidRDefault="008E123E"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07DF7BE4" wp14:editId="23A0924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E7A7ED"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533048">
      <w:rPr>
        <w:spacing w:val="-2"/>
      </w:rPr>
      <w:t>DA 15-804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9277A3A"/>
    <w:multiLevelType w:val="hybridMultilevel"/>
    <w:tmpl w:val="B6A67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CE511D4"/>
    <w:multiLevelType w:val="hybridMultilevel"/>
    <w:tmpl w:val="39CCC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0AB5153"/>
    <w:multiLevelType w:val="hybridMultilevel"/>
    <w:tmpl w:val="3C7CD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68C5AC6"/>
    <w:multiLevelType w:val="hybridMultilevel"/>
    <w:tmpl w:val="6B5AD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7C07A0D"/>
    <w:multiLevelType w:val="hybridMultilevel"/>
    <w:tmpl w:val="B2FA9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10"/>
  </w:num>
  <w:num w:numId="8">
    <w:abstractNumId w:val="6"/>
  </w:num>
  <w:num w:numId="9">
    <w:abstractNumId w:val="7"/>
  </w:num>
  <w:num w:numId="10">
    <w:abstractNumId w:val="9"/>
  </w:num>
  <w:num w:numId="11">
    <w:abstractNumId w:val="4"/>
  </w:num>
  <w:num w:numId="12">
    <w:abstractNumId w:val="4"/>
  </w:num>
  <w:num w:numId="13">
    <w:abstractNumId w:val="8"/>
    <w:lvlOverride w:ilvl="0">
      <w:startOverride w:val="1"/>
    </w:lvlOverride>
  </w:num>
  <w:num w:numId="14">
    <w:abstractNumId w:val="8"/>
  </w:num>
  <w:num w:numId="1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EB"/>
    <w:rsid w:val="0000337A"/>
    <w:rsid w:val="00023030"/>
    <w:rsid w:val="00027DF1"/>
    <w:rsid w:val="00036039"/>
    <w:rsid w:val="00037F90"/>
    <w:rsid w:val="00062FE8"/>
    <w:rsid w:val="000657CA"/>
    <w:rsid w:val="00066559"/>
    <w:rsid w:val="000668D4"/>
    <w:rsid w:val="00080C52"/>
    <w:rsid w:val="0008608D"/>
    <w:rsid w:val="000875BF"/>
    <w:rsid w:val="00096D8C"/>
    <w:rsid w:val="000A597C"/>
    <w:rsid w:val="000B1263"/>
    <w:rsid w:val="000B5AC8"/>
    <w:rsid w:val="000B6E3D"/>
    <w:rsid w:val="000C0B65"/>
    <w:rsid w:val="000C6D13"/>
    <w:rsid w:val="000D1C0F"/>
    <w:rsid w:val="000E05FE"/>
    <w:rsid w:val="000E16AE"/>
    <w:rsid w:val="000E2D84"/>
    <w:rsid w:val="000E3D42"/>
    <w:rsid w:val="000F4AAF"/>
    <w:rsid w:val="00103A68"/>
    <w:rsid w:val="001104EF"/>
    <w:rsid w:val="001106E8"/>
    <w:rsid w:val="00113938"/>
    <w:rsid w:val="00122BD5"/>
    <w:rsid w:val="0013205D"/>
    <w:rsid w:val="00133F79"/>
    <w:rsid w:val="00135556"/>
    <w:rsid w:val="00136DE2"/>
    <w:rsid w:val="00143CC9"/>
    <w:rsid w:val="00150129"/>
    <w:rsid w:val="00153866"/>
    <w:rsid w:val="00154398"/>
    <w:rsid w:val="001552C2"/>
    <w:rsid w:val="00162744"/>
    <w:rsid w:val="001737C7"/>
    <w:rsid w:val="00181624"/>
    <w:rsid w:val="0018762E"/>
    <w:rsid w:val="00194A66"/>
    <w:rsid w:val="00197FCA"/>
    <w:rsid w:val="001A1D39"/>
    <w:rsid w:val="001A2089"/>
    <w:rsid w:val="001C5DA8"/>
    <w:rsid w:val="001D05E1"/>
    <w:rsid w:val="001D6BCF"/>
    <w:rsid w:val="001E01CA"/>
    <w:rsid w:val="001E7D63"/>
    <w:rsid w:val="001F1A18"/>
    <w:rsid w:val="002159D4"/>
    <w:rsid w:val="00216E0A"/>
    <w:rsid w:val="002203BF"/>
    <w:rsid w:val="002254CF"/>
    <w:rsid w:val="002369B7"/>
    <w:rsid w:val="00240E77"/>
    <w:rsid w:val="00242CAC"/>
    <w:rsid w:val="00244F16"/>
    <w:rsid w:val="0024584A"/>
    <w:rsid w:val="00247140"/>
    <w:rsid w:val="00247AE0"/>
    <w:rsid w:val="00247B24"/>
    <w:rsid w:val="0025610C"/>
    <w:rsid w:val="00263CD7"/>
    <w:rsid w:val="00275CF5"/>
    <w:rsid w:val="0028301F"/>
    <w:rsid w:val="00285017"/>
    <w:rsid w:val="00294094"/>
    <w:rsid w:val="002A2D2E"/>
    <w:rsid w:val="002C00E8"/>
    <w:rsid w:val="002C0F0F"/>
    <w:rsid w:val="002C220F"/>
    <w:rsid w:val="002C53AB"/>
    <w:rsid w:val="002C6227"/>
    <w:rsid w:val="002C7089"/>
    <w:rsid w:val="002D5189"/>
    <w:rsid w:val="002D5A44"/>
    <w:rsid w:val="002E26C5"/>
    <w:rsid w:val="002E6C11"/>
    <w:rsid w:val="002F4403"/>
    <w:rsid w:val="002F4DA0"/>
    <w:rsid w:val="0030131F"/>
    <w:rsid w:val="003050C4"/>
    <w:rsid w:val="00307565"/>
    <w:rsid w:val="00314BD3"/>
    <w:rsid w:val="003150A5"/>
    <w:rsid w:val="00336820"/>
    <w:rsid w:val="00343749"/>
    <w:rsid w:val="00345E10"/>
    <w:rsid w:val="00356330"/>
    <w:rsid w:val="003653BC"/>
    <w:rsid w:val="003660ED"/>
    <w:rsid w:val="00371BD7"/>
    <w:rsid w:val="00392D32"/>
    <w:rsid w:val="003953D2"/>
    <w:rsid w:val="00396322"/>
    <w:rsid w:val="003B0550"/>
    <w:rsid w:val="003B694F"/>
    <w:rsid w:val="003B6ACB"/>
    <w:rsid w:val="003C2B31"/>
    <w:rsid w:val="003E0F6A"/>
    <w:rsid w:val="003E615A"/>
    <w:rsid w:val="003F171C"/>
    <w:rsid w:val="00412FC5"/>
    <w:rsid w:val="00414EF6"/>
    <w:rsid w:val="00417182"/>
    <w:rsid w:val="00421C05"/>
    <w:rsid w:val="00422276"/>
    <w:rsid w:val="004242F1"/>
    <w:rsid w:val="00430E8F"/>
    <w:rsid w:val="00432CB9"/>
    <w:rsid w:val="00434CEC"/>
    <w:rsid w:val="0043730C"/>
    <w:rsid w:val="0044531D"/>
    <w:rsid w:val="00445A00"/>
    <w:rsid w:val="004466B4"/>
    <w:rsid w:val="00451B0F"/>
    <w:rsid w:val="00453DAD"/>
    <w:rsid w:val="00456365"/>
    <w:rsid w:val="0045650B"/>
    <w:rsid w:val="00481E06"/>
    <w:rsid w:val="004829BD"/>
    <w:rsid w:val="00486024"/>
    <w:rsid w:val="00493600"/>
    <w:rsid w:val="004C1B85"/>
    <w:rsid w:val="004C1C13"/>
    <w:rsid w:val="004C1D6F"/>
    <w:rsid w:val="004C1DD7"/>
    <w:rsid w:val="004C2EE3"/>
    <w:rsid w:val="004C55BF"/>
    <w:rsid w:val="004E0B02"/>
    <w:rsid w:val="004E4A22"/>
    <w:rsid w:val="004E5F8D"/>
    <w:rsid w:val="004F17C0"/>
    <w:rsid w:val="00500CBD"/>
    <w:rsid w:val="00501524"/>
    <w:rsid w:val="00511968"/>
    <w:rsid w:val="00511F34"/>
    <w:rsid w:val="00527AC3"/>
    <w:rsid w:val="005300F3"/>
    <w:rsid w:val="00533048"/>
    <w:rsid w:val="00534934"/>
    <w:rsid w:val="00537A79"/>
    <w:rsid w:val="00545FFD"/>
    <w:rsid w:val="0055614C"/>
    <w:rsid w:val="00557632"/>
    <w:rsid w:val="00565010"/>
    <w:rsid w:val="00565E2B"/>
    <w:rsid w:val="0057500D"/>
    <w:rsid w:val="00583966"/>
    <w:rsid w:val="00585B1F"/>
    <w:rsid w:val="005916EF"/>
    <w:rsid w:val="005942C4"/>
    <w:rsid w:val="00597615"/>
    <w:rsid w:val="005B73A1"/>
    <w:rsid w:val="005D30BD"/>
    <w:rsid w:val="005E14AF"/>
    <w:rsid w:val="005E14C2"/>
    <w:rsid w:val="005E700A"/>
    <w:rsid w:val="005F7446"/>
    <w:rsid w:val="00607BA5"/>
    <w:rsid w:val="0061180A"/>
    <w:rsid w:val="00626EB6"/>
    <w:rsid w:val="00635085"/>
    <w:rsid w:val="00636F7C"/>
    <w:rsid w:val="00642EEE"/>
    <w:rsid w:val="00647FE1"/>
    <w:rsid w:val="006515B3"/>
    <w:rsid w:val="006528BF"/>
    <w:rsid w:val="00653ED1"/>
    <w:rsid w:val="006548E4"/>
    <w:rsid w:val="00655D03"/>
    <w:rsid w:val="00662FB9"/>
    <w:rsid w:val="00675DE5"/>
    <w:rsid w:val="00683388"/>
    <w:rsid w:val="00683F84"/>
    <w:rsid w:val="00691143"/>
    <w:rsid w:val="006A004B"/>
    <w:rsid w:val="006A108D"/>
    <w:rsid w:val="006A26DF"/>
    <w:rsid w:val="006A6A81"/>
    <w:rsid w:val="006A7AAB"/>
    <w:rsid w:val="006B1BED"/>
    <w:rsid w:val="006B4BC7"/>
    <w:rsid w:val="006C5B4F"/>
    <w:rsid w:val="006F7393"/>
    <w:rsid w:val="0070224F"/>
    <w:rsid w:val="007024B0"/>
    <w:rsid w:val="007056FE"/>
    <w:rsid w:val="007115F7"/>
    <w:rsid w:val="00715F19"/>
    <w:rsid w:val="00722B39"/>
    <w:rsid w:val="00727EA0"/>
    <w:rsid w:val="00734DC6"/>
    <w:rsid w:val="007420D2"/>
    <w:rsid w:val="00751226"/>
    <w:rsid w:val="00756F81"/>
    <w:rsid w:val="007572A2"/>
    <w:rsid w:val="00767ABE"/>
    <w:rsid w:val="00772C7C"/>
    <w:rsid w:val="00785689"/>
    <w:rsid w:val="00786327"/>
    <w:rsid w:val="0079754B"/>
    <w:rsid w:val="007A1E6D"/>
    <w:rsid w:val="007A4B69"/>
    <w:rsid w:val="007A77C4"/>
    <w:rsid w:val="007B0EB2"/>
    <w:rsid w:val="007C700B"/>
    <w:rsid w:val="007C774E"/>
    <w:rsid w:val="007D6B92"/>
    <w:rsid w:val="007D7952"/>
    <w:rsid w:val="007E2BB2"/>
    <w:rsid w:val="0080490D"/>
    <w:rsid w:val="00810B6F"/>
    <w:rsid w:val="00810F15"/>
    <w:rsid w:val="00815775"/>
    <w:rsid w:val="00822CE0"/>
    <w:rsid w:val="008319E9"/>
    <w:rsid w:val="00831D1F"/>
    <w:rsid w:val="00834012"/>
    <w:rsid w:val="00841AB1"/>
    <w:rsid w:val="008526D3"/>
    <w:rsid w:val="00853707"/>
    <w:rsid w:val="00865681"/>
    <w:rsid w:val="00885A76"/>
    <w:rsid w:val="00892772"/>
    <w:rsid w:val="00893392"/>
    <w:rsid w:val="00896D96"/>
    <w:rsid w:val="008A0EC4"/>
    <w:rsid w:val="008A3984"/>
    <w:rsid w:val="008B4A61"/>
    <w:rsid w:val="008C0D3E"/>
    <w:rsid w:val="008C6257"/>
    <w:rsid w:val="008C663C"/>
    <w:rsid w:val="008C68F1"/>
    <w:rsid w:val="008D4AF7"/>
    <w:rsid w:val="008D52F1"/>
    <w:rsid w:val="008E123E"/>
    <w:rsid w:val="008E158F"/>
    <w:rsid w:val="008F21D0"/>
    <w:rsid w:val="008F2981"/>
    <w:rsid w:val="008F29D4"/>
    <w:rsid w:val="008F677D"/>
    <w:rsid w:val="008F6C7D"/>
    <w:rsid w:val="008F73EE"/>
    <w:rsid w:val="009038F5"/>
    <w:rsid w:val="00906139"/>
    <w:rsid w:val="009073A2"/>
    <w:rsid w:val="00921803"/>
    <w:rsid w:val="00926503"/>
    <w:rsid w:val="00952871"/>
    <w:rsid w:val="00954598"/>
    <w:rsid w:val="00962E1E"/>
    <w:rsid w:val="009726D8"/>
    <w:rsid w:val="009739C6"/>
    <w:rsid w:val="0097745F"/>
    <w:rsid w:val="009775C7"/>
    <w:rsid w:val="009863D7"/>
    <w:rsid w:val="00991C13"/>
    <w:rsid w:val="00994BE8"/>
    <w:rsid w:val="009B14FB"/>
    <w:rsid w:val="009C216D"/>
    <w:rsid w:val="009D1570"/>
    <w:rsid w:val="009D5AB1"/>
    <w:rsid w:val="009E14E6"/>
    <w:rsid w:val="009E6BDA"/>
    <w:rsid w:val="009F3EEB"/>
    <w:rsid w:val="009F4386"/>
    <w:rsid w:val="009F76DB"/>
    <w:rsid w:val="00A26937"/>
    <w:rsid w:val="00A32C3B"/>
    <w:rsid w:val="00A35CA0"/>
    <w:rsid w:val="00A3602C"/>
    <w:rsid w:val="00A4346A"/>
    <w:rsid w:val="00A4408F"/>
    <w:rsid w:val="00A45F4F"/>
    <w:rsid w:val="00A5299F"/>
    <w:rsid w:val="00A551E4"/>
    <w:rsid w:val="00A5606D"/>
    <w:rsid w:val="00A573BE"/>
    <w:rsid w:val="00A57986"/>
    <w:rsid w:val="00A600A9"/>
    <w:rsid w:val="00A71729"/>
    <w:rsid w:val="00A92237"/>
    <w:rsid w:val="00AA4071"/>
    <w:rsid w:val="00AA55B7"/>
    <w:rsid w:val="00AA5B9E"/>
    <w:rsid w:val="00AA5D5D"/>
    <w:rsid w:val="00AB2407"/>
    <w:rsid w:val="00AB53DF"/>
    <w:rsid w:val="00AB76D5"/>
    <w:rsid w:val="00AC1584"/>
    <w:rsid w:val="00AC243C"/>
    <w:rsid w:val="00AC3FD0"/>
    <w:rsid w:val="00AD3E86"/>
    <w:rsid w:val="00AD484B"/>
    <w:rsid w:val="00AD6410"/>
    <w:rsid w:val="00B07E5C"/>
    <w:rsid w:val="00B123C7"/>
    <w:rsid w:val="00B22249"/>
    <w:rsid w:val="00B224C9"/>
    <w:rsid w:val="00B41B38"/>
    <w:rsid w:val="00B51AD8"/>
    <w:rsid w:val="00B54FE0"/>
    <w:rsid w:val="00B5557C"/>
    <w:rsid w:val="00B811F7"/>
    <w:rsid w:val="00B90EBF"/>
    <w:rsid w:val="00B9360D"/>
    <w:rsid w:val="00BA044A"/>
    <w:rsid w:val="00BA3FD7"/>
    <w:rsid w:val="00BA5DC6"/>
    <w:rsid w:val="00BA6196"/>
    <w:rsid w:val="00BB3B3B"/>
    <w:rsid w:val="00BC6D8C"/>
    <w:rsid w:val="00BC7E23"/>
    <w:rsid w:val="00BD0A8C"/>
    <w:rsid w:val="00BE5602"/>
    <w:rsid w:val="00C07020"/>
    <w:rsid w:val="00C116D6"/>
    <w:rsid w:val="00C16598"/>
    <w:rsid w:val="00C22445"/>
    <w:rsid w:val="00C238B6"/>
    <w:rsid w:val="00C34006"/>
    <w:rsid w:val="00C426B1"/>
    <w:rsid w:val="00C4387E"/>
    <w:rsid w:val="00C43A4C"/>
    <w:rsid w:val="00C66160"/>
    <w:rsid w:val="00C721AC"/>
    <w:rsid w:val="00C72DEB"/>
    <w:rsid w:val="00C90D6A"/>
    <w:rsid w:val="00CA1880"/>
    <w:rsid w:val="00CA247E"/>
    <w:rsid w:val="00CA4CD4"/>
    <w:rsid w:val="00CB2E54"/>
    <w:rsid w:val="00CC72B6"/>
    <w:rsid w:val="00CD14F7"/>
    <w:rsid w:val="00CD5876"/>
    <w:rsid w:val="00CE5670"/>
    <w:rsid w:val="00CF6A9C"/>
    <w:rsid w:val="00D0218D"/>
    <w:rsid w:val="00D06B04"/>
    <w:rsid w:val="00D11167"/>
    <w:rsid w:val="00D25FB5"/>
    <w:rsid w:val="00D316BA"/>
    <w:rsid w:val="00D44223"/>
    <w:rsid w:val="00D506B9"/>
    <w:rsid w:val="00D570F2"/>
    <w:rsid w:val="00D61476"/>
    <w:rsid w:val="00D669C6"/>
    <w:rsid w:val="00D735D8"/>
    <w:rsid w:val="00D808BA"/>
    <w:rsid w:val="00D848EB"/>
    <w:rsid w:val="00D94D69"/>
    <w:rsid w:val="00D97159"/>
    <w:rsid w:val="00D973EA"/>
    <w:rsid w:val="00DA2529"/>
    <w:rsid w:val="00DA5372"/>
    <w:rsid w:val="00DB130A"/>
    <w:rsid w:val="00DB1B9D"/>
    <w:rsid w:val="00DB2834"/>
    <w:rsid w:val="00DB2EBB"/>
    <w:rsid w:val="00DB581B"/>
    <w:rsid w:val="00DC10A1"/>
    <w:rsid w:val="00DC1262"/>
    <w:rsid w:val="00DC231E"/>
    <w:rsid w:val="00DC655F"/>
    <w:rsid w:val="00DD0B59"/>
    <w:rsid w:val="00DD3BE5"/>
    <w:rsid w:val="00DD7EBD"/>
    <w:rsid w:val="00DE28E8"/>
    <w:rsid w:val="00DF3150"/>
    <w:rsid w:val="00DF62B6"/>
    <w:rsid w:val="00E00EFC"/>
    <w:rsid w:val="00E05657"/>
    <w:rsid w:val="00E07225"/>
    <w:rsid w:val="00E11972"/>
    <w:rsid w:val="00E16052"/>
    <w:rsid w:val="00E20673"/>
    <w:rsid w:val="00E3676D"/>
    <w:rsid w:val="00E44C17"/>
    <w:rsid w:val="00E53698"/>
    <w:rsid w:val="00E5409F"/>
    <w:rsid w:val="00E54BBB"/>
    <w:rsid w:val="00E56003"/>
    <w:rsid w:val="00E61BAF"/>
    <w:rsid w:val="00E63609"/>
    <w:rsid w:val="00E80F96"/>
    <w:rsid w:val="00E8335D"/>
    <w:rsid w:val="00E852B2"/>
    <w:rsid w:val="00E947B8"/>
    <w:rsid w:val="00E977E0"/>
    <w:rsid w:val="00EA2668"/>
    <w:rsid w:val="00EB26CF"/>
    <w:rsid w:val="00EB6247"/>
    <w:rsid w:val="00EC042D"/>
    <w:rsid w:val="00EC4325"/>
    <w:rsid w:val="00ED4938"/>
    <w:rsid w:val="00ED50D0"/>
    <w:rsid w:val="00ED77DE"/>
    <w:rsid w:val="00EE4525"/>
    <w:rsid w:val="00EE6488"/>
    <w:rsid w:val="00EF1592"/>
    <w:rsid w:val="00EF2641"/>
    <w:rsid w:val="00EF4DF5"/>
    <w:rsid w:val="00F00DED"/>
    <w:rsid w:val="00F021FA"/>
    <w:rsid w:val="00F0299A"/>
    <w:rsid w:val="00F130E0"/>
    <w:rsid w:val="00F1386C"/>
    <w:rsid w:val="00F15DB8"/>
    <w:rsid w:val="00F2144E"/>
    <w:rsid w:val="00F229AE"/>
    <w:rsid w:val="00F33BC1"/>
    <w:rsid w:val="00F35111"/>
    <w:rsid w:val="00F37A0D"/>
    <w:rsid w:val="00F44B14"/>
    <w:rsid w:val="00F44B52"/>
    <w:rsid w:val="00F45799"/>
    <w:rsid w:val="00F47F8B"/>
    <w:rsid w:val="00F53852"/>
    <w:rsid w:val="00F5442B"/>
    <w:rsid w:val="00F56B79"/>
    <w:rsid w:val="00F626E1"/>
    <w:rsid w:val="00F62E97"/>
    <w:rsid w:val="00F64209"/>
    <w:rsid w:val="00F80154"/>
    <w:rsid w:val="00F840AC"/>
    <w:rsid w:val="00F93BF5"/>
    <w:rsid w:val="00F97CDC"/>
    <w:rsid w:val="00FA2EC6"/>
    <w:rsid w:val="00FA3C13"/>
    <w:rsid w:val="00FB19DF"/>
    <w:rsid w:val="00FB5639"/>
    <w:rsid w:val="00FD7E36"/>
    <w:rsid w:val="00FF05FE"/>
    <w:rsid w:val="00FF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434CEC"/>
    <w:pPr>
      <w:widowControl/>
      <w:ind w:left="720"/>
    </w:pPr>
    <w:rPr>
      <w:rFonts w:ascii="Calibri" w:eastAsiaTheme="minorHAnsi" w:hAnsi="Calibri" w:cs="Calibri"/>
      <w:snapToGrid/>
      <w:kern w:val="0"/>
      <w:szCs w:val="22"/>
    </w:rPr>
  </w:style>
  <w:style w:type="character" w:customStyle="1" w:styleId="HeaderChar">
    <w:name w:val="Header Char"/>
    <w:link w:val="Header"/>
    <w:rsid w:val="00A551E4"/>
    <w:rPr>
      <w:b/>
      <w:snapToGrid w:val="0"/>
      <w:kern w:val="28"/>
      <w:sz w:val="22"/>
    </w:rPr>
  </w:style>
  <w:style w:type="paragraph" w:styleId="BalloonText">
    <w:name w:val="Balloon Text"/>
    <w:basedOn w:val="Normal"/>
    <w:link w:val="BalloonTextChar"/>
    <w:rsid w:val="006C5B4F"/>
    <w:rPr>
      <w:rFonts w:ascii="Tahoma" w:hAnsi="Tahoma" w:cs="Tahoma"/>
      <w:sz w:val="16"/>
      <w:szCs w:val="16"/>
    </w:rPr>
  </w:style>
  <w:style w:type="character" w:customStyle="1" w:styleId="BalloonTextChar">
    <w:name w:val="Balloon Text Char"/>
    <w:basedOn w:val="DefaultParagraphFont"/>
    <w:link w:val="BalloonText"/>
    <w:rsid w:val="006C5B4F"/>
    <w:rPr>
      <w:rFonts w:ascii="Tahoma" w:hAnsi="Tahoma" w:cs="Tahoma"/>
      <w:snapToGrid w:val="0"/>
      <w:kern w:val="28"/>
      <w:sz w:val="16"/>
      <w:szCs w:val="16"/>
    </w:rPr>
  </w:style>
  <w:style w:type="character" w:customStyle="1" w:styleId="FootnoteTextChar">
    <w:name w:val="Footnote Text Char"/>
    <w:basedOn w:val="DefaultParagraphFont"/>
    <w:link w:val="FootnoteText"/>
    <w:rsid w:val="00534934"/>
  </w:style>
  <w:style w:type="character" w:styleId="CommentReference">
    <w:name w:val="annotation reference"/>
    <w:basedOn w:val="DefaultParagraphFont"/>
    <w:semiHidden/>
    <w:unhideWhenUsed/>
    <w:rsid w:val="00E56003"/>
    <w:rPr>
      <w:sz w:val="16"/>
      <w:szCs w:val="16"/>
    </w:rPr>
  </w:style>
  <w:style w:type="paragraph" w:styleId="CommentText">
    <w:name w:val="annotation text"/>
    <w:basedOn w:val="Normal"/>
    <w:link w:val="CommentTextChar"/>
    <w:semiHidden/>
    <w:unhideWhenUsed/>
    <w:rsid w:val="00E56003"/>
    <w:rPr>
      <w:sz w:val="20"/>
    </w:rPr>
  </w:style>
  <w:style w:type="character" w:customStyle="1" w:styleId="CommentTextChar">
    <w:name w:val="Comment Text Char"/>
    <w:basedOn w:val="DefaultParagraphFont"/>
    <w:link w:val="CommentText"/>
    <w:semiHidden/>
    <w:rsid w:val="00E56003"/>
    <w:rPr>
      <w:snapToGrid w:val="0"/>
      <w:kern w:val="28"/>
    </w:rPr>
  </w:style>
  <w:style w:type="paragraph" w:styleId="CommentSubject">
    <w:name w:val="annotation subject"/>
    <w:basedOn w:val="CommentText"/>
    <w:next w:val="CommentText"/>
    <w:link w:val="CommentSubjectChar"/>
    <w:semiHidden/>
    <w:unhideWhenUsed/>
    <w:rsid w:val="00E56003"/>
    <w:rPr>
      <w:b/>
      <w:bCs/>
    </w:rPr>
  </w:style>
  <w:style w:type="character" w:customStyle="1" w:styleId="CommentSubjectChar">
    <w:name w:val="Comment Subject Char"/>
    <w:basedOn w:val="CommentTextChar"/>
    <w:link w:val="CommentSubject"/>
    <w:semiHidden/>
    <w:rsid w:val="00E56003"/>
    <w:rPr>
      <w:b/>
      <w:bCs/>
      <w:snapToGrid w:val="0"/>
      <w:kern w:val="28"/>
    </w:rPr>
  </w:style>
  <w:style w:type="paragraph" w:styleId="Revision">
    <w:name w:val="Revision"/>
    <w:hidden/>
    <w:uiPriority w:val="99"/>
    <w:semiHidden/>
    <w:rsid w:val="0011393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434CEC"/>
    <w:pPr>
      <w:widowControl/>
      <w:ind w:left="720"/>
    </w:pPr>
    <w:rPr>
      <w:rFonts w:ascii="Calibri" w:eastAsiaTheme="minorHAnsi" w:hAnsi="Calibri" w:cs="Calibri"/>
      <w:snapToGrid/>
      <w:kern w:val="0"/>
      <w:szCs w:val="22"/>
    </w:rPr>
  </w:style>
  <w:style w:type="character" w:customStyle="1" w:styleId="HeaderChar">
    <w:name w:val="Header Char"/>
    <w:link w:val="Header"/>
    <w:rsid w:val="00A551E4"/>
    <w:rPr>
      <w:b/>
      <w:snapToGrid w:val="0"/>
      <w:kern w:val="28"/>
      <w:sz w:val="22"/>
    </w:rPr>
  </w:style>
  <w:style w:type="paragraph" w:styleId="BalloonText">
    <w:name w:val="Balloon Text"/>
    <w:basedOn w:val="Normal"/>
    <w:link w:val="BalloonTextChar"/>
    <w:rsid w:val="006C5B4F"/>
    <w:rPr>
      <w:rFonts w:ascii="Tahoma" w:hAnsi="Tahoma" w:cs="Tahoma"/>
      <w:sz w:val="16"/>
      <w:szCs w:val="16"/>
    </w:rPr>
  </w:style>
  <w:style w:type="character" w:customStyle="1" w:styleId="BalloonTextChar">
    <w:name w:val="Balloon Text Char"/>
    <w:basedOn w:val="DefaultParagraphFont"/>
    <w:link w:val="BalloonText"/>
    <w:rsid w:val="006C5B4F"/>
    <w:rPr>
      <w:rFonts w:ascii="Tahoma" w:hAnsi="Tahoma" w:cs="Tahoma"/>
      <w:snapToGrid w:val="0"/>
      <w:kern w:val="28"/>
      <w:sz w:val="16"/>
      <w:szCs w:val="16"/>
    </w:rPr>
  </w:style>
  <w:style w:type="character" w:customStyle="1" w:styleId="FootnoteTextChar">
    <w:name w:val="Footnote Text Char"/>
    <w:basedOn w:val="DefaultParagraphFont"/>
    <w:link w:val="FootnoteText"/>
    <w:rsid w:val="00534934"/>
  </w:style>
  <w:style w:type="character" w:styleId="CommentReference">
    <w:name w:val="annotation reference"/>
    <w:basedOn w:val="DefaultParagraphFont"/>
    <w:semiHidden/>
    <w:unhideWhenUsed/>
    <w:rsid w:val="00E56003"/>
    <w:rPr>
      <w:sz w:val="16"/>
      <w:szCs w:val="16"/>
    </w:rPr>
  </w:style>
  <w:style w:type="paragraph" w:styleId="CommentText">
    <w:name w:val="annotation text"/>
    <w:basedOn w:val="Normal"/>
    <w:link w:val="CommentTextChar"/>
    <w:semiHidden/>
    <w:unhideWhenUsed/>
    <w:rsid w:val="00E56003"/>
    <w:rPr>
      <w:sz w:val="20"/>
    </w:rPr>
  </w:style>
  <w:style w:type="character" w:customStyle="1" w:styleId="CommentTextChar">
    <w:name w:val="Comment Text Char"/>
    <w:basedOn w:val="DefaultParagraphFont"/>
    <w:link w:val="CommentText"/>
    <w:semiHidden/>
    <w:rsid w:val="00E56003"/>
    <w:rPr>
      <w:snapToGrid w:val="0"/>
      <w:kern w:val="28"/>
    </w:rPr>
  </w:style>
  <w:style w:type="paragraph" w:styleId="CommentSubject">
    <w:name w:val="annotation subject"/>
    <w:basedOn w:val="CommentText"/>
    <w:next w:val="CommentText"/>
    <w:link w:val="CommentSubjectChar"/>
    <w:semiHidden/>
    <w:unhideWhenUsed/>
    <w:rsid w:val="00E56003"/>
    <w:rPr>
      <w:b/>
      <w:bCs/>
    </w:rPr>
  </w:style>
  <w:style w:type="character" w:customStyle="1" w:styleId="CommentSubjectChar">
    <w:name w:val="Comment Subject Char"/>
    <w:basedOn w:val="CommentTextChar"/>
    <w:link w:val="CommentSubject"/>
    <w:semiHidden/>
    <w:rsid w:val="00E56003"/>
    <w:rPr>
      <w:b/>
      <w:bCs/>
      <w:snapToGrid w:val="0"/>
      <w:kern w:val="28"/>
    </w:rPr>
  </w:style>
  <w:style w:type="paragraph" w:styleId="Revision">
    <w:name w:val="Revision"/>
    <w:hidden/>
    <w:uiPriority w:val="99"/>
    <w:semiHidden/>
    <w:rsid w:val="0011393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44109">
      <w:bodyDiv w:val="1"/>
      <w:marLeft w:val="0"/>
      <w:marRight w:val="0"/>
      <w:marTop w:val="30"/>
      <w:marBottom w:val="750"/>
      <w:divBdr>
        <w:top w:val="none" w:sz="0" w:space="0" w:color="auto"/>
        <w:left w:val="none" w:sz="0" w:space="0" w:color="auto"/>
        <w:bottom w:val="none" w:sz="0" w:space="0" w:color="auto"/>
        <w:right w:val="none" w:sz="0" w:space="0" w:color="auto"/>
      </w:divBdr>
      <w:divsChild>
        <w:div w:id="1484270242">
          <w:marLeft w:val="0"/>
          <w:marRight w:val="0"/>
          <w:marTop w:val="0"/>
          <w:marBottom w:val="0"/>
          <w:divBdr>
            <w:top w:val="none" w:sz="0" w:space="0" w:color="auto"/>
            <w:left w:val="none" w:sz="0" w:space="0" w:color="auto"/>
            <w:bottom w:val="none" w:sz="0" w:space="0" w:color="auto"/>
            <w:right w:val="none" w:sz="0" w:space="0" w:color="auto"/>
          </w:divBdr>
        </w:div>
      </w:divsChild>
    </w:div>
    <w:div w:id="15521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1372</Words>
  <Characters>7269</Characters>
  <Application>Microsoft Office Word</Application>
  <DocSecurity>0</DocSecurity>
  <Lines>140</Lines>
  <Paragraphs>45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8656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2015-07-01T13:15:00Z</cp:lastPrinted>
  <dcterms:created xsi:type="dcterms:W3CDTF">2015-07-10T15:31:00Z</dcterms:created>
  <dcterms:modified xsi:type="dcterms:W3CDTF">2015-07-10T15:31:00Z</dcterms:modified>
  <cp:category> </cp:category>
  <cp:contentStatus> </cp:contentStatus>
</cp:coreProperties>
</file>