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2F2" w:rsidRDefault="006E62F2">
      <w:pPr>
        <w:pStyle w:val="Heading1"/>
      </w:pPr>
      <w:bookmarkStart w:id="0" w:name="_GoBack"/>
      <w:bookmarkEnd w:id="0"/>
      <w:r>
        <w:t>Before the</w:t>
      </w:r>
      <w:r>
        <w:fldChar w:fldCharType="begin"/>
      </w:r>
      <w:r>
        <w:instrText xml:space="preserve">PRIVATE </w:instrText>
      </w:r>
      <w:r>
        <w:fldChar w:fldCharType="end"/>
      </w:r>
    </w:p>
    <w:p w:rsidR="006E62F2" w:rsidRDefault="006E62F2">
      <w:pPr>
        <w:pStyle w:val="Heading1"/>
      </w:pPr>
      <w:r>
        <w:t>Federal Communications Commission</w:t>
      </w:r>
    </w:p>
    <w:p w:rsidR="006E62F2" w:rsidRDefault="006E62F2">
      <w:pPr>
        <w:pStyle w:val="Heading1"/>
      </w:pPr>
      <w:r>
        <w:t>Washington, D.C. 20554</w:t>
      </w:r>
    </w:p>
    <w:p w:rsidR="006E62F2" w:rsidRDefault="006E62F2">
      <w:pPr>
        <w:tabs>
          <w:tab w:val="left" w:pos="-720"/>
        </w:tabs>
        <w:suppressAutoHyphens/>
        <w:spacing w:line="227" w:lineRule="auto"/>
        <w:jc w:val="both"/>
        <w:rPr>
          <w:spacing w:val="-2"/>
        </w:rPr>
      </w:pPr>
    </w:p>
    <w:p w:rsidR="006E62F2" w:rsidRDefault="006E62F2">
      <w:pPr>
        <w:tabs>
          <w:tab w:val="center" w:pos="4680"/>
        </w:tabs>
        <w:suppressAutoHyphens/>
        <w:spacing w:line="227" w:lineRule="auto"/>
        <w:jc w:val="both"/>
        <w:rPr>
          <w:spacing w:val="-2"/>
        </w:rPr>
      </w:pPr>
    </w:p>
    <w:p w:rsidR="00395148" w:rsidRDefault="00395148">
      <w:pPr>
        <w:tabs>
          <w:tab w:val="center" w:pos="4680"/>
        </w:tabs>
        <w:suppressAutoHyphens/>
        <w:spacing w:line="227" w:lineRule="auto"/>
        <w:jc w:val="both"/>
        <w:rPr>
          <w:spacing w:val="-2"/>
        </w:rPr>
      </w:pPr>
      <w:r>
        <w:rPr>
          <w:spacing w:val="-2"/>
        </w:rPr>
        <w:t xml:space="preserve">In the Matter of </w:t>
      </w:r>
      <w:r w:rsidR="00FF58FA">
        <w:rPr>
          <w:spacing w:val="-2"/>
        </w:rPr>
        <w:tab/>
        <w:t>)</w:t>
      </w:r>
    </w:p>
    <w:p w:rsidR="00395148" w:rsidRDefault="00FF58FA" w:rsidP="00EF7416">
      <w:pPr>
        <w:tabs>
          <w:tab w:val="center" w:pos="4680"/>
        </w:tabs>
        <w:suppressAutoHyphens/>
        <w:spacing w:line="227" w:lineRule="auto"/>
        <w:jc w:val="both"/>
        <w:rPr>
          <w:spacing w:val="-2"/>
        </w:rPr>
      </w:pPr>
      <w:r>
        <w:rPr>
          <w:spacing w:val="-2"/>
        </w:rPr>
        <w:tab/>
        <w:t>)</w:t>
      </w:r>
    </w:p>
    <w:p w:rsidR="00FF58FA" w:rsidRDefault="00395148" w:rsidP="00E844BE">
      <w:pPr>
        <w:tabs>
          <w:tab w:val="center" w:pos="4680"/>
        </w:tabs>
        <w:suppressAutoHyphens/>
        <w:spacing w:line="227" w:lineRule="auto"/>
        <w:rPr>
          <w:spacing w:val="-2"/>
        </w:rPr>
      </w:pPr>
      <w:r>
        <w:rPr>
          <w:spacing w:val="-2"/>
        </w:rPr>
        <w:t>Inmarsat Mobile Networks, Inc.</w:t>
      </w:r>
      <w:r w:rsidR="00FF58FA">
        <w:rPr>
          <w:spacing w:val="-2"/>
        </w:rPr>
        <w:tab/>
        <w:t>)</w:t>
      </w:r>
      <w:r w:rsidR="00E9346B">
        <w:rPr>
          <w:spacing w:val="-2"/>
        </w:rPr>
        <w:tab/>
      </w:r>
      <w:r w:rsidR="00FF58FA">
        <w:rPr>
          <w:spacing w:val="-2"/>
        </w:rPr>
        <w:t>IBFS File Nos. SES-LIC-20120426-00397</w:t>
      </w:r>
    </w:p>
    <w:p w:rsidR="00E9346B" w:rsidRDefault="00FF58FA" w:rsidP="00E844BE">
      <w:pPr>
        <w:tabs>
          <w:tab w:val="center" w:pos="4680"/>
        </w:tabs>
        <w:suppressAutoHyphens/>
        <w:spacing w:line="227" w:lineRule="auto"/>
        <w:rPr>
          <w:spacing w:val="-2"/>
        </w:rPr>
      </w:pPr>
      <w:r>
        <w:rPr>
          <w:spacing w:val="-2"/>
        </w:rPr>
        <w:tab/>
        <w:t>)</w:t>
      </w:r>
      <w:r>
        <w:rPr>
          <w:spacing w:val="-2"/>
        </w:rPr>
        <w:tab/>
        <w:t>SES-AMD-20120823-00781, and</w:t>
      </w:r>
    </w:p>
    <w:p w:rsidR="002C1C67" w:rsidRDefault="00FF58FA" w:rsidP="00E844BE">
      <w:pPr>
        <w:tabs>
          <w:tab w:val="center" w:pos="4680"/>
        </w:tabs>
        <w:suppressAutoHyphens/>
        <w:spacing w:line="227" w:lineRule="auto"/>
        <w:rPr>
          <w:spacing w:val="-2"/>
        </w:rPr>
      </w:pPr>
      <w:r>
        <w:rPr>
          <w:spacing w:val="-2"/>
        </w:rPr>
        <w:tab/>
        <w:t>)</w:t>
      </w:r>
      <w:r w:rsidR="002C1C67">
        <w:rPr>
          <w:spacing w:val="-2"/>
        </w:rPr>
        <w:tab/>
      </w:r>
      <w:r>
        <w:rPr>
          <w:spacing w:val="-2"/>
        </w:rPr>
        <w:t>SES-AMD-20150114-00008</w:t>
      </w:r>
    </w:p>
    <w:p w:rsidR="002C1C67" w:rsidRDefault="00395148" w:rsidP="00E844BE">
      <w:pPr>
        <w:tabs>
          <w:tab w:val="center" w:pos="4680"/>
        </w:tabs>
        <w:suppressAutoHyphens/>
        <w:spacing w:line="227" w:lineRule="auto"/>
        <w:rPr>
          <w:spacing w:val="-2"/>
        </w:rPr>
      </w:pPr>
      <w:r>
        <w:rPr>
          <w:spacing w:val="-2"/>
        </w:rPr>
        <w:t xml:space="preserve">Application to Operate a Fixed-Satellite </w:t>
      </w:r>
      <w:r w:rsidR="00FF58FA">
        <w:rPr>
          <w:spacing w:val="-2"/>
        </w:rPr>
        <w:tab/>
        <w:t>)</w:t>
      </w:r>
      <w:r w:rsidR="00B21CA1">
        <w:rPr>
          <w:spacing w:val="-2"/>
        </w:rPr>
        <w:tab/>
      </w:r>
    </w:p>
    <w:p w:rsidR="00395148" w:rsidRDefault="00395148" w:rsidP="00E844BE">
      <w:pPr>
        <w:tabs>
          <w:tab w:val="center" w:pos="4680"/>
        </w:tabs>
        <w:suppressAutoHyphens/>
        <w:spacing w:line="227" w:lineRule="auto"/>
        <w:rPr>
          <w:spacing w:val="-2"/>
        </w:rPr>
      </w:pPr>
      <w:r>
        <w:rPr>
          <w:spacing w:val="-2"/>
        </w:rPr>
        <w:t xml:space="preserve">Service Gateway Earth Station Facility in </w:t>
      </w:r>
      <w:r w:rsidR="00FF58FA">
        <w:rPr>
          <w:spacing w:val="-2"/>
        </w:rPr>
        <w:tab/>
        <w:t>)</w:t>
      </w:r>
      <w:r w:rsidR="00B21CA1">
        <w:rPr>
          <w:spacing w:val="-2"/>
        </w:rPr>
        <w:tab/>
      </w:r>
      <w:r w:rsidR="00FF58FA">
        <w:rPr>
          <w:spacing w:val="-2"/>
        </w:rPr>
        <w:t>Call Sign: E120072</w:t>
      </w:r>
      <w:r w:rsidR="002C1C67">
        <w:rPr>
          <w:spacing w:val="-2"/>
        </w:rPr>
        <w:tab/>
      </w:r>
    </w:p>
    <w:p w:rsidR="00395148" w:rsidRDefault="00395148" w:rsidP="00E844BE">
      <w:pPr>
        <w:tabs>
          <w:tab w:val="center" w:pos="4680"/>
        </w:tabs>
        <w:suppressAutoHyphens/>
        <w:spacing w:line="227" w:lineRule="auto"/>
        <w:rPr>
          <w:spacing w:val="-2"/>
        </w:rPr>
      </w:pPr>
      <w:r>
        <w:rPr>
          <w:spacing w:val="-2"/>
        </w:rPr>
        <w:t>Lino Lakes, Min</w:t>
      </w:r>
      <w:r w:rsidR="00E844BE">
        <w:rPr>
          <w:spacing w:val="-2"/>
        </w:rPr>
        <w:t>n</w:t>
      </w:r>
      <w:r>
        <w:rPr>
          <w:spacing w:val="-2"/>
        </w:rPr>
        <w:t xml:space="preserve">esota with the Inmarsat-5 F2 </w:t>
      </w:r>
      <w:r w:rsidR="00FF58FA">
        <w:rPr>
          <w:spacing w:val="-2"/>
        </w:rPr>
        <w:tab/>
        <w:t>)</w:t>
      </w:r>
      <w:r w:rsidR="00B21CA1">
        <w:rPr>
          <w:spacing w:val="-2"/>
        </w:rPr>
        <w:tab/>
      </w:r>
    </w:p>
    <w:p w:rsidR="006E62F2" w:rsidRDefault="00395148" w:rsidP="00E844BE">
      <w:pPr>
        <w:tabs>
          <w:tab w:val="center" w:pos="4680"/>
        </w:tabs>
        <w:suppressAutoHyphens/>
        <w:spacing w:line="227" w:lineRule="auto"/>
        <w:rPr>
          <w:spacing w:val="-2"/>
        </w:rPr>
      </w:pPr>
      <w:r>
        <w:rPr>
          <w:spacing w:val="-2"/>
        </w:rPr>
        <w:t>Space Station</w:t>
      </w:r>
      <w:r w:rsidR="00FF58FA">
        <w:rPr>
          <w:spacing w:val="-2"/>
        </w:rPr>
        <w:tab/>
        <w:t>)</w:t>
      </w:r>
      <w:r w:rsidR="006E62F2">
        <w:rPr>
          <w:spacing w:val="-2"/>
        </w:rPr>
        <w:tab/>
      </w:r>
      <w:r w:rsidR="002C1C67">
        <w:rPr>
          <w:spacing w:val="-2"/>
        </w:rPr>
        <w:tab/>
      </w:r>
    </w:p>
    <w:p w:rsidR="006E62F2" w:rsidRDefault="006E62F2">
      <w:pPr>
        <w:tabs>
          <w:tab w:val="center" w:pos="4680"/>
        </w:tabs>
        <w:suppressAutoHyphens/>
        <w:spacing w:line="227" w:lineRule="auto"/>
        <w:jc w:val="both"/>
        <w:rPr>
          <w:spacing w:val="-2"/>
        </w:rPr>
      </w:pPr>
      <w:r>
        <w:rPr>
          <w:spacing w:val="-2"/>
        </w:rPr>
        <w:tab/>
      </w:r>
    </w:p>
    <w:p w:rsidR="006E62F2" w:rsidRDefault="006E62F2" w:rsidP="00B21CA1">
      <w:pPr>
        <w:tabs>
          <w:tab w:val="center" w:pos="4680"/>
        </w:tabs>
        <w:suppressAutoHyphens/>
        <w:spacing w:line="227" w:lineRule="auto"/>
        <w:jc w:val="both"/>
        <w:rPr>
          <w:spacing w:val="-2"/>
        </w:rPr>
      </w:pPr>
      <w:r>
        <w:rPr>
          <w:spacing w:val="-2"/>
        </w:rPr>
        <w:tab/>
      </w:r>
    </w:p>
    <w:p w:rsidR="006E62F2" w:rsidRPr="002C1C67" w:rsidRDefault="00E9346B" w:rsidP="002C1C67">
      <w:pPr>
        <w:tabs>
          <w:tab w:val="left" w:pos="-720"/>
        </w:tabs>
        <w:suppressAutoHyphens/>
        <w:spacing w:line="227" w:lineRule="auto"/>
        <w:jc w:val="center"/>
        <w:rPr>
          <w:b/>
          <w:spacing w:val="-2"/>
        </w:rPr>
      </w:pPr>
      <w:r>
        <w:rPr>
          <w:b/>
          <w:spacing w:val="-2"/>
        </w:rPr>
        <w:t xml:space="preserve">MEMORANDUM OPINION AND </w:t>
      </w:r>
      <w:r w:rsidR="002C1C67" w:rsidRPr="002C1C67">
        <w:rPr>
          <w:b/>
          <w:spacing w:val="-2"/>
        </w:rPr>
        <w:t>ORDER</w:t>
      </w:r>
    </w:p>
    <w:p w:rsidR="006E62F2" w:rsidRPr="009819AD" w:rsidRDefault="009819AD">
      <w:pPr>
        <w:tabs>
          <w:tab w:val="left" w:pos="-720"/>
        </w:tabs>
        <w:suppressAutoHyphens/>
        <w:spacing w:line="227" w:lineRule="auto"/>
        <w:jc w:val="both"/>
        <w:rPr>
          <w:i/>
          <w:color w:val="FF0000"/>
          <w:spacing w:val="-2"/>
        </w:rPr>
      </w:pP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2C1C67" w:rsidRDefault="006E62F2" w:rsidP="002C1C67">
      <w:pPr>
        <w:tabs>
          <w:tab w:val="left" w:pos="720"/>
          <w:tab w:val="left" w:pos="5760"/>
        </w:tabs>
        <w:suppressAutoHyphens/>
        <w:spacing w:line="227" w:lineRule="auto"/>
        <w:jc w:val="both"/>
        <w:rPr>
          <w:spacing w:val="-2"/>
        </w:rPr>
      </w:pPr>
      <w:r>
        <w:rPr>
          <w:b/>
          <w:spacing w:val="-2"/>
        </w:rPr>
        <w:t xml:space="preserve">Adopted:  </w:t>
      </w:r>
      <w:r w:rsidR="00753A08">
        <w:rPr>
          <w:b/>
        </w:rPr>
        <w:t>July 14, 2015</w:t>
      </w:r>
      <w:r>
        <w:rPr>
          <w:b/>
          <w:spacing w:val="-2"/>
        </w:rPr>
        <w:tab/>
        <w:t xml:space="preserve">Released:  </w:t>
      </w:r>
      <w:r w:rsidR="00753A08">
        <w:rPr>
          <w:b/>
        </w:rPr>
        <w:t>July 14, 2015</w:t>
      </w:r>
    </w:p>
    <w:p w:rsidR="002C1C67" w:rsidRDefault="002C1C67" w:rsidP="002C1C67">
      <w:pPr>
        <w:tabs>
          <w:tab w:val="left" w:pos="720"/>
          <w:tab w:val="left" w:pos="5760"/>
        </w:tabs>
        <w:suppressAutoHyphens/>
        <w:spacing w:line="227" w:lineRule="auto"/>
        <w:jc w:val="both"/>
        <w:rPr>
          <w:spacing w:val="-2"/>
        </w:rPr>
      </w:pPr>
    </w:p>
    <w:p w:rsidR="002C1C67" w:rsidRDefault="00395148" w:rsidP="00F33D36">
      <w:pPr>
        <w:tabs>
          <w:tab w:val="left" w:pos="720"/>
          <w:tab w:val="left" w:pos="5760"/>
        </w:tabs>
        <w:suppressAutoHyphens/>
        <w:spacing w:line="227" w:lineRule="auto"/>
        <w:rPr>
          <w:spacing w:val="-2"/>
        </w:rPr>
      </w:pPr>
      <w:r>
        <w:t>By the Chief,</w:t>
      </w:r>
      <w:r w:rsidR="002C1C67">
        <w:t xml:space="preserve"> Satellite Division, </w:t>
      </w:r>
      <w:r>
        <w:t>International Bureau</w:t>
      </w:r>
      <w:r w:rsidR="00B77422">
        <w:t>:</w:t>
      </w:r>
    </w:p>
    <w:p w:rsidR="002C1C67" w:rsidRDefault="002C1C67" w:rsidP="00EF7416">
      <w:pPr>
        <w:tabs>
          <w:tab w:val="left" w:pos="720"/>
          <w:tab w:val="left" w:pos="5760"/>
        </w:tabs>
        <w:suppressAutoHyphens/>
        <w:spacing w:line="227" w:lineRule="auto"/>
        <w:rPr>
          <w:spacing w:val="-2"/>
        </w:rPr>
      </w:pPr>
    </w:p>
    <w:p w:rsidR="002C1C67" w:rsidRPr="008F2D50" w:rsidRDefault="002C1C67" w:rsidP="002C1C67">
      <w:pPr>
        <w:tabs>
          <w:tab w:val="left" w:pos="720"/>
          <w:tab w:val="left" w:pos="5760"/>
        </w:tabs>
        <w:suppressAutoHyphens/>
        <w:spacing w:line="227" w:lineRule="auto"/>
        <w:jc w:val="both"/>
        <w:rPr>
          <w:b/>
        </w:rPr>
      </w:pPr>
      <w:r w:rsidRPr="008F2D50">
        <w:rPr>
          <w:b/>
        </w:rPr>
        <w:t>I.</w:t>
      </w:r>
      <w:r w:rsidRPr="008F2D50">
        <w:rPr>
          <w:b/>
        </w:rPr>
        <w:tab/>
        <w:t>INTRODUCTION</w:t>
      </w:r>
    </w:p>
    <w:p w:rsidR="002C1C67" w:rsidRDefault="002C1C67" w:rsidP="002C1C67">
      <w:pPr>
        <w:tabs>
          <w:tab w:val="left" w:pos="720"/>
          <w:tab w:val="left" w:pos="5760"/>
        </w:tabs>
        <w:suppressAutoHyphens/>
        <w:spacing w:line="227" w:lineRule="auto"/>
        <w:jc w:val="both"/>
      </w:pPr>
    </w:p>
    <w:p w:rsidR="002C1C67" w:rsidRDefault="002C1C67" w:rsidP="00A26832">
      <w:pPr>
        <w:tabs>
          <w:tab w:val="left" w:pos="720"/>
          <w:tab w:val="left" w:pos="5760"/>
        </w:tabs>
        <w:suppressAutoHyphens/>
        <w:spacing w:line="227" w:lineRule="auto"/>
      </w:pPr>
      <w:r>
        <w:tab/>
      </w:r>
      <w:r>
        <w:fldChar w:fldCharType="begin"/>
      </w:r>
      <w:r>
        <w:instrText xml:space="preserve"> AUTONUM  </w:instrText>
      </w:r>
      <w:r>
        <w:fldChar w:fldCharType="end"/>
      </w:r>
      <w:r>
        <w:t xml:space="preserve">   </w:t>
      </w:r>
      <w:r w:rsidR="005A5950">
        <w:t>B</w:t>
      </w:r>
      <w:r>
        <w:t xml:space="preserve">y this </w:t>
      </w:r>
      <w:r w:rsidR="00E9346B">
        <w:t xml:space="preserve">Memorandum Opinion and </w:t>
      </w:r>
      <w:r>
        <w:t xml:space="preserve">Order we grant in part, and deny in part, the Petition of Iridium Satellite LLC (Iridium) to reconsider or clarify a condition </w:t>
      </w:r>
      <w:r w:rsidR="00E9346B">
        <w:t>adopted on a license</w:t>
      </w:r>
      <w:r w:rsidR="006A6A5E">
        <w:t xml:space="preserve"> granted to</w:t>
      </w:r>
      <w:r w:rsidR="00A33180">
        <w:t xml:space="preserve"> Inmarsat</w:t>
      </w:r>
      <w:r w:rsidR="006A6A5E">
        <w:t xml:space="preserve"> Mobile Networks, Inc. (Inmarsat)</w:t>
      </w:r>
      <w:r w:rsidR="00FF58FA">
        <w:t xml:space="preserve"> for operations </w:t>
      </w:r>
      <w:r w:rsidR="00A33180">
        <w:t>in the 29.1-29.25 GHz frequency band.</w:t>
      </w:r>
      <w:r w:rsidR="008F2D50">
        <w:rPr>
          <w:rStyle w:val="FootnoteReference"/>
        </w:rPr>
        <w:footnoteReference w:id="1"/>
      </w:r>
      <w:r w:rsidR="00A33180">
        <w:t xml:space="preserve">  </w:t>
      </w:r>
      <w:r w:rsidR="006A6A5E">
        <w:t xml:space="preserve">The license </w:t>
      </w:r>
      <w:r w:rsidR="008F2D50">
        <w:t>granted Inmarsat</w:t>
      </w:r>
      <w:r w:rsidR="00A33180">
        <w:t xml:space="preserve"> </w:t>
      </w:r>
      <w:r w:rsidR="00E844BE">
        <w:t xml:space="preserve">authority to construct and operate a Fixed-Satellite Service (FSS) earth station </w:t>
      </w:r>
      <w:r w:rsidR="006A6A5E">
        <w:t>at</w:t>
      </w:r>
      <w:r w:rsidR="00E844BE">
        <w:t xml:space="preserve"> Lino Lakes, Minnesota to communicate with Inmarsat’s recently launched Inmarsat-5 F2 space station, operating at </w:t>
      </w:r>
      <w:r w:rsidR="00573968">
        <w:t xml:space="preserve">the </w:t>
      </w:r>
      <w:r w:rsidR="00E844BE">
        <w:t>55</w:t>
      </w:r>
      <w:r w:rsidR="00971695">
        <w:t>°</w:t>
      </w:r>
      <w:r w:rsidR="00E844BE">
        <w:t xml:space="preserve"> W.L. </w:t>
      </w:r>
      <w:r w:rsidR="00573968">
        <w:t>orbital location</w:t>
      </w:r>
      <w:r w:rsidR="006A6A5E">
        <w:t>.</w:t>
      </w:r>
      <w:r w:rsidR="00E844BE">
        <w:t xml:space="preserve">  </w:t>
      </w:r>
      <w:r w:rsidR="00307920">
        <w:t>Iridium filed a petition for reconsideration or clarification of</w:t>
      </w:r>
      <w:r w:rsidR="006A6A5E">
        <w:t xml:space="preserve"> a</w:t>
      </w:r>
      <w:r w:rsidR="00307920">
        <w:t xml:space="preserve"> condition on </w:t>
      </w:r>
      <w:r w:rsidR="00A26832">
        <w:t>Inmarsat’s use of the 29.1-29.25 GHz frequency band</w:t>
      </w:r>
      <w:r w:rsidR="006A6A5E">
        <w:t xml:space="preserve">, in which Iridium also </w:t>
      </w:r>
      <w:r w:rsidR="00FF58FA">
        <w:t xml:space="preserve">operates. </w:t>
      </w:r>
      <w:r w:rsidR="00466464">
        <w:t xml:space="preserve"> </w:t>
      </w:r>
      <w:r w:rsidR="00FF58FA">
        <w:t xml:space="preserve">For </w:t>
      </w:r>
      <w:r w:rsidR="00A33180">
        <w:t xml:space="preserve">the reasons discussed below, we grant Iridium’s petition in part, and deny it in part. </w:t>
      </w:r>
    </w:p>
    <w:p w:rsidR="00A26832" w:rsidRDefault="00A26832" w:rsidP="00A26832">
      <w:pPr>
        <w:tabs>
          <w:tab w:val="left" w:pos="720"/>
          <w:tab w:val="left" w:pos="5760"/>
        </w:tabs>
        <w:suppressAutoHyphens/>
        <w:spacing w:line="227" w:lineRule="auto"/>
      </w:pPr>
    </w:p>
    <w:p w:rsidR="00A26832" w:rsidRDefault="00A26832" w:rsidP="00A26832">
      <w:pPr>
        <w:tabs>
          <w:tab w:val="left" w:pos="720"/>
          <w:tab w:val="left" w:pos="5760"/>
        </w:tabs>
        <w:suppressAutoHyphens/>
        <w:spacing w:line="227" w:lineRule="auto"/>
        <w:rPr>
          <w:b/>
        </w:rPr>
      </w:pPr>
      <w:r w:rsidRPr="00A26832">
        <w:rPr>
          <w:b/>
        </w:rPr>
        <w:t>II.</w:t>
      </w:r>
      <w:r w:rsidR="00394AE0" w:rsidRPr="00DF2608">
        <w:rPr>
          <w:b/>
        </w:rPr>
        <w:tab/>
        <w:t>DISCUSSION</w:t>
      </w:r>
    </w:p>
    <w:p w:rsidR="005312F3" w:rsidRDefault="005312F3" w:rsidP="00A26832">
      <w:pPr>
        <w:tabs>
          <w:tab w:val="left" w:pos="720"/>
          <w:tab w:val="left" w:pos="5760"/>
        </w:tabs>
        <w:suppressAutoHyphens/>
        <w:spacing w:line="227" w:lineRule="auto"/>
        <w:rPr>
          <w:b/>
        </w:rPr>
      </w:pPr>
    </w:p>
    <w:p w:rsidR="00D31AF1" w:rsidRDefault="00D31AF1" w:rsidP="00D31AF1">
      <w:pPr>
        <w:tabs>
          <w:tab w:val="left" w:pos="720"/>
          <w:tab w:val="left" w:pos="5760"/>
        </w:tabs>
        <w:suppressAutoHyphens/>
        <w:spacing w:line="227" w:lineRule="auto"/>
      </w:pPr>
      <w:r>
        <w:tab/>
      </w:r>
      <w:r>
        <w:fldChar w:fldCharType="begin"/>
      </w:r>
      <w:r>
        <w:instrText xml:space="preserve"> AUTONUM  </w:instrText>
      </w:r>
      <w:r>
        <w:fldChar w:fldCharType="end"/>
      </w:r>
      <w:r>
        <w:t xml:space="preserve">  The Inmarsat License Order, in </w:t>
      </w:r>
      <w:r w:rsidR="00055C2D">
        <w:t xml:space="preserve">response to concerns raised by </w:t>
      </w:r>
      <w:r w:rsidR="00CB0C85">
        <w:t>Iridium</w:t>
      </w:r>
      <w:r w:rsidR="00394AE0">
        <w:t xml:space="preserve"> about the impact of </w:t>
      </w:r>
      <w:r w:rsidR="005A2291">
        <w:t xml:space="preserve">Inmarsat’s proposed </w:t>
      </w:r>
      <w:r w:rsidR="00394AE0">
        <w:t>operations on the feeder</w:t>
      </w:r>
      <w:r>
        <w:t xml:space="preserve"> l</w:t>
      </w:r>
      <w:r w:rsidR="00394AE0">
        <w:t xml:space="preserve">inks </w:t>
      </w:r>
      <w:r w:rsidR="005A2291">
        <w:t>Iridium</w:t>
      </w:r>
      <w:r w:rsidR="00394AE0">
        <w:t xml:space="preserve"> uses for its mobile satellite service (MSS) operations</w:t>
      </w:r>
      <w:r w:rsidR="00CB0C85">
        <w:t xml:space="preserve">, </w:t>
      </w:r>
      <w:r>
        <w:t>includes the condition that:</w:t>
      </w:r>
    </w:p>
    <w:p w:rsidR="00D31AF1" w:rsidRDefault="00D31AF1" w:rsidP="00FF58FA">
      <w:pPr>
        <w:ind w:left="720"/>
      </w:pPr>
    </w:p>
    <w:p w:rsidR="00D31AF1" w:rsidRDefault="00394AE0" w:rsidP="00FF58FA">
      <w:pPr>
        <w:ind w:left="720"/>
        <w:rPr>
          <w:szCs w:val="22"/>
        </w:rPr>
      </w:pPr>
      <w:r w:rsidRPr="00055C2D">
        <w:rPr>
          <w:szCs w:val="22"/>
        </w:rPr>
        <w:t xml:space="preserve">Inmarsat’s operations in the 29.1-29.25 GHz band shall be on a non-interference basis </w:t>
      </w:r>
    </w:p>
    <w:p w:rsidR="00394AE0" w:rsidRDefault="00394AE0" w:rsidP="00FF58FA">
      <w:pPr>
        <w:ind w:left="720"/>
        <w:rPr>
          <w:szCs w:val="22"/>
        </w:rPr>
      </w:pPr>
      <w:r w:rsidRPr="00055C2D">
        <w:rPr>
          <w:szCs w:val="22"/>
        </w:rPr>
        <w:t>to</w:t>
      </w:r>
      <w:r w:rsidR="006E196C">
        <w:rPr>
          <w:szCs w:val="22"/>
        </w:rPr>
        <w:t xml:space="preserve"> </w:t>
      </w:r>
      <w:r w:rsidRPr="00055C2D">
        <w:rPr>
          <w:szCs w:val="22"/>
        </w:rPr>
        <w:t>MSS feeder</w:t>
      </w:r>
      <w:r w:rsidR="00362AC9">
        <w:rPr>
          <w:szCs w:val="22"/>
        </w:rPr>
        <w:t xml:space="preserve"> </w:t>
      </w:r>
      <w:r w:rsidRPr="00055C2D">
        <w:rPr>
          <w:szCs w:val="22"/>
        </w:rPr>
        <w:t xml:space="preserve">link </w:t>
      </w:r>
      <w:r w:rsidR="00FF58FA">
        <w:rPr>
          <w:szCs w:val="22"/>
        </w:rPr>
        <w:t>…</w:t>
      </w:r>
      <w:r w:rsidRPr="00055C2D">
        <w:rPr>
          <w:szCs w:val="22"/>
        </w:rPr>
        <w:t xml:space="preserve"> operations.  Inmarsat must cease operations in the event of any interference into</w:t>
      </w:r>
      <w:r w:rsidR="00D31AF1">
        <w:rPr>
          <w:szCs w:val="22"/>
        </w:rPr>
        <w:t xml:space="preserve"> </w:t>
      </w:r>
      <w:r w:rsidR="00FF58FA">
        <w:rPr>
          <w:szCs w:val="22"/>
        </w:rPr>
        <w:t>…</w:t>
      </w:r>
      <w:r>
        <w:rPr>
          <w:szCs w:val="22"/>
        </w:rPr>
        <w:t xml:space="preserve"> </w:t>
      </w:r>
      <w:r w:rsidRPr="00055C2D">
        <w:rPr>
          <w:szCs w:val="22"/>
        </w:rPr>
        <w:t>MSS feeder link operations.  In addition, Inmarsat may not claim interference protection from</w:t>
      </w:r>
      <w:r>
        <w:rPr>
          <w:szCs w:val="22"/>
        </w:rPr>
        <w:t xml:space="preserve"> </w:t>
      </w:r>
      <w:r w:rsidR="00FF58FA">
        <w:rPr>
          <w:szCs w:val="22"/>
        </w:rPr>
        <w:t>…</w:t>
      </w:r>
      <w:r w:rsidRPr="00055C2D">
        <w:rPr>
          <w:szCs w:val="22"/>
        </w:rPr>
        <w:t xml:space="preserve"> MSS feeder link operations in this frequency band.</w:t>
      </w:r>
      <w:r>
        <w:rPr>
          <w:rStyle w:val="FootnoteReference"/>
          <w:szCs w:val="22"/>
          <w:shd w:val="clear" w:color="auto" w:fill="FFFFFF"/>
        </w:rPr>
        <w:footnoteReference w:id="2"/>
      </w:r>
    </w:p>
    <w:p w:rsidR="00B97057" w:rsidRPr="00055C2D" w:rsidRDefault="00B97057" w:rsidP="00FF58FA">
      <w:pPr>
        <w:ind w:left="720"/>
        <w:rPr>
          <w:szCs w:val="22"/>
        </w:rPr>
      </w:pPr>
    </w:p>
    <w:p w:rsidR="00DF2608" w:rsidRDefault="002362CB" w:rsidP="00A17787">
      <w:pPr>
        <w:tabs>
          <w:tab w:val="left" w:pos="720"/>
          <w:tab w:val="left" w:pos="5760"/>
        </w:tabs>
        <w:suppressAutoHyphens/>
        <w:spacing w:line="227" w:lineRule="auto"/>
        <w:rPr>
          <w:color w:val="000000"/>
          <w:szCs w:val="22"/>
          <w:shd w:val="clear" w:color="auto" w:fill="FFFFFF"/>
        </w:rPr>
      </w:pPr>
      <w:bookmarkStart w:id="1" w:name="SR;2023"/>
      <w:bookmarkStart w:id="2" w:name="SR;2024"/>
      <w:bookmarkStart w:id="3" w:name="SR;2025"/>
      <w:bookmarkStart w:id="4" w:name="SR;2026"/>
      <w:bookmarkStart w:id="5" w:name="SR;2042"/>
      <w:bookmarkStart w:id="6" w:name="SR;2043"/>
      <w:bookmarkEnd w:id="1"/>
      <w:bookmarkEnd w:id="2"/>
      <w:bookmarkEnd w:id="3"/>
      <w:bookmarkEnd w:id="4"/>
      <w:bookmarkEnd w:id="5"/>
      <w:bookmarkEnd w:id="6"/>
      <w:r>
        <w:rPr>
          <w:color w:val="000000"/>
          <w:szCs w:val="22"/>
          <w:shd w:val="clear" w:color="auto" w:fill="FFFFFF"/>
        </w:rPr>
        <w:tab/>
      </w:r>
      <w:r>
        <w:rPr>
          <w:color w:val="000000"/>
          <w:szCs w:val="22"/>
          <w:shd w:val="clear" w:color="auto" w:fill="FFFFFF"/>
        </w:rPr>
        <w:fldChar w:fldCharType="begin"/>
      </w:r>
      <w:r>
        <w:rPr>
          <w:color w:val="000000"/>
          <w:szCs w:val="22"/>
          <w:shd w:val="clear" w:color="auto" w:fill="FFFFFF"/>
        </w:rPr>
        <w:instrText xml:space="preserve"> AUTONUM  </w:instrText>
      </w:r>
      <w:r>
        <w:rPr>
          <w:color w:val="000000"/>
          <w:szCs w:val="22"/>
          <w:shd w:val="clear" w:color="auto" w:fill="FFFFFF"/>
        </w:rPr>
        <w:fldChar w:fldCharType="end"/>
      </w:r>
      <w:r>
        <w:rPr>
          <w:color w:val="000000"/>
          <w:szCs w:val="22"/>
          <w:shd w:val="clear" w:color="auto" w:fill="FFFFFF"/>
        </w:rPr>
        <w:t xml:space="preserve">  Iridium</w:t>
      </w:r>
      <w:r w:rsidR="00E8099F">
        <w:rPr>
          <w:color w:val="000000"/>
          <w:szCs w:val="22"/>
          <w:shd w:val="clear" w:color="auto" w:fill="FFFFFF"/>
        </w:rPr>
        <w:t>’s petition seeks reconsideration or clarification of th</w:t>
      </w:r>
      <w:r w:rsidR="00394AE0">
        <w:rPr>
          <w:color w:val="000000"/>
          <w:szCs w:val="22"/>
          <w:shd w:val="clear" w:color="auto" w:fill="FFFFFF"/>
        </w:rPr>
        <w:t>is</w:t>
      </w:r>
      <w:r w:rsidR="00E8099F">
        <w:rPr>
          <w:color w:val="000000"/>
          <w:szCs w:val="22"/>
          <w:shd w:val="clear" w:color="auto" w:fill="FFFFFF"/>
        </w:rPr>
        <w:t xml:space="preserve"> </w:t>
      </w:r>
      <w:r w:rsidR="001C4B9A">
        <w:rPr>
          <w:color w:val="000000"/>
          <w:szCs w:val="22"/>
          <w:shd w:val="clear" w:color="auto" w:fill="FFFFFF"/>
        </w:rPr>
        <w:t>condition</w:t>
      </w:r>
      <w:r w:rsidR="00394AE0">
        <w:rPr>
          <w:color w:val="000000"/>
          <w:szCs w:val="22"/>
          <w:shd w:val="clear" w:color="auto" w:fill="FFFFFF"/>
        </w:rPr>
        <w:t>.</w:t>
      </w:r>
      <w:r w:rsidR="006242E7">
        <w:rPr>
          <w:rStyle w:val="FootnoteReference"/>
          <w:szCs w:val="22"/>
          <w:shd w:val="clear" w:color="auto" w:fill="FFFFFF"/>
        </w:rPr>
        <w:footnoteReference w:id="3"/>
      </w:r>
      <w:r>
        <w:rPr>
          <w:color w:val="000000"/>
          <w:szCs w:val="22"/>
          <w:shd w:val="clear" w:color="auto" w:fill="FFFFFF"/>
        </w:rPr>
        <w:t xml:space="preserve">  </w:t>
      </w:r>
      <w:r w:rsidR="00201B19">
        <w:rPr>
          <w:color w:val="000000"/>
          <w:szCs w:val="22"/>
          <w:shd w:val="clear" w:color="auto" w:fill="FFFFFF"/>
        </w:rPr>
        <w:t xml:space="preserve">First, </w:t>
      </w:r>
      <w:r>
        <w:rPr>
          <w:color w:val="000000"/>
          <w:szCs w:val="22"/>
          <w:shd w:val="clear" w:color="auto" w:fill="FFFFFF"/>
        </w:rPr>
        <w:t>Iridium</w:t>
      </w:r>
      <w:r w:rsidR="00394AE0">
        <w:rPr>
          <w:color w:val="000000"/>
          <w:szCs w:val="22"/>
          <w:shd w:val="clear" w:color="auto" w:fill="FFFFFF"/>
        </w:rPr>
        <w:t xml:space="preserve"> seeks </w:t>
      </w:r>
      <w:r w:rsidR="00394AE0">
        <w:rPr>
          <w:color w:val="000000"/>
          <w:szCs w:val="22"/>
          <w:shd w:val="clear" w:color="auto" w:fill="FFFFFF"/>
        </w:rPr>
        <w:lastRenderedPageBreak/>
        <w:t>clarification of whether the condition applies only with respect to</w:t>
      </w:r>
      <w:r w:rsidR="009E1B1F">
        <w:rPr>
          <w:color w:val="000000"/>
          <w:szCs w:val="22"/>
          <w:shd w:val="clear" w:color="auto" w:fill="FFFFFF"/>
        </w:rPr>
        <w:t xml:space="preserve"> </w:t>
      </w:r>
      <w:r w:rsidR="006242E7">
        <w:rPr>
          <w:color w:val="000000"/>
          <w:szCs w:val="22"/>
          <w:shd w:val="clear" w:color="auto" w:fill="FFFFFF"/>
        </w:rPr>
        <w:t xml:space="preserve">MSS feeder links already licensed, </w:t>
      </w:r>
      <w:r w:rsidR="00394AE0">
        <w:rPr>
          <w:color w:val="000000"/>
          <w:szCs w:val="22"/>
          <w:shd w:val="clear" w:color="auto" w:fill="FFFFFF"/>
        </w:rPr>
        <w:t>or whether, as Iridium believes it should, also</w:t>
      </w:r>
      <w:r w:rsidR="006242E7">
        <w:rPr>
          <w:color w:val="000000"/>
          <w:szCs w:val="22"/>
          <w:shd w:val="clear" w:color="auto" w:fill="FFFFFF"/>
        </w:rPr>
        <w:t xml:space="preserve"> </w:t>
      </w:r>
      <w:r w:rsidR="00394AE0">
        <w:rPr>
          <w:color w:val="000000"/>
          <w:szCs w:val="22"/>
          <w:shd w:val="clear" w:color="auto" w:fill="FFFFFF"/>
        </w:rPr>
        <w:t xml:space="preserve">with respect to </w:t>
      </w:r>
      <w:r w:rsidR="006242E7">
        <w:rPr>
          <w:color w:val="000000"/>
          <w:szCs w:val="22"/>
          <w:shd w:val="clear" w:color="auto" w:fill="FFFFFF"/>
        </w:rPr>
        <w:t>MSS feeder links that may be licensed in the future.</w:t>
      </w:r>
      <w:r w:rsidR="006242E7">
        <w:rPr>
          <w:rStyle w:val="FootnoteReference"/>
          <w:szCs w:val="22"/>
          <w:shd w:val="clear" w:color="auto" w:fill="FFFFFF"/>
        </w:rPr>
        <w:footnoteReference w:id="4"/>
      </w:r>
      <w:r w:rsidR="006242E7">
        <w:rPr>
          <w:color w:val="000000"/>
          <w:szCs w:val="22"/>
          <w:shd w:val="clear" w:color="auto" w:fill="FFFFFF"/>
        </w:rPr>
        <w:t xml:space="preserve">  </w:t>
      </w:r>
      <w:r w:rsidR="00394AE0">
        <w:rPr>
          <w:color w:val="000000"/>
          <w:szCs w:val="22"/>
          <w:shd w:val="clear" w:color="auto" w:fill="FFFFFF"/>
        </w:rPr>
        <w:t xml:space="preserve">Second, Iridium asks for clarification that this condition applies to the receivers on the Inmarsat-5 F2 space station, i.e., that Inmarsat cannot claim protection for any reception of signals in the 29.1-29.25 </w:t>
      </w:r>
      <w:r w:rsidR="00C431F4">
        <w:rPr>
          <w:color w:val="000000"/>
          <w:szCs w:val="22"/>
          <w:shd w:val="clear" w:color="auto" w:fill="FFFFFF"/>
        </w:rPr>
        <w:t>GHz</w:t>
      </w:r>
      <w:r w:rsidR="00394AE0">
        <w:rPr>
          <w:color w:val="000000"/>
          <w:szCs w:val="22"/>
          <w:shd w:val="clear" w:color="auto" w:fill="FFFFFF"/>
        </w:rPr>
        <w:t xml:space="preserve"> frequency band</w:t>
      </w:r>
      <w:r w:rsidR="000B7DA5">
        <w:rPr>
          <w:color w:val="000000"/>
          <w:szCs w:val="22"/>
          <w:shd w:val="clear" w:color="auto" w:fill="FFFFFF"/>
        </w:rPr>
        <w:t xml:space="preserve"> by the Inmarsat</w:t>
      </w:r>
      <w:r w:rsidR="009C0241">
        <w:rPr>
          <w:color w:val="000000"/>
          <w:szCs w:val="22"/>
          <w:shd w:val="clear" w:color="auto" w:fill="FFFFFF"/>
        </w:rPr>
        <w:t>-</w:t>
      </w:r>
      <w:r w:rsidR="000B7DA5">
        <w:rPr>
          <w:color w:val="000000"/>
          <w:szCs w:val="22"/>
          <w:shd w:val="clear" w:color="auto" w:fill="FFFFFF"/>
        </w:rPr>
        <w:t>5</w:t>
      </w:r>
      <w:r w:rsidR="009C0241">
        <w:rPr>
          <w:color w:val="000000"/>
          <w:szCs w:val="22"/>
          <w:shd w:val="clear" w:color="auto" w:fill="FFFFFF"/>
        </w:rPr>
        <w:t xml:space="preserve"> </w:t>
      </w:r>
      <w:r w:rsidR="000B7DA5">
        <w:rPr>
          <w:color w:val="000000"/>
          <w:szCs w:val="22"/>
          <w:shd w:val="clear" w:color="auto" w:fill="FFFFFF"/>
        </w:rPr>
        <w:t>F2 satellite</w:t>
      </w:r>
      <w:r w:rsidR="00394AE0">
        <w:rPr>
          <w:color w:val="000000"/>
          <w:szCs w:val="22"/>
          <w:shd w:val="clear" w:color="auto" w:fill="FFFFFF"/>
        </w:rPr>
        <w:t>.</w:t>
      </w:r>
      <w:r w:rsidR="00394AE0">
        <w:rPr>
          <w:rStyle w:val="FootnoteReference"/>
          <w:szCs w:val="22"/>
          <w:shd w:val="clear" w:color="auto" w:fill="FFFFFF"/>
        </w:rPr>
        <w:footnoteReference w:id="5"/>
      </w:r>
    </w:p>
    <w:p w:rsidR="00FF58FA" w:rsidRDefault="00FF58FA" w:rsidP="00A17787">
      <w:pPr>
        <w:tabs>
          <w:tab w:val="left" w:pos="720"/>
          <w:tab w:val="left" w:pos="5760"/>
        </w:tabs>
        <w:suppressAutoHyphens/>
        <w:spacing w:line="227" w:lineRule="auto"/>
        <w:rPr>
          <w:color w:val="000000"/>
          <w:szCs w:val="22"/>
          <w:shd w:val="clear" w:color="auto" w:fill="FFFFFF"/>
        </w:rPr>
      </w:pPr>
    </w:p>
    <w:p w:rsidR="00B44793" w:rsidRDefault="00DF2608" w:rsidP="00B44793">
      <w:pPr>
        <w:tabs>
          <w:tab w:val="left" w:pos="720"/>
          <w:tab w:val="left" w:pos="5760"/>
        </w:tabs>
        <w:suppressAutoHyphens/>
        <w:spacing w:line="227" w:lineRule="auto"/>
        <w:rPr>
          <w:color w:val="000000"/>
          <w:szCs w:val="22"/>
          <w:shd w:val="clear" w:color="auto" w:fill="FFFFFF"/>
        </w:rPr>
      </w:pPr>
      <w:r>
        <w:rPr>
          <w:color w:val="000000"/>
          <w:szCs w:val="22"/>
          <w:shd w:val="clear" w:color="auto" w:fill="FFFFFF"/>
        </w:rPr>
        <w:tab/>
      </w:r>
      <w:r w:rsidR="00E8099F">
        <w:rPr>
          <w:color w:val="000000"/>
          <w:szCs w:val="22"/>
          <w:shd w:val="clear" w:color="auto" w:fill="FFFFFF"/>
        </w:rPr>
        <w:fldChar w:fldCharType="begin"/>
      </w:r>
      <w:r w:rsidR="00E8099F">
        <w:rPr>
          <w:color w:val="000000"/>
          <w:szCs w:val="22"/>
          <w:shd w:val="clear" w:color="auto" w:fill="FFFFFF"/>
        </w:rPr>
        <w:instrText xml:space="preserve"> AUTONUM  </w:instrText>
      </w:r>
      <w:r w:rsidR="00E8099F">
        <w:rPr>
          <w:color w:val="000000"/>
          <w:szCs w:val="22"/>
          <w:shd w:val="clear" w:color="auto" w:fill="FFFFFF"/>
        </w:rPr>
        <w:fldChar w:fldCharType="end"/>
      </w:r>
      <w:r w:rsidR="00E8099F">
        <w:rPr>
          <w:color w:val="000000"/>
          <w:szCs w:val="22"/>
          <w:shd w:val="clear" w:color="auto" w:fill="FFFFFF"/>
        </w:rPr>
        <w:t xml:space="preserve">  </w:t>
      </w:r>
      <w:r>
        <w:rPr>
          <w:color w:val="000000"/>
          <w:szCs w:val="22"/>
          <w:shd w:val="clear" w:color="auto" w:fill="FFFFFF"/>
        </w:rPr>
        <w:t>Inmarsat opposed the petition as “unwarranted and unnecessary.”</w:t>
      </w:r>
      <w:r w:rsidR="00E8099F">
        <w:rPr>
          <w:rStyle w:val="FootnoteReference"/>
          <w:szCs w:val="22"/>
          <w:shd w:val="clear" w:color="auto" w:fill="FFFFFF"/>
        </w:rPr>
        <w:footnoteReference w:id="6"/>
      </w:r>
      <w:r w:rsidR="00E8099F">
        <w:rPr>
          <w:color w:val="000000"/>
          <w:szCs w:val="22"/>
          <w:shd w:val="clear" w:color="auto" w:fill="FFFFFF"/>
        </w:rPr>
        <w:t xml:space="preserve">  Inmarsat states that its operations in the 29.1-29.25 GHz band are governed by a coordination agreement between the parties, and that the Lino Lakes operations will be within the terms of that coordination.  Expanding the condition to cover future feeder link stations, Inmarsat states, could change the terms of the coordination and expand Iridium’s rights under the agreement.</w:t>
      </w:r>
      <w:r w:rsidR="00E8099F">
        <w:rPr>
          <w:rStyle w:val="FootnoteReference"/>
          <w:szCs w:val="22"/>
          <w:shd w:val="clear" w:color="auto" w:fill="FFFFFF"/>
        </w:rPr>
        <w:footnoteReference w:id="7"/>
      </w:r>
      <w:r w:rsidR="007709C4">
        <w:rPr>
          <w:color w:val="000000"/>
          <w:szCs w:val="22"/>
          <w:shd w:val="clear" w:color="auto" w:fill="FFFFFF"/>
        </w:rPr>
        <w:t xml:space="preserve">  </w:t>
      </w:r>
      <w:r w:rsidR="00B44793">
        <w:rPr>
          <w:color w:val="000000"/>
          <w:szCs w:val="22"/>
          <w:shd w:val="clear" w:color="auto" w:fill="FFFFFF"/>
        </w:rPr>
        <w:t>Iridium replied to Inmarsat’s opposition stating, in sum, that Inmarsat has mischaracterized the terms of the coordination agreement between the parties.</w:t>
      </w:r>
      <w:r w:rsidR="00B44793">
        <w:rPr>
          <w:rStyle w:val="FootnoteReference"/>
          <w:szCs w:val="22"/>
          <w:shd w:val="clear" w:color="auto" w:fill="FFFFFF"/>
        </w:rPr>
        <w:footnoteReference w:id="8"/>
      </w:r>
      <w:r w:rsidR="00B44793">
        <w:rPr>
          <w:color w:val="000000"/>
          <w:szCs w:val="22"/>
          <w:shd w:val="clear" w:color="auto" w:fill="FFFFFF"/>
        </w:rPr>
        <w:t xml:space="preserve"> </w:t>
      </w:r>
    </w:p>
    <w:p w:rsidR="0048036B" w:rsidRDefault="0048036B" w:rsidP="00A17787">
      <w:pPr>
        <w:tabs>
          <w:tab w:val="left" w:pos="720"/>
          <w:tab w:val="left" w:pos="5760"/>
        </w:tabs>
        <w:suppressAutoHyphens/>
        <w:spacing w:line="227" w:lineRule="auto"/>
        <w:rPr>
          <w:color w:val="000000"/>
          <w:szCs w:val="22"/>
          <w:shd w:val="clear" w:color="auto" w:fill="FFFFFF"/>
        </w:rPr>
      </w:pPr>
    </w:p>
    <w:p w:rsidR="00D540F3" w:rsidRDefault="00F30CC0" w:rsidP="00A17787">
      <w:pPr>
        <w:tabs>
          <w:tab w:val="left" w:pos="720"/>
          <w:tab w:val="left" w:pos="5760"/>
        </w:tabs>
        <w:suppressAutoHyphens/>
        <w:spacing w:line="227" w:lineRule="auto"/>
        <w:rPr>
          <w:color w:val="000000"/>
          <w:szCs w:val="22"/>
          <w:shd w:val="clear" w:color="auto" w:fill="FFFFFF"/>
        </w:rPr>
      </w:pPr>
      <w:r>
        <w:rPr>
          <w:color w:val="000000"/>
          <w:szCs w:val="22"/>
          <w:shd w:val="clear" w:color="auto" w:fill="FFFFFF"/>
        </w:rPr>
        <w:tab/>
      </w:r>
      <w:r>
        <w:rPr>
          <w:color w:val="000000"/>
          <w:szCs w:val="22"/>
          <w:shd w:val="clear" w:color="auto" w:fill="FFFFFF"/>
        </w:rPr>
        <w:fldChar w:fldCharType="begin"/>
      </w:r>
      <w:r>
        <w:rPr>
          <w:color w:val="000000"/>
          <w:szCs w:val="22"/>
          <w:shd w:val="clear" w:color="auto" w:fill="FFFFFF"/>
        </w:rPr>
        <w:instrText xml:space="preserve"> AUTONUM  </w:instrText>
      </w:r>
      <w:r>
        <w:rPr>
          <w:color w:val="000000"/>
          <w:szCs w:val="22"/>
          <w:shd w:val="clear" w:color="auto" w:fill="FFFFFF"/>
        </w:rPr>
        <w:fldChar w:fldCharType="end"/>
      </w:r>
      <w:r w:rsidR="00C43B1B">
        <w:rPr>
          <w:color w:val="000000"/>
          <w:szCs w:val="22"/>
          <w:shd w:val="clear" w:color="auto" w:fill="FFFFFF"/>
        </w:rPr>
        <w:t xml:space="preserve">  We grant Iridium’s </w:t>
      </w:r>
      <w:r w:rsidR="00EB0172">
        <w:rPr>
          <w:color w:val="000000"/>
          <w:szCs w:val="22"/>
          <w:shd w:val="clear" w:color="auto" w:fill="FFFFFF"/>
        </w:rPr>
        <w:t>petition</w:t>
      </w:r>
      <w:r w:rsidR="000B7DA5">
        <w:rPr>
          <w:color w:val="000000"/>
          <w:szCs w:val="22"/>
          <w:shd w:val="clear" w:color="auto" w:fill="FFFFFF"/>
        </w:rPr>
        <w:t xml:space="preserve"> insofar as it requests clarification that the condition applies with respect to both current and future MSS feeder links</w:t>
      </w:r>
      <w:r w:rsidR="00C43B1B">
        <w:rPr>
          <w:color w:val="000000"/>
          <w:szCs w:val="22"/>
          <w:shd w:val="clear" w:color="auto" w:fill="FFFFFF"/>
        </w:rPr>
        <w:t xml:space="preserve">. </w:t>
      </w:r>
      <w:r w:rsidR="000B7DA5">
        <w:rPr>
          <w:color w:val="000000"/>
          <w:szCs w:val="22"/>
          <w:shd w:val="clear" w:color="auto" w:fill="FFFFFF"/>
        </w:rPr>
        <w:t xml:space="preserve"> </w:t>
      </w:r>
      <w:r w:rsidR="00FC3A10">
        <w:rPr>
          <w:color w:val="000000"/>
          <w:szCs w:val="22"/>
          <w:shd w:val="clear" w:color="auto" w:fill="FFFFFF"/>
        </w:rPr>
        <w:t>According to t</w:t>
      </w:r>
      <w:r w:rsidR="00A732DC">
        <w:rPr>
          <w:color w:val="000000"/>
          <w:szCs w:val="22"/>
          <w:shd w:val="clear" w:color="auto" w:fill="FFFFFF"/>
        </w:rPr>
        <w:t>he Ka-Band Plan</w:t>
      </w:r>
      <w:r w:rsidR="00C9095E">
        <w:rPr>
          <w:color w:val="000000"/>
          <w:szCs w:val="22"/>
          <w:shd w:val="clear" w:color="auto" w:fill="FFFFFF"/>
        </w:rPr>
        <w:t>,</w:t>
      </w:r>
      <w:r w:rsidR="00A732DC">
        <w:rPr>
          <w:color w:val="000000"/>
          <w:szCs w:val="22"/>
          <w:shd w:val="clear" w:color="auto" w:fill="FFFFFF"/>
        </w:rPr>
        <w:t xml:space="preserve"> </w:t>
      </w:r>
      <w:r w:rsidR="00FC3A10">
        <w:rPr>
          <w:color w:val="000000"/>
          <w:szCs w:val="22"/>
          <w:shd w:val="clear" w:color="auto" w:fill="FFFFFF"/>
        </w:rPr>
        <w:t>the FSS</w:t>
      </w:r>
      <w:r w:rsidR="00C9095E">
        <w:rPr>
          <w:color w:val="000000"/>
          <w:szCs w:val="22"/>
          <w:shd w:val="clear" w:color="auto" w:fill="FFFFFF"/>
        </w:rPr>
        <w:t xml:space="preserve"> </w:t>
      </w:r>
      <w:r w:rsidR="00FC3A10">
        <w:rPr>
          <w:color w:val="000000"/>
          <w:szCs w:val="22"/>
          <w:shd w:val="clear" w:color="auto" w:fill="FFFFFF"/>
        </w:rPr>
        <w:t>(Earth-to-space) allocation of</w:t>
      </w:r>
      <w:r w:rsidR="00A732DC">
        <w:rPr>
          <w:color w:val="000000"/>
          <w:szCs w:val="22"/>
          <w:shd w:val="clear" w:color="auto" w:fill="FFFFFF"/>
        </w:rPr>
        <w:t xml:space="preserve"> the 29.1-29.25 GHz frequency band </w:t>
      </w:r>
      <w:r w:rsidR="00FC3A10">
        <w:rPr>
          <w:color w:val="000000"/>
          <w:szCs w:val="22"/>
          <w:shd w:val="clear" w:color="auto" w:fill="FFFFFF"/>
        </w:rPr>
        <w:t xml:space="preserve">is designated </w:t>
      </w:r>
      <w:r w:rsidR="00A732DC">
        <w:rPr>
          <w:color w:val="000000"/>
          <w:szCs w:val="22"/>
          <w:shd w:val="clear" w:color="auto" w:fill="FFFFFF"/>
        </w:rPr>
        <w:t xml:space="preserve">to </w:t>
      </w:r>
      <w:r w:rsidR="00FC3A10">
        <w:rPr>
          <w:color w:val="000000"/>
          <w:szCs w:val="22"/>
          <w:shd w:val="clear" w:color="auto" w:fill="FFFFFF"/>
        </w:rPr>
        <w:t xml:space="preserve">feeder </w:t>
      </w:r>
      <w:r w:rsidR="00811D22">
        <w:rPr>
          <w:color w:val="000000"/>
          <w:szCs w:val="22"/>
          <w:shd w:val="clear" w:color="auto" w:fill="FFFFFF"/>
        </w:rPr>
        <w:t>links to</w:t>
      </w:r>
      <w:r w:rsidR="00D540F3">
        <w:rPr>
          <w:color w:val="000000"/>
          <w:szCs w:val="22"/>
          <w:shd w:val="clear" w:color="auto" w:fill="FFFFFF"/>
        </w:rPr>
        <w:t xml:space="preserve"> </w:t>
      </w:r>
      <w:r w:rsidR="00FC3A10">
        <w:rPr>
          <w:color w:val="000000"/>
          <w:szCs w:val="22"/>
          <w:shd w:val="clear" w:color="auto" w:fill="FFFFFF"/>
        </w:rPr>
        <w:t xml:space="preserve">MSS </w:t>
      </w:r>
      <w:r w:rsidR="00C9095E">
        <w:rPr>
          <w:color w:val="000000"/>
          <w:szCs w:val="22"/>
          <w:shd w:val="clear" w:color="auto" w:fill="FFFFFF"/>
        </w:rPr>
        <w:t>space stations.  As a consequence</w:t>
      </w:r>
      <w:r w:rsidR="00FC3A10">
        <w:rPr>
          <w:color w:val="000000"/>
          <w:szCs w:val="22"/>
          <w:shd w:val="clear" w:color="auto" w:fill="FFFFFF"/>
        </w:rPr>
        <w:t>, Inmarsat</w:t>
      </w:r>
      <w:r w:rsidR="00D540F3">
        <w:rPr>
          <w:color w:val="000000"/>
          <w:szCs w:val="22"/>
          <w:shd w:val="clear" w:color="auto" w:fill="FFFFFF"/>
        </w:rPr>
        <w:t>’s</w:t>
      </w:r>
      <w:r w:rsidR="00FC3A10">
        <w:rPr>
          <w:color w:val="000000"/>
          <w:szCs w:val="22"/>
          <w:shd w:val="clear" w:color="auto" w:fill="FFFFFF"/>
        </w:rPr>
        <w:t xml:space="preserve"> operations </w:t>
      </w:r>
      <w:r w:rsidR="00C9095E">
        <w:rPr>
          <w:color w:val="000000"/>
          <w:szCs w:val="22"/>
          <w:shd w:val="clear" w:color="auto" w:fill="FFFFFF"/>
        </w:rPr>
        <w:t xml:space="preserve">in 29.1-29.25 GHz </w:t>
      </w:r>
      <w:r w:rsidR="00D540F3">
        <w:rPr>
          <w:color w:val="000000"/>
          <w:szCs w:val="22"/>
          <w:shd w:val="clear" w:color="auto" w:fill="FFFFFF"/>
        </w:rPr>
        <w:t xml:space="preserve">frequency band </w:t>
      </w:r>
      <w:r w:rsidR="00C95085">
        <w:rPr>
          <w:color w:val="000000"/>
          <w:szCs w:val="22"/>
          <w:shd w:val="clear" w:color="auto" w:fill="FFFFFF"/>
        </w:rPr>
        <w:t>may n</w:t>
      </w:r>
      <w:r w:rsidR="00C9095E">
        <w:rPr>
          <w:color w:val="000000"/>
          <w:szCs w:val="22"/>
          <w:shd w:val="clear" w:color="auto" w:fill="FFFFFF"/>
        </w:rPr>
        <w:t xml:space="preserve">ot cause interference to existing </w:t>
      </w:r>
      <w:r w:rsidR="00D540F3">
        <w:rPr>
          <w:color w:val="000000"/>
          <w:szCs w:val="22"/>
          <w:shd w:val="clear" w:color="auto" w:fill="FFFFFF"/>
        </w:rPr>
        <w:t xml:space="preserve">or </w:t>
      </w:r>
      <w:r w:rsidR="00C9095E">
        <w:rPr>
          <w:color w:val="000000"/>
          <w:szCs w:val="22"/>
          <w:shd w:val="clear" w:color="auto" w:fill="FFFFFF"/>
        </w:rPr>
        <w:t>future MSS feeder link operations.</w:t>
      </w:r>
      <w:r w:rsidR="00FC3A10">
        <w:rPr>
          <w:color w:val="000000"/>
          <w:szCs w:val="22"/>
          <w:shd w:val="clear" w:color="auto" w:fill="FFFFFF"/>
        </w:rPr>
        <w:t xml:space="preserve"> </w:t>
      </w:r>
    </w:p>
    <w:p w:rsidR="00D540F3" w:rsidRDefault="00D540F3" w:rsidP="00A17787">
      <w:pPr>
        <w:tabs>
          <w:tab w:val="left" w:pos="720"/>
          <w:tab w:val="left" w:pos="5760"/>
        </w:tabs>
        <w:suppressAutoHyphens/>
        <w:spacing w:line="227" w:lineRule="auto"/>
        <w:rPr>
          <w:color w:val="000000"/>
          <w:szCs w:val="22"/>
          <w:shd w:val="clear" w:color="auto" w:fill="FFFFFF"/>
        </w:rPr>
      </w:pPr>
    </w:p>
    <w:p w:rsidR="008E3FEE" w:rsidRDefault="00FA44C4" w:rsidP="009C4BD8">
      <w:pPr>
        <w:tabs>
          <w:tab w:val="left" w:pos="720"/>
          <w:tab w:val="left" w:pos="5760"/>
        </w:tabs>
        <w:suppressAutoHyphens/>
        <w:spacing w:line="227" w:lineRule="auto"/>
      </w:pPr>
      <w:r>
        <w:rPr>
          <w:color w:val="000000"/>
          <w:szCs w:val="22"/>
          <w:shd w:val="clear" w:color="auto" w:fill="FFFFFF"/>
        </w:rPr>
        <w:t xml:space="preserve"> </w:t>
      </w:r>
      <w:r w:rsidR="00DF2608">
        <w:rPr>
          <w:color w:val="000000"/>
          <w:szCs w:val="22"/>
          <w:shd w:val="clear" w:color="auto" w:fill="FFFFFF"/>
        </w:rPr>
        <w:tab/>
      </w:r>
      <w:r w:rsidR="00DF2608">
        <w:rPr>
          <w:color w:val="000000"/>
          <w:szCs w:val="22"/>
          <w:shd w:val="clear" w:color="auto" w:fill="FFFFFF"/>
        </w:rPr>
        <w:fldChar w:fldCharType="begin"/>
      </w:r>
      <w:r w:rsidR="00DF2608">
        <w:rPr>
          <w:color w:val="000000"/>
          <w:szCs w:val="22"/>
          <w:shd w:val="clear" w:color="auto" w:fill="FFFFFF"/>
        </w:rPr>
        <w:instrText xml:space="preserve"> AUTONUM  </w:instrText>
      </w:r>
      <w:r w:rsidR="00DF2608">
        <w:rPr>
          <w:color w:val="000000"/>
          <w:szCs w:val="22"/>
          <w:shd w:val="clear" w:color="auto" w:fill="FFFFFF"/>
        </w:rPr>
        <w:fldChar w:fldCharType="end"/>
      </w:r>
      <w:r w:rsidR="00DF2608">
        <w:rPr>
          <w:color w:val="000000"/>
          <w:szCs w:val="22"/>
          <w:shd w:val="clear" w:color="auto" w:fill="FFFFFF"/>
        </w:rPr>
        <w:t xml:space="preserve">  </w:t>
      </w:r>
      <w:r w:rsidR="005C03BA">
        <w:rPr>
          <w:color w:val="000000"/>
          <w:szCs w:val="22"/>
          <w:shd w:val="clear" w:color="auto" w:fill="FFFFFF"/>
        </w:rPr>
        <w:t xml:space="preserve">We deny </w:t>
      </w:r>
      <w:r w:rsidR="00DF2608">
        <w:rPr>
          <w:color w:val="000000"/>
          <w:szCs w:val="22"/>
          <w:shd w:val="clear" w:color="auto" w:fill="FFFFFF"/>
        </w:rPr>
        <w:t>Iridium</w:t>
      </w:r>
      <w:r w:rsidR="009C4BD8">
        <w:rPr>
          <w:color w:val="000000"/>
          <w:szCs w:val="22"/>
          <w:shd w:val="clear" w:color="auto" w:fill="FFFFFF"/>
        </w:rPr>
        <w:t>’s</w:t>
      </w:r>
      <w:r w:rsidR="005C03BA">
        <w:rPr>
          <w:color w:val="000000"/>
          <w:szCs w:val="22"/>
          <w:shd w:val="clear" w:color="auto" w:fill="FFFFFF"/>
        </w:rPr>
        <w:t xml:space="preserve"> request insofar as it seeks clarification that the condition applies to all reception of signals by the Inmarsat</w:t>
      </w:r>
      <w:r w:rsidR="00BE6BD6">
        <w:rPr>
          <w:color w:val="000000"/>
          <w:szCs w:val="22"/>
          <w:shd w:val="clear" w:color="auto" w:fill="FFFFFF"/>
        </w:rPr>
        <w:t>-</w:t>
      </w:r>
      <w:r w:rsidR="005C03BA">
        <w:rPr>
          <w:color w:val="000000"/>
          <w:szCs w:val="22"/>
          <w:shd w:val="clear" w:color="auto" w:fill="FFFFFF"/>
        </w:rPr>
        <w:t>5</w:t>
      </w:r>
      <w:r w:rsidR="00BE6BD6">
        <w:rPr>
          <w:color w:val="000000"/>
          <w:szCs w:val="22"/>
          <w:shd w:val="clear" w:color="auto" w:fill="FFFFFF"/>
        </w:rPr>
        <w:t xml:space="preserve"> </w:t>
      </w:r>
      <w:r w:rsidR="005C03BA">
        <w:rPr>
          <w:color w:val="000000"/>
          <w:szCs w:val="22"/>
          <w:shd w:val="clear" w:color="auto" w:fill="FFFFFF"/>
        </w:rPr>
        <w:t xml:space="preserve">F2 satellite in the 29.1-29.25 </w:t>
      </w:r>
      <w:r w:rsidR="00C431F4">
        <w:rPr>
          <w:color w:val="000000"/>
          <w:szCs w:val="22"/>
          <w:shd w:val="clear" w:color="auto" w:fill="FFFFFF"/>
        </w:rPr>
        <w:t>GHz</w:t>
      </w:r>
      <w:r w:rsidR="005C03BA">
        <w:rPr>
          <w:color w:val="000000"/>
          <w:szCs w:val="22"/>
          <w:shd w:val="clear" w:color="auto" w:fill="FFFFFF"/>
        </w:rPr>
        <w:t xml:space="preserve"> frequency band.</w:t>
      </w:r>
      <w:r w:rsidR="009E1B1F">
        <w:rPr>
          <w:color w:val="000000"/>
          <w:szCs w:val="22"/>
          <w:shd w:val="clear" w:color="auto" w:fill="FFFFFF"/>
        </w:rPr>
        <w:t xml:space="preserve"> </w:t>
      </w:r>
      <w:r w:rsidR="00FC68B9">
        <w:t>The condition applies to transmissions from the Lino</w:t>
      </w:r>
      <w:r w:rsidR="00BE6BD6">
        <w:t xml:space="preserve"> </w:t>
      </w:r>
      <w:r w:rsidR="00FC68B9">
        <w:t>Lakes</w:t>
      </w:r>
      <w:r w:rsidR="00362AC9">
        <w:t>’</w:t>
      </w:r>
      <w:r w:rsidR="00FC68B9">
        <w:t xml:space="preserve"> earth station</w:t>
      </w:r>
      <w:r w:rsidR="005C03BA">
        <w:t xml:space="preserve"> and reception of those specific signals by the receivers on the </w:t>
      </w:r>
      <w:r w:rsidR="0015367C">
        <w:t>Inmarsat</w:t>
      </w:r>
      <w:r w:rsidR="00BE6BD6">
        <w:t>-</w:t>
      </w:r>
      <w:r w:rsidR="0015367C">
        <w:t>5</w:t>
      </w:r>
      <w:r w:rsidR="00BE6BD6">
        <w:t xml:space="preserve"> </w:t>
      </w:r>
      <w:r w:rsidR="0015367C">
        <w:t xml:space="preserve">F2 </w:t>
      </w:r>
      <w:r w:rsidR="005C03BA">
        <w:t>satellite.  The c</w:t>
      </w:r>
      <w:r w:rsidR="0015367C">
        <w:t>ondition does not apply, however, to reception at the receivers on the Inmarsat</w:t>
      </w:r>
      <w:r w:rsidR="005A5950">
        <w:t>-</w:t>
      </w:r>
      <w:r w:rsidR="0015367C">
        <w:t>5</w:t>
      </w:r>
      <w:r w:rsidR="005A5950">
        <w:t xml:space="preserve"> </w:t>
      </w:r>
      <w:r w:rsidR="0015367C">
        <w:t>F2 satellite</w:t>
      </w:r>
      <w:r w:rsidR="00C9095E">
        <w:t xml:space="preserve"> of other signals</w:t>
      </w:r>
      <w:r w:rsidR="005A2291">
        <w:t xml:space="preserve"> from Inmarsat earth stations</w:t>
      </w:r>
      <w:r w:rsidR="00C9095E">
        <w:t xml:space="preserve"> in the 29.1-29.25 GHz</w:t>
      </w:r>
      <w:r w:rsidR="00B9647D">
        <w:t xml:space="preserve"> frequency band</w:t>
      </w:r>
      <w:r w:rsidR="0015367C">
        <w:t>.</w:t>
      </w:r>
      <w:r w:rsidR="00FC68B9">
        <w:t xml:space="preserve"> </w:t>
      </w:r>
      <w:r w:rsidR="001269C2">
        <w:t xml:space="preserve"> </w:t>
      </w:r>
      <w:r w:rsidR="0015367C">
        <w:t>We decline to expand the scope of our decision beyond the specific Inmarsat facilities involved</w:t>
      </w:r>
      <w:r w:rsidR="0078663D">
        <w:t>.  Q</w:t>
      </w:r>
      <w:r w:rsidR="0015367C">
        <w:t xml:space="preserve">uestions </w:t>
      </w:r>
      <w:r w:rsidR="009C0241">
        <w:t xml:space="preserve">relevant to </w:t>
      </w:r>
      <w:r w:rsidR="0015367C">
        <w:t>additional Inmarsat facilities may be addressed in connection with a specific licensing request, or through the international coordination process, as appropriate.</w:t>
      </w:r>
      <w:r w:rsidR="00201B19">
        <w:rPr>
          <w:rStyle w:val="FootnoteReference"/>
        </w:rPr>
        <w:footnoteReference w:id="9"/>
      </w:r>
      <w:r w:rsidR="002512E6">
        <w:t xml:space="preserve">  </w:t>
      </w:r>
      <w:r w:rsidR="00A6734E">
        <w:t>Therefore, we deny this portion of Iridium’</w:t>
      </w:r>
      <w:r w:rsidR="008E3FEE">
        <w:t xml:space="preserve">s </w:t>
      </w:r>
      <w:r w:rsidR="008E1A3D">
        <w:t>p</w:t>
      </w:r>
      <w:r w:rsidR="008E3FEE">
        <w:t xml:space="preserve">etition.  </w:t>
      </w:r>
    </w:p>
    <w:p w:rsidR="009C4BD8" w:rsidRDefault="009C4BD8" w:rsidP="009C4BD8">
      <w:pPr>
        <w:tabs>
          <w:tab w:val="left" w:pos="720"/>
          <w:tab w:val="left" w:pos="5760"/>
        </w:tabs>
        <w:suppressAutoHyphens/>
        <w:spacing w:line="227" w:lineRule="auto"/>
      </w:pPr>
    </w:p>
    <w:p w:rsidR="00976315" w:rsidRDefault="00976315">
      <w:pPr>
        <w:widowControl/>
      </w:pPr>
      <w:r>
        <w:br w:type="page"/>
      </w:r>
    </w:p>
    <w:p w:rsidR="00A6734E" w:rsidRDefault="00A6734E" w:rsidP="00A6734E">
      <w:pPr>
        <w:tabs>
          <w:tab w:val="left" w:pos="720"/>
          <w:tab w:val="left" w:pos="5760"/>
        </w:tabs>
        <w:suppressAutoHyphens/>
        <w:spacing w:line="227" w:lineRule="auto"/>
        <w:rPr>
          <w:b/>
        </w:rPr>
      </w:pPr>
      <w:r w:rsidRPr="00A6734E">
        <w:rPr>
          <w:b/>
        </w:rPr>
        <w:lastRenderedPageBreak/>
        <w:t>I</w:t>
      </w:r>
      <w:r w:rsidR="00EE6651">
        <w:rPr>
          <w:b/>
        </w:rPr>
        <w:t>II</w:t>
      </w:r>
      <w:r w:rsidRPr="00A6734E">
        <w:rPr>
          <w:b/>
        </w:rPr>
        <w:t xml:space="preserve">. </w:t>
      </w:r>
      <w:r w:rsidR="009C0241">
        <w:rPr>
          <w:b/>
        </w:rPr>
        <w:tab/>
      </w:r>
      <w:r w:rsidRPr="00A6734E">
        <w:rPr>
          <w:b/>
        </w:rPr>
        <w:t>ORDERING CLAUSE</w:t>
      </w:r>
    </w:p>
    <w:p w:rsidR="00A6734E" w:rsidRDefault="00A6734E" w:rsidP="00A6734E">
      <w:pPr>
        <w:tabs>
          <w:tab w:val="left" w:pos="720"/>
          <w:tab w:val="left" w:pos="5760"/>
        </w:tabs>
        <w:suppressAutoHyphens/>
        <w:spacing w:line="227" w:lineRule="auto"/>
        <w:rPr>
          <w:b/>
        </w:rPr>
      </w:pPr>
    </w:p>
    <w:p w:rsidR="00A6734E" w:rsidRPr="00EF7416" w:rsidRDefault="00A6734E" w:rsidP="00A6734E">
      <w:pPr>
        <w:tabs>
          <w:tab w:val="left" w:pos="720"/>
          <w:tab w:val="left" w:pos="5760"/>
        </w:tabs>
        <w:suppressAutoHyphens/>
        <w:spacing w:line="227" w:lineRule="auto"/>
      </w:pPr>
      <w:r>
        <w:rPr>
          <w:b/>
        </w:rPr>
        <w:tab/>
      </w:r>
      <w:r w:rsidRPr="00EF7416">
        <w:fldChar w:fldCharType="begin"/>
      </w:r>
      <w:r w:rsidRPr="00EF7416">
        <w:instrText xml:space="preserve"> AUTONUM  </w:instrText>
      </w:r>
      <w:r w:rsidRPr="00EF7416">
        <w:fldChar w:fldCharType="end"/>
      </w:r>
      <w:r w:rsidRPr="00EF7416">
        <w:t xml:space="preserve">  </w:t>
      </w:r>
      <w:r w:rsidR="008E1A3D" w:rsidRPr="00EF7416">
        <w:t>A</w:t>
      </w:r>
      <w:r w:rsidR="00852C0D" w:rsidRPr="00EF7416">
        <w:t>ccordingly it is ORDERED, pursuant to 47 C.F.R. §</w:t>
      </w:r>
      <w:r w:rsidR="00120FEB" w:rsidRPr="00EF7416">
        <w:t>§</w:t>
      </w:r>
      <w:r w:rsidR="00120FEB">
        <w:t xml:space="preserve"> 1.2 and </w:t>
      </w:r>
      <w:r w:rsidR="00852C0D" w:rsidRPr="00EF7416">
        <w:t xml:space="preserve">1.106, that Iridium Satellite LLC’s Petition for Reconsideration or Clarification of the </w:t>
      </w:r>
      <w:r w:rsidR="00362AC9">
        <w:t xml:space="preserve">Inmarsat License </w:t>
      </w:r>
      <w:r w:rsidR="00852C0D" w:rsidRPr="00EF7416">
        <w:t>Order, DA 15-392</w:t>
      </w:r>
      <w:r w:rsidR="00EA06C2" w:rsidRPr="00EF7416">
        <w:t>,</w:t>
      </w:r>
      <w:r w:rsidR="00852C0D" w:rsidRPr="00EF7416">
        <w:t xml:space="preserve"> is GRANTED IN PART, and DENIED IN PART. </w:t>
      </w:r>
    </w:p>
    <w:p w:rsidR="00852C0D" w:rsidRPr="00EF7416" w:rsidRDefault="00852C0D" w:rsidP="00A6734E">
      <w:pPr>
        <w:tabs>
          <w:tab w:val="left" w:pos="720"/>
          <w:tab w:val="left" w:pos="5760"/>
        </w:tabs>
        <w:suppressAutoHyphens/>
        <w:spacing w:line="227" w:lineRule="auto"/>
      </w:pPr>
    </w:p>
    <w:p w:rsidR="00A6734E" w:rsidRPr="00EF7416" w:rsidRDefault="00852C0D" w:rsidP="00A6734E">
      <w:pPr>
        <w:tabs>
          <w:tab w:val="left" w:pos="720"/>
          <w:tab w:val="left" w:pos="5760"/>
        </w:tabs>
        <w:suppressAutoHyphens/>
        <w:spacing w:line="227" w:lineRule="auto"/>
        <w:rPr>
          <w:color w:val="000000"/>
          <w:szCs w:val="22"/>
          <w:shd w:val="clear" w:color="auto" w:fill="FFFFFF"/>
        </w:rPr>
      </w:pPr>
      <w:r w:rsidRPr="00EF7416">
        <w:rPr>
          <w:color w:val="000000"/>
          <w:sz w:val="19"/>
          <w:szCs w:val="19"/>
          <w:shd w:val="clear" w:color="auto" w:fill="FFFFFF"/>
        </w:rPr>
        <w:tab/>
      </w:r>
      <w:r w:rsidRPr="00EF7416">
        <w:rPr>
          <w:color w:val="000000"/>
          <w:sz w:val="19"/>
          <w:szCs w:val="19"/>
          <w:shd w:val="clear" w:color="auto" w:fill="FFFFFF"/>
        </w:rPr>
        <w:fldChar w:fldCharType="begin"/>
      </w:r>
      <w:r w:rsidRPr="00EF7416">
        <w:rPr>
          <w:color w:val="000000"/>
          <w:sz w:val="19"/>
          <w:szCs w:val="19"/>
          <w:shd w:val="clear" w:color="auto" w:fill="FFFFFF"/>
        </w:rPr>
        <w:instrText xml:space="preserve"> AUTONUM  </w:instrText>
      </w:r>
      <w:r w:rsidRPr="00EF7416">
        <w:rPr>
          <w:color w:val="000000"/>
          <w:sz w:val="19"/>
          <w:szCs w:val="19"/>
          <w:shd w:val="clear" w:color="auto" w:fill="FFFFFF"/>
        </w:rPr>
        <w:fldChar w:fldCharType="end"/>
      </w:r>
      <w:r w:rsidRPr="00EF7416">
        <w:rPr>
          <w:color w:val="000000"/>
          <w:sz w:val="19"/>
          <w:szCs w:val="19"/>
          <w:shd w:val="clear" w:color="auto" w:fill="FFFFFF"/>
        </w:rPr>
        <w:t xml:space="preserve">  </w:t>
      </w:r>
      <w:r w:rsidR="00A6734E" w:rsidRPr="00EF7416">
        <w:rPr>
          <w:color w:val="000000"/>
          <w:szCs w:val="22"/>
          <w:shd w:val="clear" w:color="auto" w:fill="FFFFFF"/>
        </w:rPr>
        <w:t xml:space="preserve">This action is issued pursuant to </w:t>
      </w:r>
      <w:r w:rsidR="0078663D" w:rsidRPr="00EF7416">
        <w:rPr>
          <w:color w:val="000000"/>
          <w:szCs w:val="22"/>
          <w:shd w:val="clear" w:color="auto" w:fill="FFFFFF"/>
        </w:rPr>
        <w:t xml:space="preserve">Sections </w:t>
      </w:r>
      <w:r w:rsidR="00A6734E" w:rsidRPr="00EF7416">
        <w:rPr>
          <w:color w:val="000000"/>
          <w:szCs w:val="22"/>
          <w:shd w:val="clear" w:color="auto" w:fill="FFFFFF"/>
        </w:rPr>
        <w:t>0.261</w:t>
      </w:r>
      <w:r w:rsidR="00B77422">
        <w:rPr>
          <w:color w:val="000000"/>
          <w:szCs w:val="22"/>
          <w:shd w:val="clear" w:color="auto" w:fill="FFFFFF"/>
        </w:rPr>
        <w:t xml:space="preserve"> </w:t>
      </w:r>
      <w:r w:rsidR="00A6734E" w:rsidRPr="00EF7416">
        <w:rPr>
          <w:color w:val="000000"/>
          <w:szCs w:val="22"/>
          <w:shd w:val="clear" w:color="auto" w:fill="FFFFFF"/>
        </w:rPr>
        <w:t>of the Commission's rules on delegated authority,</w:t>
      </w:r>
      <w:r w:rsidR="00A6734E" w:rsidRPr="00EF7416">
        <w:rPr>
          <w:rStyle w:val="apple-converted-space"/>
          <w:color w:val="000000"/>
          <w:szCs w:val="22"/>
          <w:shd w:val="clear" w:color="auto" w:fill="FFFFFF"/>
        </w:rPr>
        <w:t> </w:t>
      </w:r>
      <w:hyperlink r:id="rId8" w:tgtFrame="_top" w:history="1">
        <w:r w:rsidR="00A6734E" w:rsidRPr="00EF7416">
          <w:rPr>
            <w:rStyle w:val="Hyperlink"/>
            <w:color w:val="auto"/>
            <w:szCs w:val="22"/>
            <w:u w:val="none"/>
            <w:shd w:val="clear" w:color="auto" w:fill="FFFFFF"/>
          </w:rPr>
          <w:t>47 C.F.R. § 0.261</w:t>
        </w:r>
      </w:hyperlink>
      <w:r w:rsidR="0078663D" w:rsidRPr="00EF7416">
        <w:rPr>
          <w:szCs w:val="22"/>
          <w:shd w:val="clear" w:color="auto" w:fill="FFFFFF"/>
        </w:rPr>
        <w:t xml:space="preserve">, </w:t>
      </w:r>
      <w:r w:rsidR="00A6734E" w:rsidRPr="00EF7416">
        <w:rPr>
          <w:color w:val="000000"/>
          <w:szCs w:val="22"/>
          <w:shd w:val="clear" w:color="auto" w:fill="FFFFFF"/>
        </w:rPr>
        <w:t>and is effective immediately.</w:t>
      </w:r>
    </w:p>
    <w:p w:rsidR="0048036B" w:rsidRPr="00EF7416" w:rsidRDefault="0048036B" w:rsidP="00A6734E">
      <w:pPr>
        <w:tabs>
          <w:tab w:val="left" w:pos="720"/>
          <w:tab w:val="left" w:pos="5760"/>
        </w:tabs>
        <w:suppressAutoHyphens/>
        <w:spacing w:line="227" w:lineRule="auto"/>
        <w:rPr>
          <w:color w:val="000000"/>
          <w:szCs w:val="22"/>
          <w:shd w:val="clear" w:color="auto" w:fill="FFFFFF"/>
        </w:rPr>
      </w:pPr>
      <w:r w:rsidRPr="00EF7416">
        <w:rPr>
          <w:color w:val="000000"/>
          <w:szCs w:val="22"/>
          <w:shd w:val="clear" w:color="auto" w:fill="FFFFFF"/>
        </w:rPr>
        <w:tab/>
      </w:r>
      <w:r w:rsidRPr="00EF7416">
        <w:rPr>
          <w:color w:val="000000"/>
          <w:szCs w:val="22"/>
          <w:shd w:val="clear" w:color="auto" w:fill="FFFFFF"/>
        </w:rPr>
        <w:tab/>
      </w:r>
    </w:p>
    <w:p w:rsidR="0048036B" w:rsidRPr="00EF7416" w:rsidRDefault="0048036B" w:rsidP="00A6734E">
      <w:pPr>
        <w:tabs>
          <w:tab w:val="left" w:pos="720"/>
          <w:tab w:val="left" w:pos="5760"/>
        </w:tabs>
        <w:suppressAutoHyphens/>
        <w:spacing w:line="227" w:lineRule="auto"/>
        <w:rPr>
          <w:color w:val="000000"/>
          <w:szCs w:val="22"/>
          <w:shd w:val="clear" w:color="auto" w:fill="FFFFFF"/>
        </w:rPr>
      </w:pPr>
    </w:p>
    <w:p w:rsidR="0048036B" w:rsidRPr="00EF7416" w:rsidRDefault="0048036B" w:rsidP="00A6734E">
      <w:pPr>
        <w:tabs>
          <w:tab w:val="left" w:pos="720"/>
          <w:tab w:val="left" w:pos="5760"/>
        </w:tabs>
        <w:suppressAutoHyphens/>
        <w:spacing w:line="227" w:lineRule="auto"/>
        <w:rPr>
          <w:color w:val="000000"/>
          <w:szCs w:val="22"/>
          <w:shd w:val="clear" w:color="auto" w:fill="FFFFFF"/>
        </w:rPr>
      </w:pPr>
    </w:p>
    <w:p w:rsidR="00852C0D" w:rsidRDefault="0048036B" w:rsidP="00A6734E">
      <w:pPr>
        <w:tabs>
          <w:tab w:val="left" w:pos="720"/>
          <w:tab w:val="left" w:pos="5760"/>
        </w:tabs>
        <w:suppressAutoHyphens/>
        <w:spacing w:line="227" w:lineRule="auto"/>
        <w:rPr>
          <w:color w:val="000000"/>
          <w:szCs w:val="22"/>
          <w:shd w:val="clear" w:color="auto" w:fill="FFFFFF"/>
        </w:rPr>
      </w:pPr>
      <w:r>
        <w:rPr>
          <w:color w:val="000000"/>
          <w:szCs w:val="22"/>
          <w:shd w:val="clear" w:color="auto" w:fill="FFFFFF"/>
        </w:rPr>
        <w:t xml:space="preserve">                                                               FEDERAL COMMUNICATIONS COMMISSION</w:t>
      </w:r>
      <w:r>
        <w:rPr>
          <w:color w:val="000000"/>
          <w:szCs w:val="22"/>
          <w:shd w:val="clear" w:color="auto" w:fill="FFFFFF"/>
        </w:rPr>
        <w:tab/>
      </w:r>
      <w:r>
        <w:rPr>
          <w:color w:val="000000"/>
          <w:szCs w:val="22"/>
          <w:shd w:val="clear" w:color="auto" w:fill="FFFFFF"/>
        </w:rPr>
        <w:tab/>
      </w:r>
      <w:r>
        <w:rPr>
          <w:color w:val="000000"/>
          <w:szCs w:val="22"/>
          <w:shd w:val="clear" w:color="auto" w:fill="FFFFFF"/>
        </w:rPr>
        <w:tab/>
      </w:r>
    </w:p>
    <w:p w:rsidR="0048036B" w:rsidRDefault="0048036B" w:rsidP="00A6734E">
      <w:pPr>
        <w:tabs>
          <w:tab w:val="left" w:pos="720"/>
          <w:tab w:val="left" w:pos="5760"/>
        </w:tabs>
        <w:suppressAutoHyphens/>
        <w:spacing w:line="227" w:lineRule="auto"/>
        <w:rPr>
          <w:color w:val="000000"/>
          <w:szCs w:val="22"/>
          <w:shd w:val="clear" w:color="auto" w:fill="FFFFFF"/>
        </w:rPr>
      </w:pPr>
    </w:p>
    <w:p w:rsidR="0048036B" w:rsidRDefault="0048036B" w:rsidP="00A6734E">
      <w:pPr>
        <w:tabs>
          <w:tab w:val="left" w:pos="720"/>
          <w:tab w:val="left" w:pos="5760"/>
        </w:tabs>
        <w:suppressAutoHyphens/>
        <w:spacing w:line="227" w:lineRule="auto"/>
        <w:rPr>
          <w:color w:val="000000"/>
          <w:szCs w:val="22"/>
          <w:shd w:val="clear" w:color="auto" w:fill="FFFFFF"/>
        </w:rPr>
      </w:pPr>
    </w:p>
    <w:p w:rsidR="0048036B" w:rsidRDefault="0048036B" w:rsidP="00A6734E">
      <w:pPr>
        <w:tabs>
          <w:tab w:val="left" w:pos="720"/>
          <w:tab w:val="left" w:pos="5760"/>
        </w:tabs>
        <w:suppressAutoHyphens/>
        <w:spacing w:line="227" w:lineRule="auto"/>
        <w:rPr>
          <w:color w:val="000000"/>
          <w:szCs w:val="22"/>
          <w:shd w:val="clear" w:color="auto" w:fill="FFFFFF"/>
        </w:rPr>
      </w:pPr>
      <w:r>
        <w:rPr>
          <w:color w:val="000000"/>
          <w:szCs w:val="22"/>
          <w:shd w:val="clear" w:color="auto" w:fill="FFFFFF"/>
        </w:rPr>
        <w:tab/>
        <w:t xml:space="preserve">                                                   Jose P. Albuquerque</w:t>
      </w:r>
    </w:p>
    <w:p w:rsidR="0048036B" w:rsidRDefault="0048036B" w:rsidP="00A6734E">
      <w:pPr>
        <w:tabs>
          <w:tab w:val="left" w:pos="720"/>
          <w:tab w:val="left" w:pos="5760"/>
        </w:tabs>
        <w:suppressAutoHyphens/>
        <w:spacing w:line="227" w:lineRule="auto"/>
        <w:rPr>
          <w:color w:val="000000"/>
          <w:szCs w:val="22"/>
          <w:shd w:val="clear" w:color="auto" w:fill="FFFFFF"/>
        </w:rPr>
      </w:pPr>
      <w:r>
        <w:rPr>
          <w:color w:val="000000"/>
          <w:szCs w:val="22"/>
          <w:shd w:val="clear" w:color="auto" w:fill="FFFFFF"/>
        </w:rPr>
        <w:t xml:space="preserve">                                                               </w:t>
      </w:r>
      <w:r w:rsidR="00B77422">
        <w:rPr>
          <w:color w:val="000000"/>
          <w:szCs w:val="22"/>
          <w:shd w:val="clear" w:color="auto" w:fill="FFFFFF"/>
        </w:rPr>
        <w:t xml:space="preserve"> </w:t>
      </w:r>
      <w:r>
        <w:rPr>
          <w:color w:val="000000"/>
          <w:szCs w:val="22"/>
          <w:shd w:val="clear" w:color="auto" w:fill="FFFFFF"/>
        </w:rPr>
        <w:t>Chief, Satellite Division</w:t>
      </w:r>
    </w:p>
    <w:p w:rsidR="0048036B" w:rsidRDefault="0048036B" w:rsidP="00A6734E">
      <w:pPr>
        <w:tabs>
          <w:tab w:val="left" w:pos="720"/>
          <w:tab w:val="left" w:pos="5760"/>
        </w:tabs>
        <w:suppressAutoHyphens/>
        <w:spacing w:line="227" w:lineRule="auto"/>
        <w:rPr>
          <w:color w:val="000000"/>
          <w:szCs w:val="22"/>
          <w:shd w:val="clear" w:color="auto" w:fill="FFFFFF"/>
        </w:rPr>
      </w:pPr>
      <w:r>
        <w:rPr>
          <w:color w:val="000000"/>
          <w:szCs w:val="22"/>
          <w:shd w:val="clear" w:color="auto" w:fill="FFFFFF"/>
        </w:rPr>
        <w:tab/>
        <w:t xml:space="preserve">                                                   International Bureau</w:t>
      </w:r>
    </w:p>
    <w:p w:rsidR="0048036B" w:rsidRDefault="0048036B" w:rsidP="00A6734E">
      <w:pPr>
        <w:tabs>
          <w:tab w:val="left" w:pos="720"/>
          <w:tab w:val="left" w:pos="5760"/>
        </w:tabs>
        <w:suppressAutoHyphens/>
        <w:spacing w:line="227" w:lineRule="auto"/>
        <w:rPr>
          <w:color w:val="000000"/>
          <w:szCs w:val="22"/>
          <w:shd w:val="clear" w:color="auto" w:fill="FFFFFF"/>
        </w:rPr>
      </w:pPr>
    </w:p>
    <w:p w:rsidR="0048036B" w:rsidRDefault="0048036B" w:rsidP="00A6734E">
      <w:pPr>
        <w:tabs>
          <w:tab w:val="left" w:pos="720"/>
          <w:tab w:val="left" w:pos="5760"/>
        </w:tabs>
        <w:suppressAutoHyphens/>
        <w:spacing w:line="227" w:lineRule="auto"/>
        <w:rPr>
          <w:color w:val="000000"/>
          <w:szCs w:val="22"/>
          <w:shd w:val="clear" w:color="auto" w:fill="FFFFFF"/>
        </w:rPr>
      </w:pPr>
    </w:p>
    <w:p w:rsidR="0048036B" w:rsidRDefault="0048036B" w:rsidP="00A6734E">
      <w:pPr>
        <w:tabs>
          <w:tab w:val="left" w:pos="720"/>
          <w:tab w:val="left" w:pos="5760"/>
        </w:tabs>
        <w:suppressAutoHyphens/>
        <w:spacing w:line="227" w:lineRule="auto"/>
        <w:rPr>
          <w:color w:val="000000"/>
          <w:szCs w:val="22"/>
          <w:shd w:val="clear" w:color="auto" w:fill="FFFFFF"/>
        </w:rPr>
      </w:pPr>
    </w:p>
    <w:p w:rsidR="00055C2D" w:rsidRDefault="0048036B" w:rsidP="00B77422">
      <w:pPr>
        <w:rPr>
          <w:color w:val="000000"/>
          <w:szCs w:val="22"/>
          <w:shd w:val="clear" w:color="auto" w:fill="FFFFFF"/>
        </w:rPr>
      </w:pPr>
      <w:r>
        <w:rPr>
          <w:color w:val="000000"/>
          <w:szCs w:val="22"/>
          <w:shd w:val="clear" w:color="auto" w:fill="FFFFFF"/>
        </w:rPr>
        <w:tab/>
        <w:t xml:space="preserve">                                                   </w:t>
      </w:r>
    </w:p>
    <w:p w:rsidR="00055C2D" w:rsidRPr="00FF58FA" w:rsidRDefault="00055C2D" w:rsidP="00FF58FA">
      <w:pPr>
        <w:rPr>
          <w:szCs w:val="22"/>
        </w:rPr>
      </w:pPr>
    </w:p>
    <w:p w:rsidR="00055C2D" w:rsidRPr="00FF58FA" w:rsidRDefault="00055C2D" w:rsidP="00FF58FA">
      <w:pPr>
        <w:rPr>
          <w:szCs w:val="22"/>
        </w:rPr>
      </w:pPr>
    </w:p>
    <w:p w:rsidR="00055C2D" w:rsidRPr="00FF58FA" w:rsidRDefault="00055C2D" w:rsidP="00FF58FA">
      <w:pPr>
        <w:rPr>
          <w:szCs w:val="22"/>
        </w:rPr>
      </w:pPr>
    </w:p>
    <w:p w:rsidR="00055C2D" w:rsidRPr="00FF58FA" w:rsidRDefault="00055C2D" w:rsidP="00FF58FA">
      <w:pPr>
        <w:rPr>
          <w:szCs w:val="22"/>
        </w:rPr>
      </w:pPr>
    </w:p>
    <w:p w:rsidR="00055C2D" w:rsidRPr="00FF58FA" w:rsidRDefault="00055C2D" w:rsidP="00FF58FA">
      <w:pPr>
        <w:rPr>
          <w:szCs w:val="22"/>
        </w:rPr>
      </w:pPr>
    </w:p>
    <w:p w:rsidR="00055C2D" w:rsidRPr="00FF58FA" w:rsidRDefault="00055C2D" w:rsidP="00FF58FA">
      <w:pPr>
        <w:rPr>
          <w:szCs w:val="22"/>
        </w:rPr>
      </w:pPr>
    </w:p>
    <w:p w:rsidR="0048036B" w:rsidRPr="00FF58FA" w:rsidRDefault="0048036B" w:rsidP="00FF58FA">
      <w:pPr>
        <w:rPr>
          <w:rFonts w:ascii="e. Inmarsat’s operations in the" w:hAnsi="e. Inmarsat’s operations in the"/>
          <w:szCs w:val="22"/>
        </w:rPr>
      </w:pPr>
    </w:p>
    <w:sectPr w:rsidR="0048036B" w:rsidRPr="00FF58FA">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144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2D0" w:rsidRDefault="00E772D0">
      <w:pPr>
        <w:spacing w:line="20" w:lineRule="exact"/>
        <w:rPr>
          <w:sz w:val="24"/>
        </w:rPr>
      </w:pPr>
    </w:p>
  </w:endnote>
  <w:endnote w:type="continuationSeparator" w:id="0">
    <w:p w:rsidR="00E772D0" w:rsidRDefault="00E772D0">
      <w:r>
        <w:rPr>
          <w:sz w:val="24"/>
        </w:rPr>
        <w:t xml:space="preserve"> </w:t>
      </w:r>
    </w:p>
  </w:endnote>
  <w:endnote w:type="continuationNotice" w:id="1">
    <w:p w:rsidR="00E772D0" w:rsidRDefault="00E772D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e. Inmarsat’s operations in the">
    <w:altName w:val="Times New Roman"/>
    <w:panose1 w:val="00000000000000000000"/>
    <w:charset w:val="00"/>
    <w:family w:val="roman"/>
    <w:notTrueType/>
    <w:pitch w:val="default"/>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F2" w:rsidRDefault="006E62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62F2" w:rsidRDefault="006E62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F2" w:rsidRDefault="006E62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1B99">
      <w:rPr>
        <w:rStyle w:val="PageNumber"/>
        <w:noProof/>
      </w:rPr>
      <w:t>2</w:t>
    </w:r>
    <w:r>
      <w:rPr>
        <w:rStyle w:val="PageNumber"/>
      </w:rPr>
      <w:fldChar w:fldCharType="end"/>
    </w:r>
  </w:p>
  <w:p w:rsidR="006E62F2" w:rsidRDefault="006E62F2">
    <w:pPr>
      <w:spacing w:before="140" w:line="100" w:lineRule="exact"/>
      <w:rPr>
        <w:sz w:val="10"/>
      </w:rPr>
    </w:pPr>
  </w:p>
  <w:p w:rsidR="006E62F2" w:rsidRDefault="006E62F2">
    <w:pPr>
      <w:suppressAutoHyphens/>
      <w:spacing w:line="227" w:lineRule="auto"/>
      <w:jc w:val="both"/>
      <w:rPr>
        <w:sz w:val="24"/>
      </w:rPr>
    </w:pPr>
  </w:p>
  <w:p w:rsidR="006E62F2" w:rsidRDefault="006E62F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844" w:rsidRDefault="00335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2D0" w:rsidRDefault="00E772D0">
      <w:r>
        <w:rPr>
          <w:sz w:val="24"/>
        </w:rPr>
        <w:separator/>
      </w:r>
    </w:p>
  </w:footnote>
  <w:footnote w:type="continuationSeparator" w:id="0">
    <w:p w:rsidR="00E772D0" w:rsidRDefault="00E772D0">
      <w:r>
        <w:continuationSeparator/>
      </w:r>
    </w:p>
  </w:footnote>
  <w:footnote w:id="1">
    <w:p w:rsidR="008F2D50" w:rsidRDefault="008F2D50">
      <w:pPr>
        <w:pStyle w:val="FootnoteText"/>
      </w:pPr>
      <w:r>
        <w:rPr>
          <w:rStyle w:val="FootnoteReference"/>
        </w:rPr>
        <w:footnoteRef/>
      </w:r>
      <w:r>
        <w:t xml:space="preserve"> Inmarsat Mobile Networks, Inc., Order and Authorization and Declaratory Ruling, DA 15-392 (Rel. March 30, 2015) (</w:t>
      </w:r>
      <w:r w:rsidR="00055C2D">
        <w:t xml:space="preserve">Inmarsat License </w:t>
      </w:r>
      <w:r>
        <w:t xml:space="preserve">Order). </w:t>
      </w:r>
    </w:p>
    <w:p w:rsidR="005312F3" w:rsidRDefault="005312F3">
      <w:pPr>
        <w:pStyle w:val="FootnoteText"/>
      </w:pPr>
    </w:p>
  </w:footnote>
  <w:footnote w:id="2">
    <w:p w:rsidR="00394AE0" w:rsidRDefault="00394AE0" w:rsidP="00394AE0">
      <w:pPr>
        <w:pStyle w:val="FootnoteText"/>
      </w:pPr>
      <w:r>
        <w:rPr>
          <w:rStyle w:val="FootnoteReference"/>
        </w:rPr>
        <w:footnoteRef/>
      </w:r>
      <w:r>
        <w:t xml:space="preserve"> Inmarsat </w:t>
      </w:r>
      <w:r w:rsidR="00FF58FA">
        <w:t xml:space="preserve">License </w:t>
      </w:r>
      <w:r>
        <w:t>Order at ¶ 41(e).</w:t>
      </w:r>
    </w:p>
    <w:p w:rsidR="00394AE0" w:rsidRDefault="00394AE0" w:rsidP="00394AE0">
      <w:pPr>
        <w:pStyle w:val="FootnoteText"/>
      </w:pPr>
    </w:p>
  </w:footnote>
  <w:footnote w:id="3">
    <w:p w:rsidR="006242E7" w:rsidRDefault="006242E7">
      <w:pPr>
        <w:pStyle w:val="FootnoteText"/>
      </w:pPr>
      <w:r>
        <w:rPr>
          <w:rStyle w:val="FootnoteReference"/>
        </w:rPr>
        <w:footnoteRef/>
      </w:r>
      <w:r>
        <w:t xml:space="preserve"> Iridium Satellite LLC, Petition for Reconsideration or Clarification, filed April 29, 2015 (Iridium Petition).</w:t>
      </w:r>
    </w:p>
    <w:p w:rsidR="008E1A3D" w:rsidRDefault="008E1A3D">
      <w:pPr>
        <w:pStyle w:val="FootnoteText"/>
      </w:pPr>
    </w:p>
  </w:footnote>
  <w:footnote w:id="4">
    <w:p w:rsidR="006242E7" w:rsidRDefault="006242E7">
      <w:pPr>
        <w:pStyle w:val="FootnoteText"/>
      </w:pPr>
      <w:r>
        <w:rPr>
          <w:rStyle w:val="FootnoteReference"/>
        </w:rPr>
        <w:footnoteRef/>
      </w:r>
      <w:r>
        <w:t xml:space="preserve"> </w:t>
      </w:r>
      <w:r w:rsidRPr="00DF2608">
        <w:rPr>
          <w:i/>
        </w:rPr>
        <w:t>Id.</w:t>
      </w:r>
      <w:r>
        <w:t xml:space="preserve"> at 4. </w:t>
      </w:r>
    </w:p>
    <w:p w:rsidR="008E1A3D" w:rsidRDefault="008E1A3D">
      <w:pPr>
        <w:pStyle w:val="FootnoteText"/>
      </w:pPr>
    </w:p>
  </w:footnote>
  <w:footnote w:id="5">
    <w:p w:rsidR="00394AE0" w:rsidRDefault="00394AE0" w:rsidP="00394AE0">
      <w:pPr>
        <w:pStyle w:val="FootnoteText"/>
      </w:pPr>
      <w:r>
        <w:rPr>
          <w:rStyle w:val="FootnoteReference"/>
        </w:rPr>
        <w:footnoteRef/>
      </w:r>
      <w:r>
        <w:t xml:space="preserve"> </w:t>
      </w:r>
      <w:r w:rsidRPr="00597781">
        <w:rPr>
          <w:i/>
        </w:rPr>
        <w:t>I</w:t>
      </w:r>
      <w:r w:rsidR="00597781" w:rsidRPr="00597781">
        <w:rPr>
          <w:i/>
        </w:rPr>
        <w:t>d</w:t>
      </w:r>
      <w:r w:rsidR="00597781">
        <w:t xml:space="preserve">. at 5. </w:t>
      </w:r>
    </w:p>
    <w:p w:rsidR="00394AE0" w:rsidRDefault="00394AE0" w:rsidP="00394AE0">
      <w:pPr>
        <w:pStyle w:val="FootnoteText"/>
      </w:pPr>
    </w:p>
  </w:footnote>
  <w:footnote w:id="6">
    <w:p w:rsidR="00E8099F" w:rsidRDefault="00E8099F" w:rsidP="0048036B">
      <w:pPr>
        <w:tabs>
          <w:tab w:val="left" w:pos="720"/>
          <w:tab w:val="left" w:pos="5760"/>
        </w:tabs>
        <w:suppressAutoHyphens/>
        <w:spacing w:line="227" w:lineRule="auto"/>
      </w:pPr>
      <w:r>
        <w:rPr>
          <w:rStyle w:val="FootnoteReference"/>
        </w:rPr>
        <w:footnoteRef/>
      </w:r>
      <w:r>
        <w:t xml:space="preserve"> </w:t>
      </w:r>
      <w:r w:rsidRPr="0048036B">
        <w:rPr>
          <w:sz w:val="20"/>
        </w:rPr>
        <w:t>Inmarsat Mobile Networks, Inc., Opposition to Petition for Reconsideration or Clarification (filed May 11, 2015) (Inmarsat Opposition)</w:t>
      </w:r>
      <w:r w:rsidR="0048036B">
        <w:rPr>
          <w:sz w:val="20"/>
        </w:rPr>
        <w:t xml:space="preserve">. Inmarsat filed </w:t>
      </w:r>
      <w:r w:rsidR="0048036B" w:rsidRPr="0048036B">
        <w:rPr>
          <w:color w:val="000000"/>
          <w:sz w:val="20"/>
          <w:shd w:val="clear" w:color="auto" w:fill="FFFFFF"/>
        </w:rPr>
        <w:t xml:space="preserve">both a public (redacted) </w:t>
      </w:r>
      <w:r w:rsidR="0048036B">
        <w:rPr>
          <w:color w:val="000000"/>
          <w:sz w:val="20"/>
          <w:shd w:val="clear" w:color="auto" w:fill="FFFFFF"/>
        </w:rPr>
        <w:t xml:space="preserve">Opposition and </w:t>
      </w:r>
      <w:r w:rsidR="0048036B" w:rsidRPr="0048036B">
        <w:rPr>
          <w:color w:val="000000"/>
          <w:sz w:val="20"/>
          <w:shd w:val="clear" w:color="auto" w:fill="FFFFFF"/>
        </w:rPr>
        <w:t xml:space="preserve">an unredacted </w:t>
      </w:r>
      <w:r w:rsidR="0048036B">
        <w:rPr>
          <w:color w:val="000000"/>
          <w:sz w:val="20"/>
          <w:shd w:val="clear" w:color="auto" w:fill="FFFFFF"/>
        </w:rPr>
        <w:t xml:space="preserve">Opposition, </w:t>
      </w:r>
      <w:r w:rsidR="00B17C27" w:rsidRPr="0048036B">
        <w:rPr>
          <w:color w:val="000000"/>
          <w:sz w:val="20"/>
          <w:shd w:val="clear" w:color="auto" w:fill="FFFFFF"/>
        </w:rPr>
        <w:t>subject</w:t>
      </w:r>
      <w:r w:rsidR="0048036B" w:rsidRPr="0048036B">
        <w:rPr>
          <w:color w:val="000000"/>
          <w:sz w:val="20"/>
          <w:shd w:val="clear" w:color="auto" w:fill="FFFFFF"/>
        </w:rPr>
        <w:t xml:space="preserve"> to a request for confidential treatment pursuant to</w:t>
      </w:r>
      <w:r w:rsidR="0048036B" w:rsidRPr="0048036B">
        <w:rPr>
          <w:rStyle w:val="apple-converted-space"/>
          <w:color w:val="000000"/>
          <w:sz w:val="20"/>
          <w:shd w:val="clear" w:color="auto" w:fill="FFFFFF"/>
        </w:rPr>
        <w:t> </w:t>
      </w:r>
      <w:hyperlink r:id="rId1" w:tgtFrame="_top" w:history="1">
        <w:r w:rsidR="0048036B" w:rsidRPr="0048036B">
          <w:rPr>
            <w:rStyle w:val="Hyperlink"/>
            <w:color w:val="auto"/>
            <w:sz w:val="20"/>
            <w:u w:val="none"/>
            <w:shd w:val="clear" w:color="auto" w:fill="FFFFFF"/>
          </w:rPr>
          <w:t>47 C.F.R. §§ 0.457</w:t>
        </w:r>
      </w:hyperlink>
      <w:r w:rsidR="0048036B" w:rsidRPr="0048036B">
        <w:rPr>
          <w:rStyle w:val="apple-converted-space"/>
          <w:sz w:val="20"/>
          <w:shd w:val="clear" w:color="auto" w:fill="FFFFFF"/>
        </w:rPr>
        <w:t> </w:t>
      </w:r>
      <w:r w:rsidR="0048036B" w:rsidRPr="0048036B">
        <w:rPr>
          <w:sz w:val="20"/>
          <w:shd w:val="clear" w:color="auto" w:fill="FFFFFF"/>
        </w:rPr>
        <w:t>and</w:t>
      </w:r>
      <w:r w:rsidR="0048036B" w:rsidRPr="0048036B">
        <w:rPr>
          <w:rStyle w:val="apple-converted-space"/>
          <w:sz w:val="20"/>
          <w:shd w:val="clear" w:color="auto" w:fill="FFFFFF"/>
        </w:rPr>
        <w:t> </w:t>
      </w:r>
      <w:hyperlink r:id="rId2" w:tgtFrame="_top" w:history="1">
        <w:r w:rsidR="0048036B" w:rsidRPr="0048036B">
          <w:rPr>
            <w:rStyle w:val="Hyperlink"/>
            <w:color w:val="auto"/>
            <w:sz w:val="20"/>
            <w:u w:val="none"/>
            <w:shd w:val="clear" w:color="auto" w:fill="FFFFFF"/>
          </w:rPr>
          <w:t>0.459</w:t>
        </w:r>
      </w:hyperlink>
      <w:r w:rsidR="0048036B" w:rsidRPr="0048036B">
        <w:rPr>
          <w:sz w:val="20"/>
          <w:shd w:val="clear" w:color="auto" w:fill="FFFFFF"/>
        </w:rPr>
        <w:t>.</w:t>
      </w:r>
      <w:r w:rsidR="0048036B" w:rsidRPr="0048036B">
        <w:rPr>
          <w:rStyle w:val="apple-converted-space"/>
          <w:sz w:val="20"/>
          <w:shd w:val="clear" w:color="auto" w:fill="FFFFFF"/>
        </w:rPr>
        <w:t> </w:t>
      </w:r>
      <w:r w:rsidR="0048036B">
        <w:t xml:space="preserve"> </w:t>
      </w:r>
    </w:p>
    <w:p w:rsidR="009C0241" w:rsidRDefault="009C0241" w:rsidP="0048036B">
      <w:pPr>
        <w:tabs>
          <w:tab w:val="left" w:pos="720"/>
          <w:tab w:val="left" w:pos="5760"/>
        </w:tabs>
        <w:suppressAutoHyphens/>
        <w:spacing w:line="227" w:lineRule="auto"/>
      </w:pPr>
    </w:p>
  </w:footnote>
  <w:footnote w:id="7">
    <w:p w:rsidR="00E8099F" w:rsidRDefault="00E8099F">
      <w:pPr>
        <w:pStyle w:val="FootnoteText"/>
      </w:pPr>
      <w:r>
        <w:rPr>
          <w:rStyle w:val="FootnoteReference"/>
        </w:rPr>
        <w:footnoteRef/>
      </w:r>
      <w:r>
        <w:t xml:space="preserve"> </w:t>
      </w:r>
      <w:r w:rsidRPr="00E8099F">
        <w:rPr>
          <w:i/>
        </w:rPr>
        <w:t>Id.</w:t>
      </w:r>
      <w:r>
        <w:t xml:space="preserve"> at 3.</w:t>
      </w:r>
    </w:p>
    <w:p w:rsidR="008E1A3D" w:rsidRDefault="008E1A3D">
      <w:pPr>
        <w:pStyle w:val="FootnoteText"/>
      </w:pPr>
    </w:p>
  </w:footnote>
  <w:footnote w:id="8">
    <w:p w:rsidR="00B44793" w:rsidRDefault="00B44793" w:rsidP="008E1A3D">
      <w:pPr>
        <w:tabs>
          <w:tab w:val="left" w:pos="720"/>
          <w:tab w:val="left" w:pos="5760"/>
        </w:tabs>
        <w:suppressAutoHyphens/>
        <w:spacing w:line="227" w:lineRule="auto"/>
        <w:rPr>
          <w:rStyle w:val="apple-converted-space"/>
          <w:sz w:val="20"/>
          <w:shd w:val="clear" w:color="auto" w:fill="FFFFFF"/>
        </w:rPr>
      </w:pPr>
      <w:r>
        <w:rPr>
          <w:rStyle w:val="FootnoteReference"/>
        </w:rPr>
        <w:footnoteRef/>
      </w:r>
      <w:r>
        <w:t xml:space="preserve"> </w:t>
      </w:r>
      <w:r w:rsidRPr="0048036B">
        <w:rPr>
          <w:sz w:val="20"/>
        </w:rPr>
        <w:t xml:space="preserve">Iridium Satellite LLC, Reply to Opposition to Petition for Reconsideration or Clarification (filed May 19, 2015). Iridium </w:t>
      </w:r>
      <w:r w:rsidRPr="0048036B">
        <w:rPr>
          <w:color w:val="000000"/>
          <w:sz w:val="20"/>
          <w:shd w:val="clear" w:color="auto" w:fill="FFFFFF"/>
        </w:rPr>
        <w:t>filed both a public (redacted)</w:t>
      </w:r>
      <w:r>
        <w:rPr>
          <w:color w:val="000000"/>
          <w:sz w:val="20"/>
          <w:shd w:val="clear" w:color="auto" w:fill="FFFFFF"/>
        </w:rPr>
        <w:t xml:space="preserve"> Reply and an </w:t>
      </w:r>
      <w:r w:rsidRPr="0048036B">
        <w:rPr>
          <w:color w:val="000000"/>
          <w:sz w:val="20"/>
          <w:shd w:val="clear" w:color="auto" w:fill="FFFFFF"/>
        </w:rPr>
        <w:t xml:space="preserve">unredacted </w:t>
      </w:r>
      <w:r>
        <w:rPr>
          <w:color w:val="000000"/>
          <w:sz w:val="20"/>
          <w:shd w:val="clear" w:color="auto" w:fill="FFFFFF"/>
        </w:rPr>
        <w:t>Reply</w:t>
      </w:r>
      <w:r w:rsidRPr="0048036B">
        <w:rPr>
          <w:color w:val="000000"/>
          <w:sz w:val="20"/>
          <w:shd w:val="clear" w:color="auto" w:fill="FFFFFF"/>
        </w:rPr>
        <w:t>, subject to a request for confidential treatment pursuant to</w:t>
      </w:r>
      <w:r w:rsidRPr="0048036B">
        <w:rPr>
          <w:rStyle w:val="apple-converted-space"/>
          <w:color w:val="000000"/>
          <w:sz w:val="20"/>
          <w:shd w:val="clear" w:color="auto" w:fill="FFFFFF"/>
        </w:rPr>
        <w:t> </w:t>
      </w:r>
      <w:hyperlink r:id="rId3" w:tgtFrame="_top" w:history="1">
        <w:r w:rsidRPr="0048036B">
          <w:rPr>
            <w:rStyle w:val="Hyperlink"/>
            <w:color w:val="auto"/>
            <w:sz w:val="20"/>
            <w:u w:val="none"/>
            <w:shd w:val="clear" w:color="auto" w:fill="FFFFFF"/>
          </w:rPr>
          <w:t>47 C.F.R. §§ 0.457</w:t>
        </w:r>
      </w:hyperlink>
      <w:r w:rsidRPr="0048036B">
        <w:rPr>
          <w:rStyle w:val="apple-converted-space"/>
          <w:sz w:val="20"/>
          <w:shd w:val="clear" w:color="auto" w:fill="FFFFFF"/>
        </w:rPr>
        <w:t> </w:t>
      </w:r>
      <w:r w:rsidRPr="0048036B">
        <w:rPr>
          <w:sz w:val="20"/>
          <w:shd w:val="clear" w:color="auto" w:fill="FFFFFF"/>
        </w:rPr>
        <w:t>and</w:t>
      </w:r>
      <w:r w:rsidRPr="0048036B">
        <w:rPr>
          <w:rStyle w:val="apple-converted-space"/>
          <w:sz w:val="20"/>
          <w:shd w:val="clear" w:color="auto" w:fill="FFFFFF"/>
        </w:rPr>
        <w:t> </w:t>
      </w:r>
      <w:hyperlink r:id="rId4" w:tgtFrame="_top" w:history="1">
        <w:r w:rsidRPr="0048036B">
          <w:rPr>
            <w:rStyle w:val="Hyperlink"/>
            <w:color w:val="auto"/>
            <w:sz w:val="20"/>
            <w:u w:val="none"/>
            <w:shd w:val="clear" w:color="auto" w:fill="FFFFFF"/>
          </w:rPr>
          <w:t>0.459</w:t>
        </w:r>
      </w:hyperlink>
      <w:r w:rsidRPr="0048036B">
        <w:rPr>
          <w:sz w:val="20"/>
          <w:shd w:val="clear" w:color="auto" w:fill="FFFFFF"/>
        </w:rPr>
        <w:t>.</w:t>
      </w:r>
      <w:r w:rsidRPr="0048036B">
        <w:rPr>
          <w:rStyle w:val="apple-converted-space"/>
          <w:sz w:val="20"/>
          <w:shd w:val="clear" w:color="auto" w:fill="FFFFFF"/>
        </w:rPr>
        <w:t> </w:t>
      </w:r>
    </w:p>
    <w:p w:rsidR="008E1A3D" w:rsidRDefault="008E1A3D" w:rsidP="008E1A3D">
      <w:pPr>
        <w:tabs>
          <w:tab w:val="left" w:pos="720"/>
          <w:tab w:val="left" w:pos="5760"/>
        </w:tabs>
        <w:suppressAutoHyphens/>
        <w:spacing w:line="227" w:lineRule="auto"/>
      </w:pPr>
    </w:p>
  </w:footnote>
  <w:footnote w:id="9">
    <w:p w:rsidR="00201B19" w:rsidRDefault="00201B19">
      <w:pPr>
        <w:pStyle w:val="FootnoteText"/>
      </w:pPr>
      <w:r>
        <w:rPr>
          <w:rStyle w:val="FootnoteReference"/>
        </w:rPr>
        <w:footnoteRef/>
      </w:r>
      <w:r>
        <w:t xml:space="preserve"> </w:t>
      </w:r>
      <w:r w:rsidRPr="00201B19">
        <w:rPr>
          <w:i/>
        </w:rPr>
        <w:t>See</w:t>
      </w:r>
      <w:r>
        <w:t xml:space="preserve"> International Telecommunication Union Radio Regulation 9.6.</w:t>
      </w:r>
      <w:r w:rsidR="0015367C">
        <w:t xml:space="preserve"> </w:t>
      </w:r>
      <w:r w:rsidR="0015367C" w:rsidRPr="0015367C">
        <w:t xml:space="preserve"> </w:t>
      </w:r>
    </w:p>
    <w:p w:rsidR="008E1A3D" w:rsidRDefault="008E1A3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844" w:rsidRDefault="003358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F2" w:rsidRPr="00753A08" w:rsidRDefault="006E62F2">
    <w:pPr>
      <w:tabs>
        <w:tab w:val="center" w:pos="4680"/>
        <w:tab w:val="right" w:pos="9360"/>
      </w:tabs>
      <w:suppressAutoHyphens/>
      <w:spacing w:line="227" w:lineRule="auto"/>
      <w:jc w:val="both"/>
      <w:rPr>
        <w:b/>
        <w:spacing w:val="-2"/>
      </w:rPr>
    </w:pPr>
    <w:r>
      <w:rPr>
        <w:b/>
        <w:spacing w:val="-2"/>
      </w:rPr>
      <w:tab/>
      <w:t>Federal Communications Commission</w:t>
    </w:r>
    <w:r>
      <w:rPr>
        <w:spacing w:val="-2"/>
      </w:rPr>
      <w:tab/>
    </w:r>
    <w:r w:rsidR="00753A08">
      <w:rPr>
        <w:b/>
        <w:spacing w:val="-2"/>
      </w:rPr>
      <w:t>DA 15-815</w:t>
    </w:r>
  </w:p>
  <w:p w:rsidR="006E62F2" w:rsidRDefault="00C9095E">
    <w:pPr>
      <w:tabs>
        <w:tab w:val="left" w:pos="-720"/>
      </w:tabs>
      <w:suppressAutoHyphens/>
      <w:spacing w:line="19" w:lineRule="exact"/>
      <w:jc w:val="both"/>
      <w:rPr>
        <w:spacing w:val="-2"/>
      </w:rPr>
    </w:pPr>
    <w:r>
      <w:rPr>
        <w:noProof/>
        <w:snapToGrid/>
      </w:rPr>
      <mc:AlternateContent>
        <mc:Choice Requires="wps">
          <w:drawing>
            <wp:anchor distT="0" distB="0" distL="114300" distR="114300" simplePos="0" relativeHeight="251657216" behindDoc="1" locked="0" layoutInCell="0" allowOverlap="1" wp14:anchorId="5A2BC6E4" wp14:editId="5C79F0B8">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3C3BF2"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6E62F2" w:rsidRDefault="006E62F2">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F2" w:rsidRDefault="006E62F2">
    <w:pPr>
      <w:pStyle w:val="Heading5"/>
    </w:pPr>
    <w:r>
      <w:tab/>
    </w:r>
    <w:r w:rsidR="003063F0">
      <w:t xml:space="preserve">                          Federal Communications Commission                  </w:t>
    </w:r>
    <w:r w:rsidR="00753A08">
      <w:tab/>
    </w:r>
    <w:r w:rsidR="003063F0">
      <w:t xml:space="preserve"> DA</w:t>
    </w:r>
    <w:r w:rsidR="00753A08">
      <w:t xml:space="preserve"> 15-815</w:t>
    </w:r>
    <w:r w:rsidR="003063F0">
      <w:t xml:space="preserve"> </w:t>
    </w:r>
  </w:p>
  <w:p w:rsidR="006E62F2" w:rsidRDefault="00C9095E">
    <w:pPr>
      <w:tabs>
        <w:tab w:val="left" w:pos="-720"/>
      </w:tabs>
      <w:suppressAutoHyphens/>
      <w:spacing w:line="19" w:lineRule="exact"/>
      <w:jc w:val="both"/>
      <w:rPr>
        <w:spacing w:val="-2"/>
      </w:rPr>
    </w:pPr>
    <w:r>
      <w:rPr>
        <w:noProof/>
        <w:snapToGrid/>
      </w:rPr>
      <mc:AlternateContent>
        <mc:Choice Requires="wps">
          <w:drawing>
            <wp:anchor distT="0" distB="0" distL="114300" distR="114300" simplePos="0" relativeHeight="251658240" behindDoc="1" locked="0" layoutInCell="0" allowOverlap="1" wp14:anchorId="4D149F28" wp14:editId="2B2A92FB">
              <wp:simplePos x="0" y="0"/>
              <wp:positionH relativeFrom="margin">
                <wp:posOffset>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871AE1" id="Rectangle 2"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Ay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BXEuAy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rsidR="006E62F2" w:rsidRDefault="006E62F2">
    <w:pPr>
      <w:spacing w:after="389"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CE0BC0"/>
    <w:lvl w:ilvl="0">
      <w:start w:val="1"/>
      <w:numFmt w:val="decimal"/>
      <w:lvlText w:val="%1."/>
      <w:lvlJc w:val="left"/>
      <w:pPr>
        <w:tabs>
          <w:tab w:val="num" w:pos="1800"/>
        </w:tabs>
        <w:ind w:left="1800" w:hanging="360"/>
      </w:pPr>
    </w:lvl>
  </w:abstractNum>
  <w:abstractNum w:abstractNumId="1">
    <w:nsid w:val="FFFFFF7D"/>
    <w:multiLevelType w:val="singleLevel"/>
    <w:tmpl w:val="DEB8C4BE"/>
    <w:lvl w:ilvl="0">
      <w:start w:val="1"/>
      <w:numFmt w:val="decimal"/>
      <w:lvlText w:val="%1."/>
      <w:lvlJc w:val="left"/>
      <w:pPr>
        <w:tabs>
          <w:tab w:val="num" w:pos="1440"/>
        </w:tabs>
        <w:ind w:left="1440" w:hanging="360"/>
      </w:pPr>
    </w:lvl>
  </w:abstractNum>
  <w:abstractNum w:abstractNumId="2">
    <w:nsid w:val="084B453C"/>
    <w:multiLevelType w:val="singleLevel"/>
    <w:tmpl w:val="C1B27AE8"/>
    <w:lvl w:ilvl="0">
      <w:start w:val="1"/>
      <w:numFmt w:val="decimal"/>
      <w:lvlText w:val="%1."/>
      <w:lvlJc w:val="left"/>
      <w:pPr>
        <w:tabs>
          <w:tab w:val="num" w:pos="1080"/>
        </w:tabs>
        <w:ind w:left="0" w:firstLine="720"/>
      </w:pPr>
    </w:lvl>
  </w:abstractNum>
  <w:abstractNum w:abstractNumId="3">
    <w:nsid w:val="0F4C03A9"/>
    <w:multiLevelType w:val="hybridMultilevel"/>
    <w:tmpl w:val="5ADC3578"/>
    <w:lvl w:ilvl="0" w:tplc="7DC45E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C225E"/>
    <w:multiLevelType w:val="hybridMultilevel"/>
    <w:tmpl w:val="98602186"/>
    <w:lvl w:ilvl="0" w:tplc="74F423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305E3024"/>
    <w:multiLevelType w:val="singleLevel"/>
    <w:tmpl w:val="EA9E5D9A"/>
    <w:lvl w:ilvl="0">
      <w:start w:val="2"/>
      <w:numFmt w:val="decimal"/>
      <w:lvlText w:val="%1."/>
      <w:lvlJc w:val="left"/>
      <w:pPr>
        <w:tabs>
          <w:tab w:val="num" w:pos="1080"/>
        </w:tabs>
        <w:ind w:left="0" w:firstLine="720"/>
      </w:pPr>
    </w:lvl>
  </w:abstractNum>
  <w:abstractNum w:abstractNumId="7">
    <w:nsid w:val="3A5D2F3A"/>
    <w:multiLevelType w:val="singleLevel"/>
    <w:tmpl w:val="EF60BA58"/>
    <w:lvl w:ilvl="0">
      <w:start w:val="1"/>
      <w:numFmt w:val="decimal"/>
      <w:lvlText w:val="%1."/>
      <w:lvlJc w:val="left"/>
      <w:pPr>
        <w:tabs>
          <w:tab w:val="num" w:pos="1140"/>
        </w:tabs>
        <w:ind w:left="1140" w:hanging="420"/>
      </w:pPr>
      <w:rPr>
        <w:rFonts w:hint="default"/>
      </w:rPr>
    </w:lvl>
  </w:abstractNum>
  <w:abstractNum w:abstractNumId="8">
    <w:nsid w:val="43D27EFD"/>
    <w:multiLevelType w:val="singleLevel"/>
    <w:tmpl w:val="42701C86"/>
    <w:lvl w:ilvl="0">
      <w:start w:val="1"/>
      <w:numFmt w:val="decimal"/>
      <w:pStyle w:val="Docutechnumbering"/>
      <w:lvlText w:val="%1."/>
      <w:lvlJc w:val="left"/>
      <w:pPr>
        <w:tabs>
          <w:tab w:val="num" w:pos="1440"/>
        </w:tabs>
        <w:ind w:left="1440" w:hanging="720"/>
      </w:pPr>
    </w:lvl>
  </w:abstractNum>
  <w:abstractNum w:abstractNumId="9">
    <w:nsid w:val="4AEC7E48"/>
    <w:multiLevelType w:val="hybridMultilevel"/>
    <w:tmpl w:val="E70426F4"/>
    <w:lvl w:ilvl="0" w:tplc="FA4859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861E93"/>
    <w:multiLevelType w:val="hybridMultilevel"/>
    <w:tmpl w:val="764A7652"/>
    <w:lvl w:ilvl="0" w:tplc="0C965B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FF125B"/>
    <w:multiLevelType w:val="singleLevel"/>
    <w:tmpl w:val="B1F45678"/>
    <w:lvl w:ilvl="0">
      <w:start w:val="1"/>
      <w:numFmt w:val="decimal"/>
      <w:lvlText w:val="%1."/>
      <w:lvlJc w:val="left"/>
      <w:pPr>
        <w:tabs>
          <w:tab w:val="num" w:pos="1080"/>
        </w:tabs>
        <w:ind w:left="0" w:firstLine="720"/>
      </w:pPr>
    </w:lvl>
  </w:abstractNum>
  <w:abstractNum w:abstractNumId="12">
    <w:nsid w:val="66047271"/>
    <w:multiLevelType w:val="hybridMultilevel"/>
    <w:tmpl w:val="0C62687E"/>
    <w:lvl w:ilvl="0" w:tplc="C5E8DF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E65EE5"/>
    <w:multiLevelType w:val="multilevel"/>
    <w:tmpl w:val="1E32DC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9C1522E"/>
    <w:multiLevelType w:val="hybridMultilevel"/>
    <w:tmpl w:val="FD765846"/>
    <w:lvl w:ilvl="0" w:tplc="4B44E4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3621C9"/>
    <w:multiLevelType w:val="singleLevel"/>
    <w:tmpl w:val="373411A8"/>
    <w:lvl w:ilvl="0">
      <w:start w:val="1"/>
      <w:numFmt w:val="decimal"/>
      <w:lvlText w:val="%1."/>
      <w:lvlJc w:val="left"/>
      <w:pPr>
        <w:tabs>
          <w:tab w:val="num" w:pos="1080"/>
        </w:tabs>
        <w:ind w:left="0" w:firstLine="720"/>
      </w:pPr>
    </w:lvl>
  </w:abstractNum>
  <w:num w:numId="1">
    <w:abstractNumId w:val="13"/>
  </w:num>
  <w:num w:numId="2">
    <w:abstractNumId w:val="5"/>
  </w:num>
  <w:num w:numId="3">
    <w:abstractNumId w:val="2"/>
  </w:num>
  <w:num w:numId="4">
    <w:abstractNumId w:val="11"/>
  </w:num>
  <w:num w:numId="5">
    <w:abstractNumId w:val="15"/>
  </w:num>
  <w:num w:numId="6">
    <w:abstractNumId w:val="6"/>
  </w:num>
  <w:num w:numId="7">
    <w:abstractNumId w:val="7"/>
  </w:num>
  <w:num w:numId="8">
    <w:abstractNumId w:val="8"/>
  </w:num>
  <w:num w:numId="9">
    <w:abstractNumId w:val="1"/>
  </w:num>
  <w:num w:numId="10">
    <w:abstractNumId w:val="0"/>
  </w:num>
  <w:num w:numId="11">
    <w:abstractNumId w:val="9"/>
  </w:num>
  <w:num w:numId="12">
    <w:abstractNumId w:val="10"/>
  </w:num>
  <w:num w:numId="13">
    <w:abstractNumId w:val="3"/>
  </w:num>
  <w:num w:numId="14">
    <w:abstractNumId w:val="12"/>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BDF"/>
    <w:rsid w:val="00055C2D"/>
    <w:rsid w:val="00065A15"/>
    <w:rsid w:val="000B7DA5"/>
    <w:rsid w:val="000D1D85"/>
    <w:rsid w:val="000F4710"/>
    <w:rsid w:val="00120FEB"/>
    <w:rsid w:val="00121621"/>
    <w:rsid w:val="001269C2"/>
    <w:rsid w:val="0015367C"/>
    <w:rsid w:val="001A583C"/>
    <w:rsid w:val="001C349C"/>
    <w:rsid w:val="001C4B9A"/>
    <w:rsid w:val="00201B19"/>
    <w:rsid w:val="002362CB"/>
    <w:rsid w:val="002512E6"/>
    <w:rsid w:val="00271F37"/>
    <w:rsid w:val="00273F2F"/>
    <w:rsid w:val="002A252F"/>
    <w:rsid w:val="002C1C67"/>
    <w:rsid w:val="003063F0"/>
    <w:rsid w:val="00307920"/>
    <w:rsid w:val="003320F3"/>
    <w:rsid w:val="00335844"/>
    <w:rsid w:val="00362AC9"/>
    <w:rsid w:val="00394AE0"/>
    <w:rsid w:val="00395148"/>
    <w:rsid w:val="0040240B"/>
    <w:rsid w:val="00420CDF"/>
    <w:rsid w:val="00452BE6"/>
    <w:rsid w:val="004550EF"/>
    <w:rsid w:val="00466464"/>
    <w:rsid w:val="0048036B"/>
    <w:rsid w:val="005312F3"/>
    <w:rsid w:val="00573968"/>
    <w:rsid w:val="00597781"/>
    <w:rsid w:val="005A2291"/>
    <w:rsid w:val="005A341E"/>
    <w:rsid w:val="005A5950"/>
    <w:rsid w:val="005B1608"/>
    <w:rsid w:val="005C03BA"/>
    <w:rsid w:val="006038F0"/>
    <w:rsid w:val="00620B30"/>
    <w:rsid w:val="006242E7"/>
    <w:rsid w:val="006A5ABA"/>
    <w:rsid w:val="006A6A5E"/>
    <w:rsid w:val="006C4274"/>
    <w:rsid w:val="006E196C"/>
    <w:rsid w:val="006E62F2"/>
    <w:rsid w:val="006F54C8"/>
    <w:rsid w:val="007231F2"/>
    <w:rsid w:val="00753A08"/>
    <w:rsid w:val="00770403"/>
    <w:rsid w:val="007709C4"/>
    <w:rsid w:val="00772E63"/>
    <w:rsid w:val="0078663D"/>
    <w:rsid w:val="00793AAC"/>
    <w:rsid w:val="007E7337"/>
    <w:rsid w:val="00804006"/>
    <w:rsid w:val="00811D22"/>
    <w:rsid w:val="00852C0D"/>
    <w:rsid w:val="00856A3D"/>
    <w:rsid w:val="00886A08"/>
    <w:rsid w:val="008A767F"/>
    <w:rsid w:val="008B6F66"/>
    <w:rsid w:val="008C4ABB"/>
    <w:rsid w:val="008E1A3D"/>
    <w:rsid w:val="008E3FEE"/>
    <w:rsid w:val="008F2D50"/>
    <w:rsid w:val="0090021A"/>
    <w:rsid w:val="00930CDA"/>
    <w:rsid w:val="00971695"/>
    <w:rsid w:val="00976315"/>
    <w:rsid w:val="009819AD"/>
    <w:rsid w:val="009C0241"/>
    <w:rsid w:val="009C42CB"/>
    <w:rsid w:val="009C4BD8"/>
    <w:rsid w:val="009E1B1F"/>
    <w:rsid w:val="00A17787"/>
    <w:rsid w:val="00A21B99"/>
    <w:rsid w:val="00A25646"/>
    <w:rsid w:val="00A26832"/>
    <w:rsid w:val="00A33180"/>
    <w:rsid w:val="00A6734E"/>
    <w:rsid w:val="00A732DC"/>
    <w:rsid w:val="00A83BF2"/>
    <w:rsid w:val="00AC1716"/>
    <w:rsid w:val="00B11FB4"/>
    <w:rsid w:val="00B17C27"/>
    <w:rsid w:val="00B21CA1"/>
    <w:rsid w:val="00B26752"/>
    <w:rsid w:val="00B44793"/>
    <w:rsid w:val="00B77422"/>
    <w:rsid w:val="00B9647D"/>
    <w:rsid w:val="00B97057"/>
    <w:rsid w:val="00BA4535"/>
    <w:rsid w:val="00BB6084"/>
    <w:rsid w:val="00BC0AE4"/>
    <w:rsid w:val="00BE2757"/>
    <w:rsid w:val="00BE6BD6"/>
    <w:rsid w:val="00C00AD5"/>
    <w:rsid w:val="00C327F0"/>
    <w:rsid w:val="00C431F4"/>
    <w:rsid w:val="00C43B1B"/>
    <w:rsid w:val="00C662F8"/>
    <w:rsid w:val="00C9095E"/>
    <w:rsid w:val="00C922CD"/>
    <w:rsid w:val="00C95085"/>
    <w:rsid w:val="00CB0C85"/>
    <w:rsid w:val="00CE6BDF"/>
    <w:rsid w:val="00D02303"/>
    <w:rsid w:val="00D26D9D"/>
    <w:rsid w:val="00D3026F"/>
    <w:rsid w:val="00D30441"/>
    <w:rsid w:val="00D31AF1"/>
    <w:rsid w:val="00D540F3"/>
    <w:rsid w:val="00DF2608"/>
    <w:rsid w:val="00E1070E"/>
    <w:rsid w:val="00E60EC6"/>
    <w:rsid w:val="00E772D0"/>
    <w:rsid w:val="00E8099F"/>
    <w:rsid w:val="00E844BE"/>
    <w:rsid w:val="00E86D9D"/>
    <w:rsid w:val="00E9346B"/>
    <w:rsid w:val="00EA06C2"/>
    <w:rsid w:val="00EB0172"/>
    <w:rsid w:val="00EE6651"/>
    <w:rsid w:val="00EF7416"/>
    <w:rsid w:val="00F0512E"/>
    <w:rsid w:val="00F30CC0"/>
    <w:rsid w:val="00F33D36"/>
    <w:rsid w:val="00F70E6D"/>
    <w:rsid w:val="00FA44C4"/>
    <w:rsid w:val="00FC3A10"/>
    <w:rsid w:val="00FC486C"/>
    <w:rsid w:val="00FC68B9"/>
    <w:rsid w:val="00FF5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2"/>
    </w:rPr>
  </w:style>
  <w:style w:type="paragraph" w:styleId="Heading1">
    <w:name w:val="heading 1"/>
    <w:basedOn w:val="Normal"/>
    <w:next w:val="Normal"/>
    <w:qFormat/>
    <w:pPr>
      <w:keepNext/>
      <w:tabs>
        <w:tab w:val="left" w:pos="-720"/>
      </w:tabs>
      <w:suppressAutoHyphens/>
      <w:spacing w:line="227" w:lineRule="auto"/>
      <w:jc w:val="center"/>
      <w:outlineLvl w:val="0"/>
    </w:pPr>
    <w:rPr>
      <w:b/>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keepNext/>
      <w:tabs>
        <w:tab w:val="center" w:pos="4680"/>
        <w:tab w:val="right" w:pos="9360"/>
      </w:tabs>
      <w:suppressAutoHyphens/>
      <w:spacing w:line="227" w:lineRule="auto"/>
      <w:jc w:val="both"/>
      <w:outlineLvl w:val="4"/>
    </w:pPr>
    <w:rPr>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character" w:customStyle="1" w:styleId="apple-converted-space">
    <w:name w:val="apple-converted-space"/>
    <w:rsid w:val="00A17787"/>
  </w:style>
  <w:style w:type="paragraph" w:customStyle="1" w:styleId="Docutechnumbering">
    <w:name w:val="Docutech numbering"/>
    <w:basedOn w:val="Normal"/>
    <w:pPr>
      <w:numPr>
        <w:numId w:val="8"/>
      </w:numPr>
      <w:spacing w:after="120"/>
      <w:ind w:left="0" w:firstLine="720"/>
      <w:outlineLvl w:val="0"/>
    </w:pPr>
  </w:style>
  <w:style w:type="character" w:styleId="Hyperlink">
    <w:name w:val="Hyperlink"/>
    <w:uiPriority w:val="99"/>
    <w:semiHidden/>
    <w:unhideWhenUsed/>
    <w:rsid w:val="00A17787"/>
    <w:rPr>
      <w:color w:val="0000FF"/>
      <w:u w:val="single"/>
    </w:rPr>
  </w:style>
  <w:style w:type="character" w:customStyle="1" w:styleId="searchterm">
    <w:name w:val="searchterm"/>
    <w:rsid w:val="00A17787"/>
  </w:style>
  <w:style w:type="character" w:styleId="CommentReference">
    <w:name w:val="annotation reference"/>
    <w:uiPriority w:val="99"/>
    <w:semiHidden/>
    <w:unhideWhenUsed/>
    <w:rsid w:val="00E9346B"/>
    <w:rPr>
      <w:sz w:val="16"/>
      <w:szCs w:val="16"/>
    </w:rPr>
  </w:style>
  <w:style w:type="paragraph" w:styleId="CommentText">
    <w:name w:val="annotation text"/>
    <w:basedOn w:val="Normal"/>
    <w:link w:val="CommentTextChar"/>
    <w:uiPriority w:val="99"/>
    <w:semiHidden/>
    <w:unhideWhenUsed/>
    <w:rsid w:val="00E9346B"/>
    <w:rPr>
      <w:sz w:val="20"/>
    </w:rPr>
  </w:style>
  <w:style w:type="character" w:customStyle="1" w:styleId="CommentTextChar">
    <w:name w:val="Comment Text Char"/>
    <w:link w:val="CommentText"/>
    <w:uiPriority w:val="99"/>
    <w:semiHidden/>
    <w:rsid w:val="00E9346B"/>
    <w:rPr>
      <w:snapToGrid w:val="0"/>
    </w:rPr>
  </w:style>
  <w:style w:type="paragraph" w:styleId="CommentSubject">
    <w:name w:val="annotation subject"/>
    <w:basedOn w:val="CommentText"/>
    <w:next w:val="CommentText"/>
    <w:link w:val="CommentSubjectChar"/>
    <w:uiPriority w:val="99"/>
    <w:semiHidden/>
    <w:unhideWhenUsed/>
    <w:rsid w:val="00E9346B"/>
    <w:rPr>
      <w:b/>
      <w:bCs/>
    </w:rPr>
  </w:style>
  <w:style w:type="character" w:customStyle="1" w:styleId="CommentSubjectChar">
    <w:name w:val="Comment Subject Char"/>
    <w:link w:val="CommentSubject"/>
    <w:uiPriority w:val="99"/>
    <w:semiHidden/>
    <w:rsid w:val="00E9346B"/>
    <w:rPr>
      <w:b/>
      <w:bCs/>
      <w:snapToGrid w:val="0"/>
    </w:rPr>
  </w:style>
  <w:style w:type="paragraph" w:styleId="BalloonText">
    <w:name w:val="Balloon Text"/>
    <w:basedOn w:val="Normal"/>
    <w:link w:val="BalloonTextChar"/>
    <w:uiPriority w:val="99"/>
    <w:semiHidden/>
    <w:unhideWhenUsed/>
    <w:rsid w:val="00E9346B"/>
    <w:rPr>
      <w:rFonts w:ascii="Segoe UI" w:hAnsi="Segoe UI" w:cs="Segoe UI"/>
      <w:sz w:val="18"/>
      <w:szCs w:val="18"/>
    </w:rPr>
  </w:style>
  <w:style w:type="character" w:customStyle="1" w:styleId="BalloonTextChar">
    <w:name w:val="Balloon Text Char"/>
    <w:link w:val="BalloonText"/>
    <w:uiPriority w:val="99"/>
    <w:semiHidden/>
    <w:rsid w:val="00E9346B"/>
    <w:rPr>
      <w:rFonts w:ascii="Segoe UI" w:hAnsi="Segoe UI" w:cs="Segoe UI"/>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2"/>
    </w:rPr>
  </w:style>
  <w:style w:type="paragraph" w:styleId="Heading1">
    <w:name w:val="heading 1"/>
    <w:basedOn w:val="Normal"/>
    <w:next w:val="Normal"/>
    <w:qFormat/>
    <w:pPr>
      <w:keepNext/>
      <w:tabs>
        <w:tab w:val="left" w:pos="-720"/>
      </w:tabs>
      <w:suppressAutoHyphens/>
      <w:spacing w:line="227" w:lineRule="auto"/>
      <w:jc w:val="center"/>
      <w:outlineLvl w:val="0"/>
    </w:pPr>
    <w:rPr>
      <w:b/>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keepNext/>
      <w:tabs>
        <w:tab w:val="center" w:pos="4680"/>
        <w:tab w:val="right" w:pos="9360"/>
      </w:tabs>
      <w:suppressAutoHyphens/>
      <w:spacing w:line="227" w:lineRule="auto"/>
      <w:jc w:val="both"/>
      <w:outlineLvl w:val="4"/>
    </w:pPr>
    <w:rPr>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character" w:customStyle="1" w:styleId="apple-converted-space">
    <w:name w:val="apple-converted-space"/>
    <w:rsid w:val="00A17787"/>
  </w:style>
  <w:style w:type="paragraph" w:customStyle="1" w:styleId="Docutechnumbering">
    <w:name w:val="Docutech numbering"/>
    <w:basedOn w:val="Normal"/>
    <w:pPr>
      <w:numPr>
        <w:numId w:val="8"/>
      </w:numPr>
      <w:spacing w:after="120"/>
      <w:ind w:left="0" w:firstLine="720"/>
      <w:outlineLvl w:val="0"/>
    </w:pPr>
  </w:style>
  <w:style w:type="character" w:styleId="Hyperlink">
    <w:name w:val="Hyperlink"/>
    <w:uiPriority w:val="99"/>
    <w:semiHidden/>
    <w:unhideWhenUsed/>
    <w:rsid w:val="00A17787"/>
    <w:rPr>
      <w:color w:val="0000FF"/>
      <w:u w:val="single"/>
    </w:rPr>
  </w:style>
  <w:style w:type="character" w:customStyle="1" w:styleId="searchterm">
    <w:name w:val="searchterm"/>
    <w:rsid w:val="00A17787"/>
  </w:style>
  <w:style w:type="character" w:styleId="CommentReference">
    <w:name w:val="annotation reference"/>
    <w:uiPriority w:val="99"/>
    <w:semiHidden/>
    <w:unhideWhenUsed/>
    <w:rsid w:val="00E9346B"/>
    <w:rPr>
      <w:sz w:val="16"/>
      <w:szCs w:val="16"/>
    </w:rPr>
  </w:style>
  <w:style w:type="paragraph" w:styleId="CommentText">
    <w:name w:val="annotation text"/>
    <w:basedOn w:val="Normal"/>
    <w:link w:val="CommentTextChar"/>
    <w:uiPriority w:val="99"/>
    <w:semiHidden/>
    <w:unhideWhenUsed/>
    <w:rsid w:val="00E9346B"/>
    <w:rPr>
      <w:sz w:val="20"/>
    </w:rPr>
  </w:style>
  <w:style w:type="character" w:customStyle="1" w:styleId="CommentTextChar">
    <w:name w:val="Comment Text Char"/>
    <w:link w:val="CommentText"/>
    <w:uiPriority w:val="99"/>
    <w:semiHidden/>
    <w:rsid w:val="00E9346B"/>
    <w:rPr>
      <w:snapToGrid w:val="0"/>
    </w:rPr>
  </w:style>
  <w:style w:type="paragraph" w:styleId="CommentSubject">
    <w:name w:val="annotation subject"/>
    <w:basedOn w:val="CommentText"/>
    <w:next w:val="CommentText"/>
    <w:link w:val="CommentSubjectChar"/>
    <w:uiPriority w:val="99"/>
    <w:semiHidden/>
    <w:unhideWhenUsed/>
    <w:rsid w:val="00E9346B"/>
    <w:rPr>
      <w:b/>
      <w:bCs/>
    </w:rPr>
  </w:style>
  <w:style w:type="character" w:customStyle="1" w:styleId="CommentSubjectChar">
    <w:name w:val="Comment Subject Char"/>
    <w:link w:val="CommentSubject"/>
    <w:uiPriority w:val="99"/>
    <w:semiHidden/>
    <w:rsid w:val="00E9346B"/>
    <w:rPr>
      <w:b/>
      <w:bCs/>
      <w:snapToGrid w:val="0"/>
    </w:rPr>
  </w:style>
  <w:style w:type="paragraph" w:styleId="BalloonText">
    <w:name w:val="Balloon Text"/>
    <w:basedOn w:val="Normal"/>
    <w:link w:val="BalloonTextChar"/>
    <w:uiPriority w:val="99"/>
    <w:semiHidden/>
    <w:unhideWhenUsed/>
    <w:rsid w:val="00E9346B"/>
    <w:rPr>
      <w:rFonts w:ascii="Segoe UI" w:hAnsi="Segoe UI" w:cs="Segoe UI"/>
      <w:sz w:val="18"/>
      <w:szCs w:val="18"/>
    </w:rPr>
  </w:style>
  <w:style w:type="character" w:customStyle="1" w:styleId="BalloonTextChar">
    <w:name w:val="Balloon Text Char"/>
    <w:link w:val="BalloonText"/>
    <w:uiPriority w:val="99"/>
    <w:semiHidden/>
    <w:rsid w:val="00E9346B"/>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2.westlaw.com/find/default.wl?mt=Westlaw&amp;db=1000547&amp;docname=47CFRS0.261&amp;rp=%2ffind%2fdefault.wl&amp;findtype=L&amp;ordoc=2027818414&amp;tc=-1&amp;vr=2.0&amp;fn=_top&amp;sv=Split&amp;tf=-1&amp;pbc=3A56D0A0&amp;rs=WLW15.04"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eb2.westlaw.com/find/default.wl?mt=Westlaw&amp;db=1000547&amp;docname=47CFRS0.457&amp;rp=%2ffind%2fdefault.wl&amp;findtype=L&amp;ordoc=2022240805&amp;tc=-1&amp;vr=2.0&amp;fn=_top&amp;sv=Split&amp;tf=-1&amp;pbc=810314AB&amp;rs=WLW15.04" TargetMode="External"/><Relationship Id="rId2" Type="http://schemas.openxmlformats.org/officeDocument/2006/relationships/hyperlink" Target="https://web2.westlaw.com/find/default.wl?mt=Westlaw&amp;db=1000547&amp;docname=47CFRS0.459&amp;rp=%2ffind%2fdefault.wl&amp;findtype=L&amp;ordoc=2022240805&amp;tc=-1&amp;vr=2.0&amp;fn=_top&amp;sv=Split&amp;tf=-1&amp;pbc=810314AB&amp;rs=WLW15.04" TargetMode="External"/><Relationship Id="rId1" Type="http://schemas.openxmlformats.org/officeDocument/2006/relationships/hyperlink" Target="https://web2.westlaw.com/find/default.wl?mt=Westlaw&amp;db=1000547&amp;docname=47CFRS0.457&amp;rp=%2ffind%2fdefault.wl&amp;findtype=L&amp;ordoc=2022240805&amp;tc=-1&amp;vr=2.0&amp;fn=_top&amp;sv=Split&amp;tf=-1&amp;pbc=810314AB&amp;rs=WLW15.04" TargetMode="External"/><Relationship Id="rId4" Type="http://schemas.openxmlformats.org/officeDocument/2006/relationships/hyperlink" Target="https://web2.westlaw.com/find/default.wl?mt=Westlaw&amp;db=1000547&amp;docname=47CFRS0.459&amp;rp=%2ffind%2fdefault.wl&amp;findtype=L&amp;ordoc=2022240805&amp;tc=-1&amp;vr=2.0&amp;fn=_top&amp;sv=Split&amp;tf=-1&amp;pbc=810314AB&amp;rs=WLW15.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4192</Characters>
  <Application>Microsoft Office Word</Application>
  <DocSecurity>0</DocSecurity>
  <Lines>103</Lines>
  <Paragraphs>32</Paragraphs>
  <ScaleCrop>false</ScaleCrop>
  <HeadingPairs>
    <vt:vector size="2" baseType="variant">
      <vt:variant>
        <vt:lpstr>Title</vt:lpstr>
      </vt:variant>
      <vt:variant>
        <vt:i4>1</vt:i4>
      </vt:variant>
    </vt:vector>
  </HeadingPairs>
  <TitlesOfParts>
    <vt:vector size="1" baseType="lpstr">
      <vt:lpstr>errata</vt:lpstr>
    </vt:vector>
  </TitlesOfParts>
  <Manager/>
  <Company/>
  <LinksUpToDate>false</LinksUpToDate>
  <CharactersWithSpaces>5258</CharactersWithSpaces>
  <SharedDoc>false</SharedDoc>
  <HyperlinkBase> </HyperlinkBase>
  <HLinks>
    <vt:vector size="30" baseType="variant">
      <vt:variant>
        <vt:i4>5439613</vt:i4>
      </vt:variant>
      <vt:variant>
        <vt:i4>20</vt:i4>
      </vt:variant>
      <vt:variant>
        <vt:i4>0</vt:i4>
      </vt:variant>
      <vt:variant>
        <vt:i4>5</vt:i4>
      </vt:variant>
      <vt:variant>
        <vt:lpwstr>https://web2.westlaw.com/find/default.wl?mt=Westlaw&amp;db=1000547&amp;docname=47CFRS0.261&amp;rp=%2ffind%2fdefault.wl&amp;findtype=L&amp;ordoc=2027818414&amp;tc=-1&amp;vr=2.0&amp;fn=_top&amp;sv=Split&amp;tf=-1&amp;pbc=3A56D0A0&amp;rs=WLW15.04</vt:lpwstr>
      </vt:variant>
      <vt:variant>
        <vt:lpwstr/>
      </vt:variant>
      <vt:variant>
        <vt:i4>721022</vt:i4>
      </vt:variant>
      <vt:variant>
        <vt:i4>9</vt:i4>
      </vt:variant>
      <vt:variant>
        <vt:i4>0</vt:i4>
      </vt:variant>
      <vt:variant>
        <vt:i4>5</vt:i4>
      </vt:variant>
      <vt:variant>
        <vt:lpwstr>https://web2.westlaw.com/find/default.wl?mt=Westlaw&amp;db=1000547&amp;docname=47CFRS0.459&amp;rp=%2ffind%2fdefault.wl&amp;findtype=L&amp;ordoc=2022240805&amp;tc=-1&amp;vr=2.0&amp;fn=_top&amp;sv=Split&amp;tf=-1&amp;pbc=810314AB&amp;rs=WLW15.04</vt:lpwstr>
      </vt:variant>
      <vt:variant>
        <vt:lpwstr/>
      </vt:variant>
      <vt:variant>
        <vt:i4>327806</vt:i4>
      </vt:variant>
      <vt:variant>
        <vt:i4>6</vt:i4>
      </vt:variant>
      <vt:variant>
        <vt:i4>0</vt:i4>
      </vt:variant>
      <vt:variant>
        <vt:i4>5</vt:i4>
      </vt:variant>
      <vt:variant>
        <vt:lpwstr>https://web2.westlaw.com/find/default.wl?mt=Westlaw&amp;db=1000547&amp;docname=47CFRS0.457&amp;rp=%2ffind%2fdefault.wl&amp;findtype=L&amp;ordoc=2022240805&amp;tc=-1&amp;vr=2.0&amp;fn=_top&amp;sv=Split&amp;tf=-1&amp;pbc=810314AB&amp;rs=WLW15.04</vt:lpwstr>
      </vt:variant>
      <vt:variant>
        <vt:lpwstr/>
      </vt:variant>
      <vt:variant>
        <vt:i4>721022</vt:i4>
      </vt:variant>
      <vt:variant>
        <vt:i4>3</vt:i4>
      </vt:variant>
      <vt:variant>
        <vt:i4>0</vt:i4>
      </vt:variant>
      <vt:variant>
        <vt:i4>5</vt:i4>
      </vt:variant>
      <vt:variant>
        <vt:lpwstr>https://web2.westlaw.com/find/default.wl?mt=Westlaw&amp;db=1000547&amp;docname=47CFRS0.459&amp;rp=%2ffind%2fdefault.wl&amp;findtype=L&amp;ordoc=2022240805&amp;tc=-1&amp;vr=2.0&amp;fn=_top&amp;sv=Split&amp;tf=-1&amp;pbc=810314AB&amp;rs=WLW15.04</vt:lpwstr>
      </vt:variant>
      <vt:variant>
        <vt:lpwstr/>
      </vt:variant>
      <vt:variant>
        <vt:i4>327806</vt:i4>
      </vt:variant>
      <vt:variant>
        <vt:i4>0</vt:i4>
      </vt:variant>
      <vt:variant>
        <vt:i4>0</vt:i4>
      </vt:variant>
      <vt:variant>
        <vt:i4>5</vt:i4>
      </vt:variant>
      <vt:variant>
        <vt:lpwstr>https://web2.westlaw.com/find/default.wl?mt=Westlaw&amp;db=1000547&amp;docname=47CFRS0.457&amp;rp=%2ffind%2fdefault.wl&amp;findtype=L&amp;ordoc=2022240805&amp;tc=-1&amp;vr=2.0&amp;fn=_top&amp;sv=Split&amp;tf=-1&amp;pbc=810314AB&amp;rs=WLW15.04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2015-07-14T17:25:00Z</cp:lastPrinted>
  <dcterms:created xsi:type="dcterms:W3CDTF">2015-07-15T19:21:00Z</dcterms:created>
  <dcterms:modified xsi:type="dcterms:W3CDTF">2015-07-15T19:21:00Z</dcterms:modified>
  <cp:category> </cp:category>
  <cp:contentStatus> </cp:contentStatus>
</cp:coreProperties>
</file>