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FB" w:rsidRPr="00502A8F" w:rsidRDefault="004C07FB" w:rsidP="004C07FB">
      <w:pPr>
        <w:tabs>
          <w:tab w:val="center" w:pos="4680"/>
        </w:tabs>
        <w:suppressAutoHyphens/>
        <w:spacing w:line="240" w:lineRule="atLeast"/>
        <w:jc w:val="both"/>
        <w:outlineLvl w:val="0"/>
        <w:rPr>
          <w:b/>
          <w:spacing w:val="-2"/>
          <w:sz w:val="22"/>
          <w:szCs w:val="22"/>
        </w:rPr>
      </w:pPr>
      <w:bookmarkStart w:id="0" w:name="_GoBack"/>
      <w:bookmarkEnd w:id="0"/>
      <w:r w:rsidRPr="00502A8F">
        <w:rPr>
          <w:b/>
          <w:spacing w:val="-2"/>
          <w:sz w:val="22"/>
          <w:szCs w:val="22"/>
        </w:rPr>
        <w:tab/>
        <w:t>Before the</w:t>
      </w:r>
      <w:r w:rsidRPr="00502A8F">
        <w:rPr>
          <w:b/>
          <w:spacing w:val="-2"/>
          <w:sz w:val="22"/>
          <w:szCs w:val="22"/>
        </w:rPr>
        <w:fldChar w:fldCharType="begin"/>
      </w:r>
      <w:r w:rsidRPr="00502A8F">
        <w:rPr>
          <w:b/>
          <w:spacing w:val="-2"/>
          <w:sz w:val="22"/>
          <w:szCs w:val="22"/>
        </w:rPr>
        <w:instrText xml:space="preserve">PRIVATE </w:instrText>
      </w:r>
      <w:r w:rsidRPr="00502A8F">
        <w:rPr>
          <w:b/>
          <w:spacing w:val="-2"/>
          <w:sz w:val="22"/>
          <w:szCs w:val="22"/>
        </w:rPr>
        <w:fldChar w:fldCharType="end"/>
      </w:r>
    </w:p>
    <w:p w:rsidR="004C07FB" w:rsidRPr="00502A8F" w:rsidRDefault="004C07FB" w:rsidP="004C07FB">
      <w:pPr>
        <w:tabs>
          <w:tab w:val="center" w:pos="4680"/>
        </w:tabs>
        <w:suppressAutoHyphens/>
        <w:spacing w:line="240" w:lineRule="atLeast"/>
        <w:jc w:val="both"/>
        <w:outlineLvl w:val="0"/>
        <w:rPr>
          <w:b/>
          <w:spacing w:val="-2"/>
          <w:sz w:val="22"/>
          <w:szCs w:val="22"/>
        </w:rPr>
      </w:pPr>
      <w:r w:rsidRPr="00502A8F">
        <w:rPr>
          <w:b/>
          <w:spacing w:val="-2"/>
          <w:sz w:val="22"/>
          <w:szCs w:val="22"/>
        </w:rPr>
        <w:tab/>
        <w:t>Federal Communications Commission</w:t>
      </w:r>
    </w:p>
    <w:p w:rsidR="004C07FB" w:rsidRPr="00502A8F" w:rsidRDefault="004C07FB" w:rsidP="004C07FB">
      <w:pPr>
        <w:tabs>
          <w:tab w:val="center" w:pos="4680"/>
        </w:tabs>
        <w:suppressAutoHyphens/>
        <w:spacing w:line="240" w:lineRule="atLeast"/>
        <w:jc w:val="both"/>
        <w:outlineLvl w:val="0"/>
        <w:rPr>
          <w:b/>
          <w:spacing w:val="-2"/>
          <w:sz w:val="22"/>
          <w:szCs w:val="22"/>
        </w:rPr>
      </w:pPr>
      <w:r w:rsidRPr="00502A8F">
        <w:rPr>
          <w:b/>
          <w:spacing w:val="-2"/>
          <w:sz w:val="22"/>
          <w:szCs w:val="22"/>
        </w:rPr>
        <w:tab/>
      </w:r>
      <w:smartTag w:uri="urn:schemas-microsoft-com:office:smarttags" w:element="place">
        <w:smartTag w:uri="urn:schemas-microsoft-com:office:smarttags" w:element="City">
          <w:r w:rsidRPr="00502A8F">
            <w:rPr>
              <w:b/>
              <w:spacing w:val="-2"/>
              <w:sz w:val="22"/>
              <w:szCs w:val="22"/>
            </w:rPr>
            <w:t>Washington</w:t>
          </w:r>
        </w:smartTag>
        <w:r w:rsidRPr="00502A8F">
          <w:rPr>
            <w:b/>
            <w:spacing w:val="-2"/>
            <w:sz w:val="22"/>
            <w:szCs w:val="22"/>
          </w:rPr>
          <w:t xml:space="preserve">, </w:t>
        </w:r>
        <w:smartTag w:uri="urn:schemas-microsoft-com:office:smarttags" w:element="State">
          <w:r w:rsidRPr="00502A8F">
            <w:rPr>
              <w:b/>
              <w:spacing w:val="-2"/>
              <w:sz w:val="22"/>
              <w:szCs w:val="22"/>
            </w:rPr>
            <w:t>D.C.</w:t>
          </w:r>
        </w:smartTag>
        <w:r w:rsidRPr="00502A8F">
          <w:rPr>
            <w:b/>
            <w:spacing w:val="-2"/>
            <w:sz w:val="22"/>
            <w:szCs w:val="22"/>
          </w:rPr>
          <w:t xml:space="preserve"> </w:t>
        </w:r>
        <w:smartTag w:uri="urn:schemas-microsoft-com:office:smarttags" w:element="PostalCode">
          <w:r w:rsidRPr="00502A8F">
            <w:rPr>
              <w:b/>
              <w:spacing w:val="-2"/>
              <w:sz w:val="22"/>
              <w:szCs w:val="22"/>
            </w:rPr>
            <w:t>20554</w:t>
          </w:r>
        </w:smartTag>
      </w:smartTag>
    </w:p>
    <w:p w:rsidR="004C07FB" w:rsidRPr="00502A8F" w:rsidRDefault="004C07FB" w:rsidP="004C07FB">
      <w:pPr>
        <w:tabs>
          <w:tab w:val="center" w:pos="4680"/>
        </w:tabs>
        <w:suppressAutoHyphens/>
        <w:spacing w:line="240" w:lineRule="atLeast"/>
        <w:jc w:val="both"/>
        <w:outlineLvl w:val="0"/>
        <w:rPr>
          <w:b/>
          <w:spacing w:val="-2"/>
          <w:sz w:val="22"/>
          <w:szCs w:val="22"/>
        </w:rPr>
      </w:pPr>
    </w:p>
    <w:tbl>
      <w:tblPr>
        <w:tblW w:w="0" w:type="auto"/>
        <w:tblLayout w:type="fixed"/>
        <w:tblLook w:val="0000" w:firstRow="0" w:lastRow="0" w:firstColumn="0" w:lastColumn="0" w:noHBand="0" w:noVBand="0"/>
      </w:tblPr>
      <w:tblGrid>
        <w:gridCol w:w="4698"/>
        <w:gridCol w:w="630"/>
        <w:gridCol w:w="4248"/>
      </w:tblGrid>
      <w:tr w:rsidR="004C07FB" w:rsidRPr="00502A8F" w:rsidTr="0033539C">
        <w:tc>
          <w:tcPr>
            <w:tcW w:w="4698" w:type="dxa"/>
          </w:tcPr>
          <w:p w:rsidR="004C07FB" w:rsidRPr="00502A8F" w:rsidRDefault="004C07FB" w:rsidP="0033539C">
            <w:pPr>
              <w:tabs>
                <w:tab w:val="center" w:pos="4680"/>
              </w:tabs>
              <w:suppressAutoHyphens/>
              <w:rPr>
                <w:spacing w:val="-2"/>
                <w:sz w:val="22"/>
                <w:szCs w:val="22"/>
              </w:rPr>
            </w:pPr>
            <w:r w:rsidRPr="00502A8F">
              <w:rPr>
                <w:spacing w:val="-2"/>
                <w:sz w:val="22"/>
                <w:szCs w:val="22"/>
              </w:rPr>
              <w:t>In the Matter of</w:t>
            </w:r>
            <w:r>
              <w:rPr>
                <w:spacing w:val="-2"/>
                <w:sz w:val="22"/>
                <w:szCs w:val="22"/>
              </w:rPr>
              <w:t>:</w:t>
            </w:r>
          </w:p>
          <w:p w:rsidR="004C07FB" w:rsidRPr="00502A8F" w:rsidRDefault="004C07FB" w:rsidP="0033539C">
            <w:pPr>
              <w:pStyle w:val="TOAHeading"/>
              <w:tabs>
                <w:tab w:val="clear" w:pos="9360"/>
                <w:tab w:val="center" w:pos="4680"/>
              </w:tabs>
              <w:rPr>
                <w:spacing w:val="-2"/>
                <w:szCs w:val="22"/>
              </w:rPr>
            </w:pPr>
          </w:p>
          <w:p w:rsidR="004C07FB" w:rsidRPr="00502A8F" w:rsidRDefault="00762B2B" w:rsidP="0033539C">
            <w:pPr>
              <w:rPr>
                <w:sz w:val="22"/>
                <w:szCs w:val="22"/>
              </w:rPr>
            </w:pPr>
            <w:r>
              <w:rPr>
                <w:sz w:val="22"/>
                <w:szCs w:val="22"/>
              </w:rPr>
              <w:t>KTGF License Corporation</w:t>
            </w:r>
          </w:p>
          <w:p w:rsidR="004C07FB" w:rsidRPr="00502A8F" w:rsidRDefault="004C07FB" w:rsidP="0033539C">
            <w:pPr>
              <w:rPr>
                <w:sz w:val="22"/>
                <w:szCs w:val="22"/>
              </w:rPr>
            </w:pPr>
            <w:r>
              <w:rPr>
                <w:sz w:val="22"/>
                <w:szCs w:val="22"/>
              </w:rPr>
              <w:t xml:space="preserve">Licensee of Station </w:t>
            </w:r>
            <w:r w:rsidR="00762B2B">
              <w:rPr>
                <w:sz w:val="22"/>
                <w:szCs w:val="22"/>
              </w:rPr>
              <w:t>KTGF</w:t>
            </w:r>
          </w:p>
          <w:p w:rsidR="004C07FB" w:rsidRPr="00502A8F" w:rsidRDefault="00762B2B" w:rsidP="0033539C">
            <w:pPr>
              <w:rPr>
                <w:sz w:val="22"/>
                <w:szCs w:val="22"/>
              </w:rPr>
            </w:pPr>
            <w:r>
              <w:rPr>
                <w:sz w:val="22"/>
                <w:szCs w:val="22"/>
              </w:rPr>
              <w:t xml:space="preserve">Great Falls, Montana </w:t>
            </w:r>
            <w:r w:rsidR="004C07FB">
              <w:rPr>
                <w:sz w:val="22"/>
                <w:szCs w:val="22"/>
              </w:rPr>
              <w:t xml:space="preserve"> </w:t>
            </w:r>
          </w:p>
        </w:tc>
        <w:tc>
          <w:tcPr>
            <w:tcW w:w="630" w:type="dxa"/>
          </w:tcPr>
          <w:p w:rsidR="004C07FB" w:rsidRPr="00502A8F" w:rsidRDefault="004C07FB" w:rsidP="0033539C">
            <w:pPr>
              <w:tabs>
                <w:tab w:val="center" w:pos="4680"/>
              </w:tabs>
              <w:suppressAutoHyphens/>
              <w:rPr>
                <w:b/>
                <w:spacing w:val="-2"/>
                <w:sz w:val="22"/>
                <w:szCs w:val="22"/>
              </w:rPr>
            </w:pPr>
            <w:r w:rsidRPr="00502A8F">
              <w:rPr>
                <w:b/>
                <w:spacing w:val="-2"/>
                <w:sz w:val="22"/>
                <w:szCs w:val="22"/>
              </w:rPr>
              <w:t>)</w:t>
            </w:r>
          </w:p>
          <w:p w:rsidR="004C07FB" w:rsidRPr="00502A8F" w:rsidRDefault="004C07FB" w:rsidP="0033539C">
            <w:pPr>
              <w:tabs>
                <w:tab w:val="center" w:pos="4680"/>
              </w:tabs>
              <w:suppressAutoHyphens/>
              <w:rPr>
                <w:b/>
                <w:spacing w:val="-2"/>
                <w:sz w:val="22"/>
                <w:szCs w:val="22"/>
              </w:rPr>
            </w:pPr>
            <w:r w:rsidRPr="00502A8F">
              <w:rPr>
                <w:b/>
                <w:spacing w:val="-2"/>
                <w:sz w:val="22"/>
                <w:szCs w:val="22"/>
              </w:rPr>
              <w:t>)</w:t>
            </w:r>
          </w:p>
          <w:p w:rsidR="004C07FB" w:rsidRPr="00502A8F" w:rsidRDefault="004C07FB" w:rsidP="0033539C">
            <w:pPr>
              <w:tabs>
                <w:tab w:val="center" w:pos="4680"/>
              </w:tabs>
              <w:suppressAutoHyphens/>
              <w:rPr>
                <w:b/>
                <w:spacing w:val="-2"/>
                <w:sz w:val="22"/>
                <w:szCs w:val="22"/>
              </w:rPr>
            </w:pPr>
            <w:r w:rsidRPr="00502A8F">
              <w:rPr>
                <w:b/>
                <w:spacing w:val="-2"/>
                <w:sz w:val="22"/>
                <w:szCs w:val="22"/>
              </w:rPr>
              <w:t>)</w:t>
            </w:r>
          </w:p>
          <w:p w:rsidR="004C07FB" w:rsidRPr="00502A8F" w:rsidRDefault="004C07FB" w:rsidP="0033539C">
            <w:pPr>
              <w:tabs>
                <w:tab w:val="center" w:pos="4680"/>
              </w:tabs>
              <w:suppressAutoHyphens/>
              <w:rPr>
                <w:b/>
                <w:spacing w:val="-2"/>
                <w:sz w:val="22"/>
                <w:szCs w:val="22"/>
              </w:rPr>
            </w:pPr>
            <w:r w:rsidRPr="00502A8F">
              <w:rPr>
                <w:b/>
                <w:spacing w:val="-2"/>
                <w:sz w:val="22"/>
                <w:szCs w:val="22"/>
              </w:rPr>
              <w:t>)</w:t>
            </w:r>
          </w:p>
          <w:p w:rsidR="004C07FB" w:rsidRPr="00502A8F" w:rsidRDefault="004C07FB" w:rsidP="0033539C">
            <w:pPr>
              <w:tabs>
                <w:tab w:val="center" w:pos="4680"/>
              </w:tabs>
              <w:suppressAutoHyphens/>
              <w:rPr>
                <w:b/>
                <w:spacing w:val="-2"/>
                <w:sz w:val="22"/>
                <w:szCs w:val="22"/>
              </w:rPr>
            </w:pPr>
            <w:r w:rsidRPr="00502A8F">
              <w:rPr>
                <w:b/>
                <w:spacing w:val="-2"/>
                <w:sz w:val="22"/>
                <w:szCs w:val="22"/>
              </w:rPr>
              <w:t>)</w:t>
            </w:r>
          </w:p>
          <w:p w:rsidR="004C07FB" w:rsidRPr="00502A8F" w:rsidRDefault="004C07FB" w:rsidP="0033539C">
            <w:pPr>
              <w:tabs>
                <w:tab w:val="center" w:pos="4680"/>
              </w:tabs>
              <w:suppressAutoHyphens/>
              <w:rPr>
                <w:b/>
                <w:spacing w:val="-2"/>
                <w:sz w:val="22"/>
                <w:szCs w:val="22"/>
              </w:rPr>
            </w:pPr>
            <w:r w:rsidRPr="00502A8F">
              <w:rPr>
                <w:b/>
                <w:spacing w:val="-2"/>
                <w:sz w:val="22"/>
                <w:szCs w:val="22"/>
              </w:rPr>
              <w:t>)</w:t>
            </w:r>
          </w:p>
          <w:p w:rsidR="004C07FB" w:rsidRPr="00502A8F" w:rsidRDefault="004C07FB" w:rsidP="0033539C">
            <w:pPr>
              <w:tabs>
                <w:tab w:val="center" w:pos="4680"/>
              </w:tabs>
              <w:suppressAutoHyphens/>
              <w:rPr>
                <w:b/>
                <w:spacing w:val="-2"/>
                <w:sz w:val="22"/>
                <w:szCs w:val="22"/>
              </w:rPr>
            </w:pPr>
            <w:r w:rsidRPr="00502A8F">
              <w:rPr>
                <w:b/>
                <w:spacing w:val="-2"/>
                <w:sz w:val="22"/>
                <w:szCs w:val="22"/>
              </w:rPr>
              <w:t>)</w:t>
            </w:r>
          </w:p>
          <w:p w:rsidR="004C07FB" w:rsidRPr="00502A8F" w:rsidRDefault="004C07FB" w:rsidP="0033539C">
            <w:pPr>
              <w:tabs>
                <w:tab w:val="center" w:pos="4680"/>
              </w:tabs>
              <w:suppressAutoHyphens/>
              <w:rPr>
                <w:spacing w:val="-2"/>
                <w:sz w:val="22"/>
                <w:szCs w:val="22"/>
              </w:rPr>
            </w:pPr>
          </w:p>
        </w:tc>
        <w:tc>
          <w:tcPr>
            <w:tcW w:w="4248" w:type="dxa"/>
          </w:tcPr>
          <w:p w:rsidR="004C07FB" w:rsidRPr="00502A8F" w:rsidRDefault="004C07FB" w:rsidP="0033539C">
            <w:pPr>
              <w:tabs>
                <w:tab w:val="center" w:pos="4680"/>
              </w:tabs>
              <w:suppressAutoHyphens/>
              <w:rPr>
                <w:spacing w:val="-2"/>
                <w:sz w:val="22"/>
                <w:szCs w:val="22"/>
              </w:rPr>
            </w:pPr>
          </w:p>
          <w:p w:rsidR="004C07FB" w:rsidRPr="00502A8F" w:rsidRDefault="004C07FB" w:rsidP="0033539C">
            <w:pPr>
              <w:tabs>
                <w:tab w:val="center" w:pos="4680"/>
              </w:tabs>
              <w:suppressAutoHyphens/>
              <w:rPr>
                <w:spacing w:val="-2"/>
                <w:sz w:val="22"/>
                <w:szCs w:val="22"/>
              </w:rPr>
            </w:pPr>
          </w:p>
          <w:p w:rsidR="004C07FB" w:rsidRPr="00502A8F" w:rsidRDefault="004C07FB" w:rsidP="0033539C">
            <w:pPr>
              <w:tabs>
                <w:tab w:val="center" w:pos="4680"/>
              </w:tabs>
              <w:suppressAutoHyphens/>
              <w:rPr>
                <w:spacing w:val="-2"/>
                <w:sz w:val="22"/>
                <w:szCs w:val="22"/>
              </w:rPr>
            </w:pPr>
            <w:r w:rsidRPr="00502A8F">
              <w:rPr>
                <w:spacing w:val="-2"/>
                <w:sz w:val="22"/>
                <w:szCs w:val="22"/>
              </w:rPr>
              <w:t xml:space="preserve">FRN: </w:t>
            </w:r>
            <w:r w:rsidR="00762B2B">
              <w:rPr>
                <w:spacing w:val="-2"/>
                <w:sz w:val="22"/>
                <w:szCs w:val="22"/>
              </w:rPr>
              <w:t>0021402961</w:t>
            </w:r>
          </w:p>
          <w:p w:rsidR="004C07FB" w:rsidRPr="00502A8F" w:rsidRDefault="004C07FB" w:rsidP="0033539C">
            <w:pPr>
              <w:tabs>
                <w:tab w:val="center" w:pos="4680"/>
              </w:tabs>
              <w:suppressAutoHyphens/>
              <w:rPr>
                <w:spacing w:val="-2"/>
                <w:sz w:val="22"/>
                <w:szCs w:val="22"/>
              </w:rPr>
            </w:pPr>
            <w:r w:rsidRPr="00502A8F">
              <w:rPr>
                <w:spacing w:val="-2"/>
                <w:sz w:val="22"/>
                <w:szCs w:val="22"/>
              </w:rPr>
              <w:t>NAL/Ac</w:t>
            </w:r>
            <w:r>
              <w:rPr>
                <w:spacing w:val="-2"/>
                <w:sz w:val="22"/>
                <w:szCs w:val="22"/>
              </w:rPr>
              <w:t>ct. No. 2014414</w:t>
            </w:r>
            <w:r w:rsidR="00762B2B">
              <w:rPr>
                <w:spacing w:val="-2"/>
                <w:sz w:val="22"/>
                <w:szCs w:val="22"/>
              </w:rPr>
              <w:t>20021</w:t>
            </w:r>
          </w:p>
          <w:p w:rsidR="004C07FB" w:rsidRPr="00502A8F" w:rsidRDefault="004C07FB" w:rsidP="00762B2B">
            <w:pPr>
              <w:tabs>
                <w:tab w:val="center" w:pos="4680"/>
              </w:tabs>
              <w:suppressAutoHyphens/>
              <w:rPr>
                <w:spacing w:val="-2"/>
                <w:sz w:val="22"/>
                <w:szCs w:val="22"/>
              </w:rPr>
            </w:pPr>
            <w:r w:rsidRPr="00502A8F">
              <w:rPr>
                <w:spacing w:val="-2"/>
                <w:sz w:val="22"/>
                <w:szCs w:val="22"/>
              </w:rPr>
              <w:t xml:space="preserve">Facility ID No. </w:t>
            </w:r>
            <w:r w:rsidR="00762B2B">
              <w:rPr>
                <w:spacing w:val="-2"/>
                <w:sz w:val="22"/>
                <w:szCs w:val="22"/>
              </w:rPr>
              <w:t>13792</w:t>
            </w:r>
          </w:p>
        </w:tc>
      </w:tr>
    </w:tbl>
    <w:p w:rsidR="004C07FB" w:rsidRPr="00502A8F" w:rsidRDefault="004C07FB" w:rsidP="004C07FB">
      <w:pPr>
        <w:pStyle w:val="Heading2"/>
        <w:jc w:val="left"/>
        <w:rPr>
          <w:szCs w:val="22"/>
        </w:rPr>
      </w:pPr>
      <w:r>
        <w:rPr>
          <w:szCs w:val="22"/>
        </w:rPr>
        <w:tab/>
      </w:r>
      <w:r>
        <w:rPr>
          <w:szCs w:val="22"/>
        </w:rPr>
        <w:tab/>
      </w:r>
      <w:r>
        <w:rPr>
          <w:szCs w:val="22"/>
        </w:rPr>
        <w:tab/>
      </w:r>
      <w:r>
        <w:rPr>
          <w:szCs w:val="22"/>
        </w:rPr>
        <w:tab/>
      </w:r>
      <w:r>
        <w:rPr>
          <w:szCs w:val="22"/>
        </w:rPr>
        <w:tab/>
      </w:r>
      <w:r w:rsidRPr="00502A8F">
        <w:rPr>
          <w:szCs w:val="22"/>
        </w:rPr>
        <w:t>FORFEITURE ORDER</w:t>
      </w:r>
    </w:p>
    <w:p w:rsidR="004C07FB" w:rsidRDefault="004C07FB" w:rsidP="004C07FB">
      <w:pPr>
        <w:tabs>
          <w:tab w:val="left" w:pos="0"/>
          <w:tab w:val="left" w:pos="720"/>
          <w:tab w:val="left" w:pos="5760"/>
        </w:tabs>
        <w:suppressAutoHyphens/>
        <w:spacing w:line="240" w:lineRule="atLeast"/>
        <w:jc w:val="both"/>
        <w:rPr>
          <w:spacing w:val="-2"/>
          <w:sz w:val="22"/>
          <w:szCs w:val="22"/>
        </w:rPr>
      </w:pPr>
    </w:p>
    <w:p w:rsidR="004C07FB" w:rsidRPr="00502A8F" w:rsidRDefault="004C07FB" w:rsidP="004C07FB">
      <w:pPr>
        <w:tabs>
          <w:tab w:val="left" w:pos="0"/>
          <w:tab w:val="left" w:pos="720"/>
          <w:tab w:val="left" w:pos="5760"/>
        </w:tabs>
        <w:suppressAutoHyphens/>
        <w:spacing w:line="240" w:lineRule="atLeast"/>
        <w:jc w:val="both"/>
        <w:rPr>
          <w:spacing w:val="-2"/>
          <w:sz w:val="22"/>
          <w:szCs w:val="22"/>
        </w:rPr>
      </w:pPr>
      <w:r w:rsidRPr="00502A8F">
        <w:rPr>
          <w:b/>
          <w:spacing w:val="-2"/>
          <w:sz w:val="22"/>
          <w:szCs w:val="22"/>
        </w:rPr>
        <w:t xml:space="preserve">Adopted:   </w:t>
      </w:r>
      <w:r w:rsidR="00CD6B85">
        <w:rPr>
          <w:b/>
          <w:spacing w:val="-2"/>
          <w:sz w:val="22"/>
          <w:szCs w:val="22"/>
        </w:rPr>
        <w:t>July 17, 2015</w:t>
      </w:r>
      <w:r w:rsidRPr="00502A8F">
        <w:rPr>
          <w:spacing w:val="-2"/>
          <w:sz w:val="22"/>
          <w:szCs w:val="22"/>
        </w:rPr>
        <w:tab/>
      </w:r>
      <w:r>
        <w:rPr>
          <w:spacing w:val="-2"/>
          <w:sz w:val="22"/>
          <w:szCs w:val="22"/>
        </w:rPr>
        <w:tab/>
      </w:r>
      <w:r w:rsidR="00CD6B85">
        <w:rPr>
          <w:b/>
          <w:spacing w:val="-2"/>
          <w:sz w:val="22"/>
          <w:szCs w:val="22"/>
        </w:rPr>
        <w:t>Released: July 17, 2015</w:t>
      </w:r>
    </w:p>
    <w:p w:rsidR="004C07FB" w:rsidRPr="00502A8F" w:rsidRDefault="004C07FB" w:rsidP="004C07FB">
      <w:pPr>
        <w:tabs>
          <w:tab w:val="left" w:pos="0"/>
          <w:tab w:val="left" w:pos="720"/>
          <w:tab w:val="left" w:pos="5760"/>
        </w:tabs>
        <w:suppressAutoHyphens/>
        <w:spacing w:line="240" w:lineRule="atLeast"/>
        <w:jc w:val="both"/>
        <w:rPr>
          <w:spacing w:val="-2"/>
          <w:sz w:val="22"/>
          <w:szCs w:val="22"/>
        </w:rPr>
      </w:pPr>
    </w:p>
    <w:p w:rsidR="004C07FB" w:rsidRPr="00502A8F" w:rsidRDefault="004C07FB" w:rsidP="004C07FB">
      <w:pPr>
        <w:tabs>
          <w:tab w:val="left" w:pos="0"/>
          <w:tab w:val="left" w:pos="720"/>
          <w:tab w:val="left" w:pos="5760"/>
        </w:tabs>
        <w:suppressAutoHyphens/>
        <w:jc w:val="both"/>
        <w:rPr>
          <w:spacing w:val="-2"/>
          <w:sz w:val="22"/>
          <w:szCs w:val="22"/>
        </w:rPr>
      </w:pPr>
      <w:r w:rsidRPr="00502A8F">
        <w:rPr>
          <w:spacing w:val="-2"/>
          <w:sz w:val="22"/>
          <w:szCs w:val="22"/>
        </w:rPr>
        <w:t>By the Chief, Video Division, Media Bureau:</w:t>
      </w:r>
    </w:p>
    <w:p w:rsidR="004C07FB" w:rsidRPr="00502A8F" w:rsidRDefault="004C07FB" w:rsidP="004C07FB">
      <w:pPr>
        <w:tabs>
          <w:tab w:val="left" w:pos="0"/>
          <w:tab w:val="left" w:pos="720"/>
          <w:tab w:val="left" w:pos="5760"/>
        </w:tabs>
        <w:suppressAutoHyphens/>
        <w:jc w:val="both"/>
        <w:rPr>
          <w:spacing w:val="-2"/>
          <w:sz w:val="22"/>
          <w:szCs w:val="22"/>
        </w:rPr>
      </w:pPr>
    </w:p>
    <w:p w:rsidR="004C07FB" w:rsidRPr="00502A8F" w:rsidRDefault="004C07FB" w:rsidP="004C07FB">
      <w:pPr>
        <w:pStyle w:val="Heading2"/>
        <w:widowControl/>
        <w:tabs>
          <w:tab w:val="left" w:pos="720"/>
          <w:tab w:val="left" w:pos="5760"/>
        </w:tabs>
        <w:autoSpaceDE/>
        <w:autoSpaceDN/>
        <w:adjustRightInd/>
        <w:spacing w:line="240" w:lineRule="auto"/>
        <w:jc w:val="left"/>
        <w:rPr>
          <w:spacing w:val="-2"/>
          <w:szCs w:val="22"/>
        </w:rPr>
      </w:pPr>
      <w:r w:rsidRPr="00502A8F">
        <w:rPr>
          <w:spacing w:val="-2"/>
          <w:szCs w:val="22"/>
        </w:rPr>
        <w:t>I.  INTRODUCTION</w:t>
      </w:r>
    </w:p>
    <w:p w:rsidR="004C07FB" w:rsidRPr="00D9452E" w:rsidRDefault="004C07FB" w:rsidP="004C07FB">
      <w:pPr>
        <w:tabs>
          <w:tab w:val="left" w:pos="0"/>
          <w:tab w:val="left" w:pos="720"/>
          <w:tab w:val="left" w:pos="5760"/>
        </w:tabs>
        <w:suppressAutoHyphens/>
        <w:jc w:val="both"/>
        <w:rPr>
          <w:spacing w:val="-2"/>
          <w:sz w:val="22"/>
          <w:szCs w:val="22"/>
        </w:rPr>
      </w:pPr>
    </w:p>
    <w:p w:rsidR="004C07FB" w:rsidRPr="00351847" w:rsidRDefault="004C07FB" w:rsidP="004C07FB">
      <w:pPr>
        <w:pStyle w:val="ParaNum"/>
        <w:tabs>
          <w:tab w:val="num" w:pos="1440"/>
        </w:tabs>
        <w:ind w:left="0"/>
        <w:rPr>
          <w:color w:val="FF0000"/>
          <w:szCs w:val="22"/>
        </w:rPr>
      </w:pPr>
      <w:r w:rsidRPr="00D9452E">
        <w:rPr>
          <w:spacing w:val="-2"/>
          <w:szCs w:val="22"/>
        </w:rPr>
        <w:t xml:space="preserve">In this </w:t>
      </w:r>
      <w:r w:rsidRPr="00D9452E">
        <w:rPr>
          <w:i/>
          <w:spacing w:val="-2"/>
          <w:szCs w:val="22"/>
        </w:rPr>
        <w:t>Forfeiture Order</w:t>
      </w:r>
      <w:r w:rsidRPr="00D9452E">
        <w:rPr>
          <w:spacing w:val="-2"/>
          <w:szCs w:val="22"/>
        </w:rPr>
        <w:t>, issued pursuant to Sections 0.61(f)(1) and 1.80(a)(1) and (2) of the Commission’s rules</w:t>
      </w:r>
      <w:r w:rsidR="00A20910" w:rsidRPr="00D9452E">
        <w:rPr>
          <w:spacing w:val="-2"/>
          <w:szCs w:val="22"/>
        </w:rPr>
        <w:t xml:space="preserve"> (“Rules”)</w:t>
      </w:r>
      <w:r w:rsidRPr="00D9452E">
        <w:rPr>
          <w:spacing w:val="-2"/>
          <w:szCs w:val="22"/>
        </w:rPr>
        <w:t>,</w:t>
      </w:r>
      <w:r w:rsidRPr="00D9452E">
        <w:rPr>
          <w:rStyle w:val="FootnoteReference"/>
          <w:spacing w:val="-2"/>
          <w:szCs w:val="22"/>
        </w:rPr>
        <w:footnoteReference w:id="1"/>
      </w:r>
      <w:r w:rsidRPr="00D9452E">
        <w:rPr>
          <w:spacing w:val="-2"/>
          <w:szCs w:val="22"/>
        </w:rPr>
        <w:t xml:space="preserve"> </w:t>
      </w:r>
      <w:r w:rsidRPr="00D9452E">
        <w:rPr>
          <w:szCs w:val="22"/>
        </w:rPr>
        <w:t xml:space="preserve">we find that </w:t>
      </w:r>
      <w:r w:rsidR="00D9452E" w:rsidRPr="00D9452E">
        <w:rPr>
          <w:szCs w:val="22"/>
        </w:rPr>
        <w:t>KTGF License Corporation</w:t>
      </w:r>
      <w:r w:rsidRPr="00D9452E">
        <w:rPr>
          <w:szCs w:val="22"/>
        </w:rPr>
        <w:t xml:space="preserve">, licensee of Station </w:t>
      </w:r>
      <w:r w:rsidR="00D9452E" w:rsidRPr="00D9452E">
        <w:rPr>
          <w:szCs w:val="22"/>
        </w:rPr>
        <w:t>KTGF</w:t>
      </w:r>
      <w:r w:rsidRPr="00D9452E">
        <w:rPr>
          <w:szCs w:val="22"/>
        </w:rPr>
        <w:t>,</w:t>
      </w:r>
      <w:r w:rsidR="00976459">
        <w:rPr>
          <w:szCs w:val="22"/>
        </w:rPr>
        <w:t xml:space="preserve"> Great Falls, Montana,</w:t>
      </w:r>
      <w:r w:rsidRPr="00D9452E">
        <w:rPr>
          <w:szCs w:val="22"/>
        </w:rPr>
        <w:t xml:space="preserve"> repeatedly violated</w:t>
      </w:r>
      <w:r w:rsidR="00B27F50">
        <w:rPr>
          <w:szCs w:val="22"/>
        </w:rPr>
        <w:t>: (1)</w:t>
      </w:r>
      <w:r w:rsidRPr="00D9452E">
        <w:rPr>
          <w:szCs w:val="22"/>
        </w:rPr>
        <w:t xml:space="preserve"> </w:t>
      </w:r>
      <w:r w:rsidR="00976459" w:rsidRPr="00D9452E">
        <w:t>Section 73.3526(e)(11)(iii)</w:t>
      </w:r>
      <w:r w:rsidR="00976459">
        <w:t xml:space="preserve"> of the </w:t>
      </w:r>
      <w:r w:rsidR="00D9452E" w:rsidRPr="00D9452E">
        <w:t>Commission’s</w:t>
      </w:r>
      <w:r w:rsidR="00976459">
        <w:t xml:space="preserve"> Rules by</w:t>
      </w:r>
      <w:r w:rsidR="00D9452E" w:rsidRPr="00D9452E">
        <w:t xml:space="preserve"> failing to file </w:t>
      </w:r>
      <w:r w:rsidR="00976459">
        <w:t>electronically with the Commission</w:t>
      </w:r>
      <w:r w:rsidR="00D9452E" w:rsidRPr="00D9452E">
        <w:t xml:space="preserve"> the Station’s Children’s</w:t>
      </w:r>
      <w:r w:rsidR="00976459">
        <w:t xml:space="preserve"> Television Programming Reports in a timely manner</w:t>
      </w:r>
      <w:r w:rsidR="00B27F50">
        <w:t>; and (2)</w:t>
      </w:r>
      <w:r w:rsidR="00976459">
        <w:t xml:space="preserve"> Section </w:t>
      </w:r>
      <w:r w:rsidR="00976459" w:rsidRPr="00D9452E">
        <w:t>73.3514(a)</w:t>
      </w:r>
      <w:r w:rsidR="00976459">
        <w:t xml:space="preserve"> </w:t>
      </w:r>
      <w:r w:rsidR="005B4197">
        <w:t xml:space="preserve">of the Rules </w:t>
      </w:r>
      <w:r w:rsidR="00976459">
        <w:t xml:space="preserve">by failing </w:t>
      </w:r>
      <w:r w:rsidR="00D9452E" w:rsidRPr="00D9452E">
        <w:t>to report th</w:t>
      </w:r>
      <w:r w:rsidR="00976459">
        <w:t>e</w:t>
      </w:r>
      <w:r w:rsidR="00D9452E" w:rsidRPr="00D9452E">
        <w:t xml:space="preserve"> violations in its</w:t>
      </w:r>
      <w:r w:rsidR="00976459">
        <w:t xml:space="preserve"> license</w:t>
      </w:r>
      <w:r w:rsidR="00D9452E" w:rsidRPr="00D9452E">
        <w:t xml:space="preserve"> renewal application</w:t>
      </w:r>
      <w:r w:rsidR="00976459">
        <w:t>.</w:t>
      </w:r>
      <w:r w:rsidR="00D9452E" w:rsidRPr="00D9452E">
        <w:t xml:space="preserve"> </w:t>
      </w:r>
      <w:r w:rsidRPr="00695DF8">
        <w:rPr>
          <w:szCs w:val="22"/>
        </w:rPr>
        <w:t xml:space="preserve">Based </w:t>
      </w:r>
      <w:r w:rsidR="00F1755F">
        <w:rPr>
          <w:szCs w:val="22"/>
        </w:rPr>
        <w:t>up</w:t>
      </w:r>
      <w:r w:rsidRPr="00695DF8">
        <w:rPr>
          <w:szCs w:val="22"/>
        </w:rPr>
        <w:t xml:space="preserve">on our review of the facts and circumstances, we find the Licensee liable for a forfeiture in the </w:t>
      </w:r>
      <w:r w:rsidRPr="00695DF8">
        <w:t xml:space="preserve">amount of </w:t>
      </w:r>
      <w:r w:rsidR="00BB1B21">
        <w:t>six</w:t>
      </w:r>
      <w:r w:rsidRPr="004827DB">
        <w:t xml:space="preserve"> </w:t>
      </w:r>
      <w:r w:rsidR="00BB1B21">
        <w:t>thousand dollars ($6</w:t>
      </w:r>
      <w:r w:rsidRPr="004827DB">
        <w:t>,000).</w:t>
      </w:r>
    </w:p>
    <w:p w:rsidR="004C07FB" w:rsidRPr="002B6290" w:rsidRDefault="004C07FB" w:rsidP="004C07FB">
      <w:pPr>
        <w:pStyle w:val="Heading2"/>
        <w:jc w:val="left"/>
        <w:rPr>
          <w:szCs w:val="22"/>
        </w:rPr>
      </w:pPr>
      <w:r w:rsidRPr="002B6290">
        <w:rPr>
          <w:szCs w:val="22"/>
        </w:rPr>
        <w:t>II. BACKGROUND</w:t>
      </w:r>
    </w:p>
    <w:p w:rsidR="004C07FB" w:rsidRPr="002B6290" w:rsidRDefault="004C07FB" w:rsidP="004C07FB">
      <w:pPr>
        <w:numPr>
          <w:ilvl w:val="0"/>
          <w:numId w:val="1"/>
        </w:numPr>
        <w:jc w:val="both"/>
        <w:rPr>
          <w:sz w:val="22"/>
          <w:szCs w:val="22"/>
        </w:rPr>
      </w:pPr>
    </w:p>
    <w:p w:rsidR="004C07FB" w:rsidRPr="00351847" w:rsidRDefault="004C07FB" w:rsidP="004C07FB">
      <w:pPr>
        <w:pStyle w:val="ParaNum"/>
        <w:tabs>
          <w:tab w:val="num" w:pos="1440"/>
        </w:tabs>
        <w:ind w:left="0"/>
        <w:rPr>
          <w:color w:val="FF0000"/>
          <w:spacing w:val="-2"/>
          <w:szCs w:val="22"/>
        </w:rPr>
      </w:pPr>
      <w:r w:rsidRPr="002B6290">
        <w:rPr>
          <w:spacing w:val="-2"/>
          <w:szCs w:val="22"/>
        </w:rPr>
        <w:t>The Video Division issued a Notice of Apparent Liability (“NAL”) for Forfeiture on</w:t>
      </w:r>
      <w:r w:rsidR="00695DF8" w:rsidRPr="002B6290">
        <w:rPr>
          <w:spacing w:val="-2"/>
          <w:szCs w:val="22"/>
        </w:rPr>
        <w:t xml:space="preserve"> July 3, 2014</w:t>
      </w:r>
      <w:r w:rsidRPr="002B6290">
        <w:rPr>
          <w:spacing w:val="-2"/>
          <w:szCs w:val="22"/>
        </w:rPr>
        <w:t>.</w:t>
      </w:r>
      <w:r w:rsidRPr="002B6290">
        <w:rPr>
          <w:rStyle w:val="FootnoteReference"/>
          <w:spacing w:val="-2"/>
          <w:szCs w:val="22"/>
        </w:rPr>
        <w:footnoteReference w:id="2"/>
      </w:r>
      <w:r w:rsidRPr="002B6290">
        <w:rPr>
          <w:spacing w:val="-2"/>
          <w:szCs w:val="22"/>
        </w:rPr>
        <w:t xml:space="preserve">  The NAL notified the Licensee that the station’s </w:t>
      </w:r>
      <w:r w:rsidR="00E83B99" w:rsidRPr="002B6290">
        <w:t>failure to</w:t>
      </w:r>
      <w:r w:rsidR="00FE23A4" w:rsidRPr="002B6290">
        <w:t xml:space="preserve"> </w:t>
      </w:r>
      <w:r w:rsidR="005F0CDD">
        <w:t>timely file</w:t>
      </w:r>
      <w:r w:rsidR="00FE23A4" w:rsidRPr="002B6290">
        <w:t xml:space="preserve"> its Children’s Television Programming Reports for at least six quarters during the license period constituted an apparent willful and/or repeated violation of Sec</w:t>
      </w:r>
      <w:r w:rsidR="00266114">
        <w:t>tion 73.3526(e)(11)(iii) of the</w:t>
      </w:r>
      <w:r w:rsidR="00FE23A4" w:rsidRPr="002B6290">
        <w:t xml:space="preserve"> Rules and that the Station’s failure to report the violations in its</w:t>
      </w:r>
      <w:r w:rsidR="00266114">
        <w:t xml:space="preserve"> license</w:t>
      </w:r>
      <w:r w:rsidR="00FE23A4" w:rsidRPr="002B6290">
        <w:t xml:space="preserve"> renewal application constituted an apparent willful </w:t>
      </w:r>
      <w:r w:rsidR="005F0CDD">
        <w:t>and/</w:t>
      </w:r>
      <w:r w:rsidR="00FE23A4" w:rsidRPr="002B6290">
        <w:t>or repeated violation of Section 73.3514(a) of the Rules.</w:t>
      </w:r>
      <w:r w:rsidR="00FE23A4" w:rsidRPr="002B6290">
        <w:rPr>
          <w:rStyle w:val="FootnoteReference"/>
        </w:rPr>
        <w:footnoteReference w:id="3"/>
      </w:r>
      <w:r w:rsidR="00E83B99" w:rsidRPr="002B6290">
        <w:t xml:space="preserve"> </w:t>
      </w:r>
      <w:r w:rsidRPr="002B6290">
        <w:rPr>
          <w:spacing w:val="-2"/>
          <w:szCs w:val="22"/>
        </w:rPr>
        <w:t xml:space="preserve">The Division concluded that the Licensee was apparently liable for a </w:t>
      </w:r>
      <w:r w:rsidR="00266114">
        <w:rPr>
          <w:spacing w:val="-2"/>
          <w:szCs w:val="22"/>
        </w:rPr>
        <w:t xml:space="preserve">monetary </w:t>
      </w:r>
      <w:r w:rsidRPr="002B6290">
        <w:rPr>
          <w:spacing w:val="-2"/>
          <w:szCs w:val="22"/>
        </w:rPr>
        <w:t>forfeiture</w:t>
      </w:r>
      <w:r w:rsidR="005A654E" w:rsidRPr="002B6290">
        <w:rPr>
          <w:spacing w:val="-2"/>
          <w:szCs w:val="22"/>
        </w:rPr>
        <w:t xml:space="preserve"> in the amount</w:t>
      </w:r>
      <w:r w:rsidRPr="002B6290">
        <w:rPr>
          <w:spacing w:val="-2"/>
          <w:szCs w:val="22"/>
        </w:rPr>
        <w:t xml:space="preserve"> of $</w:t>
      </w:r>
      <w:r w:rsidR="00FE23A4" w:rsidRPr="002B6290">
        <w:rPr>
          <w:spacing w:val="-2"/>
          <w:szCs w:val="22"/>
        </w:rPr>
        <w:t>9</w:t>
      </w:r>
      <w:r w:rsidRPr="002B6290">
        <w:rPr>
          <w:spacing w:val="-2"/>
          <w:szCs w:val="22"/>
        </w:rPr>
        <w:t>,000.</w:t>
      </w:r>
      <w:r w:rsidR="002B6290" w:rsidRPr="002B6290">
        <w:rPr>
          <w:spacing w:val="-2"/>
          <w:szCs w:val="22"/>
        </w:rPr>
        <w:t xml:space="preserve"> </w:t>
      </w:r>
    </w:p>
    <w:p w:rsidR="004C07FB" w:rsidRPr="003C4840" w:rsidRDefault="004C07FB" w:rsidP="004C07FB">
      <w:pPr>
        <w:pStyle w:val="ParaNum"/>
        <w:tabs>
          <w:tab w:val="num" w:pos="1440"/>
        </w:tabs>
        <w:ind w:left="0"/>
        <w:rPr>
          <w:spacing w:val="-2"/>
          <w:szCs w:val="22"/>
        </w:rPr>
      </w:pPr>
      <w:r w:rsidRPr="003C4840">
        <w:rPr>
          <w:szCs w:val="22"/>
        </w:rPr>
        <w:t xml:space="preserve">In a </w:t>
      </w:r>
      <w:r w:rsidR="000B07D7">
        <w:rPr>
          <w:szCs w:val="22"/>
        </w:rPr>
        <w:t xml:space="preserve">timely </w:t>
      </w:r>
      <w:r w:rsidRPr="003C4840">
        <w:rPr>
          <w:szCs w:val="22"/>
        </w:rPr>
        <w:t xml:space="preserve">response dated </w:t>
      </w:r>
      <w:r w:rsidR="006A5ADD" w:rsidRPr="003C4840">
        <w:rPr>
          <w:szCs w:val="22"/>
        </w:rPr>
        <w:t>July 30, 2014</w:t>
      </w:r>
      <w:r w:rsidRPr="003C4840">
        <w:rPr>
          <w:szCs w:val="22"/>
        </w:rPr>
        <w:t xml:space="preserve">, the Licensee </w:t>
      </w:r>
      <w:r w:rsidR="000A24E8">
        <w:rPr>
          <w:szCs w:val="22"/>
        </w:rPr>
        <w:t>admitted</w:t>
      </w:r>
      <w:r w:rsidR="000B07D7">
        <w:rPr>
          <w:szCs w:val="22"/>
        </w:rPr>
        <w:t xml:space="preserve"> that it failed to file its Children’s Television Programming Reports in a timely manner and failed to disclose this in its license renewal application. </w:t>
      </w:r>
      <w:r w:rsidR="00B27F50">
        <w:rPr>
          <w:szCs w:val="22"/>
        </w:rPr>
        <w:t xml:space="preserve"> </w:t>
      </w:r>
      <w:r w:rsidR="000B07D7">
        <w:rPr>
          <w:szCs w:val="22"/>
        </w:rPr>
        <w:t xml:space="preserve">However, the Licensee </w:t>
      </w:r>
      <w:r w:rsidRPr="003C4840">
        <w:rPr>
          <w:szCs w:val="22"/>
        </w:rPr>
        <w:t>request</w:t>
      </w:r>
      <w:r w:rsidR="000A24E8">
        <w:rPr>
          <w:szCs w:val="22"/>
        </w:rPr>
        <w:t>ed</w:t>
      </w:r>
      <w:r w:rsidR="005A654E" w:rsidRPr="003C4840">
        <w:rPr>
          <w:szCs w:val="22"/>
        </w:rPr>
        <w:t xml:space="preserve"> that </w:t>
      </w:r>
      <w:r w:rsidR="000B07D7">
        <w:rPr>
          <w:szCs w:val="22"/>
        </w:rPr>
        <w:t xml:space="preserve">the Commission take into consideration </w:t>
      </w:r>
      <w:r w:rsidR="00096E7D">
        <w:rPr>
          <w:szCs w:val="22"/>
        </w:rPr>
        <w:t>both</w:t>
      </w:r>
      <w:r w:rsidR="000B07D7">
        <w:rPr>
          <w:szCs w:val="22"/>
        </w:rPr>
        <w:t xml:space="preserve"> </w:t>
      </w:r>
      <w:r w:rsidR="00096E7D">
        <w:rPr>
          <w:szCs w:val="22"/>
        </w:rPr>
        <w:t xml:space="preserve">the fact </w:t>
      </w:r>
      <w:r w:rsidR="000B07D7">
        <w:rPr>
          <w:szCs w:val="22"/>
        </w:rPr>
        <w:t>that these violations were not willful or deliberate</w:t>
      </w:r>
      <w:r w:rsidR="000A24E8">
        <w:rPr>
          <w:szCs w:val="22"/>
        </w:rPr>
        <w:t xml:space="preserve">, </w:t>
      </w:r>
      <w:r w:rsidR="00096E7D">
        <w:rPr>
          <w:szCs w:val="22"/>
        </w:rPr>
        <w:t>and the fact that</w:t>
      </w:r>
      <w:r w:rsidR="000A24E8">
        <w:rPr>
          <w:szCs w:val="22"/>
        </w:rPr>
        <w:t xml:space="preserve"> </w:t>
      </w:r>
      <w:r w:rsidR="000B07D7">
        <w:rPr>
          <w:szCs w:val="22"/>
        </w:rPr>
        <w:t>once they were discovered, management took immediate action to correct the situation and took steps to ensure</w:t>
      </w:r>
      <w:r w:rsidR="000A24E8">
        <w:rPr>
          <w:szCs w:val="22"/>
        </w:rPr>
        <w:t xml:space="preserve"> that </w:t>
      </w:r>
      <w:r w:rsidR="000B07D7">
        <w:rPr>
          <w:szCs w:val="22"/>
        </w:rPr>
        <w:t xml:space="preserve">similar violations would not occur in the future. The Licensee then requested that the Commission reduce the proposed </w:t>
      </w:r>
      <w:r w:rsidR="000B07D7">
        <w:rPr>
          <w:szCs w:val="22"/>
        </w:rPr>
        <w:lastRenderedPageBreak/>
        <w:t>forfeiture</w:t>
      </w:r>
      <w:r w:rsidR="006A5ADD" w:rsidRPr="003C4840">
        <w:rPr>
          <w:szCs w:val="22"/>
        </w:rPr>
        <w:t>.</w:t>
      </w:r>
      <w:r w:rsidRPr="003C4840">
        <w:rPr>
          <w:rStyle w:val="FootnoteReference"/>
          <w:szCs w:val="22"/>
        </w:rPr>
        <w:footnoteReference w:id="4"/>
      </w:r>
    </w:p>
    <w:p w:rsidR="004C07FB" w:rsidRPr="004827DB" w:rsidRDefault="004C07FB" w:rsidP="004C07FB">
      <w:pPr>
        <w:pStyle w:val="ParaNum"/>
        <w:numPr>
          <w:ilvl w:val="0"/>
          <w:numId w:val="0"/>
        </w:numPr>
        <w:tabs>
          <w:tab w:val="num" w:pos="1440"/>
        </w:tabs>
        <w:spacing w:after="240"/>
        <w:jc w:val="left"/>
        <w:rPr>
          <w:szCs w:val="22"/>
        </w:rPr>
      </w:pPr>
      <w:r w:rsidRPr="004827DB">
        <w:rPr>
          <w:b/>
          <w:szCs w:val="22"/>
        </w:rPr>
        <w:t>III. DISCUSSION</w:t>
      </w:r>
    </w:p>
    <w:p w:rsidR="004C07FB" w:rsidRPr="00351847" w:rsidRDefault="004C07FB" w:rsidP="004C07FB">
      <w:pPr>
        <w:pStyle w:val="ParaNum"/>
        <w:tabs>
          <w:tab w:val="num" w:pos="1440"/>
        </w:tabs>
        <w:spacing w:after="240"/>
        <w:ind w:left="0"/>
        <w:rPr>
          <w:color w:val="FF0000"/>
          <w:spacing w:val="-2"/>
          <w:szCs w:val="22"/>
        </w:rPr>
      </w:pPr>
      <w:r w:rsidRPr="003C4840">
        <w:rPr>
          <w:szCs w:val="22"/>
        </w:rPr>
        <w:t xml:space="preserve">The Commission is authorized to license radio and television broadcast stations and is responsible for enforcing the Commission’s rules and applicable statutory provisions concerning the operation of those stations.  Under section 503(b)(1) of the Act, any person who is determined by the </w:t>
      </w:r>
      <w:r w:rsidRPr="004827DB">
        <w:rPr>
          <w:szCs w:val="22"/>
        </w:rPr>
        <w:t>Commission to have willfully or repeatedly failed to comply with any provision of the Act or any rule, regulation, or order issued by the Commission shall be liable to the United States for a forfeiture penalty.</w:t>
      </w:r>
      <w:r w:rsidRPr="004827DB">
        <w:rPr>
          <w:rStyle w:val="FootnoteReference"/>
          <w:szCs w:val="22"/>
        </w:rPr>
        <w:footnoteReference w:id="5"/>
      </w:r>
      <w:r w:rsidRPr="004827DB">
        <w:rPr>
          <w:szCs w:val="22"/>
        </w:rPr>
        <w:t xml:space="preserve">  In order to impose a forfeiture penalty, the Commission must issue a notice of apparent liability, the notice must be received, and the person against whom the notice has been issued must have an opportunity to show, in writing, why no such penalty should be imposed.</w:t>
      </w:r>
      <w:r w:rsidRPr="004827DB">
        <w:rPr>
          <w:rStyle w:val="FootnoteReference"/>
          <w:szCs w:val="22"/>
        </w:rPr>
        <w:footnoteReference w:id="6"/>
      </w:r>
      <w:r w:rsidRPr="004827DB">
        <w:rPr>
          <w:szCs w:val="22"/>
        </w:rPr>
        <w:t xml:space="preserve">  </w:t>
      </w:r>
      <w:r w:rsidRPr="003C4840">
        <w:rPr>
          <w:szCs w:val="22"/>
        </w:rPr>
        <w:t>The Commission will then issue a forfeiture order if it finds by a preponderance of the evidence that the person has violated the Act or a Commission rule.</w:t>
      </w:r>
      <w:r w:rsidRPr="003C4840">
        <w:rPr>
          <w:rStyle w:val="FootnoteReference"/>
          <w:szCs w:val="22"/>
        </w:rPr>
        <w:footnoteReference w:id="7"/>
      </w:r>
      <w:r w:rsidRPr="003C4840">
        <w:rPr>
          <w:szCs w:val="22"/>
        </w:rPr>
        <w:t xml:space="preserve">  As we set forth in greater detail below, we co</w:t>
      </w:r>
      <w:r w:rsidRPr="004827DB">
        <w:rPr>
          <w:szCs w:val="22"/>
        </w:rPr>
        <w:t xml:space="preserve">nclude that the Licensee is liable for a forfeiture for </w:t>
      </w:r>
      <w:r w:rsidR="00BB1B21">
        <w:rPr>
          <w:szCs w:val="22"/>
        </w:rPr>
        <w:t xml:space="preserve">repeated violations of </w:t>
      </w:r>
      <w:r w:rsidRPr="004827DB">
        <w:rPr>
          <w:szCs w:val="22"/>
        </w:rPr>
        <w:t>Section</w:t>
      </w:r>
      <w:r w:rsidR="003C4840" w:rsidRPr="004827DB">
        <w:rPr>
          <w:szCs w:val="22"/>
        </w:rPr>
        <w:t>s</w:t>
      </w:r>
      <w:r w:rsidRPr="004827DB">
        <w:rPr>
          <w:szCs w:val="22"/>
        </w:rPr>
        <w:t xml:space="preserve"> 73.</w:t>
      </w:r>
      <w:r w:rsidR="003C4840" w:rsidRPr="004827DB">
        <w:rPr>
          <w:szCs w:val="22"/>
        </w:rPr>
        <w:t>3526(e)(11)(iii) and 73.3514(a)</w:t>
      </w:r>
      <w:r w:rsidRPr="004827DB">
        <w:rPr>
          <w:szCs w:val="22"/>
        </w:rPr>
        <w:t xml:space="preserve"> </w:t>
      </w:r>
      <w:r w:rsidR="005A654E" w:rsidRPr="004827DB">
        <w:rPr>
          <w:szCs w:val="22"/>
        </w:rPr>
        <w:t xml:space="preserve">of the Commission’s rules. </w:t>
      </w:r>
      <w:r w:rsidRPr="004827DB">
        <w:rPr>
          <w:szCs w:val="22"/>
        </w:rPr>
        <w:t xml:space="preserve">We </w:t>
      </w:r>
      <w:r w:rsidR="000779B5" w:rsidRPr="004827DB">
        <w:rPr>
          <w:szCs w:val="22"/>
        </w:rPr>
        <w:t xml:space="preserve">ultimately </w:t>
      </w:r>
      <w:r w:rsidRPr="004827DB">
        <w:rPr>
          <w:szCs w:val="22"/>
        </w:rPr>
        <w:t xml:space="preserve">conclude </w:t>
      </w:r>
      <w:r w:rsidR="005A654E" w:rsidRPr="004827DB">
        <w:rPr>
          <w:szCs w:val="22"/>
        </w:rPr>
        <w:t xml:space="preserve">that </w:t>
      </w:r>
      <w:r w:rsidR="0053132C" w:rsidRPr="004827DB">
        <w:rPr>
          <w:szCs w:val="22"/>
        </w:rPr>
        <w:t xml:space="preserve">the proposed forfeiture amount should be reduced from </w:t>
      </w:r>
      <w:r w:rsidR="004827DB" w:rsidRPr="004827DB">
        <w:rPr>
          <w:szCs w:val="22"/>
        </w:rPr>
        <w:t>$9,000 to $6,000</w:t>
      </w:r>
      <w:r w:rsidR="005A654E" w:rsidRPr="004827DB">
        <w:rPr>
          <w:szCs w:val="22"/>
        </w:rPr>
        <w:t>.</w:t>
      </w:r>
    </w:p>
    <w:p w:rsidR="004C07FB" w:rsidRPr="00351847" w:rsidRDefault="004C07FB" w:rsidP="004C07FB">
      <w:pPr>
        <w:pStyle w:val="ParaNum"/>
        <w:tabs>
          <w:tab w:val="num" w:pos="1440"/>
        </w:tabs>
        <w:spacing w:after="240"/>
        <w:ind w:left="0"/>
        <w:rPr>
          <w:color w:val="FF0000"/>
          <w:spacing w:val="-2"/>
          <w:szCs w:val="22"/>
        </w:rPr>
      </w:pPr>
      <w:r w:rsidRPr="00D51BD8">
        <w:rPr>
          <w:spacing w:val="-2"/>
          <w:szCs w:val="22"/>
        </w:rPr>
        <w:t>Commission policy establishes a base forfeiture amount of $</w:t>
      </w:r>
      <w:r w:rsidR="007541F7" w:rsidRPr="00D51BD8">
        <w:rPr>
          <w:spacing w:val="-2"/>
          <w:szCs w:val="22"/>
        </w:rPr>
        <w:t>3</w:t>
      </w:r>
      <w:r w:rsidRPr="00D51BD8">
        <w:rPr>
          <w:spacing w:val="-2"/>
          <w:szCs w:val="22"/>
        </w:rPr>
        <w:t xml:space="preserve">,000 for </w:t>
      </w:r>
      <w:r w:rsidR="007541F7" w:rsidRPr="00D51BD8">
        <w:rPr>
          <w:spacing w:val="-2"/>
          <w:szCs w:val="22"/>
        </w:rPr>
        <w:t>failure to file a required form or information.</w:t>
      </w:r>
      <w:r w:rsidRPr="00D51BD8">
        <w:rPr>
          <w:rStyle w:val="FootnoteReference"/>
          <w:spacing w:val="-2"/>
          <w:szCs w:val="22"/>
        </w:rPr>
        <w:footnoteReference w:id="8"/>
      </w:r>
      <w:r w:rsidRPr="00D51BD8">
        <w:rPr>
          <w:spacing w:val="-2"/>
          <w:szCs w:val="22"/>
        </w:rPr>
        <w:t xml:space="preserve">  In determining the appropriate forfeiture amount, the Commission may adjust the base amount upward or downward by considering the factors in Section 503(b)(2)(E)</w:t>
      </w:r>
      <w:r w:rsidR="006F62DF" w:rsidRPr="00D51BD8">
        <w:t xml:space="preserve"> of the Communications Act of 1934, as amended (the “Act”)</w:t>
      </w:r>
      <w:r w:rsidRPr="00D51BD8">
        <w:rPr>
          <w:spacing w:val="-2"/>
          <w:szCs w:val="22"/>
        </w:rPr>
        <w:t>, which include “the nature, circumstances, extent, and gravity of the violation and, with respect to the violator, the degree of culpability, any history of prior offenses, ability to pay, and such other matters as justice may require.”</w:t>
      </w:r>
      <w:r w:rsidRPr="00D51BD8">
        <w:rPr>
          <w:szCs w:val="22"/>
        </w:rPr>
        <w:t xml:space="preserve">  </w:t>
      </w:r>
    </w:p>
    <w:p w:rsidR="00D06C58" w:rsidRPr="00D06C58" w:rsidRDefault="00905B8E" w:rsidP="004250E6">
      <w:pPr>
        <w:pStyle w:val="ParaNum"/>
        <w:tabs>
          <w:tab w:val="num" w:pos="1440"/>
        </w:tabs>
        <w:spacing w:after="240"/>
        <w:ind w:left="0"/>
        <w:rPr>
          <w:color w:val="FF0000"/>
          <w:spacing w:val="-2"/>
          <w:szCs w:val="22"/>
        </w:rPr>
      </w:pPr>
      <w:r w:rsidRPr="00D06C58">
        <w:rPr>
          <w:spacing w:val="-2"/>
          <w:szCs w:val="22"/>
        </w:rPr>
        <w:t>In its Response, the</w:t>
      </w:r>
      <w:r w:rsidR="004C07FB" w:rsidRPr="00D06C58">
        <w:rPr>
          <w:spacing w:val="-2"/>
          <w:szCs w:val="22"/>
        </w:rPr>
        <w:t xml:space="preserve"> Licensee does not dispute that it failed to</w:t>
      </w:r>
      <w:r w:rsidR="00FC0A73" w:rsidRPr="00D06C58">
        <w:t xml:space="preserve"> </w:t>
      </w:r>
      <w:r w:rsidR="00D06C58" w:rsidRPr="00D06C58">
        <w:t xml:space="preserve">file its Children’s Television Programming Reports with the Commission in a timely manner and </w:t>
      </w:r>
      <w:r w:rsidR="00096E7D">
        <w:t xml:space="preserve">that it </w:t>
      </w:r>
      <w:r w:rsidR="00D06C58" w:rsidRPr="00D06C58">
        <w:t xml:space="preserve">failed to report this in its license renewal application </w:t>
      </w:r>
      <w:r w:rsidR="004C07FB" w:rsidRPr="00D06C58">
        <w:rPr>
          <w:spacing w:val="-2"/>
          <w:szCs w:val="22"/>
        </w:rPr>
        <w:t>as described in the NAL. Th</w:t>
      </w:r>
      <w:r w:rsidR="00D06C58" w:rsidRPr="00D06C58">
        <w:rPr>
          <w:spacing w:val="-2"/>
          <w:szCs w:val="22"/>
        </w:rPr>
        <w:t>ese deficiencies</w:t>
      </w:r>
      <w:r w:rsidR="004C07FB" w:rsidRPr="00D06C58">
        <w:rPr>
          <w:spacing w:val="-2"/>
          <w:szCs w:val="22"/>
        </w:rPr>
        <w:t>, regardless of the cause, constitute</w:t>
      </w:r>
      <w:r w:rsidR="00FC0A73" w:rsidRPr="00D06C58">
        <w:rPr>
          <w:spacing w:val="-2"/>
          <w:szCs w:val="22"/>
        </w:rPr>
        <w:t xml:space="preserve"> a violation</w:t>
      </w:r>
      <w:r w:rsidR="004C07FB" w:rsidRPr="00D06C58">
        <w:rPr>
          <w:spacing w:val="-2"/>
          <w:szCs w:val="22"/>
        </w:rPr>
        <w:t xml:space="preserve"> of Commission </w:t>
      </w:r>
      <w:r w:rsidR="004C07FB" w:rsidRPr="005F27EF">
        <w:rPr>
          <w:spacing w:val="-2"/>
          <w:szCs w:val="22"/>
        </w:rPr>
        <w:t>rules</w:t>
      </w:r>
      <w:r w:rsidR="004250E6" w:rsidRPr="005F27EF">
        <w:rPr>
          <w:spacing w:val="-2"/>
          <w:szCs w:val="22"/>
        </w:rPr>
        <w:t xml:space="preserve">. </w:t>
      </w:r>
      <w:r w:rsidR="00D06C58" w:rsidRPr="005F27EF">
        <w:rPr>
          <w:spacing w:val="-2"/>
          <w:szCs w:val="22"/>
        </w:rPr>
        <w:t xml:space="preserve">The </w:t>
      </w:r>
      <w:r w:rsidR="004C07FB" w:rsidRPr="005F27EF">
        <w:rPr>
          <w:szCs w:val="22"/>
        </w:rPr>
        <w:t xml:space="preserve">Licensee </w:t>
      </w:r>
      <w:r w:rsidR="00BB1B21" w:rsidRPr="005F27EF">
        <w:rPr>
          <w:szCs w:val="22"/>
        </w:rPr>
        <w:t xml:space="preserve">nonetheless </w:t>
      </w:r>
      <w:r w:rsidR="00FC0A73" w:rsidRPr="005F27EF">
        <w:rPr>
          <w:szCs w:val="22"/>
        </w:rPr>
        <w:t xml:space="preserve">requests </w:t>
      </w:r>
      <w:r w:rsidR="00D06C58" w:rsidRPr="005F27EF">
        <w:rPr>
          <w:szCs w:val="22"/>
        </w:rPr>
        <w:t>a reduction in</w:t>
      </w:r>
      <w:r w:rsidR="005756F6" w:rsidRPr="005F27EF">
        <w:rPr>
          <w:szCs w:val="22"/>
        </w:rPr>
        <w:t xml:space="preserve"> the forfeiture</w:t>
      </w:r>
      <w:r w:rsidR="00FC0A73" w:rsidRPr="005F27EF">
        <w:rPr>
          <w:szCs w:val="22"/>
        </w:rPr>
        <w:t xml:space="preserve"> </w:t>
      </w:r>
      <w:r w:rsidR="005756F6" w:rsidRPr="005F27EF">
        <w:rPr>
          <w:szCs w:val="22"/>
        </w:rPr>
        <w:t>amount</w:t>
      </w:r>
      <w:r w:rsidR="00BB1B21" w:rsidRPr="005F27EF">
        <w:rPr>
          <w:szCs w:val="22"/>
        </w:rPr>
        <w:t>.</w:t>
      </w:r>
      <w:r w:rsidR="005756F6" w:rsidRPr="005F27EF">
        <w:rPr>
          <w:szCs w:val="22"/>
        </w:rPr>
        <w:t xml:space="preserve"> </w:t>
      </w:r>
    </w:p>
    <w:p w:rsidR="00096E7D" w:rsidRPr="00DC7260" w:rsidRDefault="00BB1B21" w:rsidP="004250E6">
      <w:pPr>
        <w:pStyle w:val="ParaNum"/>
        <w:tabs>
          <w:tab w:val="num" w:pos="1440"/>
        </w:tabs>
        <w:spacing w:after="240"/>
        <w:ind w:left="0"/>
        <w:rPr>
          <w:spacing w:val="-2"/>
          <w:szCs w:val="22"/>
        </w:rPr>
      </w:pPr>
      <w:r w:rsidRPr="00DC7260">
        <w:rPr>
          <w:szCs w:val="22"/>
        </w:rPr>
        <w:t xml:space="preserve">In support of its request for a forfeiture reduction, the Licensee states that its violations “were not willful or deliberate, but were errors made by the Licensee as it began to operate KTGF under unanticipated challenging circumstances.” </w:t>
      </w:r>
      <w:r w:rsidR="00405AAC">
        <w:rPr>
          <w:szCs w:val="22"/>
        </w:rPr>
        <w:t xml:space="preserve"> </w:t>
      </w:r>
      <w:r w:rsidRPr="00DC7260">
        <w:rPr>
          <w:szCs w:val="22"/>
        </w:rPr>
        <w:t>The License</w:t>
      </w:r>
      <w:r w:rsidR="005F27EF" w:rsidRPr="00DC7260">
        <w:rPr>
          <w:szCs w:val="22"/>
        </w:rPr>
        <w:t xml:space="preserve">e also points out that the management of the station took immediate action to correct the issues once the situation was discovered, including filing the reports for previous quarters and creating a calendar of required FCC filings to ensure that a similar problem would not occur in the future. Since the time these violations were discovered, the Licensee has </w:t>
      </w:r>
      <w:r w:rsidR="005F27EF" w:rsidRPr="00DC7260">
        <w:rPr>
          <w:szCs w:val="22"/>
        </w:rPr>
        <w:lastRenderedPageBreak/>
        <w:t>timely filed all of its Children’s Television Programming Reports and other required FCC filings.</w:t>
      </w:r>
      <w:r w:rsidR="000E0810" w:rsidRPr="00DC7260">
        <w:rPr>
          <w:rStyle w:val="FootnoteReference"/>
          <w:szCs w:val="22"/>
        </w:rPr>
        <w:footnoteReference w:id="9"/>
      </w:r>
      <w:r w:rsidR="00A017E4" w:rsidRPr="00DC7260">
        <w:rPr>
          <w:szCs w:val="22"/>
        </w:rPr>
        <w:t xml:space="preserve"> </w:t>
      </w:r>
    </w:p>
    <w:p w:rsidR="00DC7F41" w:rsidRPr="00DC7F41" w:rsidRDefault="00DC7F41" w:rsidP="004250E6">
      <w:pPr>
        <w:pStyle w:val="ParaNum"/>
        <w:tabs>
          <w:tab w:val="num" w:pos="1440"/>
        </w:tabs>
        <w:spacing w:after="240"/>
        <w:ind w:left="0"/>
        <w:rPr>
          <w:color w:val="FF0000"/>
          <w:spacing w:val="-2"/>
          <w:szCs w:val="22"/>
        </w:rPr>
      </w:pPr>
      <w:r w:rsidRPr="00DC7260">
        <w:rPr>
          <w:szCs w:val="22"/>
        </w:rPr>
        <w:t xml:space="preserve">In </w:t>
      </w:r>
      <w:r w:rsidR="004250E6" w:rsidRPr="00DC7260">
        <w:rPr>
          <w:szCs w:val="22"/>
        </w:rPr>
        <w:t xml:space="preserve">determining the </w:t>
      </w:r>
      <w:r w:rsidRPr="00DC7260">
        <w:rPr>
          <w:szCs w:val="22"/>
        </w:rPr>
        <w:t xml:space="preserve">appropriate </w:t>
      </w:r>
      <w:r w:rsidR="004250E6" w:rsidRPr="00DC7260">
        <w:rPr>
          <w:szCs w:val="22"/>
        </w:rPr>
        <w:t xml:space="preserve">forfeiture amount, </w:t>
      </w:r>
      <w:r w:rsidRPr="00DC7260">
        <w:rPr>
          <w:szCs w:val="22"/>
        </w:rPr>
        <w:t xml:space="preserve">we have </w:t>
      </w:r>
      <w:r w:rsidRPr="00DC7260">
        <w:rPr>
          <w:spacing w:val="-2"/>
          <w:szCs w:val="22"/>
        </w:rPr>
        <w:t>considered the factors set forth in Section 503(b)(2)(E)</w:t>
      </w:r>
      <w:r w:rsidRPr="00DC7260">
        <w:t xml:space="preserve"> of the </w:t>
      </w:r>
      <w:r w:rsidR="00862F2E" w:rsidRPr="00DC7260">
        <w:t xml:space="preserve">Act. </w:t>
      </w:r>
      <w:r w:rsidR="000E0191">
        <w:t xml:space="preserve"> </w:t>
      </w:r>
      <w:r w:rsidR="00096E7D" w:rsidRPr="00DC7260">
        <w:t>First, we note that</w:t>
      </w:r>
      <w:r w:rsidR="00862F2E" w:rsidRPr="00DC7260">
        <w:t xml:space="preserve"> Licensee’s argument that </w:t>
      </w:r>
      <w:r w:rsidR="00862F2E">
        <w:t>the violations were not willful or deliberate is not persuasive. Section 312(f)(1) of the Act defines willful as “the conscious and deliberate commission or omission of [any] act, irrespective of any intent to violate” the law.</w:t>
      </w:r>
      <w:r w:rsidR="00D734B1">
        <w:rPr>
          <w:rStyle w:val="FootnoteReference"/>
        </w:rPr>
        <w:footnoteReference w:id="10"/>
      </w:r>
      <w:r w:rsidR="00862F2E">
        <w:t xml:space="preserve"> As the Commission has held, violations resulting from inadvertent error or failure to become familiar with the Commission’s rules are willful violations.</w:t>
      </w:r>
      <w:r w:rsidR="00721A7E">
        <w:rPr>
          <w:rStyle w:val="FootnoteReference"/>
        </w:rPr>
        <w:footnoteReference w:id="11"/>
      </w:r>
      <w:r w:rsidR="00862F2E">
        <w:t xml:space="preserve"> </w:t>
      </w:r>
      <w:r w:rsidR="000E0191">
        <w:t xml:space="preserve"> </w:t>
      </w:r>
      <w:r w:rsidR="00862F2E">
        <w:t>Licensees are expected to be aware of and comply with all Commission rules, and the Licensee’s failure here to abide by the rules represented a conscious and deliberate omission.</w:t>
      </w:r>
      <w:r w:rsidR="00036896">
        <w:t xml:space="preserve"> </w:t>
      </w:r>
      <w:r w:rsidR="00862F2E">
        <w:rPr>
          <w:spacing w:val="-2"/>
          <w:szCs w:val="22"/>
        </w:rPr>
        <w:t xml:space="preserve">Nevertheless, we have </w:t>
      </w:r>
      <w:r w:rsidR="00D80328">
        <w:rPr>
          <w:spacing w:val="-2"/>
          <w:szCs w:val="22"/>
        </w:rPr>
        <w:t xml:space="preserve">decided to make a downward adjustment of the forfeiture based on the Licensee’s showing of compliance with the Commission’s rules since the violations </w:t>
      </w:r>
      <w:r w:rsidR="00A017E4">
        <w:rPr>
          <w:spacing w:val="-2"/>
          <w:szCs w:val="22"/>
        </w:rPr>
        <w:t xml:space="preserve">at issue </w:t>
      </w:r>
      <w:r w:rsidR="00D80328">
        <w:rPr>
          <w:spacing w:val="-2"/>
          <w:szCs w:val="22"/>
        </w:rPr>
        <w:t xml:space="preserve">were discovered and the Licensee’s effort </w:t>
      </w:r>
      <w:r w:rsidR="00A017E4">
        <w:rPr>
          <w:spacing w:val="-2"/>
          <w:szCs w:val="22"/>
        </w:rPr>
        <w:t>from that point forward</w:t>
      </w:r>
      <w:r w:rsidR="00D80328">
        <w:rPr>
          <w:spacing w:val="-2"/>
          <w:szCs w:val="22"/>
        </w:rPr>
        <w:t xml:space="preserve"> to ensure</w:t>
      </w:r>
      <w:r w:rsidR="00A017E4">
        <w:rPr>
          <w:spacing w:val="-2"/>
          <w:szCs w:val="22"/>
        </w:rPr>
        <w:t xml:space="preserve"> continued</w:t>
      </w:r>
      <w:r w:rsidR="00D80328">
        <w:rPr>
          <w:spacing w:val="-2"/>
          <w:szCs w:val="22"/>
        </w:rPr>
        <w:t xml:space="preserve"> compliance with </w:t>
      </w:r>
      <w:r w:rsidR="00096E7D">
        <w:rPr>
          <w:spacing w:val="-2"/>
          <w:szCs w:val="22"/>
        </w:rPr>
        <w:t>the</w:t>
      </w:r>
      <w:r w:rsidR="00D80328">
        <w:rPr>
          <w:spacing w:val="-2"/>
          <w:szCs w:val="22"/>
        </w:rPr>
        <w:t xml:space="preserve"> rules </w:t>
      </w:r>
      <w:r w:rsidR="00A017E4">
        <w:rPr>
          <w:spacing w:val="-2"/>
          <w:szCs w:val="22"/>
        </w:rPr>
        <w:t>such that a</w:t>
      </w:r>
      <w:r w:rsidR="00D80328">
        <w:rPr>
          <w:spacing w:val="-2"/>
          <w:szCs w:val="22"/>
        </w:rPr>
        <w:t xml:space="preserve"> problem of this natur</w:t>
      </w:r>
      <w:r w:rsidR="00862F2E">
        <w:rPr>
          <w:spacing w:val="-2"/>
          <w:szCs w:val="22"/>
        </w:rPr>
        <w:t xml:space="preserve">e </w:t>
      </w:r>
      <w:r w:rsidR="00096E7D">
        <w:rPr>
          <w:spacing w:val="-2"/>
          <w:szCs w:val="22"/>
        </w:rPr>
        <w:t>will not occur</w:t>
      </w:r>
      <w:r w:rsidR="00862F2E">
        <w:rPr>
          <w:spacing w:val="-2"/>
          <w:szCs w:val="22"/>
        </w:rPr>
        <w:t xml:space="preserve"> in the future. </w:t>
      </w:r>
      <w:r w:rsidR="000E0191">
        <w:rPr>
          <w:spacing w:val="-2"/>
          <w:szCs w:val="22"/>
        </w:rPr>
        <w:t xml:space="preserve"> </w:t>
      </w:r>
      <w:r w:rsidR="001B1C23">
        <w:rPr>
          <w:spacing w:val="-2"/>
          <w:szCs w:val="22"/>
        </w:rPr>
        <w:t>Having carefully reviewed the Licensee’s response and</w:t>
      </w:r>
      <w:r w:rsidR="00096E7D">
        <w:rPr>
          <w:spacing w:val="-2"/>
          <w:szCs w:val="22"/>
        </w:rPr>
        <w:t xml:space="preserve"> the</w:t>
      </w:r>
      <w:r w:rsidR="001B1C23">
        <w:rPr>
          <w:spacing w:val="-2"/>
          <w:szCs w:val="22"/>
        </w:rPr>
        <w:t xml:space="preserve"> facts and circumstances before us, we reduce the forfeiture from $9,000 to $6,000. </w:t>
      </w:r>
    </w:p>
    <w:p w:rsidR="004C07FB" w:rsidRPr="005303E2" w:rsidRDefault="004C07FB" w:rsidP="00FC0A73">
      <w:pPr>
        <w:pStyle w:val="ParaNum"/>
        <w:widowControl/>
        <w:numPr>
          <w:ilvl w:val="0"/>
          <w:numId w:val="0"/>
        </w:numPr>
        <w:tabs>
          <w:tab w:val="left" w:pos="1080"/>
        </w:tabs>
        <w:spacing w:after="240"/>
        <w:rPr>
          <w:szCs w:val="22"/>
        </w:rPr>
      </w:pPr>
      <w:r w:rsidRPr="005303E2">
        <w:rPr>
          <w:b/>
          <w:szCs w:val="22"/>
        </w:rPr>
        <w:t>IV.  ORDERING CLAUSES</w:t>
      </w:r>
    </w:p>
    <w:p w:rsidR="00D05741" w:rsidRPr="00D05741" w:rsidRDefault="004C07FB" w:rsidP="00D05741">
      <w:pPr>
        <w:pStyle w:val="ParaNum"/>
        <w:tabs>
          <w:tab w:val="left" w:pos="1440"/>
        </w:tabs>
        <w:spacing w:after="240"/>
        <w:ind w:left="0"/>
        <w:rPr>
          <w:color w:val="FF0000"/>
          <w:szCs w:val="22"/>
        </w:rPr>
      </w:pPr>
      <w:r w:rsidRPr="00D06C58">
        <w:rPr>
          <w:szCs w:val="22"/>
        </w:rPr>
        <w:t>ACCORDINGLY, IT IS ORDERED THAT, pursuant to section 503(b) of the</w:t>
      </w:r>
      <w:r w:rsidR="00C53690" w:rsidRPr="00D06C58">
        <w:rPr>
          <w:szCs w:val="22"/>
        </w:rPr>
        <w:t xml:space="preserve"> Act</w:t>
      </w:r>
      <w:r w:rsidRPr="00D06C58">
        <w:rPr>
          <w:szCs w:val="22"/>
        </w:rPr>
        <w:t xml:space="preserve">, and </w:t>
      </w:r>
      <w:r w:rsidRPr="00372E88">
        <w:rPr>
          <w:szCs w:val="22"/>
        </w:rPr>
        <w:t>Sections 0.61(f)(1) and 1.80</w:t>
      </w:r>
      <w:r w:rsidR="00C83222" w:rsidRPr="00372E88">
        <w:rPr>
          <w:szCs w:val="22"/>
        </w:rPr>
        <w:t>(a)(1)&amp;(2) of the R</w:t>
      </w:r>
      <w:r w:rsidRPr="00372E88">
        <w:rPr>
          <w:szCs w:val="22"/>
        </w:rPr>
        <w:t>ules</w:t>
      </w:r>
      <w:r w:rsidRPr="00372E88">
        <w:rPr>
          <w:spacing w:val="-2"/>
          <w:szCs w:val="22"/>
        </w:rPr>
        <w:t>,</w:t>
      </w:r>
      <w:r w:rsidRPr="00372E88">
        <w:rPr>
          <w:rStyle w:val="FootnoteReference"/>
          <w:spacing w:val="-2"/>
          <w:szCs w:val="22"/>
        </w:rPr>
        <w:footnoteReference w:id="12"/>
      </w:r>
      <w:r w:rsidRPr="00372E88">
        <w:rPr>
          <w:szCs w:val="22"/>
        </w:rPr>
        <w:t xml:space="preserve"> </w:t>
      </w:r>
      <w:r w:rsidR="00D06C58" w:rsidRPr="00372E88">
        <w:rPr>
          <w:szCs w:val="22"/>
        </w:rPr>
        <w:t>KTGF License Corporation</w:t>
      </w:r>
      <w:r w:rsidRPr="00372E88">
        <w:rPr>
          <w:szCs w:val="22"/>
        </w:rPr>
        <w:t xml:space="preserve"> SHALL FORFEIT to the United States the sum of </w:t>
      </w:r>
      <w:r w:rsidR="00372E88" w:rsidRPr="00372E88">
        <w:rPr>
          <w:szCs w:val="22"/>
        </w:rPr>
        <w:t>six</w:t>
      </w:r>
      <w:r w:rsidR="00DF170B" w:rsidRPr="00372E88">
        <w:rPr>
          <w:szCs w:val="22"/>
        </w:rPr>
        <w:t xml:space="preserve"> thousand dollars</w:t>
      </w:r>
      <w:r w:rsidRPr="00372E88">
        <w:rPr>
          <w:szCs w:val="22"/>
        </w:rPr>
        <w:t xml:space="preserve"> ($</w:t>
      </w:r>
      <w:r w:rsidR="00372E88" w:rsidRPr="00372E88">
        <w:rPr>
          <w:szCs w:val="22"/>
        </w:rPr>
        <w:t>6</w:t>
      </w:r>
      <w:r w:rsidR="00DF170B" w:rsidRPr="00372E88">
        <w:rPr>
          <w:szCs w:val="22"/>
        </w:rPr>
        <w:t>,0</w:t>
      </w:r>
      <w:r w:rsidRPr="00372E88">
        <w:rPr>
          <w:szCs w:val="22"/>
        </w:rPr>
        <w:t>00) for violating 47 C.F.R.</w:t>
      </w:r>
      <w:r w:rsidR="00D06C58" w:rsidRPr="00372E88">
        <w:t xml:space="preserve"> §§ </w:t>
      </w:r>
      <w:r w:rsidRPr="00372E88">
        <w:rPr>
          <w:szCs w:val="22"/>
        </w:rPr>
        <w:t>73.</w:t>
      </w:r>
      <w:r w:rsidR="00D06C58" w:rsidRPr="00372E88">
        <w:rPr>
          <w:szCs w:val="22"/>
        </w:rPr>
        <w:t>3526(e)(11)(iii) and 73.3514(a)</w:t>
      </w:r>
      <w:r w:rsidRPr="00372E88">
        <w:rPr>
          <w:szCs w:val="22"/>
        </w:rPr>
        <w:t>.</w:t>
      </w:r>
    </w:p>
    <w:p w:rsidR="00D05741" w:rsidRPr="00C4681F" w:rsidRDefault="00D05741" w:rsidP="00D05741">
      <w:pPr>
        <w:pStyle w:val="ParaNum"/>
        <w:tabs>
          <w:tab w:val="left" w:pos="1440"/>
        </w:tabs>
        <w:spacing w:after="240"/>
        <w:ind w:left="0"/>
        <w:rPr>
          <w:color w:val="FF0000"/>
          <w:szCs w:val="22"/>
        </w:rPr>
      </w:pPr>
      <w:r w:rsidRPr="00D05741">
        <w:rPr>
          <w:szCs w:val="22"/>
        </w:rPr>
        <w:t xml:space="preserve">Payments of the proposed forfeiture must be made by check or similar instrument, wire transfer, or credit card, and must include the FRN referenced above.  Electronic notification of payments should also be sent to Alison Nemeth at Alison.Nemeth@fcc.gov on the date payments are made.  </w:t>
      </w:r>
      <w:r w:rsidRPr="00C4681F">
        <w:rPr>
          <w:szCs w:val="22"/>
        </w:rPr>
        <w:t>Regardless of the form of payment, a completed FCC Form 159 (Remittance Advice) must be submitted.</w:t>
      </w:r>
      <w:r w:rsidRPr="00C4681F">
        <w:rPr>
          <w:szCs w:val="22"/>
          <w:vertAlign w:val="superscript"/>
        </w:rPr>
        <w:footnoteReference w:id="13"/>
      </w:r>
      <w:r w:rsidRPr="00C4681F">
        <w:rPr>
          <w:szCs w:val="22"/>
        </w:rPr>
        <w:t xml:space="preserve">   When completing the FCC Form 159, enter the Account Number in block number 23A (call sign/other ID) and enter the letters “FORF” in block number 24A (payment type code).</w:t>
      </w:r>
      <w:r w:rsidRPr="00C4681F">
        <w:rPr>
          <w:szCs w:val="22"/>
          <w:vertAlign w:val="superscript"/>
        </w:rPr>
        <w:footnoteReference w:id="14"/>
      </w:r>
      <w:r w:rsidRPr="00C4681F">
        <w:rPr>
          <w:szCs w:val="22"/>
        </w:rPr>
        <w:t xml:space="preserve"> </w:t>
      </w:r>
    </w:p>
    <w:p w:rsidR="00D05741" w:rsidRPr="00C4681F" w:rsidRDefault="00D05741" w:rsidP="00D05741">
      <w:pPr>
        <w:widowControl w:val="0"/>
        <w:numPr>
          <w:ilvl w:val="0"/>
          <w:numId w:val="4"/>
        </w:numPr>
        <w:spacing w:after="120"/>
        <w:rPr>
          <w:snapToGrid w:val="0"/>
          <w:kern w:val="28"/>
          <w:sz w:val="22"/>
          <w:szCs w:val="22"/>
        </w:rPr>
      </w:pPr>
      <w:r w:rsidRPr="00C4681F">
        <w:rPr>
          <w:snapToGrid w:val="0"/>
          <w:kern w:val="28"/>
          <w:sz w:val="2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D05741" w:rsidRPr="00C4681F" w:rsidRDefault="00D05741" w:rsidP="00D05741">
      <w:pPr>
        <w:widowControl w:val="0"/>
        <w:numPr>
          <w:ilvl w:val="0"/>
          <w:numId w:val="4"/>
        </w:numPr>
        <w:spacing w:after="120"/>
        <w:rPr>
          <w:snapToGrid w:val="0"/>
          <w:kern w:val="28"/>
          <w:sz w:val="22"/>
          <w:szCs w:val="22"/>
        </w:rPr>
      </w:pPr>
      <w:r w:rsidRPr="00C4681F">
        <w:rPr>
          <w:snapToGrid w:val="0"/>
          <w:kern w:val="28"/>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D05741" w:rsidRPr="00C4681F" w:rsidRDefault="00D05741" w:rsidP="00D05741">
      <w:pPr>
        <w:widowControl w:val="0"/>
        <w:numPr>
          <w:ilvl w:val="0"/>
          <w:numId w:val="4"/>
        </w:numPr>
        <w:spacing w:after="120"/>
        <w:rPr>
          <w:snapToGrid w:val="0"/>
          <w:kern w:val="28"/>
          <w:sz w:val="22"/>
          <w:szCs w:val="22"/>
        </w:rPr>
      </w:pPr>
      <w:r w:rsidRPr="00C4681F">
        <w:rPr>
          <w:snapToGrid w:val="0"/>
          <w:kern w:val="28"/>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D05741" w:rsidRDefault="00D05741" w:rsidP="00D05741">
      <w:pPr>
        <w:pStyle w:val="ParaNum"/>
        <w:tabs>
          <w:tab w:val="left" w:pos="1260"/>
          <w:tab w:val="num" w:pos="1440"/>
        </w:tabs>
        <w:ind w:firstLine="540"/>
      </w:pPr>
      <w:r w:rsidRPr="00D05741">
        <w:rPr>
          <w:rFonts w:eastAsia="MS Mincho"/>
        </w:rPr>
        <w:t>Any request for full payment over time under an installment plan should be sent to:  Chief, Financial Officer—Financial Operations, Federal Communications Commission, 445 12th Street, S.W., Room 1-A625, Washington, D.C.  20554.</w:t>
      </w:r>
      <w:r w:rsidRPr="006F41EE">
        <w:rPr>
          <w:rFonts w:eastAsia="MS Mincho"/>
          <w:vertAlign w:val="superscript"/>
        </w:rPr>
        <w:footnoteReference w:id="15"/>
      </w:r>
      <w:r w:rsidRPr="00D05741">
        <w:rPr>
          <w:rFonts w:eastAsia="MS Mincho"/>
        </w:rPr>
        <w:t>  If there are questions regarding payment procedures, the respective Company should contact the Financial Operations Group Help Desk by phone, 1-877-480-3201, or by e</w:t>
      </w:r>
      <w:r w:rsidRPr="00D05741">
        <w:rPr>
          <w:rFonts w:eastAsia="MS Mincho"/>
        </w:rPr>
        <w:noBreakHyphen/>
        <w:t xml:space="preserve">mail, </w:t>
      </w:r>
      <w:hyperlink r:id="rId8" w:history="1">
        <w:r w:rsidRPr="0049480A">
          <w:rPr>
            <w:rStyle w:val="Hyperlink"/>
            <w:rFonts w:eastAsia="MS Mincho"/>
          </w:rPr>
          <w:t>ARINQUIRIES@fcc.gov</w:t>
        </w:r>
      </w:hyperlink>
      <w:r w:rsidRPr="00D05741">
        <w:rPr>
          <w:rFonts w:eastAsia="MS Mincho"/>
        </w:rPr>
        <w:t>.</w:t>
      </w:r>
    </w:p>
    <w:p w:rsidR="00D05741" w:rsidRDefault="00D05741" w:rsidP="00D05741">
      <w:pPr>
        <w:pStyle w:val="ParaNum"/>
        <w:tabs>
          <w:tab w:val="left" w:pos="1260"/>
          <w:tab w:val="num" w:pos="1440"/>
        </w:tabs>
        <w:ind w:firstLine="540"/>
      </w:pPr>
      <w:r w:rsidRPr="00D05741">
        <w:rPr>
          <w:szCs w:val="22"/>
        </w:rPr>
        <w:t xml:space="preserve"> The response, if any, must be mailed to Office of the Secretary, Federal Communications Commission, 445 12</w:t>
      </w:r>
      <w:r w:rsidRPr="00D05741">
        <w:rPr>
          <w:szCs w:val="22"/>
          <w:vertAlign w:val="superscript"/>
        </w:rPr>
        <w:t>th</w:t>
      </w:r>
      <w:r w:rsidRPr="00D05741">
        <w:rPr>
          <w:szCs w:val="22"/>
        </w:rPr>
        <w:t xml:space="preserve"> Street, S.W., Washington, D.C. 20554, ATTN:  Alison L. Nemeth, Attorney-Advisor, Video Division, Media Bureau, and </w:t>
      </w:r>
      <w:r w:rsidRPr="00D05741">
        <w:rPr>
          <w:b/>
          <w:szCs w:val="22"/>
        </w:rPr>
        <w:t>MUST INCLUDE</w:t>
      </w:r>
      <w:r w:rsidRPr="00D05741">
        <w:rPr>
          <w:szCs w:val="22"/>
        </w:rPr>
        <w:t xml:space="preserve"> the NAL/Acct. No. referenced above. In addition, to the extent practicable, a copy of the response, if any, should be sent via e-mail to </w:t>
      </w:r>
      <w:hyperlink r:id="rId9" w:history="1">
        <w:r w:rsidRPr="0049480A">
          <w:rPr>
            <w:rStyle w:val="Hyperlink"/>
            <w:szCs w:val="22"/>
          </w:rPr>
          <w:t>Alison.Nemeth@fcc.gov</w:t>
        </w:r>
      </w:hyperlink>
      <w:r w:rsidRPr="00D05741">
        <w:rPr>
          <w:szCs w:val="22"/>
        </w:rPr>
        <w:t>.</w:t>
      </w:r>
    </w:p>
    <w:p w:rsidR="00D05741" w:rsidRPr="00D05741" w:rsidRDefault="00D05741" w:rsidP="00D05741">
      <w:pPr>
        <w:pStyle w:val="ParaNum"/>
        <w:tabs>
          <w:tab w:val="left" w:pos="1260"/>
          <w:tab w:val="num" w:pos="1440"/>
        </w:tabs>
        <w:ind w:firstLine="540"/>
      </w:pPr>
      <w:r w:rsidRPr="00D05741">
        <w:rPr>
          <w:szCs w:val="22"/>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rStyle w:val="FootnoteReference"/>
          <w:szCs w:val="22"/>
        </w:rPr>
        <w:footnoteReference w:id="16"/>
      </w:r>
      <w:r w:rsidRPr="00D05741">
        <w:rPr>
          <w:szCs w:val="22"/>
        </w:rPr>
        <w:t xml:space="preserve"> </w:t>
      </w:r>
    </w:p>
    <w:p w:rsidR="004C07FB" w:rsidRPr="003D35FA" w:rsidRDefault="004C07FB" w:rsidP="00372E88">
      <w:pPr>
        <w:pStyle w:val="ParaNum"/>
      </w:pPr>
      <w:r w:rsidRPr="003D35FA">
        <w:t>IT IS FURTHER ORDERED THAT a copy of this FORFEITURE ORDER shall be sent by Certified Mail Return Receipt Requested to</w:t>
      </w:r>
      <w:r w:rsidRPr="003D35FA">
        <w:rPr>
          <w:shd w:val="clear" w:color="auto" w:fill="FFFFFF"/>
        </w:rPr>
        <w:t xml:space="preserve"> </w:t>
      </w:r>
      <w:r w:rsidR="00010537" w:rsidRPr="003D35FA">
        <w:rPr>
          <w:shd w:val="clear" w:color="auto" w:fill="FFFFFF"/>
        </w:rPr>
        <w:t>KTGF License Corporation,</w:t>
      </w:r>
      <w:r w:rsidRPr="003D35FA">
        <w:rPr>
          <w:shd w:val="clear" w:color="auto" w:fill="FFFFFF"/>
        </w:rPr>
        <w:t xml:space="preserve"> </w:t>
      </w:r>
      <w:r w:rsidR="003D35FA">
        <w:rPr>
          <w:shd w:val="clear" w:color="auto" w:fill="FFFFFF"/>
        </w:rPr>
        <w:t xml:space="preserve">c/o Roger Lonnquist, General Manager, </w:t>
      </w:r>
      <w:r w:rsidR="00010537" w:rsidRPr="003D35FA">
        <w:t>PO Box 7393</w:t>
      </w:r>
      <w:r w:rsidR="00AE4426" w:rsidRPr="003D35FA">
        <w:t xml:space="preserve">, </w:t>
      </w:r>
      <w:r w:rsidR="00E11CAC" w:rsidRPr="003D35FA">
        <w:t>Helena, Montana 59604-7393</w:t>
      </w:r>
      <w:r w:rsidR="00372E88">
        <w:t xml:space="preserve"> and by e-mail to Roger Lonnquist at</w:t>
      </w:r>
      <w:r w:rsidR="00372E88" w:rsidRPr="00372E88">
        <w:t xml:space="preserve"> </w:t>
      </w:r>
      <w:hyperlink r:id="rId10" w:history="1">
        <w:r w:rsidR="00372E88" w:rsidRPr="00847DC8">
          <w:rPr>
            <w:rStyle w:val="Hyperlink"/>
            <w:szCs w:val="22"/>
          </w:rPr>
          <w:t>tvinvestor@gmail.com</w:t>
        </w:r>
      </w:hyperlink>
      <w:r w:rsidR="00372E88">
        <w:rPr>
          <w:szCs w:val="22"/>
        </w:rPr>
        <w:t>.</w:t>
      </w:r>
      <w:r w:rsidR="00E11CAC" w:rsidRPr="003D35FA">
        <w:t xml:space="preserve"> </w:t>
      </w:r>
      <w:r w:rsidR="00372E88">
        <w:t xml:space="preserve"> </w:t>
      </w:r>
    </w:p>
    <w:p w:rsidR="004C07FB" w:rsidRPr="00C4681F" w:rsidRDefault="004C07FB" w:rsidP="004C07FB">
      <w:pPr>
        <w:jc w:val="both"/>
        <w:rPr>
          <w:sz w:val="22"/>
          <w:szCs w:val="22"/>
        </w:rPr>
      </w:pPr>
      <w:r w:rsidRPr="00351847">
        <w:rPr>
          <w:color w:val="FF0000"/>
          <w:sz w:val="22"/>
          <w:szCs w:val="22"/>
        </w:rPr>
        <w:tab/>
      </w:r>
      <w:r w:rsidRPr="00351847">
        <w:rPr>
          <w:color w:val="FF0000"/>
          <w:sz w:val="22"/>
          <w:szCs w:val="22"/>
        </w:rPr>
        <w:tab/>
      </w:r>
      <w:r w:rsidRPr="00351847">
        <w:rPr>
          <w:color w:val="FF0000"/>
          <w:sz w:val="22"/>
          <w:szCs w:val="22"/>
        </w:rPr>
        <w:tab/>
      </w:r>
    </w:p>
    <w:p w:rsidR="004C07FB" w:rsidRPr="00C4681F" w:rsidRDefault="004C07FB" w:rsidP="004C07FB">
      <w:pPr>
        <w:jc w:val="both"/>
        <w:rPr>
          <w:sz w:val="22"/>
          <w:szCs w:val="22"/>
        </w:rPr>
      </w:pPr>
      <w:r w:rsidRPr="00C4681F">
        <w:rPr>
          <w:sz w:val="22"/>
          <w:szCs w:val="22"/>
        </w:rPr>
        <w:tab/>
      </w:r>
      <w:r w:rsidRPr="00C4681F">
        <w:rPr>
          <w:sz w:val="22"/>
          <w:szCs w:val="22"/>
        </w:rPr>
        <w:tab/>
      </w:r>
      <w:r w:rsidRPr="00C4681F">
        <w:rPr>
          <w:sz w:val="22"/>
          <w:szCs w:val="22"/>
        </w:rPr>
        <w:tab/>
      </w:r>
      <w:r w:rsidRPr="00C4681F">
        <w:rPr>
          <w:sz w:val="22"/>
          <w:szCs w:val="22"/>
        </w:rPr>
        <w:tab/>
        <w:t>FEDERAL COMMUNICATIONS COMMISSION</w:t>
      </w:r>
    </w:p>
    <w:p w:rsidR="004C07FB" w:rsidRPr="00C4681F" w:rsidRDefault="004C07FB" w:rsidP="004C07FB">
      <w:pPr>
        <w:jc w:val="both"/>
        <w:rPr>
          <w:sz w:val="22"/>
          <w:szCs w:val="22"/>
        </w:rPr>
      </w:pPr>
      <w:r w:rsidRPr="00C4681F">
        <w:rPr>
          <w:sz w:val="22"/>
          <w:szCs w:val="22"/>
        </w:rPr>
        <w:tab/>
      </w:r>
      <w:r w:rsidRPr="00C4681F">
        <w:rPr>
          <w:sz w:val="22"/>
          <w:szCs w:val="22"/>
        </w:rPr>
        <w:tab/>
      </w:r>
      <w:r w:rsidRPr="00C4681F">
        <w:rPr>
          <w:sz w:val="22"/>
          <w:szCs w:val="22"/>
        </w:rPr>
        <w:tab/>
      </w:r>
      <w:r w:rsidRPr="00C4681F">
        <w:rPr>
          <w:sz w:val="22"/>
          <w:szCs w:val="22"/>
        </w:rPr>
        <w:tab/>
      </w:r>
    </w:p>
    <w:p w:rsidR="004C07FB" w:rsidRPr="00C4681F" w:rsidRDefault="004C07FB" w:rsidP="004C07FB">
      <w:pPr>
        <w:jc w:val="both"/>
        <w:rPr>
          <w:sz w:val="22"/>
          <w:szCs w:val="22"/>
        </w:rPr>
      </w:pPr>
    </w:p>
    <w:p w:rsidR="004C07FB" w:rsidRPr="00C4681F" w:rsidRDefault="004C07FB" w:rsidP="004C07FB">
      <w:pPr>
        <w:jc w:val="both"/>
        <w:rPr>
          <w:sz w:val="22"/>
          <w:szCs w:val="22"/>
        </w:rPr>
      </w:pPr>
      <w:r w:rsidRPr="00C4681F">
        <w:rPr>
          <w:sz w:val="22"/>
          <w:szCs w:val="22"/>
        </w:rPr>
        <w:tab/>
      </w:r>
    </w:p>
    <w:p w:rsidR="004C07FB" w:rsidRPr="00C4681F" w:rsidRDefault="004C07FB" w:rsidP="004C07FB">
      <w:pPr>
        <w:jc w:val="both"/>
        <w:rPr>
          <w:sz w:val="22"/>
          <w:szCs w:val="22"/>
        </w:rPr>
      </w:pPr>
      <w:r w:rsidRPr="00C4681F">
        <w:rPr>
          <w:sz w:val="22"/>
          <w:szCs w:val="22"/>
        </w:rPr>
        <w:tab/>
      </w:r>
      <w:r w:rsidRPr="00C4681F">
        <w:rPr>
          <w:sz w:val="22"/>
          <w:szCs w:val="22"/>
        </w:rPr>
        <w:tab/>
      </w:r>
      <w:r w:rsidRPr="00C4681F">
        <w:rPr>
          <w:sz w:val="22"/>
          <w:szCs w:val="22"/>
        </w:rPr>
        <w:tab/>
      </w:r>
      <w:r w:rsidRPr="00C4681F">
        <w:rPr>
          <w:sz w:val="22"/>
          <w:szCs w:val="22"/>
        </w:rPr>
        <w:tab/>
        <w:t>Barbara A. Kreisman</w:t>
      </w:r>
    </w:p>
    <w:p w:rsidR="004C07FB" w:rsidRPr="00C4681F" w:rsidRDefault="004C07FB" w:rsidP="004C07FB">
      <w:pPr>
        <w:jc w:val="both"/>
        <w:rPr>
          <w:sz w:val="22"/>
          <w:szCs w:val="22"/>
        </w:rPr>
      </w:pPr>
      <w:r w:rsidRPr="00C4681F">
        <w:rPr>
          <w:sz w:val="22"/>
          <w:szCs w:val="22"/>
        </w:rPr>
        <w:tab/>
      </w:r>
      <w:r w:rsidRPr="00C4681F">
        <w:rPr>
          <w:sz w:val="22"/>
          <w:szCs w:val="22"/>
        </w:rPr>
        <w:tab/>
      </w:r>
      <w:r w:rsidRPr="00C4681F">
        <w:rPr>
          <w:sz w:val="22"/>
          <w:szCs w:val="22"/>
        </w:rPr>
        <w:tab/>
      </w:r>
      <w:r w:rsidRPr="00C4681F">
        <w:rPr>
          <w:sz w:val="22"/>
          <w:szCs w:val="22"/>
        </w:rPr>
        <w:tab/>
        <w:t xml:space="preserve">Chief, Video Division </w:t>
      </w:r>
    </w:p>
    <w:p w:rsidR="004C07FB" w:rsidRPr="00C4681F" w:rsidRDefault="004C07FB" w:rsidP="004C07FB">
      <w:pPr>
        <w:ind w:left="2160" w:firstLine="720"/>
        <w:jc w:val="both"/>
        <w:rPr>
          <w:sz w:val="22"/>
          <w:szCs w:val="22"/>
        </w:rPr>
      </w:pPr>
      <w:r w:rsidRPr="00C4681F">
        <w:rPr>
          <w:sz w:val="22"/>
          <w:szCs w:val="22"/>
        </w:rPr>
        <w:t>Media Bureau</w:t>
      </w:r>
    </w:p>
    <w:p w:rsidR="00B071CC" w:rsidRPr="00351847" w:rsidRDefault="00B071CC">
      <w:pPr>
        <w:rPr>
          <w:color w:val="FF0000"/>
        </w:rPr>
      </w:pPr>
    </w:p>
    <w:sectPr w:rsidR="00B071CC" w:rsidRPr="00351847" w:rsidSect="004C07F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FB" w:rsidRDefault="004C07FB" w:rsidP="004C07FB">
      <w:r>
        <w:separator/>
      </w:r>
    </w:p>
  </w:endnote>
  <w:endnote w:type="continuationSeparator" w:id="0">
    <w:p w:rsidR="004C07FB" w:rsidRDefault="004C07FB" w:rsidP="004C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4B" w:rsidRDefault="001C2E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950D4B" w:rsidRDefault="00736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4B" w:rsidRDefault="001C2E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9EC">
      <w:rPr>
        <w:rStyle w:val="PageNumber"/>
        <w:noProof/>
      </w:rPr>
      <w:t>2</w:t>
    </w:r>
    <w:r>
      <w:rPr>
        <w:rStyle w:val="PageNumber"/>
      </w:rPr>
      <w:fldChar w:fldCharType="end"/>
    </w:r>
  </w:p>
  <w:p w:rsidR="00950D4B" w:rsidRDefault="007369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10" w:rsidRDefault="00E85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FB" w:rsidRDefault="004C07FB" w:rsidP="004C07FB">
      <w:r>
        <w:separator/>
      </w:r>
    </w:p>
  </w:footnote>
  <w:footnote w:type="continuationSeparator" w:id="0">
    <w:p w:rsidR="004C07FB" w:rsidRDefault="004C07FB" w:rsidP="004C07FB">
      <w:r>
        <w:continuationSeparator/>
      </w:r>
    </w:p>
  </w:footnote>
  <w:footnote w:id="1">
    <w:p w:rsidR="004C07FB" w:rsidRPr="005F0A88" w:rsidRDefault="004C07FB" w:rsidP="00A562C4">
      <w:pPr>
        <w:pStyle w:val="FootnoteText"/>
        <w:spacing w:after="120"/>
        <w:jc w:val="both"/>
      </w:pPr>
      <w:r w:rsidRPr="005F0A88">
        <w:rPr>
          <w:rStyle w:val="FootnoteReference"/>
        </w:rPr>
        <w:footnoteRef/>
      </w:r>
      <w:r w:rsidRPr="005F0A88">
        <w:t xml:space="preserve">  47 C.F.R. §§ 0.61(f)(1), 1.80(a)(1) &amp; (2).</w:t>
      </w:r>
    </w:p>
  </w:footnote>
  <w:footnote w:id="2">
    <w:p w:rsidR="004C07FB" w:rsidRPr="001F7FCC" w:rsidRDefault="004C07FB" w:rsidP="00A562C4">
      <w:pPr>
        <w:pStyle w:val="FootnoteText"/>
        <w:spacing w:after="120"/>
        <w:jc w:val="both"/>
      </w:pPr>
      <w:r w:rsidRPr="005F0A88">
        <w:rPr>
          <w:rStyle w:val="FootnoteReference"/>
        </w:rPr>
        <w:footnoteRef/>
      </w:r>
      <w:r>
        <w:rPr>
          <w:i/>
        </w:rPr>
        <w:t xml:space="preserve"> </w:t>
      </w:r>
      <w:r w:rsidR="00695DF8">
        <w:rPr>
          <w:i/>
        </w:rPr>
        <w:t>KTGF License Corporation</w:t>
      </w:r>
      <w:r>
        <w:t xml:space="preserve">, Notice of Apparent Liability for Forfeiture, </w:t>
      </w:r>
      <w:r w:rsidR="00B809F0">
        <w:t>29 FCC Rcd 8079 (Vid. Div. 2014)</w:t>
      </w:r>
    </w:p>
  </w:footnote>
  <w:footnote w:id="3">
    <w:p w:rsidR="00FE23A4" w:rsidRDefault="00FE23A4" w:rsidP="00A562C4">
      <w:pPr>
        <w:pStyle w:val="FootnoteText"/>
        <w:spacing w:after="120"/>
      </w:pPr>
      <w:r>
        <w:rPr>
          <w:rStyle w:val="FootnoteReference"/>
        </w:rPr>
        <w:footnoteRef/>
      </w:r>
      <w:r>
        <w:t xml:space="preserve"> </w:t>
      </w:r>
      <w:r w:rsidRPr="00A562C4">
        <w:rPr>
          <w:i/>
        </w:rPr>
        <w:t>See</w:t>
      </w:r>
      <w:r>
        <w:t xml:space="preserve"> 47 C.F.R. </w:t>
      </w:r>
      <w:r w:rsidRPr="005F0A88">
        <w:t>§§</w:t>
      </w:r>
      <w:r>
        <w:t xml:space="preserve"> 73.3526(e)(11)(iii) and 73.3514(a).</w:t>
      </w:r>
    </w:p>
  </w:footnote>
  <w:footnote w:id="4">
    <w:p w:rsidR="004C07FB" w:rsidRPr="005F0A88" w:rsidRDefault="004C07FB" w:rsidP="00A562C4">
      <w:pPr>
        <w:pStyle w:val="FootnoteText"/>
        <w:spacing w:after="120"/>
        <w:jc w:val="both"/>
      </w:pPr>
      <w:r w:rsidRPr="005F0A88">
        <w:rPr>
          <w:rStyle w:val="FootnoteReference"/>
        </w:rPr>
        <w:footnoteRef/>
      </w:r>
      <w:r w:rsidRPr="005F0A88">
        <w:rPr>
          <w:i/>
        </w:rPr>
        <w:t xml:space="preserve"> </w:t>
      </w:r>
      <w:r w:rsidRPr="005F0A88">
        <w:t>Licensee Response to Notice of Apparent Liabilit</w:t>
      </w:r>
      <w:r>
        <w:t>y (“Licensee Response”) (</w:t>
      </w:r>
      <w:r w:rsidR="006A5ADD">
        <w:t>July 30, 2014</w:t>
      </w:r>
      <w:r>
        <w:t>)</w:t>
      </w:r>
      <w:r w:rsidRPr="005F0A88">
        <w:t>.</w:t>
      </w:r>
    </w:p>
  </w:footnote>
  <w:footnote w:id="5">
    <w:p w:rsidR="004C07FB" w:rsidRPr="005F0A88" w:rsidRDefault="004C07FB" w:rsidP="00A562C4">
      <w:pPr>
        <w:pStyle w:val="FootnoteText"/>
        <w:spacing w:after="120"/>
        <w:jc w:val="both"/>
      </w:pPr>
      <w:r w:rsidRPr="005F0A88">
        <w:rPr>
          <w:rStyle w:val="FootnoteReference"/>
        </w:rPr>
        <w:footnoteRef/>
      </w:r>
      <w:r w:rsidRPr="005F0A88">
        <w:t xml:space="preserve"> 47 U.S.C. § 503(b)(1) (A) &amp; (B); 47 C.F.R. § 1.80(a)(1) &amp; (2).  The Commission may assess a forfeiture order for violations that are merely repeated, and not willful.  </w:t>
      </w:r>
      <w:r w:rsidRPr="005F0A88">
        <w:rPr>
          <w:i/>
        </w:rPr>
        <w:t>See, e.g.,</w:t>
      </w:r>
      <w:r w:rsidRPr="005F0A88">
        <w:t xml:space="preserve"> </w:t>
      </w:r>
      <w:r w:rsidRPr="005F0A88">
        <w:rPr>
          <w:i/>
        </w:rPr>
        <w:t>Callais Cablevision, Inc., Grand Isle, Louisiana</w:t>
      </w:r>
      <w:r w:rsidRPr="005F0A88">
        <w:t xml:space="preserve">, Notice of Apparent Liability for Monetary Forfeiture, </w:t>
      </w:r>
      <w:r w:rsidR="006966DC">
        <w:t>16 FCC Rcd 1359, 1362</w:t>
      </w:r>
      <w:r w:rsidRPr="005F0A88">
        <w:t xml:space="preserve"> (2001) (issuing a Notice of Apparent Liability for a cable television operator’s repeated violations of the Commission’s signal leakage rules). </w:t>
      </w:r>
      <w:r w:rsidRPr="005F0A88">
        <w:rPr>
          <w:i/>
        </w:rPr>
        <w:t xml:space="preserve"> </w:t>
      </w:r>
      <w:r w:rsidRPr="005F0A88">
        <w:t xml:space="preserve">“Repeated” means that the act was committed or omitted more than once.  </w:t>
      </w:r>
      <w:r w:rsidRPr="005F0A88">
        <w:rPr>
          <w:i/>
        </w:rPr>
        <w:t xml:space="preserve">Southern California Broadcasting Co., </w:t>
      </w:r>
      <w:r w:rsidRPr="005F0A88">
        <w:t>Memorandum Opinion and Order, 6 FCC Rcd 4387, 4388 (1991).</w:t>
      </w:r>
    </w:p>
  </w:footnote>
  <w:footnote w:id="6">
    <w:p w:rsidR="004C07FB" w:rsidRPr="005F0A88" w:rsidRDefault="004C07FB" w:rsidP="00A562C4">
      <w:pPr>
        <w:pStyle w:val="FootnoteText"/>
        <w:spacing w:after="120"/>
        <w:jc w:val="both"/>
      </w:pPr>
      <w:r w:rsidRPr="005F0A88">
        <w:rPr>
          <w:rStyle w:val="FootnoteReference"/>
        </w:rPr>
        <w:footnoteRef/>
      </w:r>
      <w:r w:rsidRPr="005F0A88">
        <w:t xml:space="preserve"> 47 U.S.C. § 503(b); 47 C.F.R. § 1.80(f).</w:t>
      </w:r>
    </w:p>
  </w:footnote>
  <w:footnote w:id="7">
    <w:p w:rsidR="004C07FB" w:rsidRPr="005F0A88" w:rsidRDefault="004C07FB" w:rsidP="00A562C4">
      <w:pPr>
        <w:pStyle w:val="FootnoteText"/>
        <w:spacing w:after="120"/>
        <w:jc w:val="both"/>
      </w:pPr>
      <w:r w:rsidRPr="005F0A88">
        <w:rPr>
          <w:rStyle w:val="FootnoteReference"/>
        </w:rPr>
        <w:footnoteRef/>
      </w:r>
      <w:r w:rsidRPr="005F0A88">
        <w:t xml:space="preserve"> </w:t>
      </w:r>
      <w:r w:rsidRPr="005F0A88">
        <w:rPr>
          <w:i/>
        </w:rPr>
        <w:t>See, e.g., SBC Communications, Inc.</w:t>
      </w:r>
      <w:r w:rsidRPr="005F0A88">
        <w:t xml:space="preserve">, Forfeiture Order, 17 FCC Rcd 7589, 7591 (2002). </w:t>
      </w:r>
    </w:p>
  </w:footnote>
  <w:footnote w:id="8">
    <w:p w:rsidR="004C07FB" w:rsidRPr="005F0A88" w:rsidRDefault="004C07FB" w:rsidP="00A562C4">
      <w:pPr>
        <w:pStyle w:val="FootnoteText"/>
        <w:spacing w:after="120"/>
        <w:jc w:val="both"/>
      </w:pPr>
      <w:r w:rsidRPr="005F0A88">
        <w:rPr>
          <w:rStyle w:val="FootnoteReference"/>
        </w:rPr>
        <w:footnoteRef/>
      </w:r>
      <w:r w:rsidRPr="005F0A88">
        <w:t xml:space="preserve"> </w:t>
      </w:r>
      <w:r w:rsidR="00C86FAF" w:rsidRPr="001255E3">
        <w:rPr>
          <w:i/>
        </w:rPr>
        <w:t>See Forfeiture Policy Statement and Amendment of Section 1.80(b) of the Rules to Incorporate the Forfeiture Guidelines</w:t>
      </w:r>
      <w:r w:rsidR="00C86FAF" w:rsidRPr="001255E3">
        <w:t xml:space="preserve">, Report and Order, 12 FCC Rcd 17087, 17113-15 (1997) </w:t>
      </w:r>
      <w:r w:rsidR="00C86FAF" w:rsidRPr="001255E3">
        <w:rPr>
          <w:i/>
        </w:rPr>
        <w:t>recon. denied</w:t>
      </w:r>
      <w:r w:rsidR="003F2D43">
        <w:t>, 15 FCC Rcd</w:t>
      </w:r>
      <w:r w:rsidR="00C86FAF" w:rsidRPr="001255E3">
        <w:t xml:space="preserve"> 3</w:t>
      </w:r>
      <w:r w:rsidR="007541F7">
        <w:t>03 (1999); 47 C.F.R. § 1.80(b)(4).</w:t>
      </w:r>
    </w:p>
  </w:footnote>
  <w:footnote w:id="9">
    <w:p w:rsidR="000E0810" w:rsidRDefault="000E0810" w:rsidP="00A562C4">
      <w:pPr>
        <w:pStyle w:val="FootnoteText"/>
        <w:spacing w:after="120"/>
      </w:pPr>
      <w:r>
        <w:rPr>
          <w:rStyle w:val="FootnoteReference"/>
        </w:rPr>
        <w:footnoteRef/>
      </w:r>
      <w:r>
        <w:t xml:space="preserve"> Licensee Response </w:t>
      </w:r>
      <w:r w:rsidR="00DC7F41">
        <w:t>at 1-2.</w:t>
      </w:r>
    </w:p>
  </w:footnote>
  <w:footnote w:id="10">
    <w:p w:rsidR="00D734B1" w:rsidRDefault="00D734B1" w:rsidP="00A562C4">
      <w:pPr>
        <w:pStyle w:val="FootnoteText"/>
        <w:spacing w:after="120"/>
      </w:pPr>
      <w:r>
        <w:rPr>
          <w:rStyle w:val="FootnoteReference"/>
        </w:rPr>
        <w:footnoteRef/>
      </w:r>
      <w:r>
        <w:t xml:space="preserve"> 47 U.S.C. </w:t>
      </w:r>
      <w:r w:rsidRPr="005F0A88">
        <w:t>§</w:t>
      </w:r>
      <w:r>
        <w:t xml:space="preserve"> 312(f)(1). </w:t>
      </w:r>
    </w:p>
  </w:footnote>
  <w:footnote w:id="11">
    <w:p w:rsidR="00721A7E" w:rsidRDefault="00721A7E" w:rsidP="00A562C4">
      <w:pPr>
        <w:pStyle w:val="FootnoteText"/>
        <w:spacing w:after="120"/>
      </w:pPr>
      <w:r>
        <w:rPr>
          <w:rStyle w:val="FootnoteReference"/>
        </w:rPr>
        <w:footnoteRef/>
      </w:r>
      <w:r>
        <w:t xml:space="preserve"> </w:t>
      </w:r>
      <w:r w:rsidRPr="000B6522">
        <w:rPr>
          <w:i/>
        </w:rPr>
        <w:t>Communications Systems, Inc.</w:t>
      </w:r>
      <w:r>
        <w:t>, Forfeiture Order, 25 FCC Rcd 12516, 12517 (MB 2010).</w:t>
      </w:r>
      <w:r w:rsidR="00B018ED">
        <w:t xml:space="preserve"> </w:t>
      </w:r>
      <w:r>
        <w:t xml:space="preserve"> </w:t>
      </w:r>
      <w:r w:rsidRPr="000B6522">
        <w:rPr>
          <w:i/>
        </w:rPr>
        <w:t>See also Southern California Broadcasting Co.</w:t>
      </w:r>
      <w:r>
        <w:t>, Memorandum Opinion and Order, 6 FCC Rcd 4387, 4387 (1991</w:t>
      </w:r>
      <w:r w:rsidRPr="000B6522">
        <w:t>),</w:t>
      </w:r>
      <w:r w:rsidRPr="000B6522">
        <w:rPr>
          <w:i/>
        </w:rPr>
        <w:t xml:space="preserve"> recon. denied</w:t>
      </w:r>
      <w:r>
        <w:t xml:space="preserve">, 7 FCC Rcd 3454 (1992) (stating that “inadvertence…is at best, ignorance of the law, which the Commission does not consider a mitigating circumstance.”). </w:t>
      </w:r>
    </w:p>
  </w:footnote>
  <w:footnote w:id="12">
    <w:p w:rsidR="004C07FB" w:rsidRPr="005F0A88" w:rsidRDefault="004C07FB" w:rsidP="00A562C4">
      <w:pPr>
        <w:pStyle w:val="FootnoteText"/>
        <w:spacing w:after="120"/>
        <w:jc w:val="both"/>
      </w:pPr>
      <w:r w:rsidRPr="005F0A88">
        <w:rPr>
          <w:rStyle w:val="FootnoteReference"/>
        </w:rPr>
        <w:footnoteRef/>
      </w:r>
      <w:r w:rsidRPr="005F0A88">
        <w:t xml:space="preserve"> 47 U.S.C. § 503(b); 47 C.F.R. §§ 0.61(f)(1) &amp; 1.80(a)(1)&amp;(2).</w:t>
      </w:r>
    </w:p>
  </w:footnote>
  <w:footnote w:id="13">
    <w:p w:rsidR="00D05741" w:rsidRPr="00BC30DA" w:rsidRDefault="00D05741" w:rsidP="00A562C4">
      <w:pPr>
        <w:pStyle w:val="FootnoteText"/>
        <w:spacing w:after="120"/>
      </w:pPr>
      <w:r w:rsidRPr="00BC30DA">
        <w:rPr>
          <w:rStyle w:val="FootnoteReference"/>
        </w:rPr>
        <w:footnoteRef/>
      </w:r>
      <w:r>
        <w:t xml:space="preserve"> </w:t>
      </w:r>
      <w:r w:rsidRPr="00BC30DA">
        <w:rPr>
          <w:rFonts w:eastAsia="MS Mincho" w:cs="Arial"/>
        </w:rPr>
        <w:t>An FCC Form 159 and detailed instructions for completing the form may be obtained at http://www.fcc.gov/Forms/Form159/159.pdf.</w:t>
      </w:r>
    </w:p>
  </w:footnote>
  <w:footnote w:id="14">
    <w:p w:rsidR="00D05741" w:rsidRPr="00BC30DA" w:rsidRDefault="00D05741" w:rsidP="00A562C4">
      <w:pPr>
        <w:pStyle w:val="FootnoteText"/>
        <w:spacing w:after="120"/>
      </w:pPr>
      <w:r w:rsidRPr="00BC30DA">
        <w:rPr>
          <w:rStyle w:val="FootnoteReference"/>
        </w:rPr>
        <w:footnoteRef/>
      </w:r>
      <w:r w:rsidRPr="00BC30DA">
        <w:t xml:space="preserve"> Questions regarding payment procedures, it should contact the Financial Operations Group Help Desk by phone at 1-877-480-3201, or by e mail at ARINQUIRIES@fcc.gov.</w:t>
      </w:r>
    </w:p>
  </w:footnote>
  <w:footnote w:id="15">
    <w:p w:rsidR="00D05741" w:rsidRPr="00BC30DA" w:rsidRDefault="00D05741" w:rsidP="00A562C4">
      <w:pPr>
        <w:pStyle w:val="FootnoteText"/>
        <w:spacing w:after="120"/>
        <w:rPr>
          <w:color w:val="000000"/>
        </w:rPr>
      </w:pPr>
      <w:r w:rsidRPr="00BC30DA">
        <w:rPr>
          <w:rStyle w:val="FootnoteReference"/>
          <w:color w:val="000000"/>
        </w:rPr>
        <w:footnoteRef/>
      </w:r>
      <w:r w:rsidRPr="00BC30DA">
        <w:rPr>
          <w:color w:val="000000"/>
        </w:rPr>
        <w:t xml:space="preserve"> </w:t>
      </w:r>
      <w:r w:rsidRPr="00BC30DA">
        <w:rPr>
          <w:i/>
          <w:color w:val="000000"/>
        </w:rPr>
        <w:t>See</w:t>
      </w:r>
      <w:r w:rsidRPr="00BC30DA">
        <w:rPr>
          <w:color w:val="000000"/>
        </w:rPr>
        <w:t xml:space="preserve"> 47 C.F.R. § 1.1914.</w:t>
      </w:r>
    </w:p>
  </w:footnote>
  <w:footnote w:id="16">
    <w:p w:rsidR="00D05741" w:rsidRPr="00C52DA3" w:rsidRDefault="00D05741" w:rsidP="00A562C4">
      <w:pPr>
        <w:spacing w:after="120"/>
        <w:jc w:val="both"/>
      </w:pPr>
      <w:r w:rsidRPr="00BC1979">
        <w:rPr>
          <w:rStyle w:val="FootnoteReference"/>
        </w:rPr>
        <w:footnoteRef/>
      </w:r>
      <w:r w:rsidRPr="00BC1979">
        <w:t xml:space="preserve"> </w:t>
      </w:r>
      <w:r w:rsidRPr="00BC1979">
        <w:rPr>
          <w:i/>
        </w:rPr>
        <w:t>See</w:t>
      </w:r>
      <w:r w:rsidRPr="00BC1979">
        <w:t xml:space="preserve"> </w:t>
      </w:r>
      <w:r w:rsidRPr="00BC1979">
        <w:rPr>
          <w:i/>
        </w:rPr>
        <w:t>San Jose State Univ.</w:t>
      </w:r>
      <w:r w:rsidRPr="00BC1979">
        <w:t>, 26 F.C.C. Rcd. 5908 (2011) (noting that “[t]</w:t>
      </w:r>
      <w:r w:rsidRPr="009B1604">
        <w:rPr>
          <w:color w:val="252525"/>
        </w:rPr>
        <w:t>ypically, the Commission uses gross revenue as the primary measuring stick by which it evaluates a licensee's ability to pay. Other financial indicators may be considered….”).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B10" w:rsidRDefault="00E85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4B" w:rsidRDefault="001C2EBC">
    <w:pPr>
      <w:pStyle w:val="Header"/>
      <w:rPr>
        <w:b/>
        <w:sz w:val="22"/>
        <w:u w:val="single"/>
      </w:rPr>
    </w:pPr>
    <w:r>
      <w:rPr>
        <w:b/>
        <w:sz w:val="22"/>
        <w:u w:val="single"/>
      </w:rPr>
      <w:t xml:space="preserve">                                        F</w:t>
    </w:r>
    <w:r w:rsidR="00CD6B85">
      <w:rPr>
        <w:b/>
        <w:sz w:val="22"/>
        <w:u w:val="single"/>
      </w:rPr>
      <w:t>ederal Communications Commission</w:t>
    </w:r>
    <w:r w:rsidR="00CD6B85">
      <w:rPr>
        <w:b/>
        <w:sz w:val="22"/>
        <w:u w:val="single"/>
      </w:rPr>
      <w:tab/>
    </w:r>
    <w:r w:rsidR="004C07FB">
      <w:rPr>
        <w:b/>
        <w:sz w:val="22"/>
        <w:u w:val="single"/>
      </w:rPr>
      <w:t xml:space="preserve">        DA 15</w:t>
    </w:r>
    <w:r>
      <w:rPr>
        <w:b/>
        <w:sz w:val="22"/>
        <w:u w:val="single"/>
      </w:rPr>
      <w:t>-</w:t>
    </w:r>
    <w:r w:rsidR="00CD6B85">
      <w:rPr>
        <w:b/>
        <w:sz w:val="22"/>
        <w:u w:val="single"/>
      </w:rPr>
      <w:t>826</w:t>
    </w:r>
    <w:r>
      <w:rPr>
        <w:b/>
        <w:sz w:val="22"/>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D4B" w:rsidRDefault="001C2EBC">
    <w:pPr>
      <w:pStyle w:val="Header"/>
    </w:pPr>
    <w:r>
      <w:rPr>
        <w:b/>
        <w:sz w:val="22"/>
        <w:u w:val="single"/>
      </w:rPr>
      <w:t xml:space="preserve">        </w:t>
    </w:r>
    <w:r w:rsidR="00CD6B85">
      <w:rPr>
        <w:b/>
        <w:sz w:val="22"/>
        <w:u w:val="single"/>
      </w:rPr>
      <w:t xml:space="preserve">                              </w:t>
    </w:r>
    <w:r w:rsidR="00784CFE">
      <w:rPr>
        <w:b/>
        <w:sz w:val="22"/>
        <w:u w:val="single"/>
      </w:rPr>
      <w:tab/>
    </w:r>
    <w:r w:rsidR="00CD6B85">
      <w:rPr>
        <w:b/>
        <w:sz w:val="22"/>
        <w:u w:val="single"/>
      </w:rPr>
      <w:t>Federal Communications</w:t>
    </w:r>
    <w:r w:rsidR="004C07FB">
      <w:rPr>
        <w:b/>
        <w:sz w:val="22"/>
        <w:u w:val="single"/>
      </w:rPr>
      <w:t xml:space="preserve"> C</w:t>
    </w:r>
    <w:r w:rsidR="00CD6B85">
      <w:rPr>
        <w:b/>
        <w:sz w:val="22"/>
        <w:u w:val="single"/>
      </w:rPr>
      <w:t xml:space="preserve">ommission </w:t>
    </w:r>
    <w:r w:rsidR="00CD6B85">
      <w:rPr>
        <w:b/>
        <w:sz w:val="22"/>
        <w:u w:val="single"/>
      </w:rPr>
      <w:tab/>
    </w:r>
    <w:r w:rsidR="004C07FB">
      <w:rPr>
        <w:b/>
        <w:sz w:val="22"/>
        <w:u w:val="single"/>
      </w:rPr>
      <w:t xml:space="preserve">          DA 15</w:t>
    </w:r>
    <w:r>
      <w:rPr>
        <w:b/>
        <w:sz w:val="22"/>
        <w:u w:val="single"/>
      </w:rPr>
      <w:t>-</w:t>
    </w:r>
    <w:r w:rsidR="00CD6B85">
      <w:rPr>
        <w:b/>
        <w:sz w:val="22"/>
        <w:u w:val="single"/>
      </w:rPr>
      <w:t>826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00E9"/>
    <w:multiLevelType w:val="singleLevel"/>
    <w:tmpl w:val="22A45240"/>
    <w:lvl w:ilvl="0">
      <w:start w:val="2"/>
      <w:numFmt w:val="upperRoman"/>
      <w:lvlText w:val=""/>
      <w:lvlJc w:val="left"/>
      <w:pPr>
        <w:ind w:left="720" w:hanging="360"/>
      </w:pPr>
      <w:rPr>
        <w:rFonts w:hint="default"/>
        <w:b/>
        <w:sz w:val="22"/>
      </w:rPr>
    </w:lvl>
  </w:abstractNum>
  <w:abstractNum w:abstractNumId="1">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61182925"/>
    <w:multiLevelType w:val="multilevel"/>
    <w:tmpl w:val="79F66396"/>
    <w:lvl w:ilvl="0">
      <w:start w:val="1"/>
      <w:numFmt w:val="decimal"/>
      <w:pStyle w:val="ParaNum"/>
      <w:lvlText w:val="%1."/>
      <w:lvlJc w:val="left"/>
      <w:pPr>
        <w:tabs>
          <w:tab w:val="num" w:pos="1260"/>
        </w:tabs>
        <w:ind w:left="180" w:firstLine="720"/>
      </w:pPr>
      <w:rPr>
        <w:b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07B6D66"/>
    <w:multiLevelType w:val="hybridMultilevel"/>
    <w:tmpl w:val="AC408056"/>
    <w:lvl w:ilvl="0" w:tplc="292CCE7E">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FB"/>
    <w:rsid w:val="00010537"/>
    <w:rsid w:val="000129F3"/>
    <w:rsid w:val="00034C4E"/>
    <w:rsid w:val="00036896"/>
    <w:rsid w:val="00063799"/>
    <w:rsid w:val="000779B5"/>
    <w:rsid w:val="00096E7D"/>
    <w:rsid w:val="000A24E8"/>
    <w:rsid w:val="000B07D7"/>
    <w:rsid w:val="000B6522"/>
    <w:rsid w:val="000E0191"/>
    <w:rsid w:val="000E0810"/>
    <w:rsid w:val="000E6E4A"/>
    <w:rsid w:val="000F46C5"/>
    <w:rsid w:val="001423F1"/>
    <w:rsid w:val="00170271"/>
    <w:rsid w:val="001B1C23"/>
    <w:rsid w:val="001C2EBC"/>
    <w:rsid w:val="00266114"/>
    <w:rsid w:val="002B6290"/>
    <w:rsid w:val="00317228"/>
    <w:rsid w:val="0033597E"/>
    <w:rsid w:val="00351847"/>
    <w:rsid w:val="00372E88"/>
    <w:rsid w:val="00382106"/>
    <w:rsid w:val="003C4840"/>
    <w:rsid w:val="003D35FA"/>
    <w:rsid w:val="003D6E1E"/>
    <w:rsid w:val="003F2D43"/>
    <w:rsid w:val="00405AAC"/>
    <w:rsid w:val="004250E6"/>
    <w:rsid w:val="004827DB"/>
    <w:rsid w:val="004C07FB"/>
    <w:rsid w:val="00516593"/>
    <w:rsid w:val="005303E2"/>
    <w:rsid w:val="0053132C"/>
    <w:rsid w:val="00541E25"/>
    <w:rsid w:val="00567935"/>
    <w:rsid w:val="005756F6"/>
    <w:rsid w:val="00587603"/>
    <w:rsid w:val="005A654E"/>
    <w:rsid w:val="005B12E1"/>
    <w:rsid w:val="005B3E5C"/>
    <w:rsid w:val="005B4197"/>
    <w:rsid w:val="005F0CDD"/>
    <w:rsid w:val="005F27EF"/>
    <w:rsid w:val="005F2FF7"/>
    <w:rsid w:val="00603DCF"/>
    <w:rsid w:val="00695DF8"/>
    <w:rsid w:val="006966DC"/>
    <w:rsid w:val="006A5ADD"/>
    <w:rsid w:val="006F2BCB"/>
    <w:rsid w:val="006F62DF"/>
    <w:rsid w:val="00721A7E"/>
    <w:rsid w:val="00722B02"/>
    <w:rsid w:val="00723F76"/>
    <w:rsid w:val="007369EC"/>
    <w:rsid w:val="007541F7"/>
    <w:rsid w:val="00762B2B"/>
    <w:rsid w:val="0078342D"/>
    <w:rsid w:val="00784CFE"/>
    <w:rsid w:val="007E6CCE"/>
    <w:rsid w:val="00837BA3"/>
    <w:rsid w:val="00862F2E"/>
    <w:rsid w:val="0087373E"/>
    <w:rsid w:val="00905B8E"/>
    <w:rsid w:val="00911858"/>
    <w:rsid w:val="009577E3"/>
    <w:rsid w:val="0097427B"/>
    <w:rsid w:val="00976459"/>
    <w:rsid w:val="009C2E7D"/>
    <w:rsid w:val="009D50E2"/>
    <w:rsid w:val="009E485E"/>
    <w:rsid w:val="009F0AED"/>
    <w:rsid w:val="00A017E4"/>
    <w:rsid w:val="00A20910"/>
    <w:rsid w:val="00A562C4"/>
    <w:rsid w:val="00A56356"/>
    <w:rsid w:val="00AE4426"/>
    <w:rsid w:val="00B018ED"/>
    <w:rsid w:val="00B071CC"/>
    <w:rsid w:val="00B27F50"/>
    <w:rsid w:val="00B32618"/>
    <w:rsid w:val="00B40AA5"/>
    <w:rsid w:val="00B809F0"/>
    <w:rsid w:val="00BB1B21"/>
    <w:rsid w:val="00C15A0A"/>
    <w:rsid w:val="00C4681F"/>
    <w:rsid w:val="00C53690"/>
    <w:rsid w:val="00C82219"/>
    <w:rsid w:val="00C83222"/>
    <w:rsid w:val="00C86B50"/>
    <w:rsid w:val="00C86FAF"/>
    <w:rsid w:val="00CA303D"/>
    <w:rsid w:val="00CD6B85"/>
    <w:rsid w:val="00D05741"/>
    <w:rsid w:val="00D06C58"/>
    <w:rsid w:val="00D51BD8"/>
    <w:rsid w:val="00D53C3C"/>
    <w:rsid w:val="00D734B1"/>
    <w:rsid w:val="00D80328"/>
    <w:rsid w:val="00D9452E"/>
    <w:rsid w:val="00DC03A1"/>
    <w:rsid w:val="00DC7260"/>
    <w:rsid w:val="00DC7F41"/>
    <w:rsid w:val="00DF170B"/>
    <w:rsid w:val="00E11CAC"/>
    <w:rsid w:val="00E47EC0"/>
    <w:rsid w:val="00E83B99"/>
    <w:rsid w:val="00E85B10"/>
    <w:rsid w:val="00F1755F"/>
    <w:rsid w:val="00F227FC"/>
    <w:rsid w:val="00F767F3"/>
    <w:rsid w:val="00F9423E"/>
    <w:rsid w:val="00FC0A73"/>
    <w:rsid w:val="00FC7EE2"/>
    <w:rsid w:val="00FE23A4"/>
    <w:rsid w:val="00FE6358"/>
    <w:rsid w:val="00FF1CCA"/>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F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C07FB"/>
    <w:pPr>
      <w:keepNext/>
      <w:widowControl w:val="0"/>
      <w:tabs>
        <w:tab w:val="left" w:pos="0"/>
      </w:tabs>
      <w:suppressAutoHyphens/>
      <w:autoSpaceDE w:val="0"/>
      <w:autoSpaceDN w:val="0"/>
      <w:adjustRightInd w:val="0"/>
      <w:spacing w:line="240" w:lineRule="atLeas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07FB"/>
    <w:rPr>
      <w:rFonts w:ascii="Times New Roman" w:eastAsia="Times New Roman" w:hAnsi="Times New Roman" w:cs="Times New Roman"/>
      <w:b/>
      <w:szCs w:val="20"/>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t"/>
    <w:basedOn w:val="Normal"/>
    <w:link w:val="FootnoteTextChar3"/>
    <w:rsid w:val="004C07FB"/>
    <w:pPr>
      <w:widowControl w:val="0"/>
      <w:suppressAutoHyphens/>
      <w:autoSpaceDE w:val="0"/>
      <w:autoSpaceDN w:val="0"/>
      <w:adjustRightInd w:val="0"/>
      <w:spacing w:after="240"/>
    </w:pPr>
    <w:rPr>
      <w:spacing w:val="-2"/>
    </w:rPr>
  </w:style>
  <w:style w:type="character" w:customStyle="1" w:styleId="FootnoteTextChar">
    <w:name w:val="Footnote Text Char"/>
    <w:basedOn w:val="DefaultParagraphFont"/>
    <w:uiPriority w:val="99"/>
    <w:semiHidden/>
    <w:rsid w:val="004C07FB"/>
    <w:rPr>
      <w:rFonts w:ascii="Times New Roman" w:eastAsia="Times New Roman" w:hAnsi="Times New Roman" w:cs="Times New Roman"/>
      <w:sz w:val="20"/>
      <w:szCs w:val="20"/>
    </w:rPr>
  </w:style>
  <w:style w:type="character" w:styleId="FootnoteReference">
    <w:name w:val="footnote reference"/>
    <w:aliases w:val="Style 4,Style 12,(NECG) Footnote Reference,Appel note de bas de p,Style 124,Style 13,o,fr,Style 3,Footnote Reference1,Style 17,FR,Footnote Reference/,Style 6,Style 7"/>
    <w:rsid w:val="004C07FB"/>
    <w:rPr>
      <w:vertAlign w:val="superscript"/>
    </w:rPr>
  </w:style>
  <w:style w:type="paragraph" w:styleId="Header">
    <w:name w:val="header"/>
    <w:basedOn w:val="Normal"/>
    <w:link w:val="HeaderChar"/>
    <w:rsid w:val="004C07FB"/>
    <w:pPr>
      <w:tabs>
        <w:tab w:val="center" w:pos="4320"/>
        <w:tab w:val="right" w:pos="8640"/>
      </w:tabs>
    </w:pPr>
  </w:style>
  <w:style w:type="character" w:customStyle="1" w:styleId="HeaderChar">
    <w:name w:val="Header Char"/>
    <w:basedOn w:val="DefaultParagraphFont"/>
    <w:link w:val="Header"/>
    <w:rsid w:val="004C07FB"/>
    <w:rPr>
      <w:rFonts w:ascii="Times New Roman" w:eastAsia="Times New Roman" w:hAnsi="Times New Roman" w:cs="Times New Roman"/>
      <w:sz w:val="20"/>
      <w:szCs w:val="20"/>
    </w:rPr>
  </w:style>
  <w:style w:type="paragraph" w:styleId="Footer">
    <w:name w:val="footer"/>
    <w:basedOn w:val="Normal"/>
    <w:link w:val="FooterChar"/>
    <w:rsid w:val="004C07FB"/>
    <w:pPr>
      <w:tabs>
        <w:tab w:val="center" w:pos="4320"/>
        <w:tab w:val="right" w:pos="8640"/>
      </w:tabs>
    </w:pPr>
  </w:style>
  <w:style w:type="character" w:customStyle="1" w:styleId="FooterChar">
    <w:name w:val="Footer Char"/>
    <w:basedOn w:val="DefaultParagraphFont"/>
    <w:link w:val="Footer"/>
    <w:rsid w:val="004C07FB"/>
    <w:rPr>
      <w:rFonts w:ascii="Times New Roman" w:eastAsia="Times New Roman" w:hAnsi="Times New Roman" w:cs="Times New Roman"/>
      <w:sz w:val="20"/>
      <w:szCs w:val="20"/>
    </w:rPr>
  </w:style>
  <w:style w:type="paragraph" w:styleId="BodyText">
    <w:name w:val="Body Text"/>
    <w:basedOn w:val="Normal"/>
    <w:link w:val="BodyTextChar"/>
    <w:rsid w:val="004C07FB"/>
    <w:rPr>
      <w:sz w:val="22"/>
    </w:rPr>
  </w:style>
  <w:style w:type="character" w:customStyle="1" w:styleId="BodyTextChar">
    <w:name w:val="Body Text Char"/>
    <w:basedOn w:val="DefaultParagraphFont"/>
    <w:link w:val="BodyText"/>
    <w:rsid w:val="004C07FB"/>
    <w:rPr>
      <w:rFonts w:ascii="Times New Roman" w:eastAsia="Times New Roman" w:hAnsi="Times New Roman" w:cs="Times New Roman"/>
      <w:szCs w:val="20"/>
    </w:rPr>
  </w:style>
  <w:style w:type="character" w:styleId="PageNumber">
    <w:name w:val="page number"/>
    <w:basedOn w:val="DefaultParagraphFont"/>
    <w:rsid w:val="004C07FB"/>
  </w:style>
  <w:style w:type="paragraph" w:customStyle="1" w:styleId="ParaNum">
    <w:name w:val="ParaNum"/>
    <w:basedOn w:val="Normal"/>
    <w:link w:val="ParaNumChar"/>
    <w:rsid w:val="004C07FB"/>
    <w:pPr>
      <w:widowControl w:val="0"/>
      <w:numPr>
        <w:numId w:val="2"/>
      </w:numPr>
      <w:spacing w:after="220"/>
      <w:jc w:val="both"/>
    </w:pPr>
    <w:rPr>
      <w:snapToGrid w:val="0"/>
      <w:kern w:val="28"/>
      <w:sz w:val="22"/>
    </w:rPr>
  </w:style>
  <w:style w:type="paragraph" w:styleId="TOAHeading">
    <w:name w:val="toa heading"/>
    <w:basedOn w:val="Normal"/>
    <w:next w:val="Normal"/>
    <w:semiHidden/>
    <w:rsid w:val="004C07FB"/>
    <w:pPr>
      <w:widowControl w:val="0"/>
      <w:tabs>
        <w:tab w:val="right" w:pos="9360"/>
      </w:tabs>
      <w:suppressAutoHyphens/>
      <w:jc w:val="both"/>
    </w:pPr>
    <w:rPr>
      <w:snapToGrid w:val="0"/>
      <w:kern w:val="28"/>
      <w:sz w:val="22"/>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4C07FB"/>
    <w:rPr>
      <w:rFonts w:ascii="Times New Roman" w:eastAsia="Times New Roman" w:hAnsi="Times New Roman" w:cs="Times New Roman"/>
      <w:spacing w:val="-2"/>
      <w:sz w:val="20"/>
      <w:szCs w:val="20"/>
    </w:rPr>
  </w:style>
  <w:style w:type="paragraph" w:styleId="BalloonText">
    <w:name w:val="Balloon Text"/>
    <w:basedOn w:val="Normal"/>
    <w:link w:val="BalloonTextChar"/>
    <w:uiPriority w:val="99"/>
    <w:semiHidden/>
    <w:unhideWhenUsed/>
    <w:rsid w:val="00A20910"/>
    <w:rPr>
      <w:rFonts w:ascii="Tahoma" w:hAnsi="Tahoma" w:cs="Tahoma"/>
      <w:sz w:val="16"/>
      <w:szCs w:val="16"/>
    </w:rPr>
  </w:style>
  <w:style w:type="character" w:customStyle="1" w:styleId="BalloonTextChar">
    <w:name w:val="Balloon Text Char"/>
    <w:basedOn w:val="DefaultParagraphFont"/>
    <w:link w:val="BalloonText"/>
    <w:uiPriority w:val="99"/>
    <w:semiHidden/>
    <w:rsid w:val="00A20910"/>
    <w:rPr>
      <w:rFonts w:ascii="Tahoma" w:eastAsia="Times New Roman" w:hAnsi="Tahoma" w:cs="Tahoma"/>
      <w:sz w:val="16"/>
      <w:szCs w:val="16"/>
    </w:rPr>
  </w:style>
  <w:style w:type="character" w:customStyle="1" w:styleId="ParaNumChar">
    <w:name w:val="ParaNum Char"/>
    <w:link w:val="ParaNum"/>
    <w:rsid w:val="00D05741"/>
    <w:rPr>
      <w:rFonts w:ascii="Times New Roman" w:eastAsia="Times New Roman" w:hAnsi="Times New Roman" w:cs="Times New Roman"/>
      <w:snapToGrid w:val="0"/>
      <w:kern w:val="28"/>
      <w:szCs w:val="20"/>
    </w:rPr>
  </w:style>
  <w:style w:type="character" w:styleId="Hyperlink">
    <w:name w:val="Hyperlink"/>
    <w:basedOn w:val="DefaultParagraphFont"/>
    <w:uiPriority w:val="99"/>
    <w:unhideWhenUsed/>
    <w:rsid w:val="00D057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F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C07FB"/>
    <w:pPr>
      <w:keepNext/>
      <w:widowControl w:val="0"/>
      <w:tabs>
        <w:tab w:val="left" w:pos="0"/>
      </w:tabs>
      <w:suppressAutoHyphens/>
      <w:autoSpaceDE w:val="0"/>
      <w:autoSpaceDN w:val="0"/>
      <w:adjustRightInd w:val="0"/>
      <w:spacing w:line="240" w:lineRule="atLeas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07FB"/>
    <w:rPr>
      <w:rFonts w:ascii="Times New Roman" w:eastAsia="Times New Roman" w:hAnsi="Times New Roman" w:cs="Times New Roman"/>
      <w:b/>
      <w:szCs w:val="20"/>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t"/>
    <w:basedOn w:val="Normal"/>
    <w:link w:val="FootnoteTextChar3"/>
    <w:rsid w:val="004C07FB"/>
    <w:pPr>
      <w:widowControl w:val="0"/>
      <w:suppressAutoHyphens/>
      <w:autoSpaceDE w:val="0"/>
      <w:autoSpaceDN w:val="0"/>
      <w:adjustRightInd w:val="0"/>
      <w:spacing w:after="240"/>
    </w:pPr>
    <w:rPr>
      <w:spacing w:val="-2"/>
    </w:rPr>
  </w:style>
  <w:style w:type="character" w:customStyle="1" w:styleId="FootnoteTextChar">
    <w:name w:val="Footnote Text Char"/>
    <w:basedOn w:val="DefaultParagraphFont"/>
    <w:uiPriority w:val="99"/>
    <w:semiHidden/>
    <w:rsid w:val="004C07FB"/>
    <w:rPr>
      <w:rFonts w:ascii="Times New Roman" w:eastAsia="Times New Roman" w:hAnsi="Times New Roman" w:cs="Times New Roman"/>
      <w:sz w:val="20"/>
      <w:szCs w:val="20"/>
    </w:rPr>
  </w:style>
  <w:style w:type="character" w:styleId="FootnoteReference">
    <w:name w:val="footnote reference"/>
    <w:aliases w:val="Style 4,Style 12,(NECG) Footnote Reference,Appel note de bas de p,Style 124,Style 13,o,fr,Style 3,Footnote Reference1,Style 17,FR,Footnote Reference/,Style 6,Style 7"/>
    <w:rsid w:val="004C07FB"/>
    <w:rPr>
      <w:vertAlign w:val="superscript"/>
    </w:rPr>
  </w:style>
  <w:style w:type="paragraph" w:styleId="Header">
    <w:name w:val="header"/>
    <w:basedOn w:val="Normal"/>
    <w:link w:val="HeaderChar"/>
    <w:rsid w:val="004C07FB"/>
    <w:pPr>
      <w:tabs>
        <w:tab w:val="center" w:pos="4320"/>
        <w:tab w:val="right" w:pos="8640"/>
      </w:tabs>
    </w:pPr>
  </w:style>
  <w:style w:type="character" w:customStyle="1" w:styleId="HeaderChar">
    <w:name w:val="Header Char"/>
    <w:basedOn w:val="DefaultParagraphFont"/>
    <w:link w:val="Header"/>
    <w:rsid w:val="004C07FB"/>
    <w:rPr>
      <w:rFonts w:ascii="Times New Roman" w:eastAsia="Times New Roman" w:hAnsi="Times New Roman" w:cs="Times New Roman"/>
      <w:sz w:val="20"/>
      <w:szCs w:val="20"/>
    </w:rPr>
  </w:style>
  <w:style w:type="paragraph" w:styleId="Footer">
    <w:name w:val="footer"/>
    <w:basedOn w:val="Normal"/>
    <w:link w:val="FooterChar"/>
    <w:rsid w:val="004C07FB"/>
    <w:pPr>
      <w:tabs>
        <w:tab w:val="center" w:pos="4320"/>
        <w:tab w:val="right" w:pos="8640"/>
      </w:tabs>
    </w:pPr>
  </w:style>
  <w:style w:type="character" w:customStyle="1" w:styleId="FooterChar">
    <w:name w:val="Footer Char"/>
    <w:basedOn w:val="DefaultParagraphFont"/>
    <w:link w:val="Footer"/>
    <w:rsid w:val="004C07FB"/>
    <w:rPr>
      <w:rFonts w:ascii="Times New Roman" w:eastAsia="Times New Roman" w:hAnsi="Times New Roman" w:cs="Times New Roman"/>
      <w:sz w:val="20"/>
      <w:szCs w:val="20"/>
    </w:rPr>
  </w:style>
  <w:style w:type="paragraph" w:styleId="BodyText">
    <w:name w:val="Body Text"/>
    <w:basedOn w:val="Normal"/>
    <w:link w:val="BodyTextChar"/>
    <w:rsid w:val="004C07FB"/>
    <w:rPr>
      <w:sz w:val="22"/>
    </w:rPr>
  </w:style>
  <w:style w:type="character" w:customStyle="1" w:styleId="BodyTextChar">
    <w:name w:val="Body Text Char"/>
    <w:basedOn w:val="DefaultParagraphFont"/>
    <w:link w:val="BodyText"/>
    <w:rsid w:val="004C07FB"/>
    <w:rPr>
      <w:rFonts w:ascii="Times New Roman" w:eastAsia="Times New Roman" w:hAnsi="Times New Roman" w:cs="Times New Roman"/>
      <w:szCs w:val="20"/>
    </w:rPr>
  </w:style>
  <w:style w:type="character" w:styleId="PageNumber">
    <w:name w:val="page number"/>
    <w:basedOn w:val="DefaultParagraphFont"/>
    <w:rsid w:val="004C07FB"/>
  </w:style>
  <w:style w:type="paragraph" w:customStyle="1" w:styleId="ParaNum">
    <w:name w:val="ParaNum"/>
    <w:basedOn w:val="Normal"/>
    <w:link w:val="ParaNumChar"/>
    <w:rsid w:val="004C07FB"/>
    <w:pPr>
      <w:widowControl w:val="0"/>
      <w:numPr>
        <w:numId w:val="2"/>
      </w:numPr>
      <w:spacing w:after="220"/>
      <w:jc w:val="both"/>
    </w:pPr>
    <w:rPr>
      <w:snapToGrid w:val="0"/>
      <w:kern w:val="28"/>
      <w:sz w:val="22"/>
    </w:rPr>
  </w:style>
  <w:style w:type="paragraph" w:styleId="TOAHeading">
    <w:name w:val="toa heading"/>
    <w:basedOn w:val="Normal"/>
    <w:next w:val="Normal"/>
    <w:semiHidden/>
    <w:rsid w:val="004C07FB"/>
    <w:pPr>
      <w:widowControl w:val="0"/>
      <w:tabs>
        <w:tab w:val="right" w:pos="9360"/>
      </w:tabs>
      <w:suppressAutoHyphens/>
      <w:jc w:val="both"/>
    </w:pPr>
    <w:rPr>
      <w:snapToGrid w:val="0"/>
      <w:kern w:val="28"/>
      <w:sz w:val="22"/>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4C07FB"/>
    <w:rPr>
      <w:rFonts w:ascii="Times New Roman" w:eastAsia="Times New Roman" w:hAnsi="Times New Roman" w:cs="Times New Roman"/>
      <w:spacing w:val="-2"/>
      <w:sz w:val="20"/>
      <w:szCs w:val="20"/>
    </w:rPr>
  </w:style>
  <w:style w:type="paragraph" w:styleId="BalloonText">
    <w:name w:val="Balloon Text"/>
    <w:basedOn w:val="Normal"/>
    <w:link w:val="BalloonTextChar"/>
    <w:uiPriority w:val="99"/>
    <w:semiHidden/>
    <w:unhideWhenUsed/>
    <w:rsid w:val="00A20910"/>
    <w:rPr>
      <w:rFonts w:ascii="Tahoma" w:hAnsi="Tahoma" w:cs="Tahoma"/>
      <w:sz w:val="16"/>
      <w:szCs w:val="16"/>
    </w:rPr>
  </w:style>
  <w:style w:type="character" w:customStyle="1" w:styleId="BalloonTextChar">
    <w:name w:val="Balloon Text Char"/>
    <w:basedOn w:val="DefaultParagraphFont"/>
    <w:link w:val="BalloonText"/>
    <w:uiPriority w:val="99"/>
    <w:semiHidden/>
    <w:rsid w:val="00A20910"/>
    <w:rPr>
      <w:rFonts w:ascii="Tahoma" w:eastAsia="Times New Roman" w:hAnsi="Tahoma" w:cs="Tahoma"/>
      <w:sz w:val="16"/>
      <w:szCs w:val="16"/>
    </w:rPr>
  </w:style>
  <w:style w:type="character" w:customStyle="1" w:styleId="ParaNumChar">
    <w:name w:val="ParaNum Char"/>
    <w:link w:val="ParaNum"/>
    <w:rsid w:val="00D05741"/>
    <w:rPr>
      <w:rFonts w:ascii="Times New Roman" w:eastAsia="Times New Roman" w:hAnsi="Times New Roman" w:cs="Times New Roman"/>
      <w:snapToGrid w:val="0"/>
      <w:kern w:val="28"/>
      <w:szCs w:val="20"/>
    </w:rPr>
  </w:style>
  <w:style w:type="character" w:styleId="Hyperlink">
    <w:name w:val="Hyperlink"/>
    <w:basedOn w:val="DefaultParagraphFont"/>
    <w:uiPriority w:val="99"/>
    <w:unhideWhenUsed/>
    <w:rsid w:val="00D05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vinvestor@gmail.com" TargetMode="External"/><Relationship Id="rId4" Type="http://schemas.openxmlformats.org/officeDocument/2006/relationships/settings" Target="settings.xml"/><Relationship Id="rId9" Type="http://schemas.openxmlformats.org/officeDocument/2006/relationships/hyperlink" Target="mailto:Alison.Nemeth@fc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1597</Words>
  <Characters>8725</Characters>
  <Application>Microsoft Office Word</Application>
  <DocSecurity>0</DocSecurity>
  <Lines>149</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2015-07-17T14:15:00Z</cp:lastPrinted>
  <dcterms:created xsi:type="dcterms:W3CDTF">2015-07-17T14:28:00Z</dcterms:created>
  <dcterms:modified xsi:type="dcterms:W3CDTF">2015-07-17T14:28:00Z</dcterms:modified>
  <cp:category> </cp:category>
  <cp:contentStatus> </cp:contentStatus>
</cp:coreProperties>
</file>