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E8F8C" w14:textId="77777777" w:rsidR="00382374" w:rsidRPr="008E4DB5" w:rsidRDefault="00382374" w:rsidP="00AE4ECD">
      <w:pPr>
        <w:rPr>
          <w:sz w:val="22"/>
          <w:szCs w:val="22"/>
        </w:rPr>
      </w:pPr>
      <w:bookmarkStart w:id="0" w:name="_GoBack"/>
      <w:bookmarkEnd w:id="0"/>
      <w:r w:rsidRPr="008E4DB5">
        <w:rPr>
          <w:sz w:val="22"/>
          <w:szCs w:val="22"/>
        </w:rPr>
        <w:t>Leo Ashcraft</w:t>
      </w:r>
    </w:p>
    <w:p w14:paraId="49F5E42C" w14:textId="77777777" w:rsidR="00382374" w:rsidRPr="008E4DB5" w:rsidRDefault="00382374" w:rsidP="00AE4ECD">
      <w:pPr>
        <w:rPr>
          <w:sz w:val="22"/>
          <w:szCs w:val="22"/>
        </w:rPr>
      </w:pPr>
      <w:r w:rsidRPr="008E4DB5">
        <w:rPr>
          <w:sz w:val="22"/>
          <w:szCs w:val="22"/>
        </w:rPr>
        <w:t>New Hope Family Worship Center</w:t>
      </w:r>
    </w:p>
    <w:p w14:paraId="793F3E8D" w14:textId="77777777" w:rsidR="00382374" w:rsidRPr="008E4DB5" w:rsidRDefault="00382374" w:rsidP="00AE4ECD">
      <w:pPr>
        <w:rPr>
          <w:sz w:val="22"/>
          <w:szCs w:val="22"/>
        </w:rPr>
      </w:pPr>
      <w:r w:rsidRPr="008E4DB5">
        <w:rPr>
          <w:sz w:val="22"/>
          <w:szCs w:val="22"/>
        </w:rPr>
        <w:t>804 S Lincoln Avenue</w:t>
      </w:r>
    </w:p>
    <w:p w14:paraId="0A4FADDF" w14:textId="77777777" w:rsidR="00382374" w:rsidRPr="008E4DB5" w:rsidRDefault="00382374" w:rsidP="00AE4ECD">
      <w:pPr>
        <w:rPr>
          <w:sz w:val="22"/>
          <w:szCs w:val="22"/>
        </w:rPr>
      </w:pPr>
      <w:r w:rsidRPr="008E4DB5">
        <w:rPr>
          <w:sz w:val="22"/>
          <w:szCs w:val="22"/>
        </w:rPr>
        <w:t>Corona, CA 92882</w:t>
      </w:r>
    </w:p>
    <w:p w14:paraId="2DCE0739" w14:textId="77777777" w:rsidR="00382374" w:rsidRPr="008E4DB5" w:rsidRDefault="00382374" w:rsidP="00AE4ECD">
      <w:pPr>
        <w:rPr>
          <w:sz w:val="22"/>
          <w:szCs w:val="22"/>
        </w:rPr>
      </w:pPr>
    </w:p>
    <w:p w14:paraId="53F7ECEC" w14:textId="77777777" w:rsidR="00382374" w:rsidRPr="008E4DB5" w:rsidRDefault="00382374" w:rsidP="00AE4ECD">
      <w:pPr>
        <w:rPr>
          <w:sz w:val="22"/>
          <w:szCs w:val="22"/>
        </w:rPr>
      </w:pPr>
      <w:r w:rsidRPr="008E4DB5">
        <w:rPr>
          <w:sz w:val="22"/>
          <w:szCs w:val="22"/>
        </w:rPr>
        <w:t>Michael Couzens, Esq.</w:t>
      </w:r>
    </w:p>
    <w:p w14:paraId="6949040E" w14:textId="77777777" w:rsidR="00382374" w:rsidRPr="008E4DB5" w:rsidRDefault="00382374" w:rsidP="00AE4ECD">
      <w:pPr>
        <w:rPr>
          <w:sz w:val="22"/>
          <w:szCs w:val="22"/>
        </w:rPr>
      </w:pPr>
      <w:r w:rsidRPr="008E4DB5">
        <w:rPr>
          <w:sz w:val="22"/>
          <w:szCs w:val="22"/>
        </w:rPr>
        <w:t>6536 Telegraph Avenue, Suite B201</w:t>
      </w:r>
    </w:p>
    <w:p w14:paraId="312D83A0" w14:textId="77777777" w:rsidR="00382374" w:rsidRPr="008E4DB5" w:rsidRDefault="00382374" w:rsidP="00AE4ECD">
      <w:pPr>
        <w:rPr>
          <w:sz w:val="22"/>
          <w:szCs w:val="22"/>
        </w:rPr>
      </w:pPr>
      <w:r w:rsidRPr="008E4DB5">
        <w:rPr>
          <w:sz w:val="22"/>
          <w:szCs w:val="22"/>
        </w:rPr>
        <w:t>Oakland, CA 94609</w:t>
      </w:r>
      <w:r w:rsidRPr="008E4DB5">
        <w:rPr>
          <w:sz w:val="22"/>
          <w:szCs w:val="22"/>
        </w:rPr>
        <w:br/>
      </w:r>
      <w:r w:rsidRPr="008E4DB5">
        <w:rPr>
          <w:sz w:val="22"/>
          <w:szCs w:val="22"/>
        </w:rPr>
        <w:br/>
        <w:t>David Oxenford, Esq.</w:t>
      </w:r>
      <w:r w:rsidRPr="008E4DB5">
        <w:rPr>
          <w:sz w:val="22"/>
          <w:szCs w:val="22"/>
        </w:rPr>
        <w:br/>
        <w:t>Wilkinson Barker Knauer, LLP</w:t>
      </w:r>
    </w:p>
    <w:p w14:paraId="3A1F523D" w14:textId="77777777" w:rsidR="00382374" w:rsidRPr="008E4DB5" w:rsidRDefault="00382374" w:rsidP="00AE4ECD">
      <w:pPr>
        <w:rPr>
          <w:sz w:val="22"/>
          <w:szCs w:val="22"/>
        </w:rPr>
      </w:pPr>
      <w:r w:rsidRPr="008E4DB5">
        <w:rPr>
          <w:sz w:val="22"/>
          <w:szCs w:val="22"/>
        </w:rPr>
        <w:t>2300 N Street, NW, Suite 700</w:t>
      </w:r>
    </w:p>
    <w:p w14:paraId="5EA2C214" w14:textId="77777777" w:rsidR="00382374" w:rsidRPr="008E4DB5" w:rsidRDefault="00382374" w:rsidP="00AE4ECD">
      <w:pPr>
        <w:rPr>
          <w:sz w:val="22"/>
          <w:szCs w:val="22"/>
        </w:rPr>
      </w:pPr>
      <w:r w:rsidRPr="008E4DB5">
        <w:rPr>
          <w:sz w:val="22"/>
          <w:szCs w:val="22"/>
        </w:rPr>
        <w:t>Washington, DC 20037</w:t>
      </w:r>
    </w:p>
    <w:p w14:paraId="24FC63E4" w14:textId="77777777" w:rsidR="00382374" w:rsidRPr="008E4DB5" w:rsidRDefault="00382374" w:rsidP="00AE4ECD">
      <w:pPr>
        <w:rPr>
          <w:sz w:val="22"/>
          <w:szCs w:val="22"/>
        </w:rPr>
      </w:pPr>
    </w:p>
    <w:p w14:paraId="0190E784" w14:textId="77777777" w:rsidR="00382374" w:rsidRPr="008E4DB5" w:rsidRDefault="00382374" w:rsidP="00AE4ECD">
      <w:pPr>
        <w:rPr>
          <w:sz w:val="22"/>
          <w:szCs w:val="22"/>
        </w:rPr>
      </w:pPr>
    </w:p>
    <w:p w14:paraId="2F0E6395" w14:textId="77777777" w:rsidR="009364AA" w:rsidRPr="008E4DB5" w:rsidRDefault="00AE4ECD" w:rsidP="009364AA">
      <w:pPr>
        <w:ind w:left="5040" w:hanging="720"/>
        <w:rPr>
          <w:sz w:val="22"/>
          <w:szCs w:val="22"/>
        </w:rPr>
      </w:pPr>
      <w:r w:rsidRPr="008E4DB5">
        <w:rPr>
          <w:sz w:val="22"/>
          <w:szCs w:val="22"/>
        </w:rPr>
        <w:t>I</w:t>
      </w:r>
      <w:r w:rsidR="009F3786" w:rsidRPr="008E4DB5">
        <w:rPr>
          <w:sz w:val="22"/>
          <w:szCs w:val="22"/>
        </w:rPr>
        <w:t xml:space="preserve">n Re:   </w:t>
      </w:r>
      <w:r w:rsidR="00641438" w:rsidRPr="008E4DB5">
        <w:rPr>
          <w:b/>
          <w:sz w:val="22"/>
          <w:szCs w:val="22"/>
        </w:rPr>
        <w:t>Centro Cultural de Mexico en el Condado de Orange</w:t>
      </w:r>
    </w:p>
    <w:p w14:paraId="560F208C" w14:textId="77777777" w:rsidR="00727430" w:rsidRPr="008E4DB5" w:rsidRDefault="00641438" w:rsidP="009364AA">
      <w:pPr>
        <w:ind w:left="4320" w:firstLine="720"/>
        <w:rPr>
          <w:sz w:val="22"/>
          <w:szCs w:val="22"/>
        </w:rPr>
      </w:pPr>
      <w:r w:rsidRPr="008E4DB5">
        <w:rPr>
          <w:sz w:val="22"/>
          <w:szCs w:val="22"/>
        </w:rPr>
        <w:t>New LPFM Station, Santa Ana, CA</w:t>
      </w:r>
    </w:p>
    <w:p w14:paraId="1D6082E6" w14:textId="77777777" w:rsidR="00AC2406" w:rsidRPr="008E4DB5" w:rsidRDefault="00727430" w:rsidP="00727430">
      <w:pPr>
        <w:tabs>
          <w:tab w:val="left" w:pos="0"/>
        </w:tabs>
        <w:suppressAutoHyphens/>
        <w:ind w:left="5040" w:hanging="5040"/>
        <w:rPr>
          <w:sz w:val="22"/>
          <w:szCs w:val="22"/>
        </w:rPr>
      </w:pPr>
      <w:r w:rsidRPr="008E4DB5">
        <w:rPr>
          <w:sz w:val="22"/>
          <w:szCs w:val="22"/>
        </w:rPr>
        <w:tab/>
      </w:r>
      <w:r w:rsidR="00AC2406" w:rsidRPr="008E4DB5">
        <w:rPr>
          <w:sz w:val="22"/>
          <w:szCs w:val="22"/>
        </w:rPr>
        <w:t xml:space="preserve">Facility ID No. </w:t>
      </w:r>
      <w:r w:rsidR="00641438" w:rsidRPr="008E4DB5">
        <w:rPr>
          <w:sz w:val="22"/>
          <w:szCs w:val="22"/>
        </w:rPr>
        <w:t>192477</w:t>
      </w:r>
      <w:r w:rsidR="00AC2406" w:rsidRPr="008E4DB5">
        <w:rPr>
          <w:sz w:val="22"/>
          <w:szCs w:val="22"/>
        </w:rPr>
        <w:tab/>
      </w:r>
      <w:r w:rsidR="00AC2406" w:rsidRPr="008E4DB5">
        <w:rPr>
          <w:sz w:val="22"/>
          <w:szCs w:val="22"/>
        </w:rPr>
        <w:tab/>
      </w:r>
      <w:r w:rsidR="00AC2406" w:rsidRPr="008E4DB5">
        <w:rPr>
          <w:sz w:val="22"/>
          <w:szCs w:val="22"/>
        </w:rPr>
        <w:tab/>
      </w:r>
    </w:p>
    <w:p w14:paraId="1A8A803B" w14:textId="77777777" w:rsidR="00727430" w:rsidRPr="008E4DB5" w:rsidRDefault="00AC2406" w:rsidP="00727430">
      <w:pPr>
        <w:tabs>
          <w:tab w:val="left" w:pos="0"/>
        </w:tabs>
        <w:suppressAutoHyphens/>
        <w:ind w:left="5040" w:hanging="5040"/>
        <w:rPr>
          <w:sz w:val="22"/>
          <w:szCs w:val="22"/>
        </w:rPr>
      </w:pPr>
      <w:r w:rsidRPr="008E4DB5">
        <w:rPr>
          <w:sz w:val="22"/>
          <w:szCs w:val="22"/>
        </w:rPr>
        <w:tab/>
        <w:t xml:space="preserve">File No. </w:t>
      </w:r>
      <w:r w:rsidR="00641438" w:rsidRPr="008E4DB5">
        <w:rPr>
          <w:sz w:val="22"/>
          <w:szCs w:val="22"/>
        </w:rPr>
        <w:t>BNPL-20131114BFE</w:t>
      </w:r>
    </w:p>
    <w:p w14:paraId="4E6626A2" w14:textId="77777777" w:rsidR="009F3786" w:rsidRPr="008E4DB5" w:rsidRDefault="009F3786" w:rsidP="009F3786">
      <w:pPr>
        <w:rPr>
          <w:sz w:val="22"/>
          <w:szCs w:val="22"/>
        </w:rPr>
      </w:pPr>
    </w:p>
    <w:p w14:paraId="625DB7C6" w14:textId="78D976E6" w:rsidR="003D5140" w:rsidRPr="008E4DB5" w:rsidRDefault="003D5140" w:rsidP="003D5140">
      <w:pPr>
        <w:ind w:left="5040"/>
        <w:rPr>
          <w:b/>
          <w:sz w:val="22"/>
          <w:szCs w:val="22"/>
        </w:rPr>
      </w:pPr>
      <w:r w:rsidRPr="008E4DB5">
        <w:rPr>
          <w:b/>
          <w:sz w:val="22"/>
          <w:szCs w:val="22"/>
        </w:rPr>
        <w:t xml:space="preserve">Latino Center for Prevention &amp; Action in Health </w:t>
      </w:r>
      <w:r>
        <w:rPr>
          <w:b/>
          <w:sz w:val="22"/>
          <w:szCs w:val="22"/>
        </w:rPr>
        <w:t>&amp;</w:t>
      </w:r>
      <w:r w:rsidRPr="008E4DB5">
        <w:rPr>
          <w:b/>
          <w:sz w:val="22"/>
          <w:szCs w:val="22"/>
        </w:rPr>
        <w:t xml:space="preserve"> Welfare</w:t>
      </w:r>
    </w:p>
    <w:p w14:paraId="4060190C" w14:textId="77777777" w:rsidR="003D5140" w:rsidRPr="008E4DB5" w:rsidRDefault="003D5140" w:rsidP="003D5140">
      <w:pPr>
        <w:ind w:left="5040"/>
        <w:rPr>
          <w:sz w:val="22"/>
          <w:szCs w:val="22"/>
        </w:rPr>
      </w:pPr>
      <w:r w:rsidRPr="008E4DB5">
        <w:rPr>
          <w:sz w:val="22"/>
          <w:szCs w:val="22"/>
        </w:rPr>
        <w:t>New LPFM Station, Santa Ana, CA</w:t>
      </w:r>
    </w:p>
    <w:p w14:paraId="41ADAD56" w14:textId="77777777" w:rsidR="003D5140" w:rsidRPr="008E4DB5" w:rsidRDefault="003D5140" w:rsidP="003D5140">
      <w:pPr>
        <w:ind w:left="5040"/>
        <w:rPr>
          <w:sz w:val="22"/>
          <w:szCs w:val="22"/>
        </w:rPr>
      </w:pPr>
      <w:r w:rsidRPr="008E4DB5">
        <w:rPr>
          <w:sz w:val="22"/>
          <w:szCs w:val="22"/>
        </w:rPr>
        <w:t>Facility ID No. 196543</w:t>
      </w:r>
    </w:p>
    <w:p w14:paraId="7F0135AF" w14:textId="49B340A1" w:rsidR="003D5140" w:rsidRDefault="003D5140" w:rsidP="003D5140">
      <w:pPr>
        <w:ind w:left="5040"/>
        <w:rPr>
          <w:sz w:val="22"/>
          <w:szCs w:val="22"/>
        </w:rPr>
      </w:pPr>
      <w:r w:rsidRPr="008E4DB5">
        <w:rPr>
          <w:sz w:val="22"/>
          <w:szCs w:val="22"/>
        </w:rPr>
        <w:t>File No. BNPL-20131114BNB</w:t>
      </w:r>
    </w:p>
    <w:p w14:paraId="72D14C01" w14:textId="77777777" w:rsidR="003D5140" w:rsidRDefault="003D5140" w:rsidP="00641438">
      <w:pPr>
        <w:rPr>
          <w:sz w:val="22"/>
          <w:szCs w:val="22"/>
        </w:rPr>
      </w:pPr>
    </w:p>
    <w:p w14:paraId="3FE4EE77" w14:textId="6C75808B" w:rsidR="00641438" w:rsidRPr="008E4DB5" w:rsidRDefault="00641438" w:rsidP="003D5140">
      <w:pPr>
        <w:ind w:left="4320" w:firstLine="720"/>
        <w:rPr>
          <w:b/>
          <w:sz w:val="22"/>
          <w:szCs w:val="22"/>
        </w:rPr>
      </w:pPr>
      <w:r w:rsidRPr="008E4DB5">
        <w:rPr>
          <w:b/>
          <w:sz w:val="22"/>
          <w:szCs w:val="22"/>
        </w:rPr>
        <w:t>New Hope Family Worship Center</w:t>
      </w:r>
    </w:p>
    <w:p w14:paraId="4C9D2E5C" w14:textId="77777777" w:rsidR="00641438" w:rsidRPr="008E4DB5" w:rsidRDefault="00641438" w:rsidP="00641438">
      <w:pPr>
        <w:ind w:firstLine="5040"/>
        <w:rPr>
          <w:sz w:val="22"/>
          <w:szCs w:val="22"/>
        </w:rPr>
      </w:pPr>
      <w:r w:rsidRPr="008E4DB5">
        <w:rPr>
          <w:sz w:val="22"/>
          <w:szCs w:val="22"/>
        </w:rPr>
        <w:t>New LPFM Station, Corona, CA</w:t>
      </w:r>
    </w:p>
    <w:p w14:paraId="4508652D" w14:textId="77777777" w:rsidR="00641438" w:rsidRPr="008E4DB5" w:rsidRDefault="00641438" w:rsidP="00641438">
      <w:pPr>
        <w:ind w:firstLine="5040"/>
        <w:rPr>
          <w:sz w:val="22"/>
          <w:szCs w:val="22"/>
        </w:rPr>
      </w:pPr>
      <w:r w:rsidRPr="008E4DB5">
        <w:rPr>
          <w:sz w:val="22"/>
          <w:szCs w:val="22"/>
        </w:rPr>
        <w:t>Facility ID No. 195230</w:t>
      </w:r>
    </w:p>
    <w:p w14:paraId="6E1E3C72" w14:textId="77777777" w:rsidR="00641438" w:rsidRPr="008E4DB5" w:rsidRDefault="00641438" w:rsidP="00641438">
      <w:pPr>
        <w:ind w:firstLine="5040"/>
        <w:rPr>
          <w:sz w:val="22"/>
          <w:szCs w:val="22"/>
        </w:rPr>
      </w:pPr>
      <w:r w:rsidRPr="008E4DB5">
        <w:rPr>
          <w:sz w:val="22"/>
          <w:szCs w:val="22"/>
        </w:rPr>
        <w:t>File No. BNPL-20131106AUB</w:t>
      </w:r>
    </w:p>
    <w:p w14:paraId="1901DE19" w14:textId="77777777" w:rsidR="00641438" w:rsidRPr="008E4DB5" w:rsidRDefault="00641438" w:rsidP="00641438">
      <w:pPr>
        <w:ind w:firstLine="5040"/>
        <w:rPr>
          <w:sz w:val="22"/>
          <w:szCs w:val="22"/>
        </w:rPr>
      </w:pPr>
    </w:p>
    <w:p w14:paraId="49AFE480" w14:textId="0988C536" w:rsidR="00280207" w:rsidRPr="008E4DB5" w:rsidRDefault="00280207" w:rsidP="00641438">
      <w:pPr>
        <w:ind w:left="5040"/>
        <w:rPr>
          <w:b/>
          <w:sz w:val="22"/>
          <w:szCs w:val="22"/>
        </w:rPr>
      </w:pPr>
      <w:r w:rsidRPr="008E4DB5">
        <w:rPr>
          <w:b/>
          <w:sz w:val="22"/>
          <w:szCs w:val="22"/>
        </w:rPr>
        <w:t>Calvary Chapel Huntington Beach</w:t>
      </w:r>
    </w:p>
    <w:p w14:paraId="7BDDDD89" w14:textId="7A264448" w:rsidR="00280207" w:rsidRPr="008E4DB5" w:rsidRDefault="00280207" w:rsidP="00641438">
      <w:pPr>
        <w:ind w:left="5040"/>
        <w:rPr>
          <w:sz w:val="22"/>
          <w:szCs w:val="22"/>
        </w:rPr>
      </w:pPr>
      <w:r w:rsidRPr="008E4DB5">
        <w:rPr>
          <w:sz w:val="22"/>
          <w:szCs w:val="22"/>
        </w:rPr>
        <w:t>New LPFM Station, Huntington Beach, CA</w:t>
      </w:r>
    </w:p>
    <w:p w14:paraId="5F026695" w14:textId="5EAFA488" w:rsidR="00280207" w:rsidRPr="008E4DB5" w:rsidRDefault="00280207" w:rsidP="00641438">
      <w:pPr>
        <w:ind w:left="5040"/>
        <w:rPr>
          <w:sz w:val="22"/>
          <w:szCs w:val="22"/>
        </w:rPr>
      </w:pPr>
      <w:r w:rsidRPr="008E4DB5">
        <w:rPr>
          <w:sz w:val="22"/>
          <w:szCs w:val="22"/>
        </w:rPr>
        <w:t>Facility ID No. 195611</w:t>
      </w:r>
    </w:p>
    <w:p w14:paraId="29167C6A" w14:textId="1347CDD3" w:rsidR="00280207" w:rsidRPr="008E4DB5" w:rsidRDefault="00280207" w:rsidP="00641438">
      <w:pPr>
        <w:ind w:left="5040"/>
        <w:rPr>
          <w:sz w:val="22"/>
          <w:szCs w:val="22"/>
        </w:rPr>
      </w:pPr>
      <w:r w:rsidRPr="008E4DB5">
        <w:rPr>
          <w:sz w:val="22"/>
          <w:szCs w:val="22"/>
        </w:rPr>
        <w:t>File No. BNPL-20131112ANS</w:t>
      </w:r>
    </w:p>
    <w:p w14:paraId="1D33F583" w14:textId="126B7FBC" w:rsidR="00C8729C" w:rsidRDefault="00E12901" w:rsidP="00EE1528">
      <w:pPr>
        <w:rPr>
          <w:b/>
          <w:sz w:val="22"/>
          <w:szCs w:val="22"/>
        </w:rPr>
      </w:pPr>
      <w:r w:rsidRPr="008E4DB5">
        <w:rPr>
          <w:b/>
          <w:sz w:val="22"/>
          <w:szCs w:val="22"/>
        </w:rPr>
        <w:tab/>
      </w:r>
      <w:r w:rsidRPr="008E4DB5">
        <w:rPr>
          <w:b/>
          <w:sz w:val="22"/>
          <w:szCs w:val="22"/>
        </w:rPr>
        <w:tab/>
      </w:r>
      <w:r w:rsidRPr="008E4DB5">
        <w:rPr>
          <w:b/>
          <w:sz w:val="22"/>
          <w:szCs w:val="22"/>
        </w:rPr>
        <w:tab/>
      </w:r>
      <w:r w:rsidRPr="008E4DB5">
        <w:rPr>
          <w:b/>
          <w:sz w:val="22"/>
          <w:szCs w:val="22"/>
        </w:rPr>
        <w:tab/>
      </w:r>
      <w:r w:rsidRPr="008E4DB5">
        <w:rPr>
          <w:b/>
          <w:sz w:val="22"/>
          <w:szCs w:val="22"/>
        </w:rPr>
        <w:tab/>
      </w:r>
      <w:r w:rsidRPr="008E4DB5">
        <w:rPr>
          <w:b/>
          <w:sz w:val="22"/>
          <w:szCs w:val="22"/>
        </w:rPr>
        <w:tab/>
      </w:r>
      <w:r w:rsidRPr="008E4DB5">
        <w:rPr>
          <w:b/>
          <w:sz w:val="22"/>
          <w:szCs w:val="22"/>
        </w:rPr>
        <w:tab/>
      </w:r>
      <w:r w:rsidR="00C8729C">
        <w:rPr>
          <w:b/>
          <w:sz w:val="22"/>
          <w:szCs w:val="22"/>
        </w:rPr>
        <w:br/>
      </w:r>
      <w:r w:rsidR="00C8729C">
        <w:rPr>
          <w:b/>
          <w:sz w:val="22"/>
          <w:szCs w:val="22"/>
        </w:rPr>
        <w:tab/>
      </w:r>
      <w:r w:rsidR="00C8729C">
        <w:rPr>
          <w:b/>
          <w:sz w:val="22"/>
          <w:szCs w:val="22"/>
        </w:rPr>
        <w:tab/>
      </w:r>
      <w:r w:rsidR="00C8729C">
        <w:rPr>
          <w:b/>
          <w:sz w:val="22"/>
          <w:szCs w:val="22"/>
        </w:rPr>
        <w:tab/>
      </w:r>
      <w:r w:rsidR="00C8729C">
        <w:rPr>
          <w:b/>
          <w:sz w:val="22"/>
          <w:szCs w:val="22"/>
        </w:rPr>
        <w:tab/>
      </w:r>
      <w:r w:rsidR="00C8729C">
        <w:rPr>
          <w:b/>
          <w:sz w:val="22"/>
          <w:szCs w:val="22"/>
        </w:rPr>
        <w:tab/>
      </w:r>
      <w:r w:rsidR="00C8729C">
        <w:rPr>
          <w:b/>
          <w:sz w:val="22"/>
          <w:szCs w:val="22"/>
        </w:rPr>
        <w:tab/>
      </w:r>
      <w:r w:rsidR="00C8729C">
        <w:rPr>
          <w:b/>
          <w:sz w:val="22"/>
          <w:szCs w:val="22"/>
        </w:rPr>
        <w:tab/>
        <w:t>Petition to Deny</w:t>
      </w:r>
    </w:p>
    <w:p w14:paraId="171EC4AB" w14:textId="674E8476" w:rsidR="00C8729C" w:rsidRDefault="00C8729C" w:rsidP="00EE1528">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Waiver Requests</w:t>
      </w:r>
    </w:p>
    <w:p w14:paraId="6B2AE2DF" w14:textId="77777777" w:rsidR="00C8729C" w:rsidRPr="00C8729C" w:rsidRDefault="00C8729C" w:rsidP="00EE1528">
      <w:pPr>
        <w:rPr>
          <w:b/>
          <w:sz w:val="22"/>
          <w:szCs w:val="22"/>
        </w:rPr>
      </w:pPr>
    </w:p>
    <w:p w14:paraId="3131C9D3" w14:textId="77777777" w:rsidR="009F3786" w:rsidRPr="008E4DB5" w:rsidRDefault="009F3786" w:rsidP="00EE1528">
      <w:pPr>
        <w:rPr>
          <w:sz w:val="22"/>
          <w:szCs w:val="22"/>
        </w:rPr>
      </w:pPr>
      <w:r w:rsidRPr="008E4DB5">
        <w:rPr>
          <w:sz w:val="22"/>
          <w:szCs w:val="22"/>
        </w:rPr>
        <w:t xml:space="preserve">Dear </w:t>
      </w:r>
      <w:r w:rsidR="00E12901" w:rsidRPr="008E4DB5">
        <w:rPr>
          <w:sz w:val="22"/>
          <w:szCs w:val="22"/>
        </w:rPr>
        <w:t>Counsel</w:t>
      </w:r>
      <w:r w:rsidR="00251B41" w:rsidRPr="008E4DB5">
        <w:rPr>
          <w:sz w:val="22"/>
          <w:szCs w:val="22"/>
        </w:rPr>
        <w:t xml:space="preserve"> and Mr. </w:t>
      </w:r>
      <w:r w:rsidR="00CE41B2" w:rsidRPr="008E4DB5">
        <w:rPr>
          <w:sz w:val="22"/>
          <w:szCs w:val="22"/>
        </w:rPr>
        <w:t>Ashcraft</w:t>
      </w:r>
      <w:r w:rsidRPr="008E4DB5">
        <w:rPr>
          <w:sz w:val="22"/>
          <w:szCs w:val="22"/>
        </w:rPr>
        <w:t>:</w:t>
      </w:r>
    </w:p>
    <w:p w14:paraId="5E1860B8" w14:textId="77777777" w:rsidR="009F3786" w:rsidRPr="008E4DB5" w:rsidRDefault="009F3786" w:rsidP="00EE1528">
      <w:pPr>
        <w:rPr>
          <w:sz w:val="22"/>
          <w:szCs w:val="22"/>
        </w:rPr>
      </w:pPr>
    </w:p>
    <w:p w14:paraId="68434E1B" w14:textId="35409116" w:rsidR="00DC42DD" w:rsidRPr="008E4DB5" w:rsidRDefault="009F3786" w:rsidP="00E12901">
      <w:pPr>
        <w:widowControl/>
        <w:autoSpaceDE w:val="0"/>
        <w:autoSpaceDN w:val="0"/>
        <w:adjustRightInd w:val="0"/>
        <w:rPr>
          <w:i/>
          <w:sz w:val="22"/>
          <w:szCs w:val="22"/>
        </w:rPr>
      </w:pPr>
      <w:r w:rsidRPr="008E4DB5">
        <w:rPr>
          <w:sz w:val="22"/>
          <w:szCs w:val="22"/>
        </w:rPr>
        <w:lastRenderedPageBreak/>
        <w:tab/>
      </w:r>
      <w:r w:rsidR="00AC3E17" w:rsidRPr="008E4DB5">
        <w:rPr>
          <w:sz w:val="22"/>
          <w:szCs w:val="22"/>
        </w:rPr>
        <w:t>We have before us</w:t>
      </w:r>
      <w:r w:rsidR="00E12901" w:rsidRPr="008E4DB5">
        <w:rPr>
          <w:sz w:val="22"/>
          <w:szCs w:val="22"/>
        </w:rPr>
        <w:t xml:space="preserve"> </w:t>
      </w:r>
      <w:r w:rsidR="00217A1D" w:rsidRPr="008E4DB5">
        <w:rPr>
          <w:sz w:val="22"/>
          <w:szCs w:val="22"/>
        </w:rPr>
        <w:t xml:space="preserve">the above-referenced </w:t>
      </w:r>
      <w:r w:rsidR="00E12901" w:rsidRPr="008E4DB5">
        <w:rPr>
          <w:snapToGrid/>
          <w:sz w:val="22"/>
          <w:szCs w:val="22"/>
        </w:rPr>
        <w:t>application</w:t>
      </w:r>
      <w:r w:rsidR="00CE41B2" w:rsidRPr="008E4DB5">
        <w:rPr>
          <w:snapToGrid/>
          <w:sz w:val="22"/>
          <w:szCs w:val="22"/>
        </w:rPr>
        <w:t>s</w:t>
      </w:r>
      <w:r w:rsidR="00E12901" w:rsidRPr="008E4DB5">
        <w:rPr>
          <w:snapToGrid/>
          <w:sz w:val="22"/>
          <w:szCs w:val="22"/>
        </w:rPr>
        <w:t xml:space="preserve"> </w:t>
      </w:r>
      <w:r w:rsidR="00CE41B2" w:rsidRPr="008E4DB5">
        <w:rPr>
          <w:snapToGrid/>
          <w:sz w:val="22"/>
          <w:szCs w:val="22"/>
        </w:rPr>
        <w:t>for new low power FM (“LPFM”) stations at Santa Ana</w:t>
      </w:r>
      <w:r w:rsidR="00280207" w:rsidRPr="008E4DB5">
        <w:rPr>
          <w:snapToGrid/>
          <w:sz w:val="22"/>
          <w:szCs w:val="22"/>
        </w:rPr>
        <w:t xml:space="preserve">, </w:t>
      </w:r>
      <w:r w:rsidR="00CE41B2" w:rsidRPr="008E4DB5">
        <w:rPr>
          <w:snapToGrid/>
          <w:sz w:val="22"/>
          <w:szCs w:val="22"/>
        </w:rPr>
        <w:t xml:space="preserve">Corona, </w:t>
      </w:r>
      <w:r w:rsidR="00280207" w:rsidRPr="008E4DB5">
        <w:rPr>
          <w:snapToGrid/>
          <w:sz w:val="22"/>
          <w:szCs w:val="22"/>
        </w:rPr>
        <w:t xml:space="preserve">and Huntington Beach, </w:t>
      </w:r>
      <w:r w:rsidR="00CE41B2" w:rsidRPr="008E4DB5">
        <w:rPr>
          <w:snapToGrid/>
          <w:sz w:val="22"/>
          <w:szCs w:val="22"/>
        </w:rPr>
        <w:t>California</w:t>
      </w:r>
      <w:r w:rsidR="00E12901" w:rsidRPr="008E4DB5">
        <w:rPr>
          <w:snapToGrid/>
          <w:sz w:val="22"/>
          <w:szCs w:val="22"/>
        </w:rPr>
        <w:t>.</w:t>
      </w:r>
      <w:r w:rsidR="00CE0091" w:rsidRPr="008E4DB5">
        <w:rPr>
          <w:snapToGrid/>
          <w:sz w:val="22"/>
          <w:szCs w:val="22"/>
        </w:rPr>
        <w:t xml:space="preserve">  </w:t>
      </w:r>
      <w:r w:rsidR="00217A1D" w:rsidRPr="008E4DB5">
        <w:rPr>
          <w:snapToGrid/>
          <w:sz w:val="22"/>
          <w:szCs w:val="22"/>
        </w:rPr>
        <w:t>Also before us is a Consolidated P</w:t>
      </w:r>
      <w:r w:rsidR="009364AA" w:rsidRPr="008E4DB5">
        <w:rPr>
          <w:snapToGrid/>
          <w:sz w:val="22"/>
          <w:szCs w:val="22"/>
        </w:rPr>
        <w:t xml:space="preserve">etition to Deny (“Petition”) </w:t>
      </w:r>
      <w:r w:rsidR="00F371E6" w:rsidRPr="008E4DB5">
        <w:rPr>
          <w:snapToGrid/>
          <w:sz w:val="22"/>
          <w:szCs w:val="22"/>
        </w:rPr>
        <w:t xml:space="preserve">three of these applications – those filed by Centro </w:t>
      </w:r>
      <w:r w:rsidR="00F371E6" w:rsidRPr="008E4DB5">
        <w:rPr>
          <w:sz w:val="22"/>
          <w:szCs w:val="22"/>
        </w:rPr>
        <w:t>Cultural de Mexico en Condado de Orange (“Centro”), Latino Center for Prevention &amp; Action in Health &amp; Welfare (“Latino Center”) and New Hope Family Worship Center (“New Hope”) –</w:t>
      </w:r>
      <w:r w:rsidR="00217A1D" w:rsidRPr="008E4DB5">
        <w:rPr>
          <w:snapToGrid/>
          <w:sz w:val="22"/>
          <w:szCs w:val="22"/>
        </w:rPr>
        <w:t xml:space="preserve"> filed by LC Media LP (“LC Media”)</w:t>
      </w:r>
      <w:r w:rsidR="00D84861" w:rsidRPr="008E4DB5">
        <w:rPr>
          <w:snapToGrid/>
          <w:sz w:val="22"/>
          <w:szCs w:val="22"/>
        </w:rPr>
        <w:t>.</w:t>
      </w:r>
      <w:r w:rsidR="00450B8F" w:rsidRPr="008E4DB5">
        <w:rPr>
          <w:snapToGrid/>
          <w:sz w:val="22"/>
          <w:szCs w:val="22"/>
        </w:rPr>
        <w:t xml:space="preserve">  </w:t>
      </w:r>
      <w:r w:rsidR="008E4DB5" w:rsidRPr="008E4DB5">
        <w:rPr>
          <w:snapToGrid/>
          <w:sz w:val="22"/>
          <w:szCs w:val="22"/>
        </w:rPr>
        <w:t xml:space="preserve">Finally, we have before us a time-share proposal submitted to the Commission by Centro and Latino Center.  </w:t>
      </w:r>
      <w:r w:rsidR="00E12901" w:rsidRPr="008E4DB5">
        <w:rPr>
          <w:snapToGrid/>
          <w:sz w:val="22"/>
          <w:szCs w:val="22"/>
        </w:rPr>
        <w:t>For the reasons stated below, we</w:t>
      </w:r>
      <w:r w:rsidR="00B274A0">
        <w:rPr>
          <w:snapToGrid/>
          <w:sz w:val="22"/>
          <w:szCs w:val="22"/>
        </w:rPr>
        <w:t xml:space="preserve"> approve the time-share proposal, dismiss the application filed by New Hope and the application filed by Calvary Chapel Huntington Beach</w:t>
      </w:r>
      <w:r w:rsidR="00EA5D6B">
        <w:rPr>
          <w:snapToGrid/>
          <w:sz w:val="22"/>
          <w:szCs w:val="22"/>
        </w:rPr>
        <w:t xml:space="preserve"> (“Calvary Chapel</w:t>
      </w:r>
      <w:r w:rsidR="00034BAE">
        <w:rPr>
          <w:snapToGrid/>
          <w:sz w:val="22"/>
          <w:szCs w:val="22"/>
        </w:rPr>
        <w:t>”</w:t>
      </w:r>
      <w:r w:rsidR="00EA5D6B">
        <w:rPr>
          <w:snapToGrid/>
          <w:sz w:val="22"/>
          <w:szCs w:val="22"/>
        </w:rPr>
        <w:t>)</w:t>
      </w:r>
      <w:r w:rsidR="00B274A0">
        <w:rPr>
          <w:snapToGrid/>
          <w:sz w:val="22"/>
          <w:szCs w:val="22"/>
        </w:rPr>
        <w:t>,</w:t>
      </w:r>
      <w:r w:rsidR="00E12901" w:rsidRPr="008E4DB5">
        <w:rPr>
          <w:snapToGrid/>
          <w:sz w:val="22"/>
          <w:szCs w:val="22"/>
        </w:rPr>
        <w:t xml:space="preserve"> </w:t>
      </w:r>
      <w:r w:rsidR="009364AA" w:rsidRPr="008E4DB5">
        <w:rPr>
          <w:snapToGrid/>
          <w:sz w:val="22"/>
          <w:szCs w:val="22"/>
        </w:rPr>
        <w:t>deny the Petition</w:t>
      </w:r>
      <w:r w:rsidR="00D84861" w:rsidRPr="008E4DB5">
        <w:rPr>
          <w:snapToGrid/>
          <w:sz w:val="22"/>
          <w:szCs w:val="22"/>
        </w:rPr>
        <w:t>,</w:t>
      </w:r>
      <w:r w:rsidR="00E12901" w:rsidRPr="008E4DB5">
        <w:rPr>
          <w:snapToGrid/>
          <w:sz w:val="22"/>
          <w:szCs w:val="22"/>
        </w:rPr>
        <w:t xml:space="preserve"> </w:t>
      </w:r>
      <w:r w:rsidR="003C5426" w:rsidRPr="008E4DB5">
        <w:rPr>
          <w:snapToGrid/>
          <w:sz w:val="22"/>
          <w:szCs w:val="22"/>
        </w:rPr>
        <w:t>and grant</w:t>
      </w:r>
      <w:r w:rsidR="00B274A0">
        <w:rPr>
          <w:snapToGrid/>
          <w:sz w:val="22"/>
          <w:szCs w:val="22"/>
        </w:rPr>
        <w:t xml:space="preserve"> the a</w:t>
      </w:r>
      <w:r w:rsidR="00217A1D" w:rsidRPr="008E4DB5">
        <w:rPr>
          <w:snapToGrid/>
          <w:sz w:val="22"/>
          <w:szCs w:val="22"/>
        </w:rPr>
        <w:t>pplications</w:t>
      </w:r>
      <w:r w:rsidR="00B274A0">
        <w:rPr>
          <w:snapToGrid/>
          <w:sz w:val="22"/>
          <w:szCs w:val="22"/>
        </w:rPr>
        <w:t xml:space="preserve"> filed by Centro and Latino Center</w:t>
      </w:r>
      <w:r w:rsidR="00E12901" w:rsidRPr="008E4DB5">
        <w:rPr>
          <w:snapToGrid/>
          <w:sz w:val="22"/>
          <w:szCs w:val="22"/>
        </w:rPr>
        <w:t>.</w:t>
      </w:r>
      <w:r w:rsidR="00217A1D" w:rsidRPr="008E4DB5">
        <w:rPr>
          <w:snapToGrid/>
          <w:sz w:val="22"/>
          <w:szCs w:val="22"/>
        </w:rPr>
        <w:t xml:space="preserve">  </w:t>
      </w:r>
    </w:p>
    <w:p w14:paraId="791844C9" w14:textId="77777777" w:rsidR="00DC42DD" w:rsidRPr="008E4DB5" w:rsidRDefault="00DC42DD" w:rsidP="00EE1528">
      <w:pPr>
        <w:pStyle w:val="BodyText3"/>
        <w:tabs>
          <w:tab w:val="left" w:pos="720"/>
          <w:tab w:val="left" w:pos="4680"/>
        </w:tabs>
        <w:jc w:val="left"/>
        <w:rPr>
          <w:sz w:val="22"/>
          <w:szCs w:val="22"/>
        </w:rPr>
      </w:pPr>
    </w:p>
    <w:p w14:paraId="797DC5D5" w14:textId="63EB9783" w:rsidR="00EC5022" w:rsidRPr="008E4DB5" w:rsidRDefault="00DC42DD" w:rsidP="006A6352">
      <w:pPr>
        <w:snapToGrid w:val="0"/>
        <w:ind w:firstLine="720"/>
        <w:rPr>
          <w:sz w:val="22"/>
          <w:szCs w:val="22"/>
        </w:rPr>
      </w:pPr>
      <w:r w:rsidRPr="008E4DB5">
        <w:rPr>
          <w:b/>
          <w:sz w:val="22"/>
          <w:szCs w:val="22"/>
        </w:rPr>
        <w:t>Background</w:t>
      </w:r>
      <w:r w:rsidRPr="008E4DB5">
        <w:rPr>
          <w:sz w:val="22"/>
          <w:szCs w:val="22"/>
        </w:rPr>
        <w:t xml:space="preserve">.  </w:t>
      </w:r>
      <w:r w:rsidR="006A6352" w:rsidRPr="008E4DB5">
        <w:rPr>
          <w:sz w:val="22"/>
          <w:szCs w:val="22"/>
        </w:rPr>
        <w:t>Centro, Latino Center</w:t>
      </w:r>
      <w:r w:rsidR="00F371E6" w:rsidRPr="008E4DB5">
        <w:rPr>
          <w:sz w:val="22"/>
          <w:szCs w:val="22"/>
        </w:rPr>
        <w:t>,</w:t>
      </w:r>
      <w:r w:rsidR="006A6352" w:rsidRPr="008E4DB5">
        <w:rPr>
          <w:sz w:val="22"/>
          <w:szCs w:val="22"/>
        </w:rPr>
        <w:t xml:space="preserve"> New Hope </w:t>
      </w:r>
      <w:r w:rsidR="00F371E6" w:rsidRPr="008E4DB5">
        <w:rPr>
          <w:sz w:val="22"/>
          <w:szCs w:val="22"/>
        </w:rPr>
        <w:t xml:space="preserve">and Calvary Chapel </w:t>
      </w:r>
      <w:r w:rsidR="006A6352" w:rsidRPr="008E4DB5">
        <w:rPr>
          <w:sz w:val="22"/>
          <w:szCs w:val="22"/>
        </w:rPr>
        <w:t xml:space="preserve">submitted their applications during the most recent LPFM filing window.  The Bureau determined that </w:t>
      </w:r>
      <w:r w:rsidR="00F371E6" w:rsidRPr="008E4DB5">
        <w:rPr>
          <w:sz w:val="22"/>
          <w:szCs w:val="22"/>
        </w:rPr>
        <w:t>these applications</w:t>
      </w:r>
      <w:r w:rsidR="006A6352" w:rsidRPr="008E4DB5">
        <w:rPr>
          <w:sz w:val="22"/>
          <w:szCs w:val="22"/>
        </w:rPr>
        <w:t xml:space="preserve"> – along with </w:t>
      </w:r>
      <w:r w:rsidR="00F371E6" w:rsidRPr="008E4DB5">
        <w:rPr>
          <w:sz w:val="22"/>
          <w:szCs w:val="22"/>
        </w:rPr>
        <w:t>three</w:t>
      </w:r>
      <w:r w:rsidR="006A6352" w:rsidRPr="008E4DB5">
        <w:rPr>
          <w:sz w:val="22"/>
          <w:szCs w:val="22"/>
        </w:rPr>
        <w:t xml:space="preserve"> other applications submitted during that same filing window – were mutually exclusive</w:t>
      </w:r>
      <w:r w:rsidR="00F371E6" w:rsidRPr="008E4DB5">
        <w:rPr>
          <w:sz w:val="22"/>
          <w:szCs w:val="22"/>
        </w:rPr>
        <w:t xml:space="preserve"> and designated them </w:t>
      </w:r>
      <w:r w:rsidR="00EA5D6B">
        <w:rPr>
          <w:sz w:val="22"/>
          <w:szCs w:val="22"/>
        </w:rPr>
        <w:t xml:space="preserve">LPFM </w:t>
      </w:r>
      <w:r w:rsidR="00F371E6" w:rsidRPr="008E4DB5">
        <w:rPr>
          <w:sz w:val="22"/>
          <w:szCs w:val="22"/>
        </w:rPr>
        <w:t>MX Group 34</w:t>
      </w:r>
      <w:r w:rsidR="006A6352" w:rsidRPr="008E4DB5">
        <w:rPr>
          <w:sz w:val="22"/>
          <w:szCs w:val="22"/>
        </w:rPr>
        <w:t>.</w:t>
      </w:r>
      <w:r w:rsidR="000912AB" w:rsidRPr="008E4DB5">
        <w:rPr>
          <w:rStyle w:val="FootnoteReference"/>
          <w:rFonts w:ascii="Times New Roman" w:hAnsi="Times New Roman"/>
          <w:sz w:val="22"/>
          <w:szCs w:val="22"/>
        </w:rPr>
        <w:footnoteReference w:id="1"/>
      </w:r>
      <w:r w:rsidR="006A6352" w:rsidRPr="008E4DB5">
        <w:rPr>
          <w:sz w:val="22"/>
          <w:szCs w:val="22"/>
        </w:rPr>
        <w:t xml:space="preserve">  After offering the </w:t>
      </w:r>
      <w:r w:rsidR="00F371E6" w:rsidRPr="008E4DB5">
        <w:rPr>
          <w:sz w:val="22"/>
          <w:szCs w:val="22"/>
        </w:rPr>
        <w:t xml:space="preserve">applicants in </w:t>
      </w:r>
      <w:r w:rsidR="00EA5D6B">
        <w:rPr>
          <w:sz w:val="22"/>
          <w:szCs w:val="22"/>
        </w:rPr>
        <w:t xml:space="preserve">LPFM </w:t>
      </w:r>
      <w:r w:rsidR="00F371E6" w:rsidRPr="008E4DB5">
        <w:rPr>
          <w:sz w:val="22"/>
          <w:szCs w:val="22"/>
        </w:rPr>
        <w:t>MX Group 34</w:t>
      </w:r>
      <w:r w:rsidR="006A6352" w:rsidRPr="008E4DB5">
        <w:rPr>
          <w:sz w:val="22"/>
          <w:szCs w:val="22"/>
        </w:rPr>
        <w:t xml:space="preserve"> an opportunity to resolve the conflicts among their applications, the Bureau conducted a point hearing and determined that the </w:t>
      </w:r>
      <w:r w:rsidR="00F371E6" w:rsidRPr="008E4DB5">
        <w:rPr>
          <w:sz w:val="22"/>
          <w:szCs w:val="22"/>
        </w:rPr>
        <w:t xml:space="preserve">Centro, Latino Center, New Hope and Calvary Chapel applications </w:t>
      </w:r>
      <w:r w:rsidR="006A6352" w:rsidRPr="008E4DB5">
        <w:rPr>
          <w:sz w:val="22"/>
          <w:szCs w:val="22"/>
        </w:rPr>
        <w:t xml:space="preserve">were tied.  </w:t>
      </w:r>
      <w:r w:rsidR="000912AB" w:rsidRPr="008E4DB5">
        <w:rPr>
          <w:sz w:val="22"/>
          <w:szCs w:val="22"/>
        </w:rPr>
        <w:t>On July 9, 2014, t</w:t>
      </w:r>
      <w:r w:rsidR="006A6352" w:rsidRPr="008E4DB5">
        <w:rPr>
          <w:sz w:val="22"/>
          <w:szCs w:val="22"/>
        </w:rPr>
        <w:t xml:space="preserve">he </w:t>
      </w:r>
      <w:r w:rsidR="000912AB" w:rsidRPr="008E4DB5">
        <w:rPr>
          <w:sz w:val="22"/>
          <w:szCs w:val="22"/>
        </w:rPr>
        <w:t>Commission</w:t>
      </w:r>
      <w:r w:rsidR="006A6352" w:rsidRPr="008E4DB5">
        <w:rPr>
          <w:sz w:val="22"/>
          <w:szCs w:val="22"/>
        </w:rPr>
        <w:t xml:space="preserve"> </w:t>
      </w:r>
      <w:r w:rsidR="000912AB" w:rsidRPr="008E4DB5">
        <w:rPr>
          <w:sz w:val="22"/>
          <w:szCs w:val="22"/>
        </w:rPr>
        <w:t>identified</w:t>
      </w:r>
      <w:r w:rsidR="006A6352" w:rsidRPr="008E4DB5">
        <w:rPr>
          <w:sz w:val="22"/>
          <w:szCs w:val="22"/>
        </w:rPr>
        <w:t xml:space="preserve"> these four </w:t>
      </w:r>
      <w:r w:rsidR="00EA5D6B">
        <w:rPr>
          <w:sz w:val="22"/>
          <w:szCs w:val="22"/>
        </w:rPr>
        <w:t>applicants</w:t>
      </w:r>
      <w:r w:rsidR="006A6352" w:rsidRPr="008E4DB5">
        <w:rPr>
          <w:sz w:val="22"/>
          <w:szCs w:val="22"/>
        </w:rPr>
        <w:t xml:space="preserve"> as the tentative selectees</w:t>
      </w:r>
      <w:r w:rsidR="00F371E6" w:rsidRPr="008E4DB5">
        <w:rPr>
          <w:sz w:val="22"/>
          <w:szCs w:val="22"/>
        </w:rPr>
        <w:t xml:space="preserve"> in </w:t>
      </w:r>
      <w:r w:rsidR="00EA5D6B">
        <w:rPr>
          <w:sz w:val="22"/>
          <w:szCs w:val="22"/>
        </w:rPr>
        <w:t xml:space="preserve">LPFM </w:t>
      </w:r>
      <w:r w:rsidR="00F371E6" w:rsidRPr="008E4DB5">
        <w:rPr>
          <w:sz w:val="22"/>
          <w:szCs w:val="22"/>
        </w:rPr>
        <w:t>MX Group 34</w:t>
      </w:r>
      <w:r w:rsidR="000912AB" w:rsidRPr="008E4DB5">
        <w:rPr>
          <w:sz w:val="22"/>
          <w:szCs w:val="22"/>
        </w:rPr>
        <w:t>.</w:t>
      </w:r>
      <w:r w:rsidR="000912AB" w:rsidRPr="008E4DB5">
        <w:rPr>
          <w:rStyle w:val="FootnoteReference"/>
          <w:rFonts w:ascii="Times New Roman" w:hAnsi="Times New Roman"/>
          <w:sz w:val="22"/>
          <w:szCs w:val="22"/>
        </w:rPr>
        <w:footnoteReference w:id="2"/>
      </w:r>
      <w:r w:rsidR="000912AB" w:rsidRPr="008E4DB5">
        <w:rPr>
          <w:sz w:val="22"/>
          <w:szCs w:val="22"/>
        </w:rPr>
        <w:t xml:space="preserve">  At the same time, it announced the 30-day period for filing petitions to deny against the tentative selectees</w:t>
      </w:r>
      <w:r w:rsidR="006A6352" w:rsidRPr="008E4DB5">
        <w:rPr>
          <w:sz w:val="22"/>
          <w:szCs w:val="22"/>
        </w:rPr>
        <w:t xml:space="preserve"> and </w:t>
      </w:r>
      <w:r w:rsidR="000912AB" w:rsidRPr="008E4DB5">
        <w:rPr>
          <w:sz w:val="22"/>
          <w:szCs w:val="22"/>
        </w:rPr>
        <w:t>the 90-day period for filing of voluntary time-share proposals</w:t>
      </w:r>
      <w:r w:rsidR="006A6352" w:rsidRPr="008E4DB5">
        <w:rPr>
          <w:sz w:val="22"/>
          <w:szCs w:val="22"/>
        </w:rPr>
        <w:t xml:space="preserve">.  </w:t>
      </w:r>
    </w:p>
    <w:p w14:paraId="5B2038FC" w14:textId="77777777" w:rsidR="00EC5022" w:rsidRPr="008E4DB5" w:rsidRDefault="00EC5022" w:rsidP="006A6352">
      <w:pPr>
        <w:snapToGrid w:val="0"/>
        <w:ind w:firstLine="720"/>
        <w:rPr>
          <w:sz w:val="22"/>
          <w:szCs w:val="22"/>
        </w:rPr>
      </w:pPr>
    </w:p>
    <w:p w14:paraId="02D5703B" w14:textId="69727F2D" w:rsidR="00F371E6" w:rsidRPr="008E4DB5" w:rsidRDefault="00EC5022" w:rsidP="006A6352">
      <w:pPr>
        <w:snapToGrid w:val="0"/>
        <w:ind w:firstLine="720"/>
        <w:rPr>
          <w:sz w:val="22"/>
          <w:szCs w:val="22"/>
        </w:rPr>
      </w:pPr>
      <w:r w:rsidRPr="008E4DB5">
        <w:rPr>
          <w:sz w:val="22"/>
          <w:szCs w:val="22"/>
        </w:rPr>
        <w:t xml:space="preserve">On August 8, 2014, LC Media filed the Petition, which seeks dismissal or denial of the Centro, Latino Center and New Hope applications.  These </w:t>
      </w:r>
      <w:r w:rsidR="00EA5D6B">
        <w:rPr>
          <w:sz w:val="22"/>
          <w:szCs w:val="22"/>
        </w:rPr>
        <w:t>applications include requests for waiver</w:t>
      </w:r>
      <w:r w:rsidRPr="008E4DB5">
        <w:rPr>
          <w:sz w:val="22"/>
          <w:szCs w:val="22"/>
        </w:rPr>
        <w:t xml:space="preserve"> of the second-adjacent channel </w:t>
      </w:r>
      <w:r w:rsidR="00EA5D6B">
        <w:rPr>
          <w:sz w:val="22"/>
          <w:szCs w:val="22"/>
        </w:rPr>
        <w:t>spacing requirements</w:t>
      </w:r>
      <w:r w:rsidR="008E4DB5" w:rsidRPr="008E4DB5">
        <w:rPr>
          <w:sz w:val="22"/>
          <w:szCs w:val="22"/>
        </w:rPr>
        <w:t xml:space="preserve"> </w:t>
      </w:r>
      <w:r w:rsidRPr="008E4DB5">
        <w:rPr>
          <w:sz w:val="22"/>
          <w:szCs w:val="22"/>
        </w:rPr>
        <w:t xml:space="preserve">(“second-adjacent </w:t>
      </w:r>
      <w:r w:rsidR="0047086A">
        <w:rPr>
          <w:sz w:val="22"/>
          <w:szCs w:val="22"/>
        </w:rPr>
        <w:t xml:space="preserve">channel </w:t>
      </w:r>
      <w:r w:rsidRPr="008E4DB5">
        <w:rPr>
          <w:sz w:val="22"/>
          <w:szCs w:val="22"/>
        </w:rPr>
        <w:t>waivers”)</w:t>
      </w:r>
      <w:r w:rsidR="00EA5D6B">
        <w:rPr>
          <w:sz w:val="22"/>
          <w:szCs w:val="22"/>
        </w:rPr>
        <w:t xml:space="preserve"> set forth in Section 73.807 of the Commission’s rules (“Rules”)</w:t>
      </w:r>
      <w:r w:rsidRPr="008E4DB5">
        <w:rPr>
          <w:sz w:val="22"/>
          <w:szCs w:val="22"/>
        </w:rPr>
        <w:t xml:space="preserve">.  LC Media seeks dismissal or denial of </w:t>
      </w:r>
      <w:r w:rsidR="00EA5D6B">
        <w:rPr>
          <w:sz w:val="22"/>
          <w:szCs w:val="22"/>
        </w:rPr>
        <w:t>the Centro, Latino Center and New Hope</w:t>
      </w:r>
      <w:r w:rsidRPr="008E4DB5">
        <w:rPr>
          <w:sz w:val="22"/>
          <w:szCs w:val="22"/>
        </w:rPr>
        <w:t xml:space="preserve"> applications, arguing that neither Centro, Latino Center nor New Hope have satisfied the standard for second-adjacent waivers.  </w:t>
      </w:r>
      <w:r w:rsidR="00EA5D6B">
        <w:rPr>
          <w:sz w:val="22"/>
          <w:szCs w:val="22"/>
        </w:rPr>
        <w:t>Centro and Latino Center opposed</w:t>
      </w:r>
      <w:r w:rsidRPr="008E4DB5">
        <w:rPr>
          <w:sz w:val="22"/>
          <w:szCs w:val="22"/>
        </w:rPr>
        <w:t xml:space="preserve"> the Petition on August 28, 2014, and LC Media replied on September 17, 2014.  Subsequently, o</w:t>
      </w:r>
      <w:r w:rsidR="000912AB" w:rsidRPr="008E4DB5">
        <w:rPr>
          <w:sz w:val="22"/>
          <w:szCs w:val="22"/>
        </w:rPr>
        <w:t xml:space="preserve">n October 6, 2014, </w:t>
      </w:r>
      <w:r w:rsidR="00BC6A1B" w:rsidRPr="008E4DB5">
        <w:rPr>
          <w:sz w:val="22"/>
          <w:szCs w:val="22"/>
        </w:rPr>
        <w:t xml:space="preserve">Centro and Latino Center </w:t>
      </w:r>
      <w:r w:rsidR="000912AB" w:rsidRPr="008E4DB5">
        <w:rPr>
          <w:sz w:val="22"/>
          <w:szCs w:val="22"/>
        </w:rPr>
        <w:t>entered into</w:t>
      </w:r>
      <w:r w:rsidR="00BC6A1B" w:rsidRPr="008E4DB5">
        <w:rPr>
          <w:sz w:val="22"/>
          <w:szCs w:val="22"/>
        </w:rPr>
        <w:t xml:space="preserve"> a voluntary time-sharing </w:t>
      </w:r>
      <w:r w:rsidR="000912AB" w:rsidRPr="008E4DB5">
        <w:rPr>
          <w:sz w:val="22"/>
          <w:szCs w:val="22"/>
        </w:rPr>
        <w:t>agreement</w:t>
      </w:r>
      <w:r w:rsidR="00BC6A1B" w:rsidRPr="008E4DB5">
        <w:rPr>
          <w:sz w:val="22"/>
          <w:szCs w:val="22"/>
        </w:rPr>
        <w:t xml:space="preserve">.  </w:t>
      </w:r>
      <w:r w:rsidR="000912AB" w:rsidRPr="008E4DB5">
        <w:rPr>
          <w:sz w:val="22"/>
          <w:szCs w:val="22"/>
        </w:rPr>
        <w:t xml:space="preserve">They submitted the agreement </w:t>
      </w:r>
      <w:r w:rsidR="006C6687" w:rsidRPr="008E4DB5">
        <w:rPr>
          <w:sz w:val="22"/>
          <w:szCs w:val="22"/>
        </w:rPr>
        <w:t xml:space="preserve">to the Commission as a time-share proposal </w:t>
      </w:r>
      <w:r w:rsidR="000912AB" w:rsidRPr="008E4DB5">
        <w:rPr>
          <w:sz w:val="22"/>
          <w:szCs w:val="22"/>
        </w:rPr>
        <w:t>the following day.</w:t>
      </w:r>
    </w:p>
    <w:p w14:paraId="3D836E3D" w14:textId="77777777" w:rsidR="00B70E0D" w:rsidRPr="008E4DB5" w:rsidRDefault="00B70E0D" w:rsidP="00EE1528">
      <w:pPr>
        <w:ind w:firstLine="720"/>
        <w:rPr>
          <w:sz w:val="22"/>
          <w:szCs w:val="22"/>
        </w:rPr>
      </w:pPr>
    </w:p>
    <w:p w14:paraId="4D6597D4" w14:textId="77777777" w:rsidR="006C6687" w:rsidRPr="008E4DB5" w:rsidRDefault="006C194D" w:rsidP="00A03897">
      <w:pPr>
        <w:ind w:firstLine="720"/>
        <w:rPr>
          <w:sz w:val="22"/>
          <w:szCs w:val="22"/>
        </w:rPr>
      </w:pPr>
      <w:r w:rsidRPr="008E4DB5">
        <w:rPr>
          <w:b/>
          <w:sz w:val="22"/>
          <w:szCs w:val="22"/>
        </w:rPr>
        <w:t>Discussion</w:t>
      </w:r>
      <w:r w:rsidR="00636E03" w:rsidRPr="008E4DB5">
        <w:rPr>
          <w:b/>
          <w:sz w:val="22"/>
          <w:szCs w:val="22"/>
        </w:rPr>
        <w:t>.</w:t>
      </w:r>
      <w:r w:rsidR="00636E03" w:rsidRPr="008E4DB5">
        <w:rPr>
          <w:sz w:val="22"/>
          <w:szCs w:val="22"/>
        </w:rPr>
        <w:t xml:space="preserve">  </w:t>
      </w:r>
      <w:r w:rsidR="006C6687" w:rsidRPr="008E4DB5">
        <w:rPr>
          <w:i/>
          <w:sz w:val="22"/>
          <w:szCs w:val="22"/>
        </w:rPr>
        <w:t>Time-Share Agreement</w:t>
      </w:r>
      <w:r w:rsidR="00BC6A1B" w:rsidRPr="008E4DB5">
        <w:rPr>
          <w:i/>
          <w:sz w:val="22"/>
          <w:szCs w:val="22"/>
        </w:rPr>
        <w:t xml:space="preserve">.  </w:t>
      </w:r>
      <w:r w:rsidR="00BC6A1B" w:rsidRPr="008E4DB5">
        <w:rPr>
          <w:sz w:val="22"/>
          <w:szCs w:val="22"/>
        </w:rPr>
        <w:t xml:space="preserve">Centro and Latino Center </w:t>
      </w:r>
      <w:r w:rsidR="00A03897" w:rsidRPr="008E4DB5">
        <w:rPr>
          <w:sz w:val="22"/>
          <w:szCs w:val="22"/>
        </w:rPr>
        <w:t>submitted a time-share proposal</w:t>
      </w:r>
      <w:r w:rsidR="001A144A" w:rsidRPr="008E4DB5">
        <w:rPr>
          <w:sz w:val="22"/>
          <w:szCs w:val="22"/>
        </w:rPr>
        <w:t xml:space="preserve"> to the Commission within the 90-day period for filing of voluntary time-share proposals</w:t>
      </w:r>
      <w:r w:rsidR="00BC6A1B" w:rsidRPr="008E4DB5">
        <w:rPr>
          <w:sz w:val="22"/>
          <w:szCs w:val="22"/>
        </w:rPr>
        <w:t xml:space="preserve">.  </w:t>
      </w:r>
      <w:r w:rsidR="000912AB" w:rsidRPr="008E4DB5">
        <w:rPr>
          <w:sz w:val="22"/>
          <w:szCs w:val="22"/>
        </w:rPr>
        <w:t xml:space="preserve">The </w:t>
      </w:r>
      <w:r w:rsidR="001A144A" w:rsidRPr="008E4DB5">
        <w:rPr>
          <w:sz w:val="22"/>
          <w:szCs w:val="22"/>
        </w:rPr>
        <w:t>proposal</w:t>
      </w:r>
      <w:r w:rsidR="000912AB" w:rsidRPr="008E4DB5">
        <w:rPr>
          <w:sz w:val="22"/>
          <w:szCs w:val="22"/>
        </w:rPr>
        <w:t xml:space="preserve"> complies with the </w:t>
      </w:r>
      <w:r w:rsidR="001A144A" w:rsidRPr="008E4DB5">
        <w:rPr>
          <w:sz w:val="22"/>
          <w:szCs w:val="22"/>
        </w:rPr>
        <w:t xml:space="preserve">Commission’s </w:t>
      </w:r>
      <w:r w:rsidR="000912AB" w:rsidRPr="008E4DB5">
        <w:rPr>
          <w:sz w:val="22"/>
          <w:szCs w:val="22"/>
        </w:rPr>
        <w:t>requirements</w:t>
      </w:r>
      <w:r w:rsidR="001A144A" w:rsidRPr="008E4DB5">
        <w:rPr>
          <w:sz w:val="22"/>
          <w:szCs w:val="22"/>
        </w:rPr>
        <w:t xml:space="preserve">, which are </w:t>
      </w:r>
      <w:r w:rsidR="000912AB" w:rsidRPr="008E4DB5">
        <w:rPr>
          <w:sz w:val="22"/>
          <w:szCs w:val="22"/>
        </w:rPr>
        <w:t>set forth in Section 73.872(c)</w:t>
      </w:r>
      <w:r w:rsidR="00A03897" w:rsidRPr="008E4DB5">
        <w:rPr>
          <w:sz w:val="22"/>
          <w:szCs w:val="22"/>
        </w:rPr>
        <w:t xml:space="preserve"> of the Commission’s rules.</w:t>
      </w:r>
      <w:r w:rsidR="00A03897" w:rsidRPr="008E4DB5">
        <w:rPr>
          <w:rStyle w:val="FootnoteReference"/>
          <w:rFonts w:ascii="Times New Roman" w:hAnsi="Times New Roman"/>
          <w:sz w:val="22"/>
          <w:szCs w:val="22"/>
        </w:rPr>
        <w:footnoteReference w:id="3"/>
      </w:r>
      <w:r w:rsidR="00A03897" w:rsidRPr="008E4DB5">
        <w:rPr>
          <w:sz w:val="22"/>
          <w:szCs w:val="22"/>
        </w:rPr>
        <w:t xml:space="preserve">  </w:t>
      </w:r>
      <w:r w:rsidR="006C6687" w:rsidRPr="008E4DB5">
        <w:rPr>
          <w:sz w:val="22"/>
          <w:szCs w:val="22"/>
        </w:rPr>
        <w:t xml:space="preserve">Accordingly, we will approve the proposal.  </w:t>
      </w:r>
    </w:p>
    <w:p w14:paraId="0A31FFEC" w14:textId="77777777" w:rsidR="006C6687" w:rsidRPr="008E4DB5" w:rsidRDefault="006C6687" w:rsidP="00A03897">
      <w:pPr>
        <w:ind w:firstLine="720"/>
        <w:rPr>
          <w:sz w:val="22"/>
          <w:szCs w:val="22"/>
        </w:rPr>
      </w:pPr>
    </w:p>
    <w:p w14:paraId="701A2DE0" w14:textId="79A44213" w:rsidR="00BC6A1B" w:rsidRPr="008E4DB5" w:rsidRDefault="00A03897" w:rsidP="00A03897">
      <w:pPr>
        <w:ind w:firstLine="720"/>
        <w:rPr>
          <w:sz w:val="22"/>
          <w:szCs w:val="22"/>
        </w:rPr>
      </w:pPr>
      <w:r w:rsidRPr="008E4DB5">
        <w:rPr>
          <w:sz w:val="22"/>
          <w:szCs w:val="22"/>
        </w:rPr>
        <w:t xml:space="preserve">Because the </w:t>
      </w:r>
      <w:r w:rsidR="001A144A" w:rsidRPr="008E4DB5">
        <w:rPr>
          <w:sz w:val="22"/>
          <w:szCs w:val="22"/>
        </w:rPr>
        <w:t>proposal involves</w:t>
      </w:r>
      <w:r w:rsidRPr="008E4DB5">
        <w:rPr>
          <w:sz w:val="22"/>
          <w:szCs w:val="22"/>
        </w:rPr>
        <w:t xml:space="preserve"> only two of the four tentative selectees</w:t>
      </w:r>
      <w:r w:rsidR="001A144A" w:rsidRPr="008E4DB5">
        <w:rPr>
          <w:sz w:val="22"/>
          <w:szCs w:val="22"/>
        </w:rPr>
        <w:t xml:space="preserve"> identified by the Commission on July 9, 2014</w:t>
      </w:r>
      <w:r w:rsidRPr="008E4DB5">
        <w:rPr>
          <w:sz w:val="22"/>
          <w:szCs w:val="22"/>
        </w:rPr>
        <w:t xml:space="preserve">, we aggregate the points </w:t>
      </w:r>
      <w:r w:rsidR="00BC6A1B" w:rsidRPr="008E4DB5">
        <w:rPr>
          <w:sz w:val="22"/>
          <w:szCs w:val="22"/>
        </w:rPr>
        <w:t xml:space="preserve">that </w:t>
      </w:r>
      <w:r w:rsidR="006C6687" w:rsidRPr="008E4DB5">
        <w:rPr>
          <w:sz w:val="22"/>
          <w:szCs w:val="22"/>
        </w:rPr>
        <w:t>the Commission</w:t>
      </w:r>
      <w:r w:rsidR="00BC6A1B" w:rsidRPr="008E4DB5">
        <w:rPr>
          <w:sz w:val="22"/>
          <w:szCs w:val="22"/>
        </w:rPr>
        <w:t xml:space="preserve"> previously awarded separately to </w:t>
      </w:r>
      <w:r w:rsidRPr="008E4DB5">
        <w:rPr>
          <w:sz w:val="22"/>
          <w:szCs w:val="22"/>
        </w:rPr>
        <w:t>Centro and Latino Center</w:t>
      </w:r>
      <w:r w:rsidR="00BC6A1B" w:rsidRPr="008E4DB5">
        <w:rPr>
          <w:sz w:val="22"/>
          <w:szCs w:val="22"/>
        </w:rPr>
        <w:t xml:space="preserve">.  </w:t>
      </w:r>
      <w:r w:rsidR="006C6687" w:rsidRPr="008E4DB5">
        <w:rPr>
          <w:sz w:val="22"/>
          <w:szCs w:val="22"/>
        </w:rPr>
        <w:t>The Commission</w:t>
      </w:r>
      <w:r w:rsidR="00BC6A1B" w:rsidRPr="008E4DB5">
        <w:rPr>
          <w:sz w:val="22"/>
          <w:szCs w:val="22"/>
        </w:rPr>
        <w:t xml:space="preserve"> previously awarded five points each to Centro, Latino Center, New Hope and Calvary Chapel.  </w:t>
      </w:r>
      <w:r w:rsidR="006C6687" w:rsidRPr="008E4DB5">
        <w:rPr>
          <w:sz w:val="22"/>
          <w:szCs w:val="22"/>
        </w:rPr>
        <w:t xml:space="preserve">With their points aggregated, </w:t>
      </w:r>
      <w:r w:rsidR="00BC6A1B" w:rsidRPr="008E4DB5">
        <w:rPr>
          <w:sz w:val="22"/>
          <w:szCs w:val="22"/>
        </w:rPr>
        <w:t xml:space="preserve">Centro and Latino Center have ten points.  </w:t>
      </w:r>
      <w:r w:rsidR="006C6687" w:rsidRPr="008E4DB5">
        <w:rPr>
          <w:sz w:val="22"/>
          <w:szCs w:val="22"/>
        </w:rPr>
        <w:t xml:space="preserve">This breaks the four-way tie in MX Group 34.  Accordingly, we will grant the Centro and Latino </w:t>
      </w:r>
      <w:r w:rsidR="006C6687" w:rsidRPr="008E4DB5">
        <w:rPr>
          <w:sz w:val="22"/>
          <w:szCs w:val="22"/>
        </w:rPr>
        <w:lastRenderedPageBreak/>
        <w:t xml:space="preserve">Center applications and dismiss the </w:t>
      </w:r>
      <w:r w:rsidR="00BC6A1B" w:rsidRPr="008E4DB5">
        <w:rPr>
          <w:sz w:val="22"/>
          <w:szCs w:val="22"/>
        </w:rPr>
        <w:t>Hope and Calvary Chapel applications.</w:t>
      </w:r>
      <w:r w:rsidR="006B21B8" w:rsidRPr="008E4DB5">
        <w:rPr>
          <w:rStyle w:val="FootnoteReference"/>
          <w:rFonts w:ascii="Times New Roman" w:hAnsi="Times New Roman"/>
          <w:sz w:val="22"/>
          <w:szCs w:val="22"/>
        </w:rPr>
        <w:footnoteReference w:id="4"/>
      </w:r>
      <w:r w:rsidR="00BC6A1B" w:rsidRPr="008E4DB5">
        <w:rPr>
          <w:sz w:val="22"/>
          <w:szCs w:val="22"/>
        </w:rPr>
        <w:t xml:space="preserve">  </w:t>
      </w:r>
    </w:p>
    <w:p w14:paraId="4F208419" w14:textId="77777777" w:rsidR="00BC6A1B" w:rsidRPr="008E4DB5" w:rsidRDefault="00BC6A1B" w:rsidP="006A6352">
      <w:pPr>
        <w:ind w:firstLine="720"/>
        <w:rPr>
          <w:sz w:val="22"/>
          <w:szCs w:val="22"/>
        </w:rPr>
      </w:pPr>
    </w:p>
    <w:p w14:paraId="7C83AE5A" w14:textId="288EEB00" w:rsidR="008E4DB5" w:rsidRDefault="00427F83" w:rsidP="006A6352">
      <w:pPr>
        <w:ind w:firstLine="720"/>
        <w:rPr>
          <w:sz w:val="22"/>
          <w:szCs w:val="22"/>
        </w:rPr>
      </w:pPr>
      <w:r w:rsidRPr="008E4DB5">
        <w:rPr>
          <w:i/>
          <w:sz w:val="22"/>
          <w:szCs w:val="22"/>
        </w:rPr>
        <w:t xml:space="preserve">Waiver of the </w:t>
      </w:r>
      <w:r w:rsidR="00F371E6" w:rsidRPr="008E4DB5">
        <w:rPr>
          <w:i/>
          <w:sz w:val="22"/>
          <w:szCs w:val="22"/>
        </w:rPr>
        <w:t xml:space="preserve">Second-Adjacent </w:t>
      </w:r>
      <w:r w:rsidRPr="008E4DB5">
        <w:rPr>
          <w:i/>
          <w:sz w:val="22"/>
          <w:szCs w:val="22"/>
        </w:rPr>
        <w:t>Channel Spacing Requirements</w:t>
      </w:r>
      <w:r w:rsidR="00F371E6" w:rsidRPr="008E4DB5">
        <w:rPr>
          <w:i/>
          <w:sz w:val="22"/>
          <w:szCs w:val="22"/>
        </w:rPr>
        <w:t xml:space="preserve">.  </w:t>
      </w:r>
      <w:r w:rsidR="00323839" w:rsidRPr="008E4DB5">
        <w:rPr>
          <w:sz w:val="22"/>
          <w:szCs w:val="22"/>
        </w:rPr>
        <w:t xml:space="preserve">Section 3(b)(2)(A) of the Local Community Radio </w:t>
      </w:r>
      <w:r w:rsidR="007C3886" w:rsidRPr="008E4DB5">
        <w:rPr>
          <w:sz w:val="22"/>
          <w:szCs w:val="22"/>
        </w:rPr>
        <w:t>Act of</w:t>
      </w:r>
      <w:r w:rsidR="001D1F7B" w:rsidRPr="008E4DB5">
        <w:rPr>
          <w:sz w:val="22"/>
          <w:szCs w:val="22"/>
        </w:rPr>
        <w:t xml:space="preserve"> 2010 (“LCRA”) </w:t>
      </w:r>
      <w:r w:rsidR="00323839" w:rsidRPr="008E4DB5">
        <w:rPr>
          <w:sz w:val="22"/>
          <w:szCs w:val="22"/>
        </w:rPr>
        <w:t xml:space="preserve">requires an LPFM applicant seeking a second-adjacent </w:t>
      </w:r>
      <w:r w:rsidR="00E27D03">
        <w:rPr>
          <w:sz w:val="22"/>
          <w:szCs w:val="22"/>
        </w:rPr>
        <w:t xml:space="preserve">channel </w:t>
      </w:r>
      <w:r w:rsidR="00323839" w:rsidRPr="008E4DB5">
        <w:rPr>
          <w:sz w:val="22"/>
          <w:szCs w:val="22"/>
        </w:rPr>
        <w:t xml:space="preserve">waiver to demonstrate that its proposed LPFM </w:t>
      </w:r>
      <w:r w:rsidR="00957350">
        <w:rPr>
          <w:sz w:val="22"/>
          <w:szCs w:val="22"/>
        </w:rPr>
        <w:t>facilities</w:t>
      </w:r>
      <w:r w:rsidR="00B40B3A" w:rsidRPr="008E4DB5">
        <w:rPr>
          <w:sz w:val="22"/>
          <w:szCs w:val="22"/>
        </w:rPr>
        <w:t xml:space="preserve"> “will not result in interference to any authorized radio service.</w:t>
      </w:r>
      <w:r w:rsidR="00323839" w:rsidRPr="008E4DB5">
        <w:rPr>
          <w:sz w:val="22"/>
          <w:szCs w:val="22"/>
        </w:rPr>
        <w:t>”</w:t>
      </w:r>
      <w:r w:rsidR="00323839" w:rsidRPr="008E4DB5">
        <w:rPr>
          <w:rStyle w:val="FootnoteReference"/>
          <w:rFonts w:ascii="Times New Roman" w:hAnsi="Times New Roman"/>
          <w:sz w:val="22"/>
          <w:szCs w:val="22"/>
        </w:rPr>
        <w:footnoteReference w:id="5"/>
      </w:r>
      <w:r w:rsidR="00323839" w:rsidRPr="008E4DB5">
        <w:rPr>
          <w:sz w:val="22"/>
          <w:szCs w:val="22"/>
        </w:rPr>
        <w:t xml:space="preserve">  Centro</w:t>
      </w:r>
      <w:r w:rsidR="000111C6" w:rsidRPr="008E4DB5">
        <w:rPr>
          <w:sz w:val="22"/>
          <w:szCs w:val="22"/>
        </w:rPr>
        <w:t xml:space="preserve"> and Latino Center</w:t>
      </w:r>
      <w:r w:rsidR="00323839" w:rsidRPr="008E4DB5">
        <w:rPr>
          <w:sz w:val="22"/>
          <w:szCs w:val="22"/>
        </w:rPr>
        <w:t xml:space="preserve"> </w:t>
      </w:r>
      <w:r w:rsidR="000111C6" w:rsidRPr="008E4DB5">
        <w:rPr>
          <w:sz w:val="22"/>
          <w:szCs w:val="22"/>
        </w:rPr>
        <w:t>both</w:t>
      </w:r>
      <w:r w:rsidR="00323839" w:rsidRPr="008E4DB5">
        <w:rPr>
          <w:sz w:val="22"/>
          <w:szCs w:val="22"/>
        </w:rPr>
        <w:t xml:space="preserve"> submitted engineering exhibits along with their second-adjacent waiver requests.  These exhibits</w:t>
      </w:r>
      <w:r w:rsidR="00957350">
        <w:rPr>
          <w:sz w:val="22"/>
          <w:szCs w:val="22"/>
        </w:rPr>
        <w:t xml:space="preserve"> purport to</w:t>
      </w:r>
      <w:r w:rsidR="00323839" w:rsidRPr="008E4DB5">
        <w:rPr>
          <w:sz w:val="22"/>
          <w:szCs w:val="22"/>
        </w:rPr>
        <w:t xml:space="preserve"> </w:t>
      </w:r>
      <w:r w:rsidR="000111C6" w:rsidRPr="008E4DB5">
        <w:rPr>
          <w:sz w:val="22"/>
          <w:szCs w:val="22"/>
        </w:rPr>
        <w:t>demonstrate that th</w:t>
      </w:r>
      <w:r w:rsidR="00323839" w:rsidRPr="008E4DB5">
        <w:rPr>
          <w:sz w:val="22"/>
          <w:szCs w:val="22"/>
        </w:rPr>
        <w:t xml:space="preserve">eir proposed LPFM stations would </w:t>
      </w:r>
      <w:r w:rsidR="000111C6" w:rsidRPr="008E4DB5">
        <w:rPr>
          <w:sz w:val="22"/>
          <w:szCs w:val="22"/>
        </w:rPr>
        <w:t xml:space="preserve">not </w:t>
      </w:r>
      <w:r w:rsidR="00323839" w:rsidRPr="008E4DB5">
        <w:rPr>
          <w:sz w:val="22"/>
          <w:szCs w:val="22"/>
        </w:rPr>
        <w:t xml:space="preserve">cause interference to any FM stations operating on second-adjacent channels.  </w:t>
      </w:r>
      <w:r w:rsidR="00F371E6" w:rsidRPr="008E4DB5">
        <w:rPr>
          <w:sz w:val="22"/>
          <w:szCs w:val="22"/>
        </w:rPr>
        <w:t xml:space="preserve">LC Media </w:t>
      </w:r>
      <w:r w:rsidR="00323839" w:rsidRPr="008E4DB5">
        <w:rPr>
          <w:sz w:val="22"/>
          <w:szCs w:val="22"/>
        </w:rPr>
        <w:t>claims that these exhibits are “patently defective” because they fail to demonstrate that the proposed LPFM stations will not cause co-channel interference</w:t>
      </w:r>
      <w:r w:rsidR="000111C6" w:rsidRPr="008E4DB5">
        <w:rPr>
          <w:sz w:val="22"/>
          <w:szCs w:val="22"/>
        </w:rPr>
        <w:t xml:space="preserve"> to two of its stations – KQIE(FM), Redlands, California, and KCAQ(FM), Oxnard, California</w:t>
      </w:r>
      <w:r w:rsidR="00323839" w:rsidRPr="008E4DB5">
        <w:rPr>
          <w:sz w:val="22"/>
          <w:szCs w:val="22"/>
        </w:rPr>
        <w:t>.</w:t>
      </w:r>
      <w:r w:rsidR="00957350">
        <w:rPr>
          <w:rStyle w:val="FootnoteReference"/>
          <w:szCs w:val="22"/>
        </w:rPr>
        <w:footnoteReference w:id="6"/>
      </w:r>
      <w:r w:rsidR="00323839" w:rsidRPr="008E4DB5">
        <w:rPr>
          <w:sz w:val="22"/>
          <w:szCs w:val="22"/>
        </w:rPr>
        <w:t xml:space="preserve">  </w:t>
      </w:r>
    </w:p>
    <w:p w14:paraId="3099C183" w14:textId="77777777" w:rsidR="008E4DB5" w:rsidRDefault="008E4DB5" w:rsidP="006A6352">
      <w:pPr>
        <w:ind w:firstLine="720"/>
        <w:rPr>
          <w:sz w:val="22"/>
          <w:szCs w:val="22"/>
        </w:rPr>
      </w:pPr>
    </w:p>
    <w:p w14:paraId="12C6F42E" w14:textId="77777777" w:rsidR="009D5305" w:rsidRDefault="008E4DB5" w:rsidP="00625EA0">
      <w:pPr>
        <w:ind w:firstLine="720"/>
        <w:rPr>
          <w:sz w:val="22"/>
          <w:szCs w:val="22"/>
        </w:rPr>
      </w:pPr>
      <w:r>
        <w:rPr>
          <w:sz w:val="22"/>
          <w:szCs w:val="22"/>
        </w:rPr>
        <w:t xml:space="preserve">To reach this conclusion, though, </w:t>
      </w:r>
      <w:r w:rsidR="00323839" w:rsidRPr="008E4DB5">
        <w:rPr>
          <w:sz w:val="22"/>
          <w:szCs w:val="22"/>
        </w:rPr>
        <w:t>LC Media</w:t>
      </w:r>
      <w:r>
        <w:rPr>
          <w:sz w:val="22"/>
          <w:szCs w:val="22"/>
        </w:rPr>
        <w:t xml:space="preserve"> construes</w:t>
      </w:r>
      <w:r w:rsidR="00F371E6" w:rsidRPr="008E4DB5">
        <w:rPr>
          <w:sz w:val="22"/>
          <w:szCs w:val="22"/>
        </w:rPr>
        <w:t xml:space="preserve"> Section 3(b)(2)(A) </w:t>
      </w:r>
      <w:r>
        <w:rPr>
          <w:sz w:val="22"/>
          <w:szCs w:val="22"/>
        </w:rPr>
        <w:t xml:space="preserve">of the LCRA </w:t>
      </w:r>
      <w:r w:rsidR="00F371E6" w:rsidRPr="008E4DB5">
        <w:rPr>
          <w:sz w:val="22"/>
          <w:szCs w:val="22"/>
        </w:rPr>
        <w:t>as requiring that an LPFM applicant seeking a second-adjacent waiver demonstrate that its proposed LPFM station “will not cause interference to any radio station, not just those operating on second-adjacent channels.”</w:t>
      </w:r>
      <w:r w:rsidR="000111C6" w:rsidRPr="008E4DB5">
        <w:rPr>
          <w:rStyle w:val="FootnoteReference"/>
          <w:rFonts w:ascii="Times New Roman" w:hAnsi="Times New Roman"/>
          <w:sz w:val="22"/>
          <w:szCs w:val="22"/>
        </w:rPr>
        <w:footnoteReference w:id="7"/>
      </w:r>
      <w:r w:rsidR="00323839" w:rsidRPr="008E4DB5">
        <w:rPr>
          <w:sz w:val="22"/>
          <w:szCs w:val="22"/>
        </w:rPr>
        <w:t xml:space="preserve">  </w:t>
      </w:r>
      <w:r>
        <w:rPr>
          <w:sz w:val="22"/>
          <w:szCs w:val="22"/>
        </w:rPr>
        <w:t>W</w:t>
      </w:r>
      <w:r w:rsidR="00B40B3A" w:rsidRPr="008E4DB5">
        <w:rPr>
          <w:sz w:val="22"/>
          <w:szCs w:val="22"/>
        </w:rPr>
        <w:t xml:space="preserve">e </w:t>
      </w:r>
      <w:r>
        <w:rPr>
          <w:sz w:val="22"/>
          <w:szCs w:val="22"/>
        </w:rPr>
        <w:t xml:space="preserve">cannot agree with </w:t>
      </w:r>
      <w:r w:rsidR="005A63AA">
        <w:rPr>
          <w:sz w:val="22"/>
          <w:szCs w:val="22"/>
        </w:rPr>
        <w:t>LC Media’s</w:t>
      </w:r>
      <w:r>
        <w:rPr>
          <w:sz w:val="22"/>
          <w:szCs w:val="22"/>
        </w:rPr>
        <w:t xml:space="preserve"> reading of the </w:t>
      </w:r>
      <w:r w:rsidR="009D5305" w:rsidRPr="008E4DB5">
        <w:rPr>
          <w:sz w:val="22"/>
          <w:szCs w:val="22"/>
        </w:rPr>
        <w:t xml:space="preserve">second-adjacent waiver </w:t>
      </w:r>
      <w:r w:rsidR="009D5305">
        <w:rPr>
          <w:sz w:val="22"/>
          <w:szCs w:val="22"/>
        </w:rPr>
        <w:t xml:space="preserve">standard in the </w:t>
      </w:r>
      <w:r>
        <w:rPr>
          <w:sz w:val="22"/>
          <w:szCs w:val="22"/>
        </w:rPr>
        <w:t xml:space="preserve">statute.  </w:t>
      </w:r>
    </w:p>
    <w:p w14:paraId="05B173E6" w14:textId="77777777" w:rsidR="009D5305" w:rsidRDefault="009D5305" w:rsidP="00625EA0">
      <w:pPr>
        <w:ind w:firstLine="720"/>
        <w:rPr>
          <w:sz w:val="22"/>
          <w:szCs w:val="22"/>
        </w:rPr>
      </w:pPr>
    </w:p>
    <w:p w14:paraId="270F0B37" w14:textId="75923969" w:rsidR="005A63AA" w:rsidRDefault="00625EA0" w:rsidP="00625EA0">
      <w:pPr>
        <w:ind w:firstLine="720"/>
        <w:rPr>
          <w:sz w:val="22"/>
          <w:szCs w:val="22"/>
        </w:rPr>
      </w:pPr>
      <w:r>
        <w:rPr>
          <w:sz w:val="22"/>
          <w:szCs w:val="22"/>
        </w:rPr>
        <w:t>First, w</w:t>
      </w:r>
      <w:r w:rsidR="00B40B3A" w:rsidRPr="008E4DB5">
        <w:rPr>
          <w:sz w:val="22"/>
          <w:szCs w:val="22"/>
        </w:rPr>
        <w:t>hen the Commission created the LPFM service, it chose</w:t>
      </w:r>
      <w:r w:rsidR="006C214E" w:rsidRPr="008E4DB5">
        <w:rPr>
          <w:sz w:val="22"/>
          <w:szCs w:val="22"/>
        </w:rPr>
        <w:t xml:space="preserve"> to use spacing requirements to “preserve the integrity and technical excellence of existing FM radio service</w:t>
      </w:r>
      <w:r w:rsidR="00B40B3A" w:rsidRPr="008E4DB5">
        <w:rPr>
          <w:sz w:val="22"/>
          <w:szCs w:val="22"/>
        </w:rPr>
        <w:t>.</w:t>
      </w:r>
      <w:r w:rsidR="006C214E" w:rsidRPr="008E4DB5">
        <w:rPr>
          <w:sz w:val="22"/>
          <w:szCs w:val="22"/>
        </w:rPr>
        <w:t>”</w:t>
      </w:r>
      <w:r w:rsidR="006C214E" w:rsidRPr="008E4DB5">
        <w:rPr>
          <w:rStyle w:val="FootnoteReference"/>
          <w:rFonts w:ascii="Times New Roman" w:hAnsi="Times New Roman"/>
          <w:sz w:val="22"/>
          <w:szCs w:val="22"/>
        </w:rPr>
        <w:footnoteReference w:id="8"/>
      </w:r>
      <w:r w:rsidR="00B40B3A" w:rsidRPr="008E4DB5">
        <w:rPr>
          <w:sz w:val="22"/>
          <w:szCs w:val="22"/>
        </w:rPr>
        <w:t xml:space="preserve">  </w:t>
      </w:r>
      <w:r w:rsidR="00E3004F" w:rsidRPr="008E4DB5">
        <w:rPr>
          <w:sz w:val="22"/>
          <w:szCs w:val="22"/>
        </w:rPr>
        <w:t xml:space="preserve">It </w:t>
      </w:r>
      <w:r w:rsidR="0040511B">
        <w:rPr>
          <w:sz w:val="22"/>
          <w:szCs w:val="22"/>
        </w:rPr>
        <w:t>stated</w:t>
      </w:r>
      <w:r w:rsidR="0040511B" w:rsidRPr="008E4DB5">
        <w:rPr>
          <w:sz w:val="22"/>
          <w:szCs w:val="22"/>
        </w:rPr>
        <w:t xml:space="preserve"> </w:t>
      </w:r>
      <w:r w:rsidR="00E3004F" w:rsidRPr="008E4DB5">
        <w:rPr>
          <w:sz w:val="22"/>
          <w:szCs w:val="22"/>
        </w:rPr>
        <w:t>that “[t]he extent of interference protection from LPFM stations to existing FM, LPFM and FM translator and booster service generally will be that afforded by minimum station separation requirements” and noted that “[t]hese were designed to provide the same degree of interference protection that full-service stations provide each other.”</w:t>
      </w:r>
      <w:r w:rsidR="00E3004F" w:rsidRPr="008E4DB5">
        <w:rPr>
          <w:rStyle w:val="FootnoteReference"/>
          <w:rFonts w:ascii="Times New Roman" w:hAnsi="Times New Roman"/>
          <w:sz w:val="22"/>
          <w:szCs w:val="22"/>
        </w:rPr>
        <w:footnoteReference w:id="9"/>
      </w:r>
      <w:r w:rsidR="00E3004F" w:rsidRPr="008E4DB5">
        <w:rPr>
          <w:sz w:val="22"/>
          <w:szCs w:val="22"/>
        </w:rPr>
        <w:t xml:space="preserve">  </w:t>
      </w:r>
      <w:r w:rsidR="005A63AA">
        <w:rPr>
          <w:sz w:val="22"/>
          <w:szCs w:val="22"/>
        </w:rPr>
        <w:t>The LCRA did not alter the co- or first-adjacent channel spacing requirements.</w:t>
      </w:r>
      <w:r w:rsidR="00D04A5F">
        <w:rPr>
          <w:rStyle w:val="FootnoteReference"/>
          <w:szCs w:val="22"/>
        </w:rPr>
        <w:footnoteReference w:id="10"/>
      </w:r>
      <w:r w:rsidR="005A63AA">
        <w:rPr>
          <w:sz w:val="22"/>
          <w:szCs w:val="22"/>
        </w:rPr>
        <w:t xml:space="preserve">  </w:t>
      </w:r>
      <w:r>
        <w:rPr>
          <w:sz w:val="22"/>
          <w:szCs w:val="22"/>
        </w:rPr>
        <w:t>Second, w</w:t>
      </w:r>
      <w:r w:rsidR="008E4DB5">
        <w:rPr>
          <w:sz w:val="22"/>
          <w:szCs w:val="22"/>
        </w:rPr>
        <w:t xml:space="preserve">hile </w:t>
      </w:r>
      <w:r w:rsidR="005A63AA">
        <w:rPr>
          <w:sz w:val="22"/>
          <w:szCs w:val="22"/>
        </w:rPr>
        <w:t>the LCRA</w:t>
      </w:r>
      <w:r w:rsidR="008E4DB5">
        <w:rPr>
          <w:sz w:val="22"/>
          <w:szCs w:val="22"/>
        </w:rPr>
        <w:t xml:space="preserve"> authorized the Commission to waive the second-adjacent spacing requirements in some circumstances, it </w:t>
      </w:r>
      <w:r w:rsidR="005A63AA">
        <w:rPr>
          <w:sz w:val="22"/>
          <w:szCs w:val="22"/>
        </w:rPr>
        <w:t xml:space="preserve">prohibited </w:t>
      </w:r>
      <w:r w:rsidR="007C3886">
        <w:rPr>
          <w:sz w:val="22"/>
          <w:szCs w:val="22"/>
        </w:rPr>
        <w:t>t</w:t>
      </w:r>
      <w:r w:rsidR="008E4DB5">
        <w:rPr>
          <w:sz w:val="22"/>
          <w:szCs w:val="22"/>
        </w:rPr>
        <w:t xml:space="preserve">he Commission </w:t>
      </w:r>
      <w:r w:rsidR="005A63AA">
        <w:rPr>
          <w:sz w:val="22"/>
          <w:szCs w:val="22"/>
        </w:rPr>
        <w:t>from</w:t>
      </w:r>
      <w:r w:rsidR="008E4DB5">
        <w:rPr>
          <w:sz w:val="22"/>
          <w:szCs w:val="22"/>
        </w:rPr>
        <w:t xml:space="preserve"> waiv</w:t>
      </w:r>
      <w:r w:rsidR="005A63AA">
        <w:rPr>
          <w:sz w:val="22"/>
          <w:szCs w:val="22"/>
        </w:rPr>
        <w:t>ing</w:t>
      </w:r>
      <w:r w:rsidR="008E4DB5">
        <w:rPr>
          <w:sz w:val="22"/>
          <w:szCs w:val="22"/>
        </w:rPr>
        <w:t xml:space="preserve"> the co- or first-adjacent channel spacing requirements.</w:t>
      </w:r>
      <w:r w:rsidR="00EA195B" w:rsidRPr="008E4DB5">
        <w:rPr>
          <w:rStyle w:val="FootnoteReference"/>
          <w:rFonts w:ascii="Times New Roman" w:hAnsi="Times New Roman"/>
          <w:sz w:val="22"/>
          <w:szCs w:val="22"/>
        </w:rPr>
        <w:footnoteReference w:id="11"/>
      </w:r>
      <w:r w:rsidR="008E4DB5">
        <w:rPr>
          <w:sz w:val="22"/>
          <w:szCs w:val="22"/>
        </w:rPr>
        <w:t xml:space="preserve">  </w:t>
      </w:r>
      <w:r>
        <w:rPr>
          <w:sz w:val="22"/>
          <w:szCs w:val="22"/>
        </w:rPr>
        <w:t xml:space="preserve">Third, </w:t>
      </w:r>
      <w:r w:rsidR="00E27D03">
        <w:rPr>
          <w:sz w:val="22"/>
          <w:szCs w:val="22"/>
        </w:rPr>
        <w:t xml:space="preserve">we find that the better, more reasonable way to construe </w:t>
      </w:r>
      <w:r w:rsidR="00B40B3A" w:rsidRPr="008E4DB5">
        <w:rPr>
          <w:sz w:val="22"/>
          <w:szCs w:val="22"/>
        </w:rPr>
        <w:t>“</w:t>
      </w:r>
      <w:r>
        <w:rPr>
          <w:sz w:val="22"/>
          <w:szCs w:val="22"/>
        </w:rPr>
        <w:t>any authorized radio service</w:t>
      </w:r>
      <w:r w:rsidR="00B40B3A" w:rsidRPr="008E4DB5">
        <w:rPr>
          <w:sz w:val="22"/>
          <w:szCs w:val="22"/>
        </w:rPr>
        <w:t>”</w:t>
      </w:r>
      <w:r>
        <w:rPr>
          <w:sz w:val="22"/>
          <w:szCs w:val="22"/>
        </w:rPr>
        <w:t xml:space="preserve"> </w:t>
      </w:r>
      <w:r w:rsidR="00E27D03">
        <w:rPr>
          <w:sz w:val="22"/>
          <w:szCs w:val="22"/>
        </w:rPr>
        <w:t xml:space="preserve">is to treat this language as a requirement that a waiver showing addresses all radio services, </w:t>
      </w:r>
      <w:r w:rsidR="00E27D03" w:rsidRPr="00510C86">
        <w:rPr>
          <w:i/>
          <w:sz w:val="22"/>
          <w:szCs w:val="22"/>
        </w:rPr>
        <w:t>i.e</w:t>
      </w:r>
      <w:r w:rsidR="00E27D03">
        <w:rPr>
          <w:sz w:val="22"/>
          <w:szCs w:val="22"/>
        </w:rPr>
        <w:t xml:space="preserve">., all full-power, translator, booster and LPFM stations.  </w:t>
      </w:r>
      <w:r w:rsidR="002A5BA3">
        <w:rPr>
          <w:sz w:val="22"/>
          <w:szCs w:val="22"/>
        </w:rPr>
        <w:t>Put another way, Sec</w:t>
      </w:r>
      <w:r w:rsidR="002A5BA3" w:rsidRPr="008E4DB5">
        <w:rPr>
          <w:sz w:val="22"/>
          <w:szCs w:val="22"/>
        </w:rPr>
        <w:t xml:space="preserve">tion 3(b)(2)(A) requires an LPFM applicant seeking a second-adjacent waiver to demonstrate that grant of the waiver will not cause interference to any FM station in any service that operates on a second-adjacent channel to the proposed LPFM station.  It does not require such an applicant to demonstrate that its proposed LPFM station – which must comply with the co- and first-adjacent channel spacing requirements – will not cause </w:t>
      </w:r>
      <w:r w:rsidR="00423475">
        <w:rPr>
          <w:sz w:val="22"/>
          <w:szCs w:val="22"/>
        </w:rPr>
        <w:t xml:space="preserve">any </w:t>
      </w:r>
      <w:r w:rsidR="002A5BA3" w:rsidRPr="008E4DB5">
        <w:rPr>
          <w:sz w:val="22"/>
          <w:szCs w:val="22"/>
        </w:rPr>
        <w:t>interference to stations operating on co- or first-adjacent channels</w:t>
      </w:r>
      <w:r w:rsidR="00423475">
        <w:rPr>
          <w:sz w:val="22"/>
          <w:szCs w:val="22"/>
        </w:rPr>
        <w:t>.</w:t>
      </w:r>
    </w:p>
    <w:p w14:paraId="0D8A6F56" w14:textId="77777777" w:rsidR="005A63AA" w:rsidRDefault="005A63AA" w:rsidP="00625EA0">
      <w:pPr>
        <w:ind w:firstLine="720"/>
        <w:rPr>
          <w:sz w:val="22"/>
          <w:szCs w:val="22"/>
        </w:rPr>
      </w:pPr>
    </w:p>
    <w:p w14:paraId="453DA0E2" w14:textId="585105D8" w:rsidR="0040511B" w:rsidRDefault="004B38CE" w:rsidP="00625EA0">
      <w:pPr>
        <w:ind w:firstLine="720"/>
        <w:rPr>
          <w:sz w:val="22"/>
          <w:szCs w:val="22"/>
        </w:rPr>
      </w:pPr>
      <w:r>
        <w:rPr>
          <w:sz w:val="22"/>
          <w:szCs w:val="22"/>
        </w:rPr>
        <w:t>O</w:t>
      </w:r>
      <w:r w:rsidR="005A63AA">
        <w:rPr>
          <w:sz w:val="22"/>
          <w:szCs w:val="22"/>
        </w:rPr>
        <w:t>ur</w:t>
      </w:r>
      <w:r w:rsidR="00625EA0">
        <w:rPr>
          <w:sz w:val="22"/>
          <w:szCs w:val="22"/>
        </w:rPr>
        <w:t xml:space="preserve"> reading of Section 3(b)(2)(A) is consistent with the Commission’s construction of </w:t>
      </w:r>
      <w:r w:rsidR="009D5305">
        <w:rPr>
          <w:sz w:val="22"/>
          <w:szCs w:val="22"/>
        </w:rPr>
        <w:t xml:space="preserve">other sections of </w:t>
      </w:r>
      <w:r w:rsidR="0040511B">
        <w:rPr>
          <w:sz w:val="22"/>
          <w:szCs w:val="22"/>
        </w:rPr>
        <w:t>LCRA</w:t>
      </w:r>
      <w:r w:rsidR="009D5305">
        <w:rPr>
          <w:sz w:val="22"/>
          <w:szCs w:val="22"/>
        </w:rPr>
        <w:t xml:space="preserve"> in w</w:t>
      </w:r>
      <w:r w:rsidR="00163075">
        <w:rPr>
          <w:sz w:val="22"/>
          <w:szCs w:val="22"/>
        </w:rPr>
        <w:t>hich the applicability is uncertain</w:t>
      </w:r>
      <w:r w:rsidR="0040511B">
        <w:rPr>
          <w:sz w:val="22"/>
          <w:szCs w:val="22"/>
        </w:rPr>
        <w:t>.  For instance, t</w:t>
      </w:r>
      <w:r w:rsidR="0036098D">
        <w:rPr>
          <w:sz w:val="22"/>
          <w:szCs w:val="22"/>
        </w:rPr>
        <w:t xml:space="preserve">he Commission interpreted Sections 7(1) through (5) of the LCRA </w:t>
      </w:r>
      <w:r w:rsidR="00625EA0">
        <w:rPr>
          <w:sz w:val="22"/>
          <w:szCs w:val="22"/>
        </w:rPr>
        <w:t xml:space="preserve">to apply only to third-adjacent </w:t>
      </w:r>
      <w:r w:rsidR="0036098D">
        <w:rPr>
          <w:sz w:val="22"/>
          <w:szCs w:val="22"/>
        </w:rPr>
        <w:t xml:space="preserve">channel </w:t>
      </w:r>
      <w:r w:rsidR="00625EA0">
        <w:rPr>
          <w:sz w:val="22"/>
          <w:szCs w:val="22"/>
        </w:rPr>
        <w:t>interference.</w:t>
      </w:r>
      <w:r w:rsidR="00D043DB">
        <w:rPr>
          <w:rStyle w:val="FootnoteReference"/>
          <w:szCs w:val="22"/>
        </w:rPr>
        <w:footnoteReference w:id="12"/>
      </w:r>
      <w:r w:rsidR="00625EA0">
        <w:rPr>
          <w:sz w:val="22"/>
          <w:szCs w:val="22"/>
        </w:rPr>
        <w:t xml:space="preserve">  It did so despite the fact that “Congress did not specify the type of interference to which these provisions apply.”</w:t>
      </w:r>
      <w:r w:rsidR="00987CA8">
        <w:rPr>
          <w:rStyle w:val="FootnoteReference"/>
          <w:szCs w:val="22"/>
        </w:rPr>
        <w:footnoteReference w:id="13"/>
      </w:r>
      <w:r w:rsidR="00625EA0">
        <w:rPr>
          <w:sz w:val="22"/>
          <w:szCs w:val="22"/>
        </w:rPr>
        <w:t xml:space="preserve">  The Commission relied on the fact that, in each of the provisions</w:t>
      </w:r>
      <w:r w:rsidR="007E62DD">
        <w:rPr>
          <w:sz w:val="22"/>
          <w:szCs w:val="22"/>
        </w:rPr>
        <w:t xml:space="preserve"> at issue</w:t>
      </w:r>
      <w:r w:rsidR="00625EA0">
        <w:rPr>
          <w:sz w:val="22"/>
          <w:szCs w:val="22"/>
        </w:rPr>
        <w:t>, Congress referred specifically to LPFM stations on third-adjacent channels or LPFM stations that do not satisfy the third-adjacent channel spacing requirements.</w:t>
      </w:r>
      <w:r w:rsidR="00987CA8">
        <w:rPr>
          <w:rStyle w:val="FootnoteReference"/>
          <w:szCs w:val="22"/>
        </w:rPr>
        <w:footnoteReference w:id="14"/>
      </w:r>
      <w:r w:rsidR="00625EA0">
        <w:rPr>
          <w:sz w:val="22"/>
          <w:szCs w:val="22"/>
        </w:rPr>
        <w:t xml:space="preserve">  Thus, it found these references </w:t>
      </w:r>
      <w:r w:rsidR="00625EA0" w:rsidRPr="008E4DB5">
        <w:rPr>
          <w:sz w:val="22"/>
          <w:szCs w:val="22"/>
        </w:rPr>
        <w:t>“reflect[ed] a focus on LPFM stations causing interference to stations located on third-adjacent channels.”</w:t>
      </w:r>
      <w:r w:rsidR="00987CA8">
        <w:rPr>
          <w:rStyle w:val="FootnoteReference"/>
          <w:szCs w:val="22"/>
        </w:rPr>
        <w:footnoteReference w:id="15"/>
      </w:r>
      <w:r w:rsidR="00625EA0">
        <w:rPr>
          <w:sz w:val="22"/>
          <w:szCs w:val="22"/>
        </w:rPr>
        <w:t xml:space="preserve">  </w:t>
      </w:r>
      <w:r w:rsidR="002A5BA3">
        <w:rPr>
          <w:sz w:val="22"/>
          <w:szCs w:val="22"/>
        </w:rPr>
        <w:t xml:space="preserve">Here, </w:t>
      </w:r>
      <w:r w:rsidR="00625EA0">
        <w:rPr>
          <w:sz w:val="22"/>
          <w:szCs w:val="22"/>
        </w:rPr>
        <w:t xml:space="preserve">Section 3(b)(2)(A) is focused solely on </w:t>
      </w:r>
      <w:r w:rsidR="0036098D">
        <w:rPr>
          <w:sz w:val="22"/>
          <w:szCs w:val="22"/>
        </w:rPr>
        <w:t>proposed LPFM facilities</w:t>
      </w:r>
      <w:r w:rsidR="00625EA0">
        <w:rPr>
          <w:sz w:val="22"/>
          <w:szCs w:val="22"/>
        </w:rPr>
        <w:t xml:space="preserve"> that do not satisfy the second-adjacent channel spacing requirements</w:t>
      </w:r>
      <w:r w:rsidR="0036098D" w:rsidRPr="003B5F1C">
        <w:rPr>
          <w:sz w:val="22"/>
          <w:szCs w:val="22"/>
        </w:rPr>
        <w:t>.  Accordingly, i</w:t>
      </w:r>
      <w:r w:rsidR="00D043DB" w:rsidRPr="003B5F1C">
        <w:rPr>
          <w:sz w:val="22"/>
          <w:szCs w:val="22"/>
        </w:rPr>
        <w:t xml:space="preserve">t is reasonable to </w:t>
      </w:r>
      <w:r w:rsidR="0036098D" w:rsidRPr="003B5F1C">
        <w:rPr>
          <w:sz w:val="22"/>
          <w:szCs w:val="22"/>
        </w:rPr>
        <w:t>conclude</w:t>
      </w:r>
      <w:r w:rsidR="00D043DB" w:rsidRPr="003B5F1C">
        <w:rPr>
          <w:sz w:val="22"/>
          <w:szCs w:val="22"/>
        </w:rPr>
        <w:t xml:space="preserve"> that Congress </w:t>
      </w:r>
      <w:r w:rsidR="0036098D" w:rsidRPr="003B5F1C">
        <w:rPr>
          <w:sz w:val="22"/>
          <w:szCs w:val="22"/>
        </w:rPr>
        <w:t>intended</w:t>
      </w:r>
      <w:r w:rsidR="00D043DB" w:rsidRPr="003B5F1C">
        <w:rPr>
          <w:sz w:val="22"/>
          <w:szCs w:val="22"/>
        </w:rPr>
        <w:t xml:space="preserve"> that applicants </w:t>
      </w:r>
      <w:r w:rsidR="0036098D" w:rsidRPr="003B5F1C">
        <w:rPr>
          <w:sz w:val="22"/>
          <w:szCs w:val="22"/>
        </w:rPr>
        <w:t xml:space="preserve">seeking a </w:t>
      </w:r>
      <w:r w:rsidR="007E62DD">
        <w:rPr>
          <w:sz w:val="22"/>
          <w:szCs w:val="22"/>
        </w:rPr>
        <w:t>second-adjacent waiver</w:t>
      </w:r>
      <w:r w:rsidR="0036098D" w:rsidRPr="003B5F1C">
        <w:rPr>
          <w:sz w:val="22"/>
          <w:szCs w:val="22"/>
        </w:rPr>
        <w:t xml:space="preserve"> </w:t>
      </w:r>
      <w:r w:rsidR="005917CD">
        <w:rPr>
          <w:sz w:val="22"/>
          <w:szCs w:val="22"/>
        </w:rPr>
        <w:t xml:space="preserve">only </w:t>
      </w:r>
      <w:r w:rsidR="00D043DB" w:rsidRPr="003B5F1C">
        <w:rPr>
          <w:sz w:val="22"/>
          <w:szCs w:val="22"/>
        </w:rPr>
        <w:t xml:space="preserve">demonstrate </w:t>
      </w:r>
      <w:r w:rsidR="0036098D" w:rsidRPr="003B5F1C">
        <w:rPr>
          <w:sz w:val="22"/>
          <w:szCs w:val="22"/>
        </w:rPr>
        <w:t>that</w:t>
      </w:r>
      <w:r w:rsidR="00D043DB" w:rsidRPr="003B5F1C">
        <w:rPr>
          <w:sz w:val="22"/>
          <w:szCs w:val="22"/>
        </w:rPr>
        <w:t xml:space="preserve"> their proposed </w:t>
      </w:r>
      <w:r w:rsidR="002A5BA3" w:rsidRPr="003B5F1C">
        <w:rPr>
          <w:sz w:val="22"/>
          <w:szCs w:val="22"/>
        </w:rPr>
        <w:t>LPFM facilities</w:t>
      </w:r>
      <w:r w:rsidR="00D043DB" w:rsidRPr="003B5F1C">
        <w:rPr>
          <w:sz w:val="22"/>
          <w:szCs w:val="22"/>
        </w:rPr>
        <w:t xml:space="preserve"> would not </w:t>
      </w:r>
      <w:r w:rsidR="0036098D" w:rsidRPr="003B5F1C">
        <w:rPr>
          <w:sz w:val="22"/>
          <w:szCs w:val="22"/>
        </w:rPr>
        <w:t xml:space="preserve">interfere with the </w:t>
      </w:r>
      <w:r w:rsidRPr="003B5F1C">
        <w:rPr>
          <w:sz w:val="22"/>
          <w:szCs w:val="22"/>
        </w:rPr>
        <w:t>signals</w:t>
      </w:r>
      <w:r w:rsidR="0036098D" w:rsidRPr="003B5F1C">
        <w:rPr>
          <w:sz w:val="22"/>
          <w:szCs w:val="22"/>
        </w:rPr>
        <w:t xml:space="preserve"> of any </w:t>
      </w:r>
      <w:r w:rsidR="002A5BA3" w:rsidRPr="003B5F1C">
        <w:rPr>
          <w:sz w:val="22"/>
          <w:szCs w:val="22"/>
        </w:rPr>
        <w:t>stations operating on second-adjacent channels</w:t>
      </w:r>
      <w:r w:rsidR="00D043DB" w:rsidRPr="003B5F1C">
        <w:rPr>
          <w:sz w:val="22"/>
          <w:szCs w:val="22"/>
        </w:rPr>
        <w:t>.</w:t>
      </w:r>
      <w:r w:rsidR="002A5BA3" w:rsidRPr="003B5F1C">
        <w:rPr>
          <w:rStyle w:val="FootnoteReference"/>
          <w:rFonts w:ascii="Times New Roman" w:hAnsi="Times New Roman"/>
          <w:sz w:val="22"/>
          <w:szCs w:val="22"/>
        </w:rPr>
        <w:footnoteReference w:id="16"/>
      </w:r>
      <w:r w:rsidRPr="003B5F1C">
        <w:rPr>
          <w:sz w:val="22"/>
          <w:szCs w:val="22"/>
        </w:rPr>
        <w:t xml:space="preserve"> </w:t>
      </w:r>
    </w:p>
    <w:p w14:paraId="25ADF78C" w14:textId="77777777" w:rsidR="0040511B" w:rsidRDefault="0040511B" w:rsidP="00625EA0">
      <w:pPr>
        <w:ind w:firstLine="720"/>
        <w:rPr>
          <w:sz w:val="22"/>
          <w:szCs w:val="22"/>
        </w:rPr>
      </w:pPr>
    </w:p>
    <w:p w14:paraId="71FDBEBA" w14:textId="5C0F0688" w:rsidR="001B1FBE" w:rsidRPr="009B713D" w:rsidRDefault="007E62DD" w:rsidP="00625EA0">
      <w:pPr>
        <w:ind w:firstLine="720"/>
        <w:rPr>
          <w:sz w:val="22"/>
          <w:szCs w:val="22"/>
        </w:rPr>
      </w:pPr>
      <w:r>
        <w:rPr>
          <w:sz w:val="22"/>
          <w:szCs w:val="22"/>
        </w:rPr>
        <w:t>In interpreting the LCRA, t</w:t>
      </w:r>
      <w:r w:rsidR="0040511B">
        <w:rPr>
          <w:sz w:val="22"/>
          <w:szCs w:val="22"/>
        </w:rPr>
        <w:t>he Commission</w:t>
      </w:r>
      <w:r>
        <w:rPr>
          <w:sz w:val="22"/>
          <w:szCs w:val="22"/>
        </w:rPr>
        <w:t xml:space="preserve"> also</w:t>
      </w:r>
      <w:r w:rsidR="0040511B">
        <w:rPr>
          <w:sz w:val="22"/>
          <w:szCs w:val="22"/>
        </w:rPr>
        <w:t xml:space="preserve"> rejected the view that Sections 7(1) and 7(3) </w:t>
      </w:r>
      <w:r w:rsidR="00D46AD4">
        <w:rPr>
          <w:sz w:val="22"/>
          <w:szCs w:val="22"/>
        </w:rPr>
        <w:t>could apply to the same LPFM station.</w:t>
      </w:r>
      <w:r w:rsidR="00D46AD4">
        <w:rPr>
          <w:rStyle w:val="FootnoteReference"/>
          <w:szCs w:val="22"/>
        </w:rPr>
        <w:footnoteReference w:id="17"/>
      </w:r>
      <w:r w:rsidR="00D46AD4">
        <w:rPr>
          <w:sz w:val="22"/>
          <w:szCs w:val="22"/>
        </w:rPr>
        <w:t xml:space="preserve">  </w:t>
      </w:r>
      <w:r w:rsidR="0040511B">
        <w:rPr>
          <w:sz w:val="22"/>
          <w:szCs w:val="22"/>
        </w:rPr>
        <w:t xml:space="preserve">In doing so, the Commission noted that this would </w:t>
      </w:r>
      <w:r w:rsidR="00D46AD4">
        <w:rPr>
          <w:sz w:val="22"/>
          <w:szCs w:val="22"/>
        </w:rPr>
        <w:t xml:space="preserve">expose </w:t>
      </w:r>
      <w:r>
        <w:rPr>
          <w:sz w:val="22"/>
          <w:szCs w:val="22"/>
        </w:rPr>
        <w:t xml:space="preserve">an </w:t>
      </w:r>
      <w:r w:rsidR="00D46AD4">
        <w:rPr>
          <w:sz w:val="22"/>
          <w:szCs w:val="22"/>
        </w:rPr>
        <w:t>LPFM</w:t>
      </w:r>
      <w:r w:rsidR="0040511B">
        <w:rPr>
          <w:sz w:val="22"/>
          <w:szCs w:val="22"/>
        </w:rPr>
        <w:t xml:space="preserve"> station </w:t>
      </w:r>
      <w:r w:rsidR="00D46AD4">
        <w:rPr>
          <w:sz w:val="22"/>
          <w:szCs w:val="22"/>
        </w:rPr>
        <w:t>subject to the interference protection and remediation regime set forth in</w:t>
      </w:r>
      <w:r w:rsidR="0040511B">
        <w:rPr>
          <w:sz w:val="22"/>
          <w:szCs w:val="22"/>
        </w:rPr>
        <w:t xml:space="preserve"> Section 7(1) “to different and conflicting interference protection and remediation obligations.</w:t>
      </w:r>
      <w:r w:rsidR="00D46AD4">
        <w:rPr>
          <w:sz w:val="22"/>
          <w:szCs w:val="22"/>
        </w:rPr>
        <w:t>”</w:t>
      </w:r>
      <w:r w:rsidR="00D46AD4">
        <w:rPr>
          <w:rStyle w:val="FootnoteReference"/>
          <w:szCs w:val="22"/>
        </w:rPr>
        <w:footnoteReference w:id="18"/>
      </w:r>
      <w:r w:rsidR="0040511B">
        <w:rPr>
          <w:sz w:val="22"/>
          <w:szCs w:val="22"/>
        </w:rPr>
        <w:t xml:space="preserve">  </w:t>
      </w:r>
      <w:r w:rsidR="00D46AD4">
        <w:rPr>
          <w:sz w:val="22"/>
          <w:szCs w:val="22"/>
        </w:rPr>
        <w:t>A similar issue would arise w</w:t>
      </w:r>
      <w:r w:rsidR="0040511B">
        <w:rPr>
          <w:sz w:val="22"/>
          <w:szCs w:val="22"/>
        </w:rPr>
        <w:t>ere we to adopt LC Media’s reading of Section 3(b)(2)(A) of the LCRA</w:t>
      </w:r>
      <w:r w:rsidR="00D46AD4">
        <w:rPr>
          <w:sz w:val="22"/>
          <w:szCs w:val="22"/>
        </w:rPr>
        <w:t>.  If an LPFM station satisfied the third-adjacent channel spacing requirements but operated pursuant to a second-adjacent waiver, under Section 3(b)(2)(B)(ii) of the LCRA, it would be required to “eliminate” all third-adjacent channel interference but under Section 7(3) of the LCRA it would merely need to “address” such interference.</w:t>
      </w:r>
      <w:r>
        <w:rPr>
          <w:sz w:val="22"/>
          <w:szCs w:val="22"/>
        </w:rPr>
        <w:t xml:space="preserve">  The</w:t>
      </w:r>
      <w:r w:rsidR="009B713D">
        <w:rPr>
          <w:sz w:val="22"/>
          <w:szCs w:val="22"/>
        </w:rPr>
        <w:t xml:space="preserve"> Commission</w:t>
      </w:r>
      <w:r>
        <w:rPr>
          <w:sz w:val="22"/>
          <w:szCs w:val="22"/>
        </w:rPr>
        <w:t xml:space="preserve"> further</w:t>
      </w:r>
      <w:r w:rsidR="009B713D">
        <w:rPr>
          <w:sz w:val="22"/>
          <w:szCs w:val="22"/>
        </w:rPr>
        <w:t xml:space="preserve"> found it was reasonable to conclude that “Congress intended to impose more stringent interference protection and remediation obligations on LPFM stations that are located nearest to full-service FM stations and, therefore, have a greater potential to cause interference.”</w:t>
      </w:r>
      <w:r w:rsidR="009B713D">
        <w:rPr>
          <w:rStyle w:val="FootnoteReference"/>
          <w:szCs w:val="22"/>
        </w:rPr>
        <w:footnoteReference w:id="19"/>
      </w:r>
      <w:r w:rsidR="009B713D">
        <w:rPr>
          <w:sz w:val="22"/>
          <w:szCs w:val="22"/>
        </w:rPr>
        <w:t xml:space="preserve"> </w:t>
      </w:r>
      <w:r w:rsidR="001B1FBE">
        <w:rPr>
          <w:sz w:val="22"/>
          <w:szCs w:val="22"/>
        </w:rPr>
        <w:t xml:space="preserve"> </w:t>
      </w:r>
      <w:r w:rsidR="009B713D">
        <w:rPr>
          <w:sz w:val="22"/>
          <w:szCs w:val="22"/>
        </w:rPr>
        <w:t>According to the Commission, “[t]he LCRA provides greater flexibility by eliminating third-adjacent channel spacing requirements for LPFM stations, but</w:t>
      </w:r>
      <w:r w:rsidR="001B1FBE">
        <w:rPr>
          <w:sz w:val="22"/>
          <w:szCs w:val="22"/>
        </w:rPr>
        <w:t xml:space="preserve"> counterbalances </w:t>
      </w:r>
      <w:r w:rsidR="009B713D">
        <w:rPr>
          <w:sz w:val="22"/>
          <w:szCs w:val="22"/>
        </w:rPr>
        <w:t xml:space="preserve">that flexibility </w:t>
      </w:r>
      <w:r w:rsidR="001B1FBE">
        <w:rPr>
          <w:sz w:val="22"/>
          <w:szCs w:val="22"/>
        </w:rPr>
        <w:t xml:space="preserve">with </w:t>
      </w:r>
      <w:r w:rsidR="009B713D">
        <w:rPr>
          <w:sz w:val="22"/>
          <w:szCs w:val="22"/>
        </w:rPr>
        <w:t>a prohibition on LPFM stations that would be short-spaced under such requirements causing any actual interference to other stations</w:t>
      </w:r>
      <w:r w:rsidR="001B1FBE">
        <w:rPr>
          <w:sz w:val="22"/>
          <w:szCs w:val="22"/>
        </w:rPr>
        <w:t>.</w:t>
      </w:r>
      <w:r w:rsidR="009B713D">
        <w:rPr>
          <w:sz w:val="22"/>
          <w:szCs w:val="22"/>
        </w:rPr>
        <w:t>”</w:t>
      </w:r>
      <w:r w:rsidR="009D416C">
        <w:rPr>
          <w:rStyle w:val="FootnoteReference"/>
          <w:szCs w:val="22"/>
        </w:rPr>
        <w:footnoteReference w:id="20"/>
      </w:r>
      <w:r w:rsidR="001B1FBE">
        <w:rPr>
          <w:sz w:val="22"/>
          <w:szCs w:val="22"/>
        </w:rPr>
        <w:t xml:space="preserve">  This same </w:t>
      </w:r>
      <w:r w:rsidR="009B713D">
        <w:rPr>
          <w:sz w:val="22"/>
          <w:szCs w:val="22"/>
        </w:rPr>
        <w:t>logic</w:t>
      </w:r>
      <w:r w:rsidR="001B1FBE">
        <w:rPr>
          <w:sz w:val="22"/>
          <w:szCs w:val="22"/>
        </w:rPr>
        <w:t xml:space="preserve"> applies </w:t>
      </w:r>
      <w:r w:rsidR="009B713D">
        <w:rPr>
          <w:sz w:val="22"/>
          <w:szCs w:val="22"/>
        </w:rPr>
        <w:t>to Section 3(b)(2) of the LCRA</w:t>
      </w:r>
      <w:r w:rsidR="001B1FBE">
        <w:rPr>
          <w:sz w:val="22"/>
          <w:szCs w:val="22"/>
        </w:rPr>
        <w:t xml:space="preserve"> and supports our conclusion that Section 3(b)(2) of the LCRA applies to second-adjacent channel interference only.  Nothing in the record supports the view that there is </w:t>
      </w:r>
      <w:r w:rsidR="009D416C">
        <w:rPr>
          <w:sz w:val="22"/>
          <w:szCs w:val="22"/>
        </w:rPr>
        <w:t>a</w:t>
      </w:r>
      <w:r w:rsidR="001B1FBE">
        <w:rPr>
          <w:sz w:val="22"/>
          <w:szCs w:val="22"/>
        </w:rPr>
        <w:t xml:space="preserve"> technical justification for using a second-adjacent waiver as a trigger</w:t>
      </w:r>
      <w:r w:rsidR="009D416C">
        <w:rPr>
          <w:sz w:val="22"/>
          <w:szCs w:val="22"/>
        </w:rPr>
        <w:t xml:space="preserve"> </w:t>
      </w:r>
      <w:r w:rsidR="001B1FBE">
        <w:rPr>
          <w:sz w:val="22"/>
          <w:szCs w:val="22"/>
        </w:rPr>
        <w:t xml:space="preserve">for greater co- or first-adjacent channel protections.  </w:t>
      </w:r>
    </w:p>
    <w:p w14:paraId="1878A05C" w14:textId="77777777" w:rsidR="00D46AD4" w:rsidRDefault="00D46AD4" w:rsidP="00625EA0">
      <w:pPr>
        <w:ind w:firstLine="720"/>
        <w:rPr>
          <w:sz w:val="22"/>
          <w:szCs w:val="22"/>
        </w:rPr>
      </w:pPr>
    </w:p>
    <w:p w14:paraId="7A2F35A8" w14:textId="246EB8A0" w:rsidR="00625EA0" w:rsidRDefault="007E62DD" w:rsidP="00625EA0">
      <w:pPr>
        <w:ind w:firstLine="720"/>
        <w:rPr>
          <w:sz w:val="22"/>
          <w:szCs w:val="22"/>
        </w:rPr>
      </w:pPr>
      <w:r>
        <w:rPr>
          <w:sz w:val="22"/>
          <w:szCs w:val="22"/>
        </w:rPr>
        <w:t xml:space="preserve">We acknowledge </w:t>
      </w:r>
      <w:r w:rsidR="00D46AD4">
        <w:rPr>
          <w:sz w:val="22"/>
          <w:szCs w:val="22"/>
        </w:rPr>
        <w:t xml:space="preserve">the Commission did not directly </w:t>
      </w:r>
      <w:r>
        <w:rPr>
          <w:sz w:val="22"/>
          <w:szCs w:val="22"/>
        </w:rPr>
        <w:t>speak to</w:t>
      </w:r>
      <w:r w:rsidR="00D46AD4">
        <w:rPr>
          <w:sz w:val="22"/>
          <w:szCs w:val="22"/>
        </w:rPr>
        <w:t xml:space="preserve"> the question of whether Section 3(b)(2) of the LCRA </w:t>
      </w:r>
      <w:r>
        <w:rPr>
          <w:sz w:val="22"/>
          <w:szCs w:val="22"/>
        </w:rPr>
        <w:t xml:space="preserve">addresses </w:t>
      </w:r>
      <w:r w:rsidR="00D46AD4">
        <w:rPr>
          <w:sz w:val="22"/>
          <w:szCs w:val="22"/>
        </w:rPr>
        <w:t>only second-adjacent channel interference</w:t>
      </w:r>
      <w:r>
        <w:rPr>
          <w:sz w:val="22"/>
          <w:szCs w:val="22"/>
        </w:rPr>
        <w:t>.</w:t>
      </w:r>
      <w:r>
        <w:rPr>
          <w:rStyle w:val="FootnoteReference"/>
          <w:szCs w:val="22"/>
        </w:rPr>
        <w:footnoteReference w:id="21"/>
      </w:r>
      <w:r>
        <w:rPr>
          <w:sz w:val="22"/>
          <w:szCs w:val="22"/>
        </w:rPr>
        <w:t xml:space="preserve">  However, the Commission</w:t>
      </w:r>
      <w:r w:rsidR="00D46AD4">
        <w:rPr>
          <w:sz w:val="22"/>
          <w:szCs w:val="22"/>
        </w:rPr>
        <w:t xml:space="preserve"> did include language </w:t>
      </w:r>
      <w:r w:rsidR="001B1FBE">
        <w:rPr>
          <w:sz w:val="22"/>
          <w:szCs w:val="22"/>
        </w:rPr>
        <w:t>in the</w:t>
      </w:r>
      <w:r w:rsidR="00D46AD4">
        <w:rPr>
          <w:sz w:val="22"/>
          <w:szCs w:val="22"/>
        </w:rPr>
        <w:t xml:space="preserve"> order implementing the LCRA that lends </w:t>
      </w:r>
      <w:r w:rsidR="00997D47">
        <w:rPr>
          <w:sz w:val="22"/>
          <w:szCs w:val="22"/>
        </w:rPr>
        <w:t>additional</w:t>
      </w:r>
      <w:r w:rsidR="00D46AD4">
        <w:rPr>
          <w:sz w:val="22"/>
          <w:szCs w:val="22"/>
        </w:rPr>
        <w:t xml:space="preserve"> support to our finding here.  For instance, </w:t>
      </w:r>
      <w:r w:rsidR="001B1FBE">
        <w:rPr>
          <w:sz w:val="22"/>
          <w:szCs w:val="22"/>
        </w:rPr>
        <w:t xml:space="preserve">the Commission explained that, while applicants for second-adjacent waivers have the flexibility to propose a lower power level, antenna polarization and/or a directional antenna pattern, this flexibility “extends only to waiver applicants seeking to demonstrate that their proposed operations will not result in any </w:t>
      </w:r>
      <w:r w:rsidR="001B1FBE" w:rsidRPr="00321605">
        <w:rPr>
          <w:i/>
          <w:sz w:val="22"/>
          <w:szCs w:val="22"/>
        </w:rPr>
        <w:t>second-adjacent channel</w:t>
      </w:r>
      <w:r w:rsidR="001B1FBE">
        <w:rPr>
          <w:sz w:val="22"/>
          <w:szCs w:val="22"/>
        </w:rPr>
        <w:t xml:space="preserve"> interference.”</w:t>
      </w:r>
      <w:r w:rsidR="001B1FBE">
        <w:rPr>
          <w:rStyle w:val="FootnoteReference"/>
          <w:szCs w:val="22"/>
        </w:rPr>
        <w:footnoteReference w:id="22"/>
      </w:r>
      <w:r w:rsidR="001B1FBE">
        <w:rPr>
          <w:sz w:val="22"/>
          <w:szCs w:val="22"/>
        </w:rPr>
        <w:t xml:space="preserve">  Similarly, the Commission determined that it would “permit waiver applicants to show that ‘no actual interference will occur’ due to ‘lack of population’ and will allow waiver applicants to use an undesired/desired signal strength ratio methodology to define areas of potential interference when proposing to operate near another station </w:t>
      </w:r>
      <w:r w:rsidR="001B1FBE" w:rsidRPr="00321605">
        <w:rPr>
          <w:i/>
          <w:sz w:val="22"/>
          <w:szCs w:val="22"/>
        </w:rPr>
        <w:t>operating on a second-adjacent channel</w:t>
      </w:r>
      <w:r w:rsidR="001B1FBE">
        <w:rPr>
          <w:sz w:val="22"/>
          <w:szCs w:val="22"/>
        </w:rPr>
        <w:t>.”</w:t>
      </w:r>
      <w:r w:rsidR="001B1FBE">
        <w:rPr>
          <w:rStyle w:val="FootnoteReference"/>
          <w:szCs w:val="22"/>
        </w:rPr>
        <w:footnoteReference w:id="23"/>
      </w:r>
      <w:r w:rsidR="001B1FBE">
        <w:rPr>
          <w:sz w:val="22"/>
          <w:szCs w:val="22"/>
        </w:rPr>
        <w:t xml:space="preserve">  Likewise, the Commission required the Media Bureau to identify “all potentially affected </w:t>
      </w:r>
      <w:r w:rsidR="001B1FBE" w:rsidRPr="00321605">
        <w:rPr>
          <w:i/>
          <w:sz w:val="22"/>
          <w:szCs w:val="22"/>
        </w:rPr>
        <w:t>second-adjacent channel</w:t>
      </w:r>
      <w:r w:rsidR="001B1FBE">
        <w:rPr>
          <w:sz w:val="22"/>
          <w:szCs w:val="22"/>
        </w:rPr>
        <w:t xml:space="preserve"> stations in the public notice that accepts for filing an application for an LPFM station that includes a request for a second-adjacent waiver.”</w:t>
      </w:r>
      <w:r w:rsidR="001B1FBE">
        <w:rPr>
          <w:rStyle w:val="FootnoteReference"/>
          <w:szCs w:val="22"/>
        </w:rPr>
        <w:footnoteReference w:id="24"/>
      </w:r>
      <w:r w:rsidR="00D46AD4">
        <w:rPr>
          <w:sz w:val="22"/>
          <w:szCs w:val="22"/>
        </w:rPr>
        <w:t xml:space="preserve"> </w:t>
      </w:r>
      <w:r w:rsidR="0040511B">
        <w:rPr>
          <w:sz w:val="22"/>
          <w:szCs w:val="22"/>
        </w:rPr>
        <w:t xml:space="preserve"> </w:t>
      </w:r>
    </w:p>
    <w:p w14:paraId="64344546" w14:textId="77777777" w:rsidR="00997D47" w:rsidRDefault="00997D47" w:rsidP="00625EA0">
      <w:pPr>
        <w:ind w:firstLine="720"/>
        <w:rPr>
          <w:sz w:val="22"/>
          <w:szCs w:val="22"/>
        </w:rPr>
      </w:pPr>
    </w:p>
    <w:p w14:paraId="445274C8" w14:textId="6885E3DF" w:rsidR="00997D47" w:rsidRPr="003B5F1C" w:rsidRDefault="00997D47" w:rsidP="00625EA0">
      <w:pPr>
        <w:ind w:firstLine="720"/>
        <w:rPr>
          <w:sz w:val="22"/>
          <w:szCs w:val="22"/>
        </w:rPr>
      </w:pPr>
      <w:r>
        <w:rPr>
          <w:sz w:val="22"/>
          <w:szCs w:val="22"/>
        </w:rPr>
        <w:t xml:space="preserve">Finally, we note that, in implementing the LCRA, the Commission did not consider whether the limited co- and first-adjacent channel interference protection rights afforded to full service FM stations under Section 73.809(a) are in conflict with the remediation requirements set forth in Section 3(b)(2)(B)(ii).  Had the Commission shared LC Media’s view of Section 3(b)(2) of the LCRA, it would have revised Section 73.809(a) to provide different co- and first-adjacent channel interference protection rights where an LPFM station was operating pursuant to a second-adjacent </w:t>
      </w:r>
      <w:r w:rsidR="0047086A">
        <w:rPr>
          <w:sz w:val="22"/>
          <w:szCs w:val="22"/>
        </w:rPr>
        <w:t xml:space="preserve">channel </w:t>
      </w:r>
      <w:r>
        <w:rPr>
          <w:sz w:val="22"/>
          <w:szCs w:val="22"/>
        </w:rPr>
        <w:t xml:space="preserve">waiver.   </w:t>
      </w:r>
    </w:p>
    <w:p w14:paraId="5A5860DE" w14:textId="7ECEC077" w:rsidR="00EA195B" w:rsidRPr="003B5F1C" w:rsidRDefault="00EA195B" w:rsidP="00B40B3A">
      <w:pPr>
        <w:ind w:firstLine="720"/>
        <w:rPr>
          <w:sz w:val="22"/>
          <w:szCs w:val="22"/>
        </w:rPr>
      </w:pPr>
    </w:p>
    <w:p w14:paraId="10A1C4E9" w14:textId="375A069D" w:rsidR="00427F83" w:rsidRDefault="00004483" w:rsidP="00B40B3A">
      <w:pPr>
        <w:ind w:firstLine="720"/>
        <w:rPr>
          <w:sz w:val="22"/>
          <w:szCs w:val="22"/>
        </w:rPr>
      </w:pPr>
      <w:r w:rsidRPr="003B5F1C">
        <w:rPr>
          <w:sz w:val="22"/>
          <w:szCs w:val="22"/>
        </w:rPr>
        <w:t xml:space="preserve">Because we find that </w:t>
      </w:r>
      <w:r w:rsidR="004F0692">
        <w:rPr>
          <w:sz w:val="22"/>
          <w:szCs w:val="22"/>
        </w:rPr>
        <w:t xml:space="preserve">the LCRA did not alter the interference protection regime for stations operating on co- and first-adjacent channels and that </w:t>
      </w:r>
      <w:r w:rsidRPr="003B5F1C">
        <w:rPr>
          <w:sz w:val="22"/>
          <w:szCs w:val="22"/>
        </w:rPr>
        <w:t xml:space="preserve">an LPFM applicant seeking a second-adjacent waiver need not demonstrate that its proposed facilities will not </w:t>
      </w:r>
      <w:r w:rsidR="003B5F1C" w:rsidRPr="003B5F1C">
        <w:rPr>
          <w:sz w:val="22"/>
          <w:szCs w:val="22"/>
        </w:rPr>
        <w:t>interfere</w:t>
      </w:r>
      <w:r w:rsidRPr="003B5F1C">
        <w:rPr>
          <w:sz w:val="22"/>
          <w:szCs w:val="22"/>
        </w:rPr>
        <w:t xml:space="preserve"> with co- or first-adjacent channel stations,</w:t>
      </w:r>
      <w:r w:rsidR="003E73B8">
        <w:rPr>
          <w:rStyle w:val="FootnoteReference"/>
          <w:szCs w:val="22"/>
        </w:rPr>
        <w:footnoteReference w:id="25"/>
      </w:r>
      <w:r w:rsidRPr="003B5F1C">
        <w:rPr>
          <w:sz w:val="22"/>
          <w:szCs w:val="22"/>
        </w:rPr>
        <w:t xml:space="preserve"> we do not consider the engineering reports that LC Media proffered regarding co-channel interference.</w:t>
      </w:r>
      <w:r w:rsidRPr="003B5F1C">
        <w:rPr>
          <w:rStyle w:val="FootnoteReference"/>
          <w:rFonts w:ascii="Times New Roman" w:hAnsi="Times New Roman"/>
          <w:sz w:val="22"/>
          <w:szCs w:val="22"/>
        </w:rPr>
        <w:footnoteReference w:id="26"/>
      </w:r>
      <w:r w:rsidRPr="003B5F1C">
        <w:rPr>
          <w:sz w:val="22"/>
          <w:szCs w:val="22"/>
        </w:rPr>
        <w:t xml:space="preserve">  </w:t>
      </w:r>
      <w:r w:rsidR="00E60B2D">
        <w:rPr>
          <w:sz w:val="22"/>
          <w:szCs w:val="22"/>
        </w:rPr>
        <w:t>Similarly, w</w:t>
      </w:r>
      <w:r w:rsidRPr="003B5F1C">
        <w:rPr>
          <w:sz w:val="22"/>
          <w:szCs w:val="22"/>
        </w:rPr>
        <w:t>e also</w:t>
      </w:r>
      <w:r w:rsidR="00964C56" w:rsidRPr="003B5F1C">
        <w:rPr>
          <w:sz w:val="22"/>
          <w:szCs w:val="22"/>
        </w:rPr>
        <w:t xml:space="preserve"> </w:t>
      </w:r>
      <w:r w:rsidR="00A4296D" w:rsidRPr="003B5F1C">
        <w:rPr>
          <w:sz w:val="22"/>
          <w:szCs w:val="22"/>
        </w:rPr>
        <w:t>do not consider</w:t>
      </w:r>
      <w:r w:rsidR="00964C56" w:rsidRPr="003B5F1C">
        <w:rPr>
          <w:sz w:val="22"/>
          <w:szCs w:val="22"/>
        </w:rPr>
        <w:t xml:space="preserve"> LC Media’s argument that the </w:t>
      </w:r>
      <w:r w:rsidR="00E60B2D">
        <w:rPr>
          <w:sz w:val="22"/>
          <w:szCs w:val="22"/>
        </w:rPr>
        <w:t xml:space="preserve">contour overlap </w:t>
      </w:r>
      <w:r w:rsidR="00964C56" w:rsidRPr="003B5F1C">
        <w:rPr>
          <w:sz w:val="22"/>
          <w:szCs w:val="22"/>
        </w:rPr>
        <w:t xml:space="preserve">restrictions applicable to translators and set forth in </w:t>
      </w:r>
      <w:r w:rsidR="00814108" w:rsidRPr="003B5F1C">
        <w:rPr>
          <w:sz w:val="22"/>
          <w:szCs w:val="22"/>
        </w:rPr>
        <w:t xml:space="preserve">Section 74.1204(f) </w:t>
      </w:r>
      <w:r w:rsidR="00964C56" w:rsidRPr="003B5F1C">
        <w:rPr>
          <w:sz w:val="22"/>
          <w:szCs w:val="22"/>
        </w:rPr>
        <w:t>of the Rules should apply to LPFM applicants that seek second-adjacent waivers.</w:t>
      </w:r>
      <w:r w:rsidRPr="003B5F1C">
        <w:rPr>
          <w:rStyle w:val="FootnoteReference"/>
          <w:rFonts w:ascii="Times New Roman" w:hAnsi="Times New Roman"/>
          <w:sz w:val="22"/>
          <w:szCs w:val="22"/>
        </w:rPr>
        <w:footnoteReference w:id="27"/>
      </w:r>
      <w:r w:rsidR="00964C56" w:rsidRPr="003B5F1C">
        <w:rPr>
          <w:sz w:val="22"/>
          <w:szCs w:val="22"/>
        </w:rPr>
        <w:t xml:space="preserve">  </w:t>
      </w:r>
      <w:r w:rsidR="000D2C61" w:rsidRPr="003B5F1C">
        <w:rPr>
          <w:sz w:val="22"/>
          <w:szCs w:val="22"/>
        </w:rPr>
        <w:t xml:space="preserve">All Centro and Latino Center </w:t>
      </w:r>
      <w:r w:rsidR="003B5F1C">
        <w:rPr>
          <w:sz w:val="22"/>
          <w:szCs w:val="22"/>
        </w:rPr>
        <w:t>must</w:t>
      </w:r>
      <w:r w:rsidR="000D2C61" w:rsidRPr="003B5F1C">
        <w:rPr>
          <w:sz w:val="22"/>
          <w:szCs w:val="22"/>
        </w:rPr>
        <w:t xml:space="preserve"> show in relatio</w:t>
      </w:r>
      <w:r w:rsidRPr="003B5F1C">
        <w:rPr>
          <w:sz w:val="22"/>
          <w:szCs w:val="22"/>
        </w:rPr>
        <w:t xml:space="preserve">n to LC Media’s co-channel stations </w:t>
      </w:r>
      <w:r w:rsidR="000D2C61" w:rsidRPr="003B5F1C">
        <w:rPr>
          <w:sz w:val="22"/>
          <w:szCs w:val="22"/>
        </w:rPr>
        <w:t>is that they satisfy the spacing requirements set forth in S</w:t>
      </w:r>
      <w:r w:rsidR="00E3004F" w:rsidRPr="003B5F1C">
        <w:rPr>
          <w:sz w:val="22"/>
          <w:szCs w:val="22"/>
        </w:rPr>
        <w:t xml:space="preserve">ection 73.807.  </w:t>
      </w:r>
      <w:r w:rsidR="00427F83" w:rsidRPr="003B5F1C">
        <w:rPr>
          <w:sz w:val="22"/>
          <w:szCs w:val="22"/>
        </w:rPr>
        <w:t>We have reviewed the engineering exhibits provided by Centro and Latino Center and conclude that their proposed LPFM stations will not cause interference to any FM station operating on a second-adjacent channel to their proposed LPFM stations.  Accordingly, we will waive the second-adjacent channel spacing requirements.</w:t>
      </w:r>
      <w:r w:rsidR="00A3359C" w:rsidRPr="003B5F1C">
        <w:rPr>
          <w:rStyle w:val="FootnoteReference"/>
          <w:rFonts w:ascii="Times New Roman" w:hAnsi="Times New Roman"/>
          <w:sz w:val="22"/>
          <w:szCs w:val="22"/>
        </w:rPr>
        <w:footnoteReference w:id="28"/>
      </w:r>
    </w:p>
    <w:p w14:paraId="1A7CAADF" w14:textId="77777777" w:rsidR="00671CAF" w:rsidRDefault="00671CAF" w:rsidP="00B40B3A">
      <w:pPr>
        <w:ind w:firstLine="720"/>
        <w:rPr>
          <w:sz w:val="22"/>
          <w:szCs w:val="22"/>
        </w:rPr>
      </w:pPr>
    </w:p>
    <w:p w14:paraId="3BB3DF37" w14:textId="3005FC59" w:rsidR="00671CAF" w:rsidRPr="003B5F1C" w:rsidRDefault="00671CAF" w:rsidP="00B40B3A">
      <w:pPr>
        <w:ind w:firstLine="720"/>
        <w:rPr>
          <w:sz w:val="22"/>
          <w:szCs w:val="22"/>
        </w:rPr>
      </w:pPr>
      <w:r>
        <w:rPr>
          <w:sz w:val="22"/>
          <w:szCs w:val="22"/>
        </w:rPr>
        <w:t xml:space="preserve">Finally, we reject LC Media’s argument that the framework for handling interference complaints set forth in Section 3(b)(2)(B) of the LCRA </w:t>
      </w:r>
      <w:r w:rsidR="00006316">
        <w:rPr>
          <w:sz w:val="22"/>
          <w:szCs w:val="22"/>
        </w:rPr>
        <w:t>– and Section 73.807(e)(2) of the Rules, which implements that section of the LCRA -- apply</w:t>
      </w:r>
      <w:r>
        <w:rPr>
          <w:sz w:val="22"/>
          <w:szCs w:val="22"/>
        </w:rPr>
        <w:t xml:space="preserve"> not just to complaints of second-adjacent channel interference but to complaints of co- and first-adjacent channel interference.</w:t>
      </w:r>
      <w:r w:rsidR="00B61FB1">
        <w:rPr>
          <w:rStyle w:val="FootnoteReference"/>
          <w:szCs w:val="22"/>
        </w:rPr>
        <w:footnoteReference w:id="29"/>
      </w:r>
      <w:r>
        <w:rPr>
          <w:sz w:val="22"/>
          <w:szCs w:val="22"/>
        </w:rPr>
        <w:t xml:space="preserve">  As noted above, Section 3(b)(2) </w:t>
      </w:r>
      <w:r w:rsidR="00DD566F">
        <w:rPr>
          <w:sz w:val="22"/>
          <w:szCs w:val="22"/>
        </w:rPr>
        <w:t xml:space="preserve">of the LCRA </w:t>
      </w:r>
      <w:r>
        <w:rPr>
          <w:sz w:val="22"/>
          <w:szCs w:val="22"/>
        </w:rPr>
        <w:t>is focused on stations that do not satisfy the second-adjacent channel spacing requirements and thus are more likely to cause second-adjacent channel interference to other stations.  It does not alter the interference protections for co- and first-adjacent channel stations nor does it alter the Commission’s previous holding that “LPFM stations will not be required to eliminate interference caused to FM stations by their lawful operations.”</w:t>
      </w:r>
      <w:r>
        <w:rPr>
          <w:rStyle w:val="FootnoteReference"/>
          <w:szCs w:val="22"/>
        </w:rPr>
        <w:footnoteReference w:id="30"/>
      </w:r>
      <w:r>
        <w:rPr>
          <w:sz w:val="22"/>
          <w:szCs w:val="22"/>
        </w:rPr>
        <w:t xml:space="preserve">   </w:t>
      </w:r>
    </w:p>
    <w:p w14:paraId="20DA1B9F" w14:textId="77777777" w:rsidR="00EA195B" w:rsidRPr="008E4DB5" w:rsidRDefault="00EA195B" w:rsidP="00B40B3A">
      <w:pPr>
        <w:ind w:firstLine="720"/>
        <w:rPr>
          <w:sz w:val="22"/>
          <w:szCs w:val="22"/>
        </w:rPr>
      </w:pPr>
    </w:p>
    <w:p w14:paraId="35887D70" w14:textId="6BDA6C87" w:rsidR="006C6687" w:rsidRPr="008E4DB5" w:rsidRDefault="00EE1528" w:rsidP="00967788">
      <w:pPr>
        <w:ind w:firstLine="720"/>
        <w:rPr>
          <w:spacing w:val="-2"/>
          <w:sz w:val="22"/>
          <w:szCs w:val="22"/>
        </w:rPr>
      </w:pPr>
      <w:r w:rsidRPr="008E4DB5">
        <w:rPr>
          <w:b/>
          <w:spacing w:val="-2"/>
          <w:sz w:val="22"/>
          <w:szCs w:val="22"/>
        </w:rPr>
        <w:t>Conclusion</w:t>
      </w:r>
      <w:r w:rsidRPr="008E4DB5">
        <w:rPr>
          <w:spacing w:val="-2"/>
          <w:sz w:val="22"/>
          <w:szCs w:val="22"/>
        </w:rPr>
        <w:t>/</w:t>
      </w:r>
      <w:r w:rsidRPr="008E4DB5">
        <w:rPr>
          <w:b/>
          <w:spacing w:val="-2"/>
          <w:sz w:val="22"/>
          <w:szCs w:val="22"/>
        </w:rPr>
        <w:t>Actions</w:t>
      </w:r>
      <w:r w:rsidRPr="008E4DB5">
        <w:rPr>
          <w:spacing w:val="-2"/>
          <w:sz w:val="22"/>
          <w:szCs w:val="22"/>
        </w:rPr>
        <w:t xml:space="preserve">.  </w:t>
      </w:r>
      <w:r w:rsidR="00EA195B" w:rsidRPr="008E4DB5">
        <w:rPr>
          <w:spacing w:val="-2"/>
          <w:sz w:val="22"/>
          <w:szCs w:val="22"/>
        </w:rPr>
        <w:t>For the reasons set forth above</w:t>
      </w:r>
      <w:r w:rsidR="00967788" w:rsidRPr="008E4DB5">
        <w:rPr>
          <w:spacing w:val="-2"/>
          <w:sz w:val="22"/>
          <w:szCs w:val="22"/>
        </w:rPr>
        <w:t xml:space="preserve">, </w:t>
      </w:r>
      <w:r w:rsidR="00EA195B" w:rsidRPr="008E4DB5">
        <w:rPr>
          <w:spacing w:val="-2"/>
          <w:sz w:val="22"/>
          <w:szCs w:val="22"/>
        </w:rPr>
        <w:t xml:space="preserve">IT IS ORDERED that </w:t>
      </w:r>
      <w:r w:rsidR="006C6687" w:rsidRPr="008E4DB5">
        <w:rPr>
          <w:spacing w:val="-2"/>
          <w:sz w:val="22"/>
          <w:szCs w:val="22"/>
        </w:rPr>
        <w:t>the time-share agreement filed on October 7, 2014, by Centro Cultural de Mexico en el Condado de Orange and Latino Center for Prevention &amp; Action in Health &amp; Welfare IS APPROVED pursuant to Section 47 C.F.R. § 73.872(c).</w:t>
      </w:r>
    </w:p>
    <w:p w14:paraId="335C028B" w14:textId="77777777" w:rsidR="006C6687" w:rsidRPr="008E4DB5" w:rsidRDefault="006C6687" w:rsidP="00967788">
      <w:pPr>
        <w:ind w:firstLine="720"/>
        <w:rPr>
          <w:spacing w:val="-2"/>
          <w:sz w:val="22"/>
          <w:szCs w:val="22"/>
        </w:rPr>
      </w:pPr>
    </w:p>
    <w:p w14:paraId="231A075B" w14:textId="77777777" w:rsidR="006C6687" w:rsidRPr="008E4DB5" w:rsidRDefault="006C6687" w:rsidP="00967788">
      <w:pPr>
        <w:ind w:firstLine="720"/>
        <w:rPr>
          <w:spacing w:val="-2"/>
          <w:sz w:val="22"/>
          <w:szCs w:val="22"/>
        </w:rPr>
      </w:pPr>
      <w:r w:rsidRPr="008E4DB5">
        <w:rPr>
          <w:spacing w:val="-2"/>
          <w:sz w:val="22"/>
          <w:szCs w:val="22"/>
        </w:rPr>
        <w:t>IT IS FURTHER ORDERED that t</w:t>
      </w:r>
      <w:r w:rsidR="00EA195B" w:rsidRPr="008E4DB5">
        <w:rPr>
          <w:spacing w:val="-2"/>
          <w:sz w:val="22"/>
          <w:szCs w:val="22"/>
        </w:rPr>
        <w:t xml:space="preserve">he application for a new LPFM station at Corona, California, filed by New Hope Family Worship Center </w:t>
      </w:r>
      <w:r w:rsidR="00B220D8" w:rsidRPr="008E4DB5">
        <w:rPr>
          <w:spacing w:val="-2"/>
          <w:sz w:val="22"/>
          <w:szCs w:val="22"/>
        </w:rPr>
        <w:t xml:space="preserve">(File No. </w:t>
      </w:r>
      <w:r w:rsidR="00B220D8" w:rsidRPr="008E4DB5">
        <w:rPr>
          <w:sz w:val="22"/>
          <w:szCs w:val="22"/>
        </w:rPr>
        <w:t>BNPL-20131106AUB</w:t>
      </w:r>
      <w:r w:rsidR="00B220D8" w:rsidRPr="008E4DB5">
        <w:rPr>
          <w:spacing w:val="-2"/>
          <w:sz w:val="22"/>
          <w:szCs w:val="22"/>
        </w:rPr>
        <w:t xml:space="preserve">) </w:t>
      </w:r>
      <w:r w:rsidRPr="008E4DB5">
        <w:rPr>
          <w:spacing w:val="-2"/>
          <w:sz w:val="22"/>
          <w:szCs w:val="22"/>
        </w:rPr>
        <w:t xml:space="preserve">IS DISMISSED.  </w:t>
      </w:r>
    </w:p>
    <w:p w14:paraId="5F66D008" w14:textId="77777777" w:rsidR="006C6687" w:rsidRPr="008E4DB5" w:rsidRDefault="006C6687" w:rsidP="00967788">
      <w:pPr>
        <w:ind w:firstLine="720"/>
        <w:rPr>
          <w:spacing w:val="-2"/>
          <w:sz w:val="22"/>
          <w:szCs w:val="22"/>
        </w:rPr>
      </w:pPr>
    </w:p>
    <w:p w14:paraId="045719DB" w14:textId="77777777" w:rsidR="006C6687" w:rsidRPr="008E4DB5" w:rsidRDefault="006C6687" w:rsidP="00967788">
      <w:pPr>
        <w:ind w:firstLine="720"/>
        <w:rPr>
          <w:spacing w:val="-2"/>
          <w:sz w:val="22"/>
          <w:szCs w:val="22"/>
        </w:rPr>
      </w:pPr>
      <w:r w:rsidRPr="008E4DB5">
        <w:rPr>
          <w:spacing w:val="-2"/>
          <w:sz w:val="22"/>
          <w:szCs w:val="22"/>
        </w:rPr>
        <w:t>IT IS FURTHER ORDERED that</w:t>
      </w:r>
      <w:r w:rsidR="00EA195B" w:rsidRPr="008E4DB5">
        <w:rPr>
          <w:spacing w:val="-2"/>
          <w:sz w:val="22"/>
          <w:szCs w:val="22"/>
        </w:rPr>
        <w:t xml:space="preserve"> the application for a new LPFM station at Huntington Beach, California, filed by Calvary Chapel Huntington Beach</w:t>
      </w:r>
      <w:r w:rsidR="00B220D8" w:rsidRPr="008E4DB5">
        <w:rPr>
          <w:spacing w:val="-2"/>
          <w:sz w:val="22"/>
          <w:szCs w:val="22"/>
        </w:rPr>
        <w:t xml:space="preserve"> (File No. BNPL-20131112ANS)</w:t>
      </w:r>
      <w:r w:rsidR="00EA195B" w:rsidRPr="008E4DB5">
        <w:rPr>
          <w:spacing w:val="-2"/>
          <w:sz w:val="22"/>
          <w:szCs w:val="22"/>
        </w:rPr>
        <w:t xml:space="preserve"> </w:t>
      </w:r>
      <w:r w:rsidRPr="008E4DB5">
        <w:rPr>
          <w:spacing w:val="-2"/>
          <w:sz w:val="22"/>
          <w:szCs w:val="22"/>
        </w:rPr>
        <w:t>IS</w:t>
      </w:r>
      <w:r w:rsidR="00EA195B" w:rsidRPr="008E4DB5">
        <w:rPr>
          <w:spacing w:val="-2"/>
          <w:sz w:val="22"/>
          <w:szCs w:val="22"/>
        </w:rPr>
        <w:t xml:space="preserve"> DISMISSED</w:t>
      </w:r>
      <w:r w:rsidR="00967788" w:rsidRPr="008E4DB5">
        <w:rPr>
          <w:spacing w:val="-2"/>
          <w:sz w:val="22"/>
          <w:szCs w:val="22"/>
        </w:rPr>
        <w:t>.</w:t>
      </w:r>
      <w:r w:rsidR="008D0A50" w:rsidRPr="008E4DB5">
        <w:rPr>
          <w:spacing w:val="-2"/>
          <w:sz w:val="22"/>
          <w:szCs w:val="22"/>
        </w:rPr>
        <w:t xml:space="preserve">  </w:t>
      </w:r>
    </w:p>
    <w:p w14:paraId="19D3D571" w14:textId="77777777" w:rsidR="006C6687" w:rsidRPr="008E4DB5" w:rsidRDefault="006C6687" w:rsidP="00967788">
      <w:pPr>
        <w:ind w:firstLine="720"/>
        <w:rPr>
          <w:spacing w:val="-2"/>
          <w:sz w:val="22"/>
          <w:szCs w:val="22"/>
        </w:rPr>
      </w:pPr>
    </w:p>
    <w:p w14:paraId="18137A9A" w14:textId="77777777" w:rsidR="006C6687" w:rsidRPr="008E4DB5" w:rsidRDefault="00EA195B" w:rsidP="00967788">
      <w:pPr>
        <w:ind w:firstLine="720"/>
        <w:rPr>
          <w:spacing w:val="-2"/>
          <w:sz w:val="22"/>
          <w:szCs w:val="22"/>
        </w:rPr>
      </w:pPr>
      <w:r w:rsidRPr="008E4DB5">
        <w:rPr>
          <w:spacing w:val="-2"/>
          <w:sz w:val="22"/>
          <w:szCs w:val="22"/>
        </w:rPr>
        <w:t>IT IS FURTHER ORDERED that the Petition to Deny filed by LC Media LP on August 8, 2014, IS DENIED</w:t>
      </w:r>
      <w:r w:rsidR="006C6687" w:rsidRPr="008E4DB5">
        <w:rPr>
          <w:spacing w:val="-2"/>
          <w:sz w:val="22"/>
          <w:szCs w:val="22"/>
        </w:rPr>
        <w:t>.</w:t>
      </w:r>
    </w:p>
    <w:p w14:paraId="14289FBD" w14:textId="77777777" w:rsidR="006C6687" w:rsidRPr="008E4DB5" w:rsidRDefault="006C6687" w:rsidP="00967788">
      <w:pPr>
        <w:ind w:firstLine="720"/>
        <w:rPr>
          <w:spacing w:val="-2"/>
          <w:sz w:val="22"/>
          <w:szCs w:val="22"/>
        </w:rPr>
      </w:pPr>
    </w:p>
    <w:p w14:paraId="0F49C847" w14:textId="77777777" w:rsidR="00375FE8" w:rsidRDefault="00375FE8">
      <w:pPr>
        <w:widowControl/>
        <w:rPr>
          <w:spacing w:val="-2"/>
          <w:sz w:val="22"/>
          <w:szCs w:val="22"/>
        </w:rPr>
      </w:pPr>
      <w:r>
        <w:rPr>
          <w:spacing w:val="-2"/>
          <w:sz w:val="22"/>
          <w:szCs w:val="22"/>
        </w:rPr>
        <w:br w:type="page"/>
      </w:r>
    </w:p>
    <w:p w14:paraId="621F8567" w14:textId="1B365AE5" w:rsidR="00EE1528" w:rsidRPr="008E4DB5" w:rsidRDefault="006C6687" w:rsidP="00967788">
      <w:pPr>
        <w:ind w:firstLine="720"/>
        <w:rPr>
          <w:spacing w:val="-2"/>
          <w:sz w:val="22"/>
          <w:szCs w:val="22"/>
        </w:rPr>
      </w:pPr>
      <w:r w:rsidRPr="008E4DB5">
        <w:rPr>
          <w:spacing w:val="-2"/>
          <w:sz w:val="22"/>
          <w:szCs w:val="22"/>
        </w:rPr>
        <w:t xml:space="preserve">IT IS FURTHER ORDERED that </w:t>
      </w:r>
      <w:r w:rsidR="00EA195B" w:rsidRPr="008E4DB5">
        <w:rPr>
          <w:spacing w:val="-2"/>
          <w:sz w:val="22"/>
          <w:szCs w:val="22"/>
        </w:rPr>
        <w:t>the applications for a new LPFM station at Santa Ana, California, filed by Centro Cultural de Mexico en el Condado de Orange</w:t>
      </w:r>
      <w:r w:rsidR="00B220D8" w:rsidRPr="008E4DB5">
        <w:rPr>
          <w:spacing w:val="-2"/>
          <w:sz w:val="22"/>
          <w:szCs w:val="22"/>
        </w:rPr>
        <w:t xml:space="preserve"> (File No. </w:t>
      </w:r>
      <w:r w:rsidR="00B220D8" w:rsidRPr="008E4DB5">
        <w:rPr>
          <w:sz w:val="22"/>
          <w:szCs w:val="22"/>
        </w:rPr>
        <w:t>BNPL-20131114BFE)</w:t>
      </w:r>
      <w:r w:rsidR="00EA195B" w:rsidRPr="008E4DB5">
        <w:rPr>
          <w:spacing w:val="-2"/>
          <w:sz w:val="22"/>
          <w:szCs w:val="22"/>
        </w:rPr>
        <w:t xml:space="preserve"> and Latino Center for Prevention &amp; Action in Health &amp; Welfare</w:t>
      </w:r>
      <w:r w:rsidR="00B220D8" w:rsidRPr="008E4DB5">
        <w:rPr>
          <w:spacing w:val="-2"/>
          <w:sz w:val="22"/>
          <w:szCs w:val="22"/>
        </w:rPr>
        <w:t xml:space="preserve"> (File No. BNPL-20131114BNB)</w:t>
      </w:r>
      <w:r w:rsidR="00EA195B" w:rsidRPr="008E4DB5">
        <w:rPr>
          <w:spacing w:val="-2"/>
          <w:sz w:val="22"/>
          <w:szCs w:val="22"/>
        </w:rPr>
        <w:t xml:space="preserve">, ARE GRANTED.    </w:t>
      </w:r>
    </w:p>
    <w:p w14:paraId="1EE01311" w14:textId="77777777" w:rsidR="00EE1528" w:rsidRPr="008E4DB5" w:rsidRDefault="00EE1528" w:rsidP="00EE1528">
      <w:pPr>
        <w:ind w:firstLine="720"/>
        <w:rPr>
          <w:spacing w:val="-2"/>
          <w:sz w:val="22"/>
          <w:szCs w:val="22"/>
        </w:rPr>
      </w:pPr>
    </w:p>
    <w:p w14:paraId="15482B86" w14:textId="77777777" w:rsidR="009F3786" w:rsidRPr="008E4DB5" w:rsidRDefault="009F3786" w:rsidP="009F3786">
      <w:pPr>
        <w:pStyle w:val="BodyText"/>
        <w:rPr>
          <w:szCs w:val="22"/>
        </w:rPr>
      </w:pPr>
      <w:r w:rsidRPr="008E4DB5">
        <w:rPr>
          <w:szCs w:val="22"/>
        </w:rPr>
        <w:tab/>
      </w:r>
      <w:r w:rsidRPr="008E4DB5">
        <w:rPr>
          <w:szCs w:val="22"/>
        </w:rPr>
        <w:tab/>
      </w:r>
      <w:r w:rsidRPr="008E4DB5">
        <w:rPr>
          <w:szCs w:val="22"/>
        </w:rPr>
        <w:tab/>
      </w:r>
      <w:r w:rsidRPr="008E4DB5">
        <w:rPr>
          <w:szCs w:val="22"/>
        </w:rPr>
        <w:tab/>
      </w:r>
      <w:r w:rsidRPr="008E4DB5">
        <w:rPr>
          <w:szCs w:val="22"/>
        </w:rPr>
        <w:tab/>
      </w:r>
      <w:r w:rsidR="00DF5464" w:rsidRPr="008E4DB5">
        <w:rPr>
          <w:szCs w:val="22"/>
        </w:rPr>
        <w:tab/>
      </w:r>
      <w:r w:rsidR="00DF5464" w:rsidRPr="008E4DB5">
        <w:rPr>
          <w:szCs w:val="22"/>
        </w:rPr>
        <w:tab/>
      </w:r>
      <w:r w:rsidRPr="008E4DB5">
        <w:rPr>
          <w:szCs w:val="22"/>
        </w:rPr>
        <w:t>Sincerely,</w:t>
      </w:r>
    </w:p>
    <w:p w14:paraId="0CBA7DF0" w14:textId="77777777" w:rsidR="009F3786" w:rsidRPr="008E4DB5" w:rsidRDefault="009F3786" w:rsidP="009F3786">
      <w:pPr>
        <w:pStyle w:val="BodyText"/>
        <w:rPr>
          <w:szCs w:val="22"/>
        </w:rPr>
      </w:pPr>
    </w:p>
    <w:p w14:paraId="697E13E3" w14:textId="77777777" w:rsidR="001A31B0" w:rsidRPr="008E4DB5" w:rsidRDefault="001A31B0" w:rsidP="009F3786">
      <w:pPr>
        <w:pStyle w:val="BodyText"/>
        <w:rPr>
          <w:szCs w:val="22"/>
        </w:rPr>
      </w:pPr>
    </w:p>
    <w:p w14:paraId="24CDD20B" w14:textId="77777777" w:rsidR="009F3786" w:rsidRPr="008E4DB5" w:rsidRDefault="009F3786" w:rsidP="009F3786">
      <w:pPr>
        <w:pStyle w:val="BodyText"/>
        <w:rPr>
          <w:szCs w:val="22"/>
        </w:rPr>
      </w:pPr>
    </w:p>
    <w:p w14:paraId="06FFBD07" w14:textId="77777777" w:rsidR="009F3786" w:rsidRPr="008E4DB5" w:rsidRDefault="009F3786" w:rsidP="009F3786">
      <w:pPr>
        <w:pStyle w:val="BodyText"/>
        <w:rPr>
          <w:szCs w:val="22"/>
        </w:rPr>
      </w:pPr>
      <w:r w:rsidRPr="008E4DB5">
        <w:rPr>
          <w:szCs w:val="22"/>
        </w:rPr>
        <w:tab/>
      </w:r>
      <w:r w:rsidRPr="008E4DB5">
        <w:rPr>
          <w:szCs w:val="22"/>
        </w:rPr>
        <w:tab/>
      </w:r>
      <w:r w:rsidRPr="008E4DB5">
        <w:rPr>
          <w:szCs w:val="22"/>
        </w:rPr>
        <w:tab/>
      </w:r>
      <w:r w:rsidRPr="008E4DB5">
        <w:rPr>
          <w:szCs w:val="22"/>
        </w:rPr>
        <w:tab/>
      </w:r>
      <w:r w:rsidRPr="008E4DB5">
        <w:rPr>
          <w:szCs w:val="22"/>
        </w:rPr>
        <w:tab/>
      </w:r>
      <w:r w:rsidR="00DF5464" w:rsidRPr="008E4DB5">
        <w:rPr>
          <w:szCs w:val="22"/>
        </w:rPr>
        <w:tab/>
      </w:r>
      <w:r w:rsidR="00DF5464" w:rsidRPr="008E4DB5">
        <w:rPr>
          <w:szCs w:val="22"/>
        </w:rPr>
        <w:tab/>
      </w:r>
      <w:r w:rsidRPr="008E4DB5">
        <w:rPr>
          <w:szCs w:val="22"/>
        </w:rPr>
        <w:t xml:space="preserve">Peter H. Doyle </w:t>
      </w:r>
    </w:p>
    <w:p w14:paraId="1C035E88" w14:textId="77777777" w:rsidR="009F3786" w:rsidRPr="008E4DB5" w:rsidRDefault="009F3786" w:rsidP="009F3786">
      <w:pPr>
        <w:pStyle w:val="BodyText"/>
        <w:rPr>
          <w:szCs w:val="22"/>
        </w:rPr>
      </w:pPr>
      <w:r w:rsidRPr="008E4DB5">
        <w:rPr>
          <w:szCs w:val="22"/>
        </w:rPr>
        <w:tab/>
      </w:r>
      <w:r w:rsidRPr="008E4DB5">
        <w:rPr>
          <w:szCs w:val="22"/>
        </w:rPr>
        <w:tab/>
      </w:r>
      <w:r w:rsidRPr="008E4DB5">
        <w:rPr>
          <w:szCs w:val="22"/>
        </w:rPr>
        <w:tab/>
      </w:r>
      <w:r w:rsidRPr="008E4DB5">
        <w:rPr>
          <w:szCs w:val="22"/>
        </w:rPr>
        <w:tab/>
      </w:r>
      <w:r w:rsidRPr="008E4DB5">
        <w:rPr>
          <w:szCs w:val="22"/>
        </w:rPr>
        <w:tab/>
      </w:r>
      <w:r w:rsidR="00DF5464" w:rsidRPr="008E4DB5">
        <w:rPr>
          <w:szCs w:val="22"/>
        </w:rPr>
        <w:tab/>
      </w:r>
      <w:r w:rsidR="00DF5464" w:rsidRPr="008E4DB5">
        <w:rPr>
          <w:szCs w:val="22"/>
        </w:rPr>
        <w:tab/>
      </w:r>
      <w:r w:rsidR="00994A42" w:rsidRPr="008E4DB5">
        <w:rPr>
          <w:szCs w:val="22"/>
        </w:rPr>
        <w:t xml:space="preserve">Chief, </w:t>
      </w:r>
      <w:r w:rsidRPr="008E4DB5">
        <w:rPr>
          <w:szCs w:val="22"/>
        </w:rPr>
        <w:t>Audio Division</w:t>
      </w:r>
    </w:p>
    <w:p w14:paraId="484E4898" w14:textId="77777777" w:rsidR="009F3786" w:rsidRPr="008E4DB5" w:rsidRDefault="009F3786" w:rsidP="009F3786">
      <w:pPr>
        <w:rPr>
          <w:sz w:val="22"/>
          <w:szCs w:val="22"/>
        </w:rPr>
      </w:pPr>
      <w:r w:rsidRPr="008E4DB5">
        <w:rPr>
          <w:sz w:val="22"/>
          <w:szCs w:val="22"/>
        </w:rPr>
        <w:tab/>
      </w:r>
      <w:r w:rsidRPr="008E4DB5">
        <w:rPr>
          <w:sz w:val="22"/>
          <w:szCs w:val="22"/>
        </w:rPr>
        <w:tab/>
      </w:r>
      <w:r w:rsidRPr="008E4DB5">
        <w:rPr>
          <w:sz w:val="22"/>
          <w:szCs w:val="22"/>
        </w:rPr>
        <w:tab/>
      </w:r>
      <w:r w:rsidRPr="008E4DB5">
        <w:rPr>
          <w:sz w:val="22"/>
          <w:szCs w:val="22"/>
        </w:rPr>
        <w:tab/>
      </w:r>
      <w:r w:rsidRPr="008E4DB5">
        <w:rPr>
          <w:sz w:val="22"/>
          <w:szCs w:val="22"/>
        </w:rPr>
        <w:tab/>
      </w:r>
      <w:r w:rsidR="00DF5464" w:rsidRPr="008E4DB5">
        <w:rPr>
          <w:sz w:val="22"/>
          <w:szCs w:val="22"/>
        </w:rPr>
        <w:tab/>
      </w:r>
      <w:r w:rsidR="00DF5464" w:rsidRPr="008E4DB5">
        <w:rPr>
          <w:sz w:val="22"/>
          <w:szCs w:val="22"/>
        </w:rPr>
        <w:tab/>
      </w:r>
      <w:r w:rsidRPr="008E4DB5">
        <w:rPr>
          <w:sz w:val="22"/>
          <w:szCs w:val="22"/>
        </w:rPr>
        <w:t>Media Bureau</w:t>
      </w:r>
    </w:p>
    <w:p w14:paraId="7E43CA1A" w14:textId="77777777" w:rsidR="00901EE2" w:rsidRPr="008E4DB5" w:rsidRDefault="00901EE2" w:rsidP="009F3786">
      <w:pPr>
        <w:pStyle w:val="BodyText3"/>
        <w:tabs>
          <w:tab w:val="left" w:pos="720"/>
          <w:tab w:val="left" w:pos="4680"/>
        </w:tabs>
        <w:rPr>
          <w:sz w:val="22"/>
          <w:szCs w:val="22"/>
        </w:rPr>
      </w:pPr>
    </w:p>
    <w:p w14:paraId="09AD5450" w14:textId="77777777" w:rsidR="00E12901" w:rsidRPr="008E4DB5" w:rsidRDefault="00E12901" w:rsidP="009F3786">
      <w:pPr>
        <w:pStyle w:val="BodyText3"/>
        <w:tabs>
          <w:tab w:val="left" w:pos="720"/>
          <w:tab w:val="left" w:pos="4680"/>
        </w:tabs>
        <w:rPr>
          <w:sz w:val="22"/>
          <w:szCs w:val="22"/>
        </w:rPr>
      </w:pPr>
      <w:r w:rsidRPr="008E4DB5">
        <w:rPr>
          <w:sz w:val="22"/>
          <w:szCs w:val="22"/>
        </w:rPr>
        <w:t>.</w:t>
      </w:r>
    </w:p>
    <w:sectPr w:rsidR="00E12901" w:rsidRPr="008E4DB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51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30C84" w14:textId="77777777" w:rsidR="002974E6" w:rsidRDefault="002974E6">
      <w:r>
        <w:separator/>
      </w:r>
    </w:p>
  </w:endnote>
  <w:endnote w:type="continuationSeparator" w:id="0">
    <w:p w14:paraId="332034F6" w14:textId="77777777" w:rsidR="002974E6" w:rsidRDefault="0029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sto MT">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8A74A" w14:textId="77777777" w:rsidR="002A5BA3" w:rsidRDefault="002A5B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D6823E" w14:textId="77777777" w:rsidR="002A5BA3" w:rsidRDefault="002A5B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EC374" w14:textId="77777777" w:rsidR="002A5BA3" w:rsidRDefault="002A5B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1496">
      <w:rPr>
        <w:rStyle w:val="PageNumber"/>
        <w:noProof/>
      </w:rPr>
      <w:t>2</w:t>
    </w:r>
    <w:r>
      <w:rPr>
        <w:rStyle w:val="PageNumber"/>
      </w:rPr>
      <w:fldChar w:fldCharType="end"/>
    </w:r>
  </w:p>
  <w:p w14:paraId="3F2D0904" w14:textId="77777777" w:rsidR="002A5BA3" w:rsidRDefault="002A5BA3">
    <w:pPr>
      <w:spacing w:before="140" w:line="100" w:lineRule="exact"/>
      <w:rPr>
        <w:sz w:val="10"/>
      </w:rPr>
    </w:pPr>
  </w:p>
  <w:p w14:paraId="3DBFAA0E" w14:textId="77777777" w:rsidR="002A5BA3" w:rsidRDefault="002A5BA3">
    <w:pPr>
      <w:suppressAutoHyphens/>
      <w:spacing w:line="227" w:lineRule="auto"/>
      <w:jc w:val="both"/>
    </w:pPr>
  </w:p>
  <w:p w14:paraId="7CEBBF7D" w14:textId="77777777" w:rsidR="002A5BA3" w:rsidRDefault="002A5BA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1A729" w14:textId="77777777" w:rsidR="00AB0953" w:rsidRDefault="00AB0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39F3B" w14:textId="77777777" w:rsidR="002974E6" w:rsidRDefault="002974E6">
      <w:r>
        <w:separator/>
      </w:r>
    </w:p>
  </w:footnote>
  <w:footnote w:type="continuationSeparator" w:id="0">
    <w:p w14:paraId="21AC066F" w14:textId="77777777" w:rsidR="002974E6" w:rsidRDefault="002974E6">
      <w:r>
        <w:continuationSeparator/>
      </w:r>
    </w:p>
  </w:footnote>
  <w:footnote w:id="1">
    <w:p w14:paraId="505191BD" w14:textId="43BDE078" w:rsidR="002A5BA3" w:rsidRPr="00A747B4" w:rsidRDefault="002A5BA3" w:rsidP="00A747B4">
      <w:pPr>
        <w:widowControl/>
        <w:autoSpaceDE w:val="0"/>
        <w:autoSpaceDN w:val="0"/>
        <w:adjustRightInd w:val="0"/>
        <w:spacing w:after="120"/>
        <w:rPr>
          <w:sz w:val="20"/>
        </w:rPr>
      </w:pPr>
      <w:r w:rsidRPr="00A747B4">
        <w:rPr>
          <w:rStyle w:val="FootnoteReference"/>
          <w:rFonts w:ascii="Times New Roman" w:hAnsi="Times New Roman"/>
        </w:rPr>
        <w:footnoteRef/>
      </w:r>
      <w:r w:rsidRPr="00A747B4">
        <w:rPr>
          <w:sz w:val="20"/>
        </w:rPr>
        <w:t xml:space="preserve"> </w:t>
      </w:r>
      <w:r w:rsidRPr="00A747B4">
        <w:rPr>
          <w:i/>
          <w:iCs/>
          <w:snapToGrid/>
          <w:sz w:val="20"/>
        </w:rPr>
        <w:t>Media Bureau Identifies Mutually Exclusive Applications Filed in the LPFM Window and Announces 60-Day Settlement Period</w:t>
      </w:r>
      <w:r w:rsidRPr="00A747B4">
        <w:rPr>
          <w:snapToGrid/>
          <w:sz w:val="20"/>
        </w:rPr>
        <w:t>, Public Notice, 28 FCC Rcd 16713 (MB 2013).</w:t>
      </w:r>
    </w:p>
  </w:footnote>
  <w:footnote w:id="2">
    <w:p w14:paraId="42EF043A" w14:textId="35E2CB18" w:rsidR="002A5BA3" w:rsidRPr="00A747B4" w:rsidRDefault="002A5BA3" w:rsidP="00A747B4">
      <w:pPr>
        <w:pStyle w:val="FootnoteText"/>
      </w:pPr>
      <w:r w:rsidRPr="00A747B4">
        <w:rPr>
          <w:rStyle w:val="FootnoteReference"/>
          <w:rFonts w:ascii="Times New Roman" w:hAnsi="Times New Roman"/>
        </w:rPr>
        <w:footnoteRef/>
      </w:r>
      <w:r w:rsidRPr="00A747B4">
        <w:t xml:space="preserve"> </w:t>
      </w:r>
      <w:r w:rsidRPr="00A747B4">
        <w:rPr>
          <w:i/>
        </w:rPr>
        <w:t>Commission Identifies Tentative Selectees in 79 Groups of Mutually Exclusive Applications Filed in the LPFM Window</w:t>
      </w:r>
      <w:r w:rsidRPr="00A747B4">
        <w:t>, Public Notice, FCC 14-96</w:t>
      </w:r>
    </w:p>
  </w:footnote>
  <w:footnote w:id="3">
    <w:p w14:paraId="5B0D549C" w14:textId="3DBCC96E" w:rsidR="002A5BA3" w:rsidRPr="00A747B4" w:rsidRDefault="002A5BA3" w:rsidP="00A747B4">
      <w:pPr>
        <w:pStyle w:val="FootnoteText"/>
      </w:pPr>
      <w:r w:rsidRPr="00A747B4">
        <w:rPr>
          <w:rStyle w:val="FootnoteReference"/>
          <w:rFonts w:ascii="Times New Roman" w:hAnsi="Times New Roman"/>
        </w:rPr>
        <w:footnoteRef/>
      </w:r>
      <w:r w:rsidRPr="00A747B4">
        <w:t xml:space="preserve"> 47 C.F.R. § 73.872(c) (requiring that time-share proposals be in writing and signed by each time-share proponent, and that time-share proposals specify the proposed hours of operation of each time-share proponent, not include simultaneous operation, and propose that each time-share proponent will operate for at least 10 hours per week).</w:t>
      </w:r>
    </w:p>
  </w:footnote>
  <w:footnote w:id="4">
    <w:p w14:paraId="09465B02" w14:textId="4F7536A0" w:rsidR="002A5BA3" w:rsidRPr="00A747B4" w:rsidRDefault="002A5BA3" w:rsidP="00A747B4">
      <w:pPr>
        <w:pStyle w:val="FootnoteText"/>
      </w:pPr>
      <w:r w:rsidRPr="00A747B4">
        <w:rPr>
          <w:rStyle w:val="FootnoteReference"/>
          <w:rFonts w:ascii="Times New Roman" w:hAnsi="Times New Roman"/>
        </w:rPr>
        <w:footnoteRef/>
      </w:r>
      <w:r w:rsidRPr="00A747B4">
        <w:t xml:space="preserve"> LC Media seeks dismissal or denial of the Centro, Latino Center and New Hope applications.  Because we dismiss New Hope’s application as a result of approving the time-share proposal submitted by Centro and Latino Center, we do not further discuss the New Hope application herein. </w:t>
      </w:r>
    </w:p>
  </w:footnote>
  <w:footnote w:id="5">
    <w:p w14:paraId="134DD8E0" w14:textId="2E640EC4" w:rsidR="002A5BA3" w:rsidRPr="00A747B4" w:rsidRDefault="002A5BA3" w:rsidP="00A747B4">
      <w:pPr>
        <w:pStyle w:val="FootnoteText"/>
      </w:pPr>
      <w:r w:rsidRPr="00A747B4">
        <w:rPr>
          <w:rStyle w:val="FootnoteReference"/>
          <w:rFonts w:ascii="Times New Roman" w:hAnsi="Times New Roman"/>
        </w:rPr>
        <w:footnoteRef/>
      </w:r>
      <w:r w:rsidRPr="00A747B4">
        <w:t xml:space="preserve"> Pub. L. No. 111-371, 124 Stat. 4072 (2011).</w:t>
      </w:r>
    </w:p>
  </w:footnote>
  <w:footnote w:id="6">
    <w:p w14:paraId="0A88C26D" w14:textId="5885E7A1" w:rsidR="00957350" w:rsidRDefault="00957350">
      <w:pPr>
        <w:pStyle w:val="FootnoteText"/>
      </w:pPr>
      <w:r>
        <w:rPr>
          <w:rStyle w:val="FootnoteReference"/>
        </w:rPr>
        <w:footnoteRef/>
      </w:r>
      <w:r>
        <w:t xml:space="preserve"> Petition at 6-8.</w:t>
      </w:r>
    </w:p>
  </w:footnote>
  <w:footnote w:id="7">
    <w:p w14:paraId="515C551D" w14:textId="15E7273D" w:rsidR="002A5BA3" w:rsidRPr="00A747B4" w:rsidRDefault="002A5BA3" w:rsidP="00A747B4">
      <w:pPr>
        <w:pStyle w:val="FootnoteText"/>
      </w:pPr>
      <w:r w:rsidRPr="00A747B4">
        <w:rPr>
          <w:rStyle w:val="FootnoteReference"/>
          <w:rFonts w:ascii="Times New Roman" w:hAnsi="Times New Roman"/>
        </w:rPr>
        <w:footnoteRef/>
      </w:r>
      <w:r w:rsidRPr="00A747B4">
        <w:t xml:space="preserve"> </w:t>
      </w:r>
      <w:r w:rsidR="00957350">
        <w:rPr>
          <w:i/>
        </w:rPr>
        <w:t>Id.</w:t>
      </w:r>
      <w:r w:rsidRPr="00A747B4">
        <w:t xml:space="preserve"> at </w:t>
      </w:r>
      <w:r w:rsidR="00957350">
        <w:t>4-5.</w:t>
      </w:r>
    </w:p>
  </w:footnote>
  <w:footnote w:id="8">
    <w:p w14:paraId="197740E2" w14:textId="25B99CB2" w:rsidR="002A5BA3" w:rsidRPr="00A747B4" w:rsidRDefault="002A5BA3" w:rsidP="00A747B4">
      <w:pPr>
        <w:pStyle w:val="FootnoteText"/>
      </w:pPr>
      <w:r w:rsidRPr="00A747B4">
        <w:rPr>
          <w:rStyle w:val="FootnoteReference"/>
          <w:rFonts w:ascii="Times New Roman" w:hAnsi="Times New Roman"/>
        </w:rPr>
        <w:footnoteRef/>
      </w:r>
      <w:r w:rsidRPr="00A747B4">
        <w:t xml:space="preserve"> </w:t>
      </w:r>
      <w:r w:rsidRPr="00A747B4">
        <w:rPr>
          <w:i/>
        </w:rPr>
        <w:t>Creation of Low Power Radio Service</w:t>
      </w:r>
      <w:r w:rsidRPr="00A747B4">
        <w:t>, Report and Order, 15 FCC Rcd 2205, 2233-34 ¶¶ 70-71 (2000) (“</w:t>
      </w:r>
      <w:r w:rsidRPr="00A747B4">
        <w:rPr>
          <w:i/>
        </w:rPr>
        <w:t>LPFM Report and Order</w:t>
      </w:r>
      <w:r w:rsidRPr="00A747B4">
        <w:t xml:space="preserve">”).  In fact, the Commission incorporated a 20 km “buffer” into these requirements.  </w:t>
      </w:r>
      <w:r w:rsidRPr="00A747B4">
        <w:rPr>
          <w:i/>
        </w:rPr>
        <w:t>Id.</w:t>
      </w:r>
      <w:r w:rsidRPr="00A747B4">
        <w:t xml:space="preserve"> at </w:t>
      </w:r>
      <w:r w:rsidR="00957350">
        <w:t>2234</w:t>
      </w:r>
      <w:r w:rsidRPr="00A747B4">
        <w:t xml:space="preserve"> ¶ 71.</w:t>
      </w:r>
    </w:p>
  </w:footnote>
  <w:footnote w:id="9">
    <w:p w14:paraId="5ACA8B64" w14:textId="5ECEECFC" w:rsidR="002A5BA3" w:rsidRPr="00A747B4" w:rsidRDefault="002A5BA3" w:rsidP="00A747B4">
      <w:pPr>
        <w:pStyle w:val="FootnoteText"/>
      </w:pPr>
      <w:r w:rsidRPr="00A747B4">
        <w:rPr>
          <w:rStyle w:val="FootnoteReference"/>
          <w:rFonts w:ascii="Times New Roman" w:hAnsi="Times New Roman"/>
        </w:rPr>
        <w:footnoteRef/>
      </w:r>
      <w:r w:rsidRPr="00A747B4">
        <w:t xml:space="preserve"> </w:t>
      </w:r>
      <w:r w:rsidRPr="00A747B4">
        <w:rPr>
          <w:i/>
        </w:rPr>
        <w:t>LPFM Report and Order</w:t>
      </w:r>
      <w:r w:rsidRPr="00A747B4">
        <w:t xml:space="preserve">, 15 FCC Rcd at </w:t>
      </w:r>
      <w:r w:rsidR="00957350">
        <w:t>2231</w:t>
      </w:r>
      <w:r w:rsidRPr="00A747B4">
        <w:t xml:space="preserve"> ¶ 64.</w:t>
      </w:r>
    </w:p>
  </w:footnote>
  <w:footnote w:id="10">
    <w:p w14:paraId="7A018C85" w14:textId="5D7662E2" w:rsidR="00D04A5F" w:rsidRDefault="00D04A5F">
      <w:pPr>
        <w:pStyle w:val="FootnoteText"/>
      </w:pPr>
      <w:r>
        <w:rPr>
          <w:rStyle w:val="FootnoteReference"/>
        </w:rPr>
        <w:footnoteRef/>
      </w:r>
      <w:r>
        <w:t xml:space="preserve"> The shared proposed facilities of Centro and Latino Center </w:t>
      </w:r>
      <w:r w:rsidRPr="00AC43EB">
        <w:rPr>
          <w:i/>
        </w:rPr>
        <w:t>exceed</w:t>
      </w:r>
      <w:r>
        <w:t xml:space="preserve"> the minimum distance separation requirements to KQIE(FM) and KCAQ(FM) by 19.6 kilometers and 20.7 kilometers, respectively. </w:t>
      </w:r>
    </w:p>
  </w:footnote>
  <w:footnote w:id="11">
    <w:p w14:paraId="7136A674" w14:textId="4F9743CD" w:rsidR="002A5BA3" w:rsidRPr="00A747B4" w:rsidRDefault="002A5BA3" w:rsidP="00A747B4">
      <w:pPr>
        <w:pStyle w:val="FootnoteText"/>
        <w:rPr>
          <w:b/>
        </w:rPr>
      </w:pPr>
      <w:r w:rsidRPr="00A747B4">
        <w:rPr>
          <w:rStyle w:val="FootnoteReference"/>
          <w:rFonts w:ascii="Times New Roman" w:hAnsi="Times New Roman"/>
        </w:rPr>
        <w:footnoteRef/>
      </w:r>
      <w:r w:rsidRPr="00A747B4">
        <w:t xml:space="preserve"> LCRA, § 3(b)(1) (“The Federal Communications Commission shall not amend its rules to reduce the minimum co-channel and first- and second-adjacent channel distance separation requirements in effect on the date of enhancement of this Act between – (A) low power FM stations; and (B) full-service FM stations.”).</w:t>
      </w:r>
    </w:p>
  </w:footnote>
  <w:footnote w:id="12">
    <w:p w14:paraId="691C859B" w14:textId="3B264460" w:rsidR="002A5BA3" w:rsidRPr="00A747B4" w:rsidRDefault="002A5BA3" w:rsidP="00A747B4">
      <w:pPr>
        <w:pStyle w:val="FootnoteText"/>
      </w:pPr>
      <w:r w:rsidRPr="00A747B4">
        <w:rPr>
          <w:rStyle w:val="FootnoteReference"/>
          <w:rFonts w:ascii="Times New Roman" w:hAnsi="Times New Roman"/>
        </w:rPr>
        <w:footnoteRef/>
      </w:r>
      <w:r w:rsidRPr="00A747B4">
        <w:t xml:space="preserve"> </w:t>
      </w:r>
      <w:r w:rsidR="00957350">
        <w:rPr>
          <w:i/>
        </w:rPr>
        <w:t>Creation of a Low Power Radio Service</w:t>
      </w:r>
      <w:r w:rsidR="00957350">
        <w:t>, Fifth Order on Reconsideration and Sixth Report and Order</w:t>
      </w:r>
      <w:r w:rsidRPr="00A747B4">
        <w:t>,</w:t>
      </w:r>
      <w:r w:rsidR="00957350">
        <w:t xml:space="preserve"> 27 F</w:t>
      </w:r>
      <w:r w:rsidR="007C3886">
        <w:t>CC R</w:t>
      </w:r>
      <w:r w:rsidR="00957350">
        <w:t>cd 15402, 15436</w:t>
      </w:r>
      <w:r w:rsidRPr="00A747B4">
        <w:t xml:space="preserve"> ¶ 95</w:t>
      </w:r>
      <w:r w:rsidR="00957350">
        <w:t xml:space="preserve"> (2012) (“</w:t>
      </w:r>
      <w:r w:rsidR="00957350">
        <w:rPr>
          <w:i/>
        </w:rPr>
        <w:t>Sixth Report and Order</w:t>
      </w:r>
      <w:r w:rsidR="00957350">
        <w:t>”)</w:t>
      </w:r>
      <w:r w:rsidRPr="00A747B4">
        <w:t>.</w:t>
      </w:r>
    </w:p>
  </w:footnote>
  <w:footnote w:id="13">
    <w:p w14:paraId="4AA86503" w14:textId="2C3A127D" w:rsidR="00987CA8" w:rsidRPr="00987CA8" w:rsidRDefault="00987CA8">
      <w:pPr>
        <w:pStyle w:val="FootnoteText"/>
        <w:rPr>
          <w:i/>
        </w:rPr>
      </w:pPr>
      <w:r>
        <w:rPr>
          <w:rStyle w:val="FootnoteReference"/>
        </w:rPr>
        <w:footnoteRef/>
      </w:r>
      <w:r>
        <w:t xml:space="preserve"> </w:t>
      </w:r>
      <w:r>
        <w:rPr>
          <w:i/>
        </w:rPr>
        <w:t>Id.</w:t>
      </w:r>
    </w:p>
  </w:footnote>
  <w:footnote w:id="14">
    <w:p w14:paraId="287C3ADE" w14:textId="2F132F01" w:rsidR="00987CA8" w:rsidRPr="00987CA8" w:rsidRDefault="00987CA8">
      <w:pPr>
        <w:pStyle w:val="FootnoteText"/>
      </w:pPr>
      <w:r>
        <w:rPr>
          <w:rStyle w:val="FootnoteReference"/>
        </w:rPr>
        <w:footnoteRef/>
      </w:r>
      <w:r>
        <w:t xml:space="preserve"> </w:t>
      </w:r>
      <w:r>
        <w:rPr>
          <w:i/>
        </w:rPr>
        <w:t>Id.</w:t>
      </w:r>
    </w:p>
  </w:footnote>
  <w:footnote w:id="15">
    <w:p w14:paraId="0B519D6E" w14:textId="6124A65A" w:rsidR="00987CA8" w:rsidRPr="00987CA8" w:rsidRDefault="00987CA8">
      <w:pPr>
        <w:pStyle w:val="FootnoteText"/>
      </w:pPr>
      <w:r>
        <w:rPr>
          <w:rStyle w:val="FootnoteReference"/>
        </w:rPr>
        <w:footnoteRef/>
      </w:r>
      <w:r>
        <w:t xml:space="preserve"> </w:t>
      </w:r>
      <w:r>
        <w:rPr>
          <w:i/>
        </w:rPr>
        <w:t>Id.</w:t>
      </w:r>
    </w:p>
  </w:footnote>
  <w:footnote w:id="16">
    <w:p w14:paraId="2C4EDEBD" w14:textId="0F7048BC" w:rsidR="002A5BA3" w:rsidRPr="00A747B4" w:rsidRDefault="002A5BA3" w:rsidP="00A747B4">
      <w:pPr>
        <w:pStyle w:val="FootnoteText"/>
      </w:pPr>
      <w:r w:rsidRPr="00A747B4">
        <w:rPr>
          <w:rStyle w:val="FootnoteReference"/>
          <w:rFonts w:ascii="Times New Roman" w:hAnsi="Times New Roman"/>
        </w:rPr>
        <w:footnoteRef/>
      </w:r>
      <w:r w:rsidRPr="00A747B4">
        <w:t xml:space="preserve"> In its decision implementing the LCRA, the Commission did not directly address the question of whether an applicant seeking a second-adjacent waiver must show that its proposed LPFM facilities will not cause interference to any station or just second-adjacent channel stations.  The Commission did, however, imply that the showing would be limited to second-adjacent channel stations.  For instance, it “instruct[ed] the Media Bureau to identify specifically all potentially affected second-adjacent channel stations in the public notice that accepts for filing an application for an LPFM station that includes a request for a second-adjacent waiver.”  </w:t>
      </w:r>
      <w:r w:rsidRPr="00A747B4">
        <w:rPr>
          <w:i/>
        </w:rPr>
        <w:t>Sixth Report and Order</w:t>
      </w:r>
      <w:r w:rsidRPr="00A747B4">
        <w:t xml:space="preserve">, 27 FCC Rcd at 15430 ¶ 79.  </w:t>
      </w:r>
    </w:p>
  </w:footnote>
  <w:footnote w:id="17">
    <w:p w14:paraId="39ECF054" w14:textId="6EDC5F14" w:rsidR="00D46AD4" w:rsidRPr="00EA7F62" w:rsidRDefault="00D46AD4">
      <w:pPr>
        <w:pStyle w:val="FootnoteText"/>
        <w:rPr>
          <w:b/>
        </w:rPr>
      </w:pPr>
      <w:r>
        <w:rPr>
          <w:rStyle w:val="FootnoteReference"/>
        </w:rPr>
        <w:footnoteRef/>
      </w:r>
      <w:r w:rsidRPr="00EA7F62">
        <w:t xml:space="preserve"> </w:t>
      </w:r>
      <w:r w:rsidRPr="00160B34">
        <w:t xml:space="preserve">Sections 7(1) and 7(3) set forth interference protection and remediation obligations that LPFM stations have with respect to third-adjacent channel stations.  Section 7(1) applies to “low-power FM stations licensed at locations that do not satisfy the third-adjacent channel spacing requirements ….”  </w:t>
      </w:r>
      <w:r w:rsidR="00EA7F62" w:rsidRPr="00160B34">
        <w:t xml:space="preserve">LCRA, § 7(1).  </w:t>
      </w:r>
      <w:r w:rsidR="00FC2F26" w:rsidRPr="00160B34">
        <w:t xml:space="preserve">It requires such LPFM stations to “eliminate” any actual interference that their operations cause to the signal of any authorized station in areas where that station’s signal is regularly used.  </w:t>
      </w:r>
      <w:r w:rsidR="00EA7F62" w:rsidRPr="00160B34">
        <w:rPr>
          <w:i/>
        </w:rPr>
        <w:t xml:space="preserve">Id.  </w:t>
      </w:r>
      <w:r w:rsidRPr="00160B34">
        <w:t xml:space="preserve">Section 7(3) applies to “[LPFM] stations on third-adjacent channels.”  </w:t>
      </w:r>
      <w:r w:rsidR="00EA7F62" w:rsidRPr="00160B34">
        <w:t xml:space="preserve">LCRA, § 7(3).  </w:t>
      </w:r>
      <w:r w:rsidR="00FC2F26" w:rsidRPr="00160B34">
        <w:t xml:space="preserve">It requires only that LPFM stations “address” complaints of interference within an affected station’s protected contour.  </w:t>
      </w:r>
      <w:r w:rsidR="00EA7F62" w:rsidRPr="00160B34">
        <w:rPr>
          <w:i/>
        </w:rPr>
        <w:t>Id.</w:t>
      </w:r>
    </w:p>
  </w:footnote>
  <w:footnote w:id="18">
    <w:p w14:paraId="5F97C880" w14:textId="02D59FA6" w:rsidR="00D46AD4" w:rsidRPr="00D46AD4" w:rsidRDefault="00D46AD4">
      <w:pPr>
        <w:pStyle w:val="FootnoteText"/>
      </w:pPr>
      <w:r>
        <w:rPr>
          <w:rStyle w:val="FootnoteReference"/>
        </w:rPr>
        <w:footnoteRef/>
      </w:r>
      <w:r>
        <w:t xml:space="preserve"> </w:t>
      </w:r>
      <w:r>
        <w:rPr>
          <w:i/>
        </w:rPr>
        <w:t>Sixth Report and Order</w:t>
      </w:r>
      <w:r>
        <w:t xml:space="preserve">, 27 FCC Rcd at </w:t>
      </w:r>
      <w:r w:rsidR="00160B34">
        <w:t>15434</w:t>
      </w:r>
      <w:r>
        <w:t xml:space="preserve"> ¶ 88.</w:t>
      </w:r>
    </w:p>
  </w:footnote>
  <w:footnote w:id="19">
    <w:p w14:paraId="689EEA65" w14:textId="38452EF2" w:rsidR="009B713D" w:rsidRPr="009B713D" w:rsidRDefault="009B713D">
      <w:pPr>
        <w:pStyle w:val="FootnoteText"/>
      </w:pPr>
      <w:r>
        <w:rPr>
          <w:rStyle w:val="FootnoteReference"/>
        </w:rPr>
        <w:footnoteRef/>
      </w:r>
      <w:r>
        <w:t xml:space="preserve"> </w:t>
      </w:r>
      <w:r>
        <w:rPr>
          <w:i/>
        </w:rPr>
        <w:t>Id.</w:t>
      </w:r>
      <w:r>
        <w:t xml:space="preserve"> at 15434 ¶ 89.</w:t>
      </w:r>
    </w:p>
  </w:footnote>
  <w:footnote w:id="20">
    <w:p w14:paraId="4146D101" w14:textId="70E4445B" w:rsidR="009D416C" w:rsidRPr="009D416C" w:rsidRDefault="009D416C">
      <w:pPr>
        <w:pStyle w:val="FootnoteText"/>
      </w:pPr>
      <w:r>
        <w:rPr>
          <w:rStyle w:val="FootnoteReference"/>
        </w:rPr>
        <w:footnoteRef/>
      </w:r>
      <w:r>
        <w:t xml:space="preserve"> </w:t>
      </w:r>
      <w:r>
        <w:rPr>
          <w:i/>
        </w:rPr>
        <w:t xml:space="preserve">Id. </w:t>
      </w:r>
      <w:r>
        <w:t>at 15434-35 ¶ 89.</w:t>
      </w:r>
    </w:p>
  </w:footnote>
  <w:footnote w:id="21">
    <w:p w14:paraId="3507FEC5" w14:textId="46AD8BE5" w:rsidR="007E62DD" w:rsidRPr="007E62DD" w:rsidRDefault="007E62DD" w:rsidP="007E62DD">
      <w:pPr>
        <w:pStyle w:val="FootnoteText"/>
      </w:pPr>
      <w:r>
        <w:rPr>
          <w:rStyle w:val="FootnoteReference"/>
        </w:rPr>
        <w:footnoteRef/>
      </w:r>
      <w:r>
        <w:t xml:space="preserve"> </w:t>
      </w:r>
      <w:r w:rsidR="001662A7">
        <w:t>We note, however,</w:t>
      </w:r>
      <w:r>
        <w:t xml:space="preserve"> that the Small Entity Compliance Guide for Low Power FM does address this question.  It states that “[a]n LPFM licensee operating pursuant to a second-adjacent waiver must eliminate any </w:t>
      </w:r>
      <w:r>
        <w:rPr>
          <w:i/>
        </w:rPr>
        <w:t xml:space="preserve">second-adjacent channel </w:t>
      </w:r>
      <w:r>
        <w:t>interference caused by its operations.”  Small Entity Compliance Guide, Low Power FM, DA 13-49 (</w:t>
      </w:r>
      <w:r w:rsidR="004347C4">
        <w:t xml:space="preserve">rel. </w:t>
      </w:r>
      <w:r>
        <w:t>Jan. 28, 2013)</w:t>
      </w:r>
    </w:p>
  </w:footnote>
  <w:footnote w:id="22">
    <w:p w14:paraId="7E312B82" w14:textId="42E1C322" w:rsidR="001B1FBE" w:rsidRPr="001B1FBE" w:rsidRDefault="001B1FBE">
      <w:pPr>
        <w:pStyle w:val="FootnoteText"/>
      </w:pPr>
      <w:r>
        <w:rPr>
          <w:rStyle w:val="FootnoteReference"/>
        </w:rPr>
        <w:footnoteRef/>
      </w:r>
      <w:r>
        <w:t xml:space="preserve"> </w:t>
      </w:r>
      <w:r w:rsidR="00DA2D29">
        <w:rPr>
          <w:i/>
        </w:rPr>
        <w:t>Sixth Report and Order</w:t>
      </w:r>
      <w:r>
        <w:t xml:space="preserve"> at </w:t>
      </w:r>
      <w:r w:rsidR="009F4FF4">
        <w:t>15430</w:t>
      </w:r>
      <w:r>
        <w:t xml:space="preserve"> ¶ 80 (emphasis added).</w:t>
      </w:r>
    </w:p>
  </w:footnote>
  <w:footnote w:id="23">
    <w:p w14:paraId="3D1F2C86" w14:textId="4ECA88FC" w:rsidR="001B1FBE" w:rsidRPr="001B1FBE" w:rsidRDefault="001B1FBE">
      <w:pPr>
        <w:pStyle w:val="FootnoteText"/>
      </w:pPr>
      <w:r>
        <w:rPr>
          <w:rStyle w:val="FootnoteReference"/>
        </w:rPr>
        <w:footnoteRef/>
      </w:r>
      <w:r>
        <w:t xml:space="preserve"> </w:t>
      </w:r>
      <w:r>
        <w:rPr>
          <w:i/>
        </w:rPr>
        <w:t>Id.</w:t>
      </w:r>
      <w:r>
        <w:t>, at 15429 ¶ 78 (emphasis added).</w:t>
      </w:r>
    </w:p>
  </w:footnote>
  <w:footnote w:id="24">
    <w:p w14:paraId="2AAF82F3" w14:textId="348433F8" w:rsidR="001B1FBE" w:rsidRPr="001B1FBE" w:rsidRDefault="001B1FBE">
      <w:pPr>
        <w:pStyle w:val="FootnoteText"/>
      </w:pPr>
      <w:r>
        <w:rPr>
          <w:rStyle w:val="FootnoteReference"/>
        </w:rPr>
        <w:footnoteRef/>
      </w:r>
      <w:r>
        <w:t xml:space="preserve"> </w:t>
      </w:r>
      <w:r>
        <w:rPr>
          <w:i/>
        </w:rPr>
        <w:t>Id.</w:t>
      </w:r>
      <w:r>
        <w:t xml:space="preserve"> at 15430 ¶ 79 (emphasis added).</w:t>
      </w:r>
    </w:p>
  </w:footnote>
  <w:footnote w:id="25">
    <w:p w14:paraId="2CFCD5CF" w14:textId="4EB5E39A" w:rsidR="003E73B8" w:rsidRPr="003E73B8" w:rsidRDefault="003E73B8">
      <w:pPr>
        <w:pStyle w:val="FootnoteText"/>
      </w:pPr>
      <w:r>
        <w:rPr>
          <w:rStyle w:val="FootnoteReference"/>
        </w:rPr>
        <w:footnoteRef/>
      </w:r>
      <w:r>
        <w:t xml:space="preserve"> We note that our reading of Section 3(b)(2) of the LCRA is consistent with the requirements set forth in Section 5 that the Commission ensure that “FM translator stations, FM booster stations, and low-power FM stations remain equal in status and secondary to existing and modified full-service FM stations.”  LCRA, § 5.  Equal in status does not mean subject to identical interference protection and remediation requirements.  Indeed, the LCRA itself establishes different remediation standards between FM translators and LPFM and even between classes of LPFM stations.  Where Congress intended to impose identical requirements upon FM translators and LPFM stations, it specifically did so in the text of the LCRA.  </w:t>
      </w:r>
      <w:r>
        <w:rPr>
          <w:i/>
        </w:rPr>
        <w:t xml:space="preserve">See </w:t>
      </w:r>
      <w:r>
        <w:t>LCRA, § 7(1) (requiring that LPFM stations that do not satisfy the third-adjacent spacing requirements provide “the same interference protections that FM translator stations and FM booster stations are required to provide as set forth in section 74.1203” of the Rules).</w:t>
      </w:r>
      <w:r w:rsidR="008E0D15">
        <w:t xml:space="preserve">  Further, we note that LPFM stations</w:t>
      </w:r>
      <w:r w:rsidR="00E27D03">
        <w:t xml:space="preserve"> retain the singularly defining attribute of secondary stations, </w:t>
      </w:r>
      <w:r w:rsidR="00E27D03" w:rsidRPr="00375FE8">
        <w:rPr>
          <w:i/>
        </w:rPr>
        <w:t>i.e</w:t>
      </w:r>
      <w:r w:rsidR="00E27D03">
        <w:t>., t</w:t>
      </w:r>
      <w:r w:rsidR="008E0D15">
        <w:t>hey have no protection against subsequently proposed or authorized full service FM facilities.</w:t>
      </w:r>
    </w:p>
  </w:footnote>
  <w:footnote w:id="26">
    <w:p w14:paraId="37DE8703" w14:textId="55AE28BD" w:rsidR="00004483" w:rsidRPr="00A747B4" w:rsidRDefault="00004483" w:rsidP="00A747B4">
      <w:pPr>
        <w:pStyle w:val="FootnoteText"/>
      </w:pPr>
      <w:r w:rsidRPr="00A747B4">
        <w:rPr>
          <w:rStyle w:val="FootnoteReference"/>
          <w:rFonts w:ascii="Times New Roman" w:hAnsi="Times New Roman"/>
        </w:rPr>
        <w:footnoteRef/>
      </w:r>
      <w:r w:rsidRPr="00A747B4">
        <w:t xml:space="preserve"> Petition at 6-8 &amp; Attach. A; Reply at 6-7 &amp; Attach. A.  </w:t>
      </w:r>
    </w:p>
  </w:footnote>
  <w:footnote w:id="27">
    <w:p w14:paraId="41083204" w14:textId="54471387" w:rsidR="00004483" w:rsidRPr="00A747B4" w:rsidRDefault="00004483" w:rsidP="00A747B4">
      <w:pPr>
        <w:pStyle w:val="FootnoteText"/>
      </w:pPr>
      <w:r w:rsidRPr="00A747B4">
        <w:rPr>
          <w:rStyle w:val="FootnoteReference"/>
          <w:rFonts w:ascii="Times New Roman" w:hAnsi="Times New Roman"/>
        </w:rPr>
        <w:footnoteRef/>
      </w:r>
      <w:r w:rsidRPr="00A747B4">
        <w:t xml:space="preserve"> Petition at 8-9.  </w:t>
      </w:r>
    </w:p>
  </w:footnote>
  <w:footnote w:id="28">
    <w:p w14:paraId="31EFB807" w14:textId="4A8B6694" w:rsidR="002A5BA3" w:rsidRPr="00A747B4" w:rsidRDefault="002A5BA3" w:rsidP="00A747B4">
      <w:pPr>
        <w:spacing w:after="120"/>
        <w:rPr>
          <w:sz w:val="20"/>
        </w:rPr>
      </w:pPr>
      <w:r w:rsidRPr="00A747B4">
        <w:rPr>
          <w:rStyle w:val="FootnoteReference"/>
          <w:rFonts w:ascii="Times New Roman" w:hAnsi="Times New Roman"/>
        </w:rPr>
        <w:footnoteRef/>
      </w:r>
      <w:r w:rsidRPr="00A747B4">
        <w:rPr>
          <w:sz w:val="20"/>
        </w:rPr>
        <w:t xml:space="preserve"> We note that LC Media also appears to argue that waiver of the second-adjacent channel spacing requirements is not justified under the Commission’s general waiver standard.  Petition at 7-8.  Because we find waiver is justified under the statutory waiver standard set forth in Section 3(b)(2)(A) of the LCRA, we </w:t>
      </w:r>
      <w:r w:rsidR="00E27D03">
        <w:rPr>
          <w:sz w:val="20"/>
        </w:rPr>
        <w:t xml:space="preserve">need not address this issue.  </w:t>
      </w:r>
    </w:p>
  </w:footnote>
  <w:footnote w:id="29">
    <w:p w14:paraId="4D01B049" w14:textId="5A06A994" w:rsidR="00B61FB1" w:rsidRPr="00A747B4" w:rsidRDefault="00B61FB1" w:rsidP="00A747B4">
      <w:pPr>
        <w:pStyle w:val="FootnoteText"/>
      </w:pPr>
      <w:r w:rsidRPr="00A747B4">
        <w:rPr>
          <w:rStyle w:val="FootnoteReference"/>
          <w:rFonts w:ascii="Times New Roman" w:hAnsi="Times New Roman"/>
        </w:rPr>
        <w:footnoteRef/>
      </w:r>
      <w:r w:rsidRPr="00A747B4">
        <w:t xml:space="preserve"> </w:t>
      </w:r>
      <w:r w:rsidR="00006316" w:rsidRPr="00A747B4">
        <w:t xml:space="preserve">Petition at 9-10. </w:t>
      </w:r>
    </w:p>
  </w:footnote>
  <w:footnote w:id="30">
    <w:p w14:paraId="38C7A868" w14:textId="2C3F0967" w:rsidR="00671CAF" w:rsidRPr="00A747B4" w:rsidRDefault="00671CAF" w:rsidP="00A747B4">
      <w:pPr>
        <w:pStyle w:val="FootnoteText"/>
      </w:pPr>
      <w:r w:rsidRPr="00A747B4">
        <w:rPr>
          <w:rStyle w:val="FootnoteReference"/>
          <w:rFonts w:ascii="Times New Roman" w:hAnsi="Times New Roman"/>
        </w:rPr>
        <w:footnoteRef/>
      </w:r>
      <w:r w:rsidRPr="00A747B4">
        <w:t xml:space="preserve"> </w:t>
      </w:r>
      <w:r w:rsidRPr="008A6429">
        <w:rPr>
          <w:i/>
        </w:rPr>
        <w:t>LPFM Report and Order</w:t>
      </w:r>
      <w:r w:rsidRPr="00A747B4">
        <w:t xml:space="preserve">, 15 FCC Rcd at </w:t>
      </w:r>
      <w:r w:rsidR="008A6429">
        <w:t>2231</w:t>
      </w:r>
      <w:r w:rsidRPr="00A747B4">
        <w:t xml:space="preserve"> ¶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38AD9" w14:textId="77777777" w:rsidR="00AB0953" w:rsidRDefault="00AB09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A3349" w14:textId="77777777" w:rsidR="002A5BA3" w:rsidRDefault="002A5BA3">
    <w:pPr>
      <w:tabs>
        <w:tab w:val="center" w:pos="4680"/>
        <w:tab w:val="right" w:pos="9360"/>
      </w:tabs>
      <w:suppressAutoHyphens/>
      <w:spacing w:line="227" w:lineRule="auto"/>
      <w:jc w:val="both"/>
      <w:rPr>
        <w:rFonts w:ascii="Calisto MT" w:hAnsi="Calisto MT"/>
        <w:spacing w:val="-2"/>
      </w:rPr>
    </w:pPr>
  </w:p>
  <w:p w14:paraId="518E291F" w14:textId="77777777" w:rsidR="002A5BA3" w:rsidRDefault="002A5BA3">
    <w:pPr>
      <w:tabs>
        <w:tab w:val="left" w:pos="-720"/>
      </w:tabs>
      <w:suppressAutoHyphens/>
      <w:spacing w:line="19" w:lineRule="exact"/>
      <w:jc w:val="both"/>
      <w:rPr>
        <w:sz w:val="10"/>
      </w:rPr>
    </w:pPr>
  </w:p>
  <w:p w14:paraId="55CC6D8A" w14:textId="77777777" w:rsidR="002A5BA3" w:rsidRDefault="002A5BA3">
    <w:pPr>
      <w:tabs>
        <w:tab w:val="left" w:pos="-720"/>
      </w:tabs>
      <w:suppressAutoHyphens/>
      <w:spacing w:line="19" w:lineRule="exact"/>
      <w:jc w:val="both"/>
      <w:rPr>
        <w:sz w:val="10"/>
      </w:rPr>
    </w:pPr>
  </w:p>
  <w:p w14:paraId="1E933AD3" w14:textId="77777777" w:rsidR="002A5BA3" w:rsidRDefault="002A5BA3">
    <w:pPr>
      <w:tabs>
        <w:tab w:val="left" w:pos="-720"/>
      </w:tabs>
      <w:suppressAutoHyphens/>
      <w:spacing w:line="19" w:lineRule="exact"/>
      <w:jc w:val="both"/>
      <w:rPr>
        <w:sz w:val="10"/>
      </w:rPr>
    </w:pPr>
  </w:p>
  <w:p w14:paraId="11447584" w14:textId="77777777" w:rsidR="002A5BA3" w:rsidRDefault="002A5BA3">
    <w:pPr>
      <w:tabs>
        <w:tab w:val="left" w:pos="-720"/>
      </w:tabs>
      <w:suppressAutoHyphens/>
      <w:spacing w:line="19" w:lineRule="exact"/>
      <w:jc w:val="both"/>
      <w:rPr>
        <w:sz w:val="10"/>
      </w:rPr>
    </w:pPr>
  </w:p>
  <w:p w14:paraId="0A5CF9A9" w14:textId="77777777" w:rsidR="002A5BA3" w:rsidRDefault="002A5BA3">
    <w:pPr>
      <w:tabs>
        <w:tab w:val="left" w:pos="-720"/>
      </w:tabs>
      <w:suppressAutoHyphens/>
      <w:spacing w:line="19" w:lineRule="exact"/>
      <w:jc w:val="both"/>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3E69D" w14:textId="77777777" w:rsidR="002A5BA3" w:rsidRPr="0012591E" w:rsidRDefault="004B1496">
    <w:pPr>
      <w:pStyle w:val="Heading2"/>
      <w:spacing w:line="240" w:lineRule="auto"/>
      <w:rPr>
        <w:color w:val="000000"/>
      </w:rPr>
    </w:pPr>
    <w:r>
      <w:rPr>
        <w:noProof/>
        <w:snapToGrid/>
        <w:color w:val="000000"/>
      </w:rPr>
      <w:pict w14:anchorId="7B8320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8.8pt;margin-top:0;width:69.3pt;height:64.8pt;z-index:251657728;visibility:visible;mso-wrap-edited:f" o:allowincell="f" filled="t" fillcolor="#3cc">
          <v:imagedata r:id="rId1" o:title="" gain="69719f"/>
          <w10:wrap type="topAndBottom"/>
        </v:shape>
        <o:OLEObject Type="Embed" ProgID="Word.Picture.8" ShapeID="_x0000_s2049" DrawAspect="Content" ObjectID="_1498897905" r:id="rId2"/>
      </w:pict>
    </w:r>
    <w:r w:rsidR="002A5BA3" w:rsidRPr="0012591E">
      <w:rPr>
        <w:color w:val="000000"/>
      </w:rPr>
      <w:t>Federal Communications Commission</w:t>
    </w:r>
  </w:p>
  <w:p w14:paraId="7882F8C3" w14:textId="77777777" w:rsidR="002A5BA3" w:rsidRPr="0012591E" w:rsidRDefault="002A5BA3">
    <w:pPr>
      <w:jc w:val="center"/>
      <w:rPr>
        <w:color w:val="000000"/>
        <w:spacing w:val="-2"/>
      </w:rPr>
    </w:pPr>
    <w:r w:rsidRPr="0012591E">
      <w:rPr>
        <w:color w:val="000000"/>
        <w:spacing w:val="-2"/>
      </w:rPr>
      <w:t>Washington, D.C. 20554</w:t>
    </w:r>
  </w:p>
  <w:p w14:paraId="538E47FA" w14:textId="77777777" w:rsidR="002A5BA3" w:rsidRPr="0012591E" w:rsidRDefault="002A5BA3">
    <w:pPr>
      <w:jc w:val="center"/>
      <w:rPr>
        <w:color w:val="000000"/>
        <w:spacing w:val="-2"/>
        <w:sz w:val="22"/>
      </w:rPr>
    </w:pPr>
  </w:p>
  <w:p w14:paraId="146C1478" w14:textId="77777777" w:rsidR="002A5BA3" w:rsidRPr="0012591E" w:rsidRDefault="002A5BA3">
    <w:pPr>
      <w:jc w:val="center"/>
      <w:rPr>
        <w:spacing w:val="-2"/>
      </w:rPr>
    </w:pPr>
  </w:p>
  <w:p w14:paraId="115A007C" w14:textId="5BA5D2FA" w:rsidR="002A5BA3" w:rsidRDefault="002A5BA3">
    <w:pPr>
      <w:jc w:val="center"/>
      <w:rPr>
        <w:b/>
        <w:spacing w:val="-2"/>
        <w:sz w:val="20"/>
      </w:rPr>
    </w:pPr>
    <w:r>
      <w:rPr>
        <w:b/>
        <w:spacing w:val="-2"/>
        <w:sz w:val="20"/>
      </w:rPr>
      <w:t xml:space="preserve">July </w:t>
    </w:r>
    <w:r w:rsidR="000749DA">
      <w:rPr>
        <w:b/>
        <w:spacing w:val="-2"/>
        <w:sz w:val="20"/>
      </w:rPr>
      <w:t>20</w:t>
    </w:r>
    <w:r>
      <w:rPr>
        <w:b/>
        <w:spacing w:val="-2"/>
        <w:sz w:val="20"/>
      </w:rPr>
      <w:t>, 2015</w:t>
    </w:r>
  </w:p>
  <w:p w14:paraId="44D15410" w14:textId="77777777" w:rsidR="002A5BA3" w:rsidRPr="0012591E" w:rsidRDefault="002A5BA3">
    <w:pPr>
      <w:jc w:val="center"/>
      <w:rPr>
        <w:b/>
        <w:spacing w:val="-2"/>
        <w:sz w:val="20"/>
      </w:rPr>
    </w:pPr>
  </w:p>
  <w:p w14:paraId="2D92BA70" w14:textId="45E3FC03" w:rsidR="002A5BA3" w:rsidRPr="0012591E" w:rsidRDefault="002A5BA3" w:rsidP="00DE45AE">
    <w:pPr>
      <w:ind w:left="6480"/>
      <w:rPr>
        <w:i/>
        <w:sz w:val="20"/>
      </w:rPr>
    </w:pPr>
    <w:r w:rsidRPr="00DE45AE">
      <w:rPr>
        <w:b/>
        <w:sz w:val="20"/>
      </w:rPr>
      <w:t xml:space="preserve">DA </w:t>
    </w:r>
    <w:r w:rsidR="00330C21" w:rsidRPr="00330C21">
      <w:rPr>
        <w:b/>
        <w:sz w:val="20"/>
      </w:rPr>
      <w:t>15-830</w:t>
    </w:r>
    <w:r>
      <w:rPr>
        <w:sz w:val="20"/>
      </w:rPr>
      <w:br/>
    </w:r>
    <w:r w:rsidRPr="0012591E">
      <w:rPr>
        <w:i/>
        <w:sz w:val="20"/>
      </w:rPr>
      <w:t>In Reply Refer to:</w:t>
    </w:r>
  </w:p>
  <w:p w14:paraId="71071F3F" w14:textId="77777777" w:rsidR="002A5BA3" w:rsidRDefault="002A5BA3">
    <w:pPr>
      <w:rPr>
        <w:sz w:val="20"/>
      </w:rPr>
    </w:pPr>
    <w:r w:rsidRPr="0012591E">
      <w:rPr>
        <w:sz w:val="20"/>
      </w:rPr>
      <w:tab/>
    </w:r>
    <w:r w:rsidRPr="0012591E">
      <w:rPr>
        <w:sz w:val="20"/>
      </w:rPr>
      <w:tab/>
    </w:r>
    <w:r w:rsidRPr="0012591E">
      <w:rPr>
        <w:sz w:val="20"/>
      </w:rPr>
      <w:tab/>
    </w:r>
    <w:r w:rsidRPr="0012591E">
      <w:rPr>
        <w:sz w:val="20"/>
      </w:rPr>
      <w:tab/>
    </w:r>
    <w:r w:rsidRPr="0012591E">
      <w:rPr>
        <w:sz w:val="20"/>
      </w:rPr>
      <w:tab/>
    </w:r>
    <w:r w:rsidRPr="0012591E">
      <w:rPr>
        <w:sz w:val="20"/>
      </w:rPr>
      <w:tab/>
    </w:r>
    <w:r w:rsidRPr="0012591E">
      <w:rPr>
        <w:sz w:val="20"/>
      </w:rPr>
      <w:tab/>
    </w:r>
    <w:r w:rsidRPr="0012591E">
      <w:rPr>
        <w:sz w:val="20"/>
      </w:rPr>
      <w:tab/>
    </w:r>
    <w:r w:rsidRPr="0012591E">
      <w:rPr>
        <w:sz w:val="20"/>
      </w:rPr>
      <w:tab/>
      <w:t>1800B3-</w:t>
    </w:r>
    <w:r>
      <w:rPr>
        <w:sz w:val="20"/>
      </w:rPr>
      <w:t>HOD</w:t>
    </w:r>
  </w:p>
  <w:p w14:paraId="39469572" w14:textId="1D12175E" w:rsidR="002A5BA3" w:rsidRDefault="00330C21">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Released:  July 20</w:t>
    </w:r>
    <w:r w:rsidR="002A5BA3">
      <w:rPr>
        <w:sz w:val="20"/>
      </w:rPr>
      <w:t>, 2015</w:t>
    </w:r>
  </w:p>
  <w:p w14:paraId="63DFFD12" w14:textId="77777777" w:rsidR="002A5BA3" w:rsidRDefault="002A5BA3">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C79F0"/>
    <w:multiLevelType w:val="hybridMultilevel"/>
    <w:tmpl w:val="055AB39A"/>
    <w:lvl w:ilvl="0" w:tplc="DB8E55F4">
      <w:start w:val="1"/>
      <w:numFmt w:val="decimal"/>
      <w:lvlText w:val="(%1)"/>
      <w:lvlJc w:val="left"/>
      <w:pPr>
        <w:tabs>
          <w:tab w:val="num" w:pos="1755"/>
        </w:tabs>
        <w:ind w:left="1755" w:hanging="103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786"/>
    <w:rsid w:val="00003100"/>
    <w:rsid w:val="00004483"/>
    <w:rsid w:val="00006316"/>
    <w:rsid w:val="00007923"/>
    <w:rsid w:val="000111C6"/>
    <w:rsid w:val="00021AEA"/>
    <w:rsid w:val="00026377"/>
    <w:rsid w:val="000264A2"/>
    <w:rsid w:val="000305E1"/>
    <w:rsid w:val="00031F49"/>
    <w:rsid w:val="00032C6E"/>
    <w:rsid w:val="00034BAE"/>
    <w:rsid w:val="0003548F"/>
    <w:rsid w:val="00045A15"/>
    <w:rsid w:val="0004600C"/>
    <w:rsid w:val="0004745F"/>
    <w:rsid w:val="00051D9A"/>
    <w:rsid w:val="00055D51"/>
    <w:rsid w:val="00056028"/>
    <w:rsid w:val="00071D6F"/>
    <w:rsid w:val="000749DA"/>
    <w:rsid w:val="000770E0"/>
    <w:rsid w:val="00077AED"/>
    <w:rsid w:val="00080041"/>
    <w:rsid w:val="00081160"/>
    <w:rsid w:val="000820E5"/>
    <w:rsid w:val="00083962"/>
    <w:rsid w:val="00083A5E"/>
    <w:rsid w:val="000867FE"/>
    <w:rsid w:val="000912AB"/>
    <w:rsid w:val="0009157E"/>
    <w:rsid w:val="00092445"/>
    <w:rsid w:val="000A3160"/>
    <w:rsid w:val="000A37BF"/>
    <w:rsid w:val="000A3C72"/>
    <w:rsid w:val="000A6428"/>
    <w:rsid w:val="000B1025"/>
    <w:rsid w:val="000B3436"/>
    <w:rsid w:val="000D2C61"/>
    <w:rsid w:val="000D3053"/>
    <w:rsid w:val="000E2760"/>
    <w:rsid w:val="000E5281"/>
    <w:rsid w:val="000E653B"/>
    <w:rsid w:val="000F0793"/>
    <w:rsid w:val="000F1522"/>
    <w:rsid w:val="000F426C"/>
    <w:rsid w:val="000F75D7"/>
    <w:rsid w:val="00100D6D"/>
    <w:rsid w:val="001125F4"/>
    <w:rsid w:val="0011267E"/>
    <w:rsid w:val="00114A77"/>
    <w:rsid w:val="001160DC"/>
    <w:rsid w:val="0012010D"/>
    <w:rsid w:val="0012032A"/>
    <w:rsid w:val="001227AF"/>
    <w:rsid w:val="001255F9"/>
    <w:rsid w:val="0012591E"/>
    <w:rsid w:val="0012625D"/>
    <w:rsid w:val="00145CF5"/>
    <w:rsid w:val="00146EF4"/>
    <w:rsid w:val="00160B34"/>
    <w:rsid w:val="00163075"/>
    <w:rsid w:val="001632DA"/>
    <w:rsid w:val="001662A7"/>
    <w:rsid w:val="001722CE"/>
    <w:rsid w:val="00173398"/>
    <w:rsid w:val="001819A0"/>
    <w:rsid w:val="00187549"/>
    <w:rsid w:val="001877DD"/>
    <w:rsid w:val="00192FE2"/>
    <w:rsid w:val="00197862"/>
    <w:rsid w:val="001A144A"/>
    <w:rsid w:val="001A1974"/>
    <w:rsid w:val="001A31B0"/>
    <w:rsid w:val="001A3E03"/>
    <w:rsid w:val="001A69D0"/>
    <w:rsid w:val="001B1FBE"/>
    <w:rsid w:val="001B22A9"/>
    <w:rsid w:val="001B5763"/>
    <w:rsid w:val="001B751B"/>
    <w:rsid w:val="001C1D60"/>
    <w:rsid w:val="001C5A58"/>
    <w:rsid w:val="001C6EC6"/>
    <w:rsid w:val="001D1F7B"/>
    <w:rsid w:val="001D740A"/>
    <w:rsid w:val="001E0A91"/>
    <w:rsid w:val="001E1C98"/>
    <w:rsid w:val="001F1A92"/>
    <w:rsid w:val="001F3AE5"/>
    <w:rsid w:val="001F48BE"/>
    <w:rsid w:val="001F5884"/>
    <w:rsid w:val="001F6DF6"/>
    <w:rsid w:val="0020088B"/>
    <w:rsid w:val="002057F2"/>
    <w:rsid w:val="00217A1D"/>
    <w:rsid w:val="00224A35"/>
    <w:rsid w:val="0022779B"/>
    <w:rsid w:val="00232BD7"/>
    <w:rsid w:val="00234AEE"/>
    <w:rsid w:val="0023618A"/>
    <w:rsid w:val="002404CD"/>
    <w:rsid w:val="00251B41"/>
    <w:rsid w:val="00261513"/>
    <w:rsid w:val="00270FE9"/>
    <w:rsid w:val="00280207"/>
    <w:rsid w:val="002819EC"/>
    <w:rsid w:val="00292E6B"/>
    <w:rsid w:val="00294B5B"/>
    <w:rsid w:val="002974E6"/>
    <w:rsid w:val="002A315C"/>
    <w:rsid w:val="002A5BA3"/>
    <w:rsid w:val="002A5EDD"/>
    <w:rsid w:val="002B180C"/>
    <w:rsid w:val="002B491B"/>
    <w:rsid w:val="002C6B8A"/>
    <w:rsid w:val="002C7A41"/>
    <w:rsid w:val="002D140A"/>
    <w:rsid w:val="002E0F2E"/>
    <w:rsid w:val="002E5E0B"/>
    <w:rsid w:val="002E7843"/>
    <w:rsid w:val="002F3933"/>
    <w:rsid w:val="003036FC"/>
    <w:rsid w:val="00307660"/>
    <w:rsid w:val="00312216"/>
    <w:rsid w:val="00313732"/>
    <w:rsid w:val="00321605"/>
    <w:rsid w:val="00321975"/>
    <w:rsid w:val="00323839"/>
    <w:rsid w:val="00330C21"/>
    <w:rsid w:val="00353AE1"/>
    <w:rsid w:val="00355812"/>
    <w:rsid w:val="0036098D"/>
    <w:rsid w:val="00362ECB"/>
    <w:rsid w:val="00374D12"/>
    <w:rsid w:val="00375AFF"/>
    <w:rsid w:val="00375FE8"/>
    <w:rsid w:val="00382374"/>
    <w:rsid w:val="00386148"/>
    <w:rsid w:val="00392052"/>
    <w:rsid w:val="003950FD"/>
    <w:rsid w:val="003A3F68"/>
    <w:rsid w:val="003B084D"/>
    <w:rsid w:val="003B241A"/>
    <w:rsid w:val="003B32E7"/>
    <w:rsid w:val="003B5F1C"/>
    <w:rsid w:val="003C006B"/>
    <w:rsid w:val="003C5426"/>
    <w:rsid w:val="003D5140"/>
    <w:rsid w:val="003E3268"/>
    <w:rsid w:val="003E342E"/>
    <w:rsid w:val="003E6F29"/>
    <w:rsid w:val="003E73B8"/>
    <w:rsid w:val="003F224B"/>
    <w:rsid w:val="003F2728"/>
    <w:rsid w:val="003F3BB8"/>
    <w:rsid w:val="003F51DD"/>
    <w:rsid w:val="0040511B"/>
    <w:rsid w:val="00421332"/>
    <w:rsid w:val="00422092"/>
    <w:rsid w:val="004228C0"/>
    <w:rsid w:val="00423475"/>
    <w:rsid w:val="00427F83"/>
    <w:rsid w:val="004310E9"/>
    <w:rsid w:val="0043388F"/>
    <w:rsid w:val="004347C4"/>
    <w:rsid w:val="00436EC0"/>
    <w:rsid w:val="00442AAC"/>
    <w:rsid w:val="00446FA1"/>
    <w:rsid w:val="0044754C"/>
    <w:rsid w:val="00450B8F"/>
    <w:rsid w:val="004643F7"/>
    <w:rsid w:val="0047086A"/>
    <w:rsid w:val="004723CF"/>
    <w:rsid w:val="00472C75"/>
    <w:rsid w:val="00477814"/>
    <w:rsid w:val="00483D0A"/>
    <w:rsid w:val="00483D66"/>
    <w:rsid w:val="00494E88"/>
    <w:rsid w:val="004A14D6"/>
    <w:rsid w:val="004A416B"/>
    <w:rsid w:val="004A511B"/>
    <w:rsid w:val="004A7653"/>
    <w:rsid w:val="004B1496"/>
    <w:rsid w:val="004B38CE"/>
    <w:rsid w:val="004B3A33"/>
    <w:rsid w:val="004C0748"/>
    <w:rsid w:val="004C1887"/>
    <w:rsid w:val="004C3906"/>
    <w:rsid w:val="004C75EE"/>
    <w:rsid w:val="004D1555"/>
    <w:rsid w:val="004D4C17"/>
    <w:rsid w:val="004E0A16"/>
    <w:rsid w:val="004E6AE6"/>
    <w:rsid w:val="004F0692"/>
    <w:rsid w:val="004F42C2"/>
    <w:rsid w:val="004F45A2"/>
    <w:rsid w:val="004F5E7B"/>
    <w:rsid w:val="0050029E"/>
    <w:rsid w:val="00507039"/>
    <w:rsid w:val="00510C86"/>
    <w:rsid w:val="00511280"/>
    <w:rsid w:val="00514015"/>
    <w:rsid w:val="00530F6C"/>
    <w:rsid w:val="00540FC2"/>
    <w:rsid w:val="005442CD"/>
    <w:rsid w:val="00546181"/>
    <w:rsid w:val="0054736D"/>
    <w:rsid w:val="005475C8"/>
    <w:rsid w:val="00551710"/>
    <w:rsid w:val="00566BA6"/>
    <w:rsid w:val="00570B14"/>
    <w:rsid w:val="00571E3E"/>
    <w:rsid w:val="00572E51"/>
    <w:rsid w:val="00574C6A"/>
    <w:rsid w:val="00580331"/>
    <w:rsid w:val="005822A6"/>
    <w:rsid w:val="00583913"/>
    <w:rsid w:val="005917CD"/>
    <w:rsid w:val="005A2828"/>
    <w:rsid w:val="005A5312"/>
    <w:rsid w:val="005A63AA"/>
    <w:rsid w:val="005A6D4C"/>
    <w:rsid w:val="005B06AA"/>
    <w:rsid w:val="005B4869"/>
    <w:rsid w:val="005C4D11"/>
    <w:rsid w:val="005C634C"/>
    <w:rsid w:val="005D00E0"/>
    <w:rsid w:val="005D7A0E"/>
    <w:rsid w:val="005F500A"/>
    <w:rsid w:val="00603DA9"/>
    <w:rsid w:val="00610BC1"/>
    <w:rsid w:val="00612DCD"/>
    <w:rsid w:val="006155D6"/>
    <w:rsid w:val="00622F1D"/>
    <w:rsid w:val="00625726"/>
    <w:rsid w:val="00625EA0"/>
    <w:rsid w:val="006266FA"/>
    <w:rsid w:val="00626CAD"/>
    <w:rsid w:val="00630403"/>
    <w:rsid w:val="00633418"/>
    <w:rsid w:val="00636E03"/>
    <w:rsid w:val="006374B3"/>
    <w:rsid w:val="00641438"/>
    <w:rsid w:val="00643534"/>
    <w:rsid w:val="006472B9"/>
    <w:rsid w:val="006639DD"/>
    <w:rsid w:val="00671CAF"/>
    <w:rsid w:val="00672589"/>
    <w:rsid w:val="00683161"/>
    <w:rsid w:val="006A5E06"/>
    <w:rsid w:val="006A6352"/>
    <w:rsid w:val="006B041B"/>
    <w:rsid w:val="006B11ED"/>
    <w:rsid w:val="006B21B8"/>
    <w:rsid w:val="006B2443"/>
    <w:rsid w:val="006B2F57"/>
    <w:rsid w:val="006B46A2"/>
    <w:rsid w:val="006B630C"/>
    <w:rsid w:val="006C194D"/>
    <w:rsid w:val="006C214E"/>
    <w:rsid w:val="006C6687"/>
    <w:rsid w:val="006C66F7"/>
    <w:rsid w:val="006D6543"/>
    <w:rsid w:val="006E0CBD"/>
    <w:rsid w:val="006E5E57"/>
    <w:rsid w:val="007001E5"/>
    <w:rsid w:val="00704273"/>
    <w:rsid w:val="00713603"/>
    <w:rsid w:val="0071477F"/>
    <w:rsid w:val="007217FE"/>
    <w:rsid w:val="007221B9"/>
    <w:rsid w:val="00723655"/>
    <w:rsid w:val="0072386A"/>
    <w:rsid w:val="0072582A"/>
    <w:rsid w:val="00727430"/>
    <w:rsid w:val="007306B7"/>
    <w:rsid w:val="0073217C"/>
    <w:rsid w:val="007340CE"/>
    <w:rsid w:val="00742EC4"/>
    <w:rsid w:val="00746A53"/>
    <w:rsid w:val="00746BB5"/>
    <w:rsid w:val="00756A63"/>
    <w:rsid w:val="007601DA"/>
    <w:rsid w:val="0076480A"/>
    <w:rsid w:val="0077028E"/>
    <w:rsid w:val="0077372C"/>
    <w:rsid w:val="00782A79"/>
    <w:rsid w:val="0078471C"/>
    <w:rsid w:val="0079284C"/>
    <w:rsid w:val="00793BCE"/>
    <w:rsid w:val="00794188"/>
    <w:rsid w:val="007963C9"/>
    <w:rsid w:val="007A02A2"/>
    <w:rsid w:val="007A200C"/>
    <w:rsid w:val="007A4221"/>
    <w:rsid w:val="007A616B"/>
    <w:rsid w:val="007A7E8D"/>
    <w:rsid w:val="007B1F65"/>
    <w:rsid w:val="007B2772"/>
    <w:rsid w:val="007B478D"/>
    <w:rsid w:val="007B7F46"/>
    <w:rsid w:val="007C3886"/>
    <w:rsid w:val="007D2B93"/>
    <w:rsid w:val="007E10BA"/>
    <w:rsid w:val="007E46CC"/>
    <w:rsid w:val="007E4B94"/>
    <w:rsid w:val="007E62DD"/>
    <w:rsid w:val="007E66A7"/>
    <w:rsid w:val="0080130E"/>
    <w:rsid w:val="00802BB8"/>
    <w:rsid w:val="00810BEE"/>
    <w:rsid w:val="00814108"/>
    <w:rsid w:val="00814ED5"/>
    <w:rsid w:val="008221F2"/>
    <w:rsid w:val="00825915"/>
    <w:rsid w:val="00827057"/>
    <w:rsid w:val="00836BB9"/>
    <w:rsid w:val="00842EEE"/>
    <w:rsid w:val="00844DEF"/>
    <w:rsid w:val="00847D74"/>
    <w:rsid w:val="00850D41"/>
    <w:rsid w:val="00854FE6"/>
    <w:rsid w:val="0085535C"/>
    <w:rsid w:val="008613CC"/>
    <w:rsid w:val="00861725"/>
    <w:rsid w:val="00865125"/>
    <w:rsid w:val="008657E7"/>
    <w:rsid w:val="00865A01"/>
    <w:rsid w:val="008822BA"/>
    <w:rsid w:val="008945D4"/>
    <w:rsid w:val="00896076"/>
    <w:rsid w:val="008A4437"/>
    <w:rsid w:val="008A6429"/>
    <w:rsid w:val="008B0902"/>
    <w:rsid w:val="008B16F4"/>
    <w:rsid w:val="008C3590"/>
    <w:rsid w:val="008C5339"/>
    <w:rsid w:val="008D0855"/>
    <w:rsid w:val="008D0A50"/>
    <w:rsid w:val="008D2CE1"/>
    <w:rsid w:val="008D44DB"/>
    <w:rsid w:val="008D49D2"/>
    <w:rsid w:val="008E0D15"/>
    <w:rsid w:val="008E22D1"/>
    <w:rsid w:val="008E3DCD"/>
    <w:rsid w:val="008E4DB5"/>
    <w:rsid w:val="008E5364"/>
    <w:rsid w:val="008E66BB"/>
    <w:rsid w:val="008F2918"/>
    <w:rsid w:val="008F6390"/>
    <w:rsid w:val="008F7120"/>
    <w:rsid w:val="00901EE2"/>
    <w:rsid w:val="009076CA"/>
    <w:rsid w:val="0090792D"/>
    <w:rsid w:val="009113F5"/>
    <w:rsid w:val="009117C2"/>
    <w:rsid w:val="00912A27"/>
    <w:rsid w:val="00912C5C"/>
    <w:rsid w:val="00912E2F"/>
    <w:rsid w:val="00914ADB"/>
    <w:rsid w:val="00917F78"/>
    <w:rsid w:val="00926548"/>
    <w:rsid w:val="00935531"/>
    <w:rsid w:val="009364AA"/>
    <w:rsid w:val="009529B3"/>
    <w:rsid w:val="00956596"/>
    <w:rsid w:val="00957350"/>
    <w:rsid w:val="00957601"/>
    <w:rsid w:val="00960212"/>
    <w:rsid w:val="009604D3"/>
    <w:rsid w:val="009606ED"/>
    <w:rsid w:val="00964C56"/>
    <w:rsid w:val="00967788"/>
    <w:rsid w:val="00971D19"/>
    <w:rsid w:val="0098189B"/>
    <w:rsid w:val="00985BC2"/>
    <w:rsid w:val="00987CA8"/>
    <w:rsid w:val="00992AB7"/>
    <w:rsid w:val="00994A42"/>
    <w:rsid w:val="00995B3D"/>
    <w:rsid w:val="00997D47"/>
    <w:rsid w:val="009A4448"/>
    <w:rsid w:val="009A62B5"/>
    <w:rsid w:val="009B713D"/>
    <w:rsid w:val="009B74CA"/>
    <w:rsid w:val="009D1FDE"/>
    <w:rsid w:val="009D22B0"/>
    <w:rsid w:val="009D416C"/>
    <w:rsid w:val="009D5305"/>
    <w:rsid w:val="009D533C"/>
    <w:rsid w:val="009F3786"/>
    <w:rsid w:val="009F436D"/>
    <w:rsid w:val="009F4FF4"/>
    <w:rsid w:val="009F5675"/>
    <w:rsid w:val="00A00B08"/>
    <w:rsid w:val="00A03897"/>
    <w:rsid w:val="00A11673"/>
    <w:rsid w:val="00A14699"/>
    <w:rsid w:val="00A148B7"/>
    <w:rsid w:val="00A246AE"/>
    <w:rsid w:val="00A262ED"/>
    <w:rsid w:val="00A30001"/>
    <w:rsid w:val="00A32D5A"/>
    <w:rsid w:val="00A3359C"/>
    <w:rsid w:val="00A34893"/>
    <w:rsid w:val="00A3685A"/>
    <w:rsid w:val="00A4296D"/>
    <w:rsid w:val="00A44EE0"/>
    <w:rsid w:val="00A45EC9"/>
    <w:rsid w:val="00A50515"/>
    <w:rsid w:val="00A56B83"/>
    <w:rsid w:val="00A574C7"/>
    <w:rsid w:val="00A60369"/>
    <w:rsid w:val="00A65BE9"/>
    <w:rsid w:val="00A674BB"/>
    <w:rsid w:val="00A714CD"/>
    <w:rsid w:val="00A747B4"/>
    <w:rsid w:val="00A74C4B"/>
    <w:rsid w:val="00A84392"/>
    <w:rsid w:val="00A94649"/>
    <w:rsid w:val="00A97EF4"/>
    <w:rsid w:val="00AA62E4"/>
    <w:rsid w:val="00AA75D5"/>
    <w:rsid w:val="00AB0953"/>
    <w:rsid w:val="00AB1C6E"/>
    <w:rsid w:val="00AB4B27"/>
    <w:rsid w:val="00AB65DC"/>
    <w:rsid w:val="00AC2406"/>
    <w:rsid w:val="00AC3E17"/>
    <w:rsid w:val="00AC43EB"/>
    <w:rsid w:val="00AC7128"/>
    <w:rsid w:val="00AC72DC"/>
    <w:rsid w:val="00AD4B0B"/>
    <w:rsid w:val="00AD722A"/>
    <w:rsid w:val="00AD7511"/>
    <w:rsid w:val="00AE4ECD"/>
    <w:rsid w:val="00AF26BF"/>
    <w:rsid w:val="00AF4D03"/>
    <w:rsid w:val="00AF6CE1"/>
    <w:rsid w:val="00B025A1"/>
    <w:rsid w:val="00B03499"/>
    <w:rsid w:val="00B04CDB"/>
    <w:rsid w:val="00B056D4"/>
    <w:rsid w:val="00B15FCF"/>
    <w:rsid w:val="00B166E7"/>
    <w:rsid w:val="00B220D8"/>
    <w:rsid w:val="00B25599"/>
    <w:rsid w:val="00B25BFD"/>
    <w:rsid w:val="00B274A0"/>
    <w:rsid w:val="00B34E15"/>
    <w:rsid w:val="00B40B3A"/>
    <w:rsid w:val="00B438E9"/>
    <w:rsid w:val="00B43CAF"/>
    <w:rsid w:val="00B4567D"/>
    <w:rsid w:val="00B52B18"/>
    <w:rsid w:val="00B61FB1"/>
    <w:rsid w:val="00B65A63"/>
    <w:rsid w:val="00B70636"/>
    <w:rsid w:val="00B70E0D"/>
    <w:rsid w:val="00B718CA"/>
    <w:rsid w:val="00B76B28"/>
    <w:rsid w:val="00B87CB0"/>
    <w:rsid w:val="00B93C6C"/>
    <w:rsid w:val="00B9748E"/>
    <w:rsid w:val="00BB0D16"/>
    <w:rsid w:val="00BB7007"/>
    <w:rsid w:val="00BC4409"/>
    <w:rsid w:val="00BC4D74"/>
    <w:rsid w:val="00BC6A1B"/>
    <w:rsid w:val="00BF3B52"/>
    <w:rsid w:val="00C11DCE"/>
    <w:rsid w:val="00C16087"/>
    <w:rsid w:val="00C172E1"/>
    <w:rsid w:val="00C21C32"/>
    <w:rsid w:val="00C22255"/>
    <w:rsid w:val="00C24AF8"/>
    <w:rsid w:val="00C26CF9"/>
    <w:rsid w:val="00C27CFC"/>
    <w:rsid w:val="00C3220F"/>
    <w:rsid w:val="00C331FA"/>
    <w:rsid w:val="00C4257E"/>
    <w:rsid w:val="00C4312F"/>
    <w:rsid w:val="00C454B2"/>
    <w:rsid w:val="00C64471"/>
    <w:rsid w:val="00C70A84"/>
    <w:rsid w:val="00C72C68"/>
    <w:rsid w:val="00C73C8A"/>
    <w:rsid w:val="00C80F84"/>
    <w:rsid w:val="00C816F4"/>
    <w:rsid w:val="00C85FDC"/>
    <w:rsid w:val="00C8729C"/>
    <w:rsid w:val="00C94062"/>
    <w:rsid w:val="00C9433B"/>
    <w:rsid w:val="00C974A9"/>
    <w:rsid w:val="00C97A42"/>
    <w:rsid w:val="00C97C76"/>
    <w:rsid w:val="00CA2F2C"/>
    <w:rsid w:val="00CA39A7"/>
    <w:rsid w:val="00CA4AB7"/>
    <w:rsid w:val="00CC6CE5"/>
    <w:rsid w:val="00CD0BE2"/>
    <w:rsid w:val="00CE0091"/>
    <w:rsid w:val="00CE41B2"/>
    <w:rsid w:val="00CF713C"/>
    <w:rsid w:val="00D01238"/>
    <w:rsid w:val="00D027CD"/>
    <w:rsid w:val="00D043DB"/>
    <w:rsid w:val="00D04A5F"/>
    <w:rsid w:val="00D0506E"/>
    <w:rsid w:val="00D11A7F"/>
    <w:rsid w:val="00D1449F"/>
    <w:rsid w:val="00D160EA"/>
    <w:rsid w:val="00D1677C"/>
    <w:rsid w:val="00D245CE"/>
    <w:rsid w:val="00D25CFA"/>
    <w:rsid w:val="00D305E0"/>
    <w:rsid w:val="00D4561C"/>
    <w:rsid w:val="00D46AD4"/>
    <w:rsid w:val="00D506B7"/>
    <w:rsid w:val="00D54E86"/>
    <w:rsid w:val="00D558A8"/>
    <w:rsid w:val="00D56DFB"/>
    <w:rsid w:val="00D62BC8"/>
    <w:rsid w:val="00D71783"/>
    <w:rsid w:val="00D75C27"/>
    <w:rsid w:val="00D8419E"/>
    <w:rsid w:val="00D84861"/>
    <w:rsid w:val="00D87F1A"/>
    <w:rsid w:val="00D9232A"/>
    <w:rsid w:val="00D93220"/>
    <w:rsid w:val="00D9565A"/>
    <w:rsid w:val="00DA05D3"/>
    <w:rsid w:val="00DA11CC"/>
    <w:rsid w:val="00DA2D29"/>
    <w:rsid w:val="00DA7555"/>
    <w:rsid w:val="00DB2B73"/>
    <w:rsid w:val="00DC083A"/>
    <w:rsid w:val="00DC42DD"/>
    <w:rsid w:val="00DD566F"/>
    <w:rsid w:val="00DE0268"/>
    <w:rsid w:val="00DE2C45"/>
    <w:rsid w:val="00DE45AE"/>
    <w:rsid w:val="00DF4014"/>
    <w:rsid w:val="00DF5464"/>
    <w:rsid w:val="00DF70A9"/>
    <w:rsid w:val="00E12901"/>
    <w:rsid w:val="00E13A6D"/>
    <w:rsid w:val="00E13EF6"/>
    <w:rsid w:val="00E14097"/>
    <w:rsid w:val="00E24A8B"/>
    <w:rsid w:val="00E267F2"/>
    <w:rsid w:val="00E27D03"/>
    <w:rsid w:val="00E3004F"/>
    <w:rsid w:val="00E33BA0"/>
    <w:rsid w:val="00E376FF"/>
    <w:rsid w:val="00E4374E"/>
    <w:rsid w:val="00E43E22"/>
    <w:rsid w:val="00E51CDD"/>
    <w:rsid w:val="00E53A99"/>
    <w:rsid w:val="00E6026A"/>
    <w:rsid w:val="00E60B2D"/>
    <w:rsid w:val="00E6324D"/>
    <w:rsid w:val="00E668D4"/>
    <w:rsid w:val="00E673F9"/>
    <w:rsid w:val="00E704F2"/>
    <w:rsid w:val="00E7082A"/>
    <w:rsid w:val="00E71C77"/>
    <w:rsid w:val="00E80999"/>
    <w:rsid w:val="00E850AB"/>
    <w:rsid w:val="00E875EB"/>
    <w:rsid w:val="00E87918"/>
    <w:rsid w:val="00EA195B"/>
    <w:rsid w:val="00EA5D6B"/>
    <w:rsid w:val="00EA7F62"/>
    <w:rsid w:val="00EB0097"/>
    <w:rsid w:val="00EB393A"/>
    <w:rsid w:val="00EC5022"/>
    <w:rsid w:val="00EC7950"/>
    <w:rsid w:val="00ED003E"/>
    <w:rsid w:val="00ED0A2E"/>
    <w:rsid w:val="00ED1480"/>
    <w:rsid w:val="00ED49ED"/>
    <w:rsid w:val="00ED5ACF"/>
    <w:rsid w:val="00ED759E"/>
    <w:rsid w:val="00ED79CA"/>
    <w:rsid w:val="00EE1528"/>
    <w:rsid w:val="00EE40DE"/>
    <w:rsid w:val="00EE5310"/>
    <w:rsid w:val="00F07B05"/>
    <w:rsid w:val="00F21510"/>
    <w:rsid w:val="00F371E6"/>
    <w:rsid w:val="00F41B3E"/>
    <w:rsid w:val="00F428EE"/>
    <w:rsid w:val="00F42CDE"/>
    <w:rsid w:val="00F454FD"/>
    <w:rsid w:val="00F46D79"/>
    <w:rsid w:val="00F505EC"/>
    <w:rsid w:val="00F50FF1"/>
    <w:rsid w:val="00F52138"/>
    <w:rsid w:val="00F60420"/>
    <w:rsid w:val="00F604C4"/>
    <w:rsid w:val="00F65C47"/>
    <w:rsid w:val="00F8554B"/>
    <w:rsid w:val="00F85768"/>
    <w:rsid w:val="00F91247"/>
    <w:rsid w:val="00F92CB7"/>
    <w:rsid w:val="00F9312D"/>
    <w:rsid w:val="00F95BAD"/>
    <w:rsid w:val="00FA3426"/>
    <w:rsid w:val="00FA412B"/>
    <w:rsid w:val="00FA600E"/>
    <w:rsid w:val="00FB133A"/>
    <w:rsid w:val="00FC2F26"/>
    <w:rsid w:val="00FE482C"/>
    <w:rsid w:val="00FE74C3"/>
    <w:rsid w:val="00FF391C"/>
    <w:rsid w:val="00FF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EC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786"/>
    <w:pPr>
      <w:widowControl w:val="0"/>
    </w:pPr>
    <w:rPr>
      <w:snapToGrid w:val="0"/>
      <w:sz w:val="24"/>
    </w:rPr>
  </w:style>
  <w:style w:type="paragraph" w:styleId="Heading2">
    <w:name w:val="heading 2"/>
    <w:basedOn w:val="Normal"/>
    <w:next w:val="Normal"/>
    <w:qFormat/>
    <w:rsid w:val="009F3786"/>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Footnote Text Char2 Char Char Char,Footnote Text Char1 Char1 Char Char Char,Footnote Text Char Char Char Char Char Char,Footnote Text Char1,Footnote Text Char2,fn Cha"/>
    <w:basedOn w:val="Normal"/>
    <w:link w:val="FootnoteTextChar3"/>
    <w:semiHidden/>
    <w:rsid w:val="009F3786"/>
    <w:pPr>
      <w:widowControl/>
      <w:spacing w:after="120"/>
    </w:pPr>
    <w:rPr>
      <w:sz w:val="20"/>
    </w:rPr>
  </w:style>
  <w:style w:type="character" w:styleId="FootnoteReference">
    <w:name w:val="footnote reference"/>
    <w:aliases w:val="Style 12,(NECG) Footnote Reference,Appel note de bas de p,Style 124,o,fr,Style 3"/>
    <w:semiHidden/>
    <w:rsid w:val="009F3786"/>
    <w:rPr>
      <w:rFonts w:ascii="CG Times" w:hAnsi="CG Times"/>
      <w:sz w:val="20"/>
      <w:vertAlign w:val="superscript"/>
    </w:rPr>
  </w:style>
  <w:style w:type="paragraph" w:styleId="Footer">
    <w:name w:val="footer"/>
    <w:basedOn w:val="Normal"/>
    <w:link w:val="FooterChar"/>
    <w:rsid w:val="009F3786"/>
    <w:pPr>
      <w:tabs>
        <w:tab w:val="center" w:pos="4320"/>
        <w:tab w:val="right" w:pos="8640"/>
      </w:tabs>
    </w:pPr>
  </w:style>
  <w:style w:type="character" w:styleId="PageNumber">
    <w:name w:val="page number"/>
    <w:basedOn w:val="DefaultParagraphFont"/>
    <w:rsid w:val="009F3786"/>
  </w:style>
  <w:style w:type="paragraph" w:styleId="BodyText">
    <w:name w:val="Body Text"/>
    <w:basedOn w:val="Normal"/>
    <w:rsid w:val="009F3786"/>
    <w:pPr>
      <w:widowControl/>
      <w:jc w:val="both"/>
    </w:pPr>
    <w:rPr>
      <w:snapToGrid/>
      <w:sz w:val="22"/>
    </w:rPr>
  </w:style>
  <w:style w:type="paragraph" w:styleId="BodyText3">
    <w:name w:val="Body Text 3"/>
    <w:basedOn w:val="Normal"/>
    <w:rsid w:val="009F3786"/>
    <w:pPr>
      <w:widowControl/>
      <w:jc w:val="both"/>
    </w:pPr>
    <w:rPr>
      <w:snapToGrid/>
    </w:rPr>
  </w:style>
  <w:style w:type="paragraph" w:styleId="Header">
    <w:name w:val="header"/>
    <w:basedOn w:val="Normal"/>
    <w:rsid w:val="009F3786"/>
    <w:pPr>
      <w:tabs>
        <w:tab w:val="center" w:pos="4320"/>
        <w:tab w:val="right" w:pos="8640"/>
      </w:tabs>
    </w:pPr>
  </w:style>
  <w:style w:type="character" w:customStyle="1" w:styleId="FootnoteTextChar3">
    <w:name w:val="Footnote Text Char3"/>
    <w:aliases w:val="Footnote Text Char Char1,Footnote Text Char1 Char Char1,Footnote Text Char Char Char Char,Footnote Text Char2 Char Char Char Char,Footnote Text Char1 Char1 Char Char Char Char,Footnote Text Char Char Char Char Char Char Char"/>
    <w:link w:val="FootnoteText"/>
    <w:rsid w:val="00026377"/>
    <w:rPr>
      <w:snapToGrid w:val="0"/>
      <w:lang w:val="en-US" w:eastAsia="en-US" w:bidi="ar-SA"/>
    </w:rPr>
  </w:style>
  <w:style w:type="paragraph" w:styleId="BalloonText">
    <w:name w:val="Balloon Text"/>
    <w:basedOn w:val="Normal"/>
    <w:semiHidden/>
    <w:rsid w:val="00C80F84"/>
    <w:rPr>
      <w:rFonts w:ascii="Tahoma" w:hAnsi="Tahoma" w:cs="Tahoma"/>
      <w:sz w:val="16"/>
      <w:szCs w:val="16"/>
    </w:rPr>
  </w:style>
  <w:style w:type="character" w:customStyle="1" w:styleId="FootnoteTextCharChar">
    <w:name w:val="Footnote Text Char Char"/>
    <w:aliases w:val="Footnote Text Char1 Char Char,Footnote Text Char Char1 Char Char,Footnote Text Char2 Char1 Char Char Char,Footnote Text Char Char1 Char Char Char1 Char,Footnote Text Char1 Char Char Char1 Char Char Char,Footnote Text Char1 Char1"/>
    <w:locked/>
    <w:rsid w:val="002B180C"/>
    <w:rPr>
      <w:lang w:val="en-US" w:eastAsia="en-US" w:bidi="ar-SA"/>
    </w:rPr>
  </w:style>
  <w:style w:type="character" w:styleId="CommentReference">
    <w:name w:val="annotation reference"/>
    <w:semiHidden/>
    <w:rsid w:val="00A74C4B"/>
    <w:rPr>
      <w:sz w:val="16"/>
      <w:szCs w:val="16"/>
    </w:rPr>
  </w:style>
  <w:style w:type="paragraph" w:styleId="CommentText">
    <w:name w:val="annotation text"/>
    <w:basedOn w:val="Normal"/>
    <w:semiHidden/>
    <w:rsid w:val="00A74C4B"/>
    <w:rPr>
      <w:sz w:val="20"/>
    </w:rPr>
  </w:style>
  <w:style w:type="paragraph" w:styleId="CommentSubject">
    <w:name w:val="annotation subject"/>
    <w:basedOn w:val="CommentText"/>
    <w:next w:val="CommentText"/>
    <w:semiHidden/>
    <w:rsid w:val="00A74C4B"/>
    <w:rPr>
      <w:b/>
      <w:bCs/>
    </w:rPr>
  </w:style>
  <w:style w:type="character" w:customStyle="1" w:styleId="documentbody5">
    <w:name w:val="documentbody5"/>
    <w:rsid w:val="00DC42DD"/>
    <w:rPr>
      <w:rFonts w:ascii="Verdana" w:hAnsi="Verdana" w:hint="default"/>
      <w:sz w:val="19"/>
      <w:szCs w:val="19"/>
    </w:rPr>
  </w:style>
  <w:style w:type="character" w:customStyle="1" w:styleId="FooterChar">
    <w:name w:val="Footer Char"/>
    <w:link w:val="Footer"/>
    <w:rsid w:val="00DC42DD"/>
    <w:rPr>
      <w:snapToGrid w:val="0"/>
      <w:sz w:val="24"/>
      <w:lang w:val="en-US" w:eastAsia="en-US" w:bidi="ar-SA"/>
    </w:rPr>
  </w:style>
  <w:style w:type="character" w:styleId="Hyperlink">
    <w:name w:val="Hyperlink"/>
    <w:rsid w:val="003B241A"/>
    <w:rPr>
      <w:color w:val="0000FF"/>
      <w:u w:val="single"/>
    </w:rPr>
  </w:style>
  <w:style w:type="character" w:styleId="FollowedHyperlink">
    <w:name w:val="FollowedHyperlink"/>
    <w:rsid w:val="008C3590"/>
    <w:rPr>
      <w:color w:val="800080"/>
      <w:u w:val="single"/>
    </w:rPr>
  </w:style>
  <w:style w:type="character" w:customStyle="1" w:styleId="documentbody1">
    <w:name w:val="documentbody1"/>
    <w:rsid w:val="00032C6E"/>
    <w:rPr>
      <w:rFonts w:ascii="Verdana" w:hAnsi="Verdana" w:hint="default"/>
      <w:sz w:val="19"/>
      <w:szCs w:val="19"/>
    </w:rPr>
  </w:style>
  <w:style w:type="character" w:customStyle="1" w:styleId="term1">
    <w:name w:val="term1"/>
    <w:basedOn w:val="DefaultParagraphFont"/>
    <w:rsid w:val="000F75D7"/>
    <w:rPr>
      <w:b/>
      <w:bCs/>
    </w:rPr>
  </w:style>
  <w:style w:type="character" w:customStyle="1" w:styleId="pmterms21">
    <w:name w:val="pmterms21"/>
    <w:basedOn w:val="DefaultParagraphFont"/>
    <w:rsid w:val="003E6F29"/>
    <w:rPr>
      <w:b/>
      <w:bCs/>
      <w:i w:val="0"/>
      <w:iCs w:val="0"/>
      <w:color w:val="000000"/>
    </w:rPr>
  </w:style>
  <w:style w:type="character" w:customStyle="1" w:styleId="pmterms11">
    <w:name w:val="pmterms11"/>
    <w:basedOn w:val="DefaultParagraphFont"/>
    <w:rsid w:val="00192FE2"/>
    <w:rPr>
      <w:b/>
      <w:bCs/>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786"/>
    <w:pPr>
      <w:widowControl w:val="0"/>
    </w:pPr>
    <w:rPr>
      <w:snapToGrid w:val="0"/>
      <w:sz w:val="24"/>
    </w:rPr>
  </w:style>
  <w:style w:type="paragraph" w:styleId="Heading2">
    <w:name w:val="heading 2"/>
    <w:basedOn w:val="Normal"/>
    <w:next w:val="Normal"/>
    <w:qFormat/>
    <w:rsid w:val="009F3786"/>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Footnote Text Char2 Char Char Char,Footnote Text Char1 Char1 Char Char Char,Footnote Text Char Char Char Char Char Char,Footnote Text Char1,Footnote Text Char2,fn Cha"/>
    <w:basedOn w:val="Normal"/>
    <w:link w:val="FootnoteTextChar3"/>
    <w:semiHidden/>
    <w:rsid w:val="009F3786"/>
    <w:pPr>
      <w:widowControl/>
      <w:spacing w:after="120"/>
    </w:pPr>
    <w:rPr>
      <w:sz w:val="20"/>
    </w:rPr>
  </w:style>
  <w:style w:type="character" w:styleId="FootnoteReference">
    <w:name w:val="footnote reference"/>
    <w:aliases w:val="Style 12,(NECG) Footnote Reference,Appel note de bas de p,Style 124,o,fr,Style 3"/>
    <w:semiHidden/>
    <w:rsid w:val="009F3786"/>
    <w:rPr>
      <w:rFonts w:ascii="CG Times" w:hAnsi="CG Times"/>
      <w:sz w:val="20"/>
      <w:vertAlign w:val="superscript"/>
    </w:rPr>
  </w:style>
  <w:style w:type="paragraph" w:styleId="Footer">
    <w:name w:val="footer"/>
    <w:basedOn w:val="Normal"/>
    <w:link w:val="FooterChar"/>
    <w:rsid w:val="009F3786"/>
    <w:pPr>
      <w:tabs>
        <w:tab w:val="center" w:pos="4320"/>
        <w:tab w:val="right" w:pos="8640"/>
      </w:tabs>
    </w:pPr>
  </w:style>
  <w:style w:type="character" w:styleId="PageNumber">
    <w:name w:val="page number"/>
    <w:basedOn w:val="DefaultParagraphFont"/>
    <w:rsid w:val="009F3786"/>
  </w:style>
  <w:style w:type="paragraph" w:styleId="BodyText">
    <w:name w:val="Body Text"/>
    <w:basedOn w:val="Normal"/>
    <w:rsid w:val="009F3786"/>
    <w:pPr>
      <w:widowControl/>
      <w:jc w:val="both"/>
    </w:pPr>
    <w:rPr>
      <w:snapToGrid/>
      <w:sz w:val="22"/>
    </w:rPr>
  </w:style>
  <w:style w:type="paragraph" w:styleId="BodyText3">
    <w:name w:val="Body Text 3"/>
    <w:basedOn w:val="Normal"/>
    <w:rsid w:val="009F3786"/>
    <w:pPr>
      <w:widowControl/>
      <w:jc w:val="both"/>
    </w:pPr>
    <w:rPr>
      <w:snapToGrid/>
    </w:rPr>
  </w:style>
  <w:style w:type="paragraph" w:styleId="Header">
    <w:name w:val="header"/>
    <w:basedOn w:val="Normal"/>
    <w:rsid w:val="009F3786"/>
    <w:pPr>
      <w:tabs>
        <w:tab w:val="center" w:pos="4320"/>
        <w:tab w:val="right" w:pos="8640"/>
      </w:tabs>
    </w:pPr>
  </w:style>
  <w:style w:type="character" w:customStyle="1" w:styleId="FootnoteTextChar3">
    <w:name w:val="Footnote Text Char3"/>
    <w:aliases w:val="Footnote Text Char Char1,Footnote Text Char1 Char Char1,Footnote Text Char Char Char Char,Footnote Text Char2 Char Char Char Char,Footnote Text Char1 Char1 Char Char Char Char,Footnote Text Char Char Char Char Char Char Char"/>
    <w:link w:val="FootnoteText"/>
    <w:rsid w:val="00026377"/>
    <w:rPr>
      <w:snapToGrid w:val="0"/>
      <w:lang w:val="en-US" w:eastAsia="en-US" w:bidi="ar-SA"/>
    </w:rPr>
  </w:style>
  <w:style w:type="paragraph" w:styleId="BalloonText">
    <w:name w:val="Balloon Text"/>
    <w:basedOn w:val="Normal"/>
    <w:semiHidden/>
    <w:rsid w:val="00C80F84"/>
    <w:rPr>
      <w:rFonts w:ascii="Tahoma" w:hAnsi="Tahoma" w:cs="Tahoma"/>
      <w:sz w:val="16"/>
      <w:szCs w:val="16"/>
    </w:rPr>
  </w:style>
  <w:style w:type="character" w:customStyle="1" w:styleId="FootnoteTextCharChar">
    <w:name w:val="Footnote Text Char Char"/>
    <w:aliases w:val="Footnote Text Char1 Char Char,Footnote Text Char Char1 Char Char,Footnote Text Char2 Char1 Char Char Char,Footnote Text Char Char1 Char Char Char1 Char,Footnote Text Char1 Char Char Char1 Char Char Char,Footnote Text Char1 Char1"/>
    <w:locked/>
    <w:rsid w:val="002B180C"/>
    <w:rPr>
      <w:lang w:val="en-US" w:eastAsia="en-US" w:bidi="ar-SA"/>
    </w:rPr>
  </w:style>
  <w:style w:type="character" w:styleId="CommentReference">
    <w:name w:val="annotation reference"/>
    <w:semiHidden/>
    <w:rsid w:val="00A74C4B"/>
    <w:rPr>
      <w:sz w:val="16"/>
      <w:szCs w:val="16"/>
    </w:rPr>
  </w:style>
  <w:style w:type="paragraph" w:styleId="CommentText">
    <w:name w:val="annotation text"/>
    <w:basedOn w:val="Normal"/>
    <w:semiHidden/>
    <w:rsid w:val="00A74C4B"/>
    <w:rPr>
      <w:sz w:val="20"/>
    </w:rPr>
  </w:style>
  <w:style w:type="paragraph" w:styleId="CommentSubject">
    <w:name w:val="annotation subject"/>
    <w:basedOn w:val="CommentText"/>
    <w:next w:val="CommentText"/>
    <w:semiHidden/>
    <w:rsid w:val="00A74C4B"/>
    <w:rPr>
      <w:b/>
      <w:bCs/>
    </w:rPr>
  </w:style>
  <w:style w:type="character" w:customStyle="1" w:styleId="documentbody5">
    <w:name w:val="documentbody5"/>
    <w:rsid w:val="00DC42DD"/>
    <w:rPr>
      <w:rFonts w:ascii="Verdana" w:hAnsi="Verdana" w:hint="default"/>
      <w:sz w:val="19"/>
      <w:szCs w:val="19"/>
    </w:rPr>
  </w:style>
  <w:style w:type="character" w:customStyle="1" w:styleId="FooterChar">
    <w:name w:val="Footer Char"/>
    <w:link w:val="Footer"/>
    <w:rsid w:val="00DC42DD"/>
    <w:rPr>
      <w:snapToGrid w:val="0"/>
      <w:sz w:val="24"/>
      <w:lang w:val="en-US" w:eastAsia="en-US" w:bidi="ar-SA"/>
    </w:rPr>
  </w:style>
  <w:style w:type="character" w:styleId="Hyperlink">
    <w:name w:val="Hyperlink"/>
    <w:rsid w:val="003B241A"/>
    <w:rPr>
      <w:color w:val="0000FF"/>
      <w:u w:val="single"/>
    </w:rPr>
  </w:style>
  <w:style w:type="character" w:styleId="FollowedHyperlink">
    <w:name w:val="FollowedHyperlink"/>
    <w:rsid w:val="008C3590"/>
    <w:rPr>
      <w:color w:val="800080"/>
      <w:u w:val="single"/>
    </w:rPr>
  </w:style>
  <w:style w:type="character" w:customStyle="1" w:styleId="documentbody1">
    <w:name w:val="documentbody1"/>
    <w:rsid w:val="00032C6E"/>
    <w:rPr>
      <w:rFonts w:ascii="Verdana" w:hAnsi="Verdana" w:hint="default"/>
      <w:sz w:val="19"/>
      <w:szCs w:val="19"/>
    </w:rPr>
  </w:style>
  <w:style w:type="character" w:customStyle="1" w:styleId="term1">
    <w:name w:val="term1"/>
    <w:basedOn w:val="DefaultParagraphFont"/>
    <w:rsid w:val="000F75D7"/>
    <w:rPr>
      <w:b/>
      <w:bCs/>
    </w:rPr>
  </w:style>
  <w:style w:type="character" w:customStyle="1" w:styleId="pmterms21">
    <w:name w:val="pmterms21"/>
    <w:basedOn w:val="DefaultParagraphFont"/>
    <w:rsid w:val="003E6F29"/>
    <w:rPr>
      <w:b/>
      <w:bCs/>
      <w:i w:val="0"/>
      <w:iCs w:val="0"/>
      <w:color w:val="000000"/>
    </w:rPr>
  </w:style>
  <w:style w:type="character" w:customStyle="1" w:styleId="pmterms11">
    <w:name w:val="pmterms11"/>
    <w:basedOn w:val="DefaultParagraphFont"/>
    <w:rsid w:val="00192FE2"/>
    <w:rPr>
      <w:b/>
      <w:bCs/>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66857">
      <w:bodyDiv w:val="1"/>
      <w:marLeft w:val="0"/>
      <w:marRight w:val="0"/>
      <w:marTop w:val="30"/>
      <w:marBottom w:val="750"/>
      <w:divBdr>
        <w:top w:val="none" w:sz="0" w:space="0" w:color="auto"/>
        <w:left w:val="none" w:sz="0" w:space="0" w:color="auto"/>
        <w:bottom w:val="none" w:sz="0" w:space="0" w:color="auto"/>
        <w:right w:val="none" w:sz="0" w:space="0" w:color="auto"/>
      </w:divBdr>
      <w:divsChild>
        <w:div w:id="559053872">
          <w:marLeft w:val="0"/>
          <w:marRight w:val="0"/>
          <w:marTop w:val="0"/>
          <w:marBottom w:val="0"/>
          <w:divBdr>
            <w:top w:val="none" w:sz="0" w:space="0" w:color="auto"/>
            <w:left w:val="none" w:sz="0" w:space="0" w:color="auto"/>
            <w:bottom w:val="none" w:sz="0" w:space="0" w:color="auto"/>
            <w:right w:val="none" w:sz="0" w:space="0" w:color="auto"/>
          </w:divBdr>
        </w:div>
      </w:divsChild>
    </w:div>
    <w:div w:id="81075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2241</Words>
  <Characters>12837</Characters>
  <Application>Microsoft Office Word</Application>
  <DocSecurity>0</DocSecurity>
  <Lines>222</Lines>
  <Paragraphs>52</Paragraphs>
  <ScaleCrop>false</ScaleCrop>
  <HeadingPairs>
    <vt:vector size="2" baseType="variant">
      <vt:variant>
        <vt:lpstr>Title</vt:lpstr>
      </vt:variant>
      <vt:variant>
        <vt:i4>1</vt:i4>
      </vt:variant>
    </vt:vector>
  </HeadingPairs>
  <TitlesOfParts>
    <vt:vector size="1" baseType="lpstr">
      <vt:lpstr>Hubbardston Community Radio</vt:lpstr>
    </vt:vector>
  </TitlesOfParts>
  <Manager/>
  <Company/>
  <LinksUpToDate>false</LinksUpToDate>
  <CharactersWithSpaces>15182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2015-07-20T13:13:00Z</cp:lastPrinted>
  <dcterms:created xsi:type="dcterms:W3CDTF">2015-07-20T15:45:00Z</dcterms:created>
  <dcterms:modified xsi:type="dcterms:W3CDTF">2015-07-20T15:45:00Z</dcterms:modified>
  <cp:category> </cp:category>
  <cp:contentStatus> </cp:contentStatus>
</cp:coreProperties>
</file>