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75B8"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1486C78C"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11A20613"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5555F391" w14:textId="77777777" w:rsidTr="00500F04">
        <w:tc>
          <w:tcPr>
            <w:tcW w:w="4518" w:type="dxa"/>
          </w:tcPr>
          <w:p w14:paraId="0FCFD3EF" w14:textId="77777777" w:rsidR="00E9376C" w:rsidRPr="00981F23" w:rsidRDefault="00E9376C">
            <w:pPr>
              <w:tabs>
                <w:tab w:val="center" w:pos="4680"/>
              </w:tabs>
              <w:suppressAutoHyphens/>
              <w:rPr>
                <w:color w:val="000000" w:themeColor="text1"/>
                <w:spacing w:val="-2"/>
                <w:szCs w:val="22"/>
              </w:rPr>
            </w:pPr>
          </w:p>
          <w:p w14:paraId="330220D0"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3B18CBF" w14:textId="77777777" w:rsidR="00E9376C" w:rsidRPr="00981F23" w:rsidRDefault="00E9376C">
            <w:pPr>
              <w:tabs>
                <w:tab w:val="center" w:pos="4680"/>
              </w:tabs>
              <w:suppressAutoHyphens/>
              <w:rPr>
                <w:color w:val="000000" w:themeColor="text1"/>
                <w:spacing w:val="-2"/>
                <w:szCs w:val="22"/>
              </w:rPr>
            </w:pPr>
          </w:p>
          <w:p w14:paraId="7D717CA2" w14:textId="77777777" w:rsidR="00E9376C" w:rsidRPr="00981F23" w:rsidRDefault="00232BF1">
            <w:pPr>
              <w:tabs>
                <w:tab w:val="center" w:pos="4680"/>
              </w:tabs>
              <w:suppressAutoHyphens/>
              <w:rPr>
                <w:color w:val="000000" w:themeColor="text1"/>
                <w:spacing w:val="-2"/>
                <w:szCs w:val="22"/>
              </w:rPr>
            </w:pPr>
            <w:r>
              <w:rPr>
                <w:color w:val="000000" w:themeColor="text1"/>
                <w:spacing w:val="-2"/>
                <w:szCs w:val="22"/>
              </w:rPr>
              <w:t xml:space="preserve">David </w:t>
            </w:r>
            <w:r w:rsidR="00A703FD">
              <w:rPr>
                <w:color w:val="000000" w:themeColor="text1"/>
                <w:spacing w:val="-2"/>
                <w:szCs w:val="22"/>
              </w:rPr>
              <w:t xml:space="preserve">J. </w:t>
            </w:r>
            <w:r>
              <w:rPr>
                <w:color w:val="000000" w:themeColor="text1"/>
                <w:spacing w:val="-2"/>
                <w:szCs w:val="22"/>
              </w:rPr>
              <w:t>Tolassi</w:t>
            </w:r>
          </w:p>
          <w:p w14:paraId="05C75FCC" w14:textId="3C292B90" w:rsidR="00E9376C" w:rsidRDefault="00D85E60">
            <w:pPr>
              <w:tabs>
                <w:tab w:val="center" w:pos="4680"/>
              </w:tabs>
              <w:suppressAutoHyphens/>
              <w:rPr>
                <w:color w:val="000000" w:themeColor="text1"/>
                <w:spacing w:val="-2"/>
                <w:szCs w:val="22"/>
              </w:rPr>
            </w:pPr>
            <w:r>
              <w:rPr>
                <w:color w:val="000000" w:themeColor="text1"/>
                <w:spacing w:val="-2"/>
                <w:szCs w:val="22"/>
              </w:rPr>
              <w:t xml:space="preserve">Licensee of </w:t>
            </w:r>
            <w:r w:rsidR="00232BF1">
              <w:rPr>
                <w:color w:val="000000" w:themeColor="text1"/>
                <w:spacing w:val="-2"/>
                <w:szCs w:val="22"/>
              </w:rPr>
              <w:t xml:space="preserve">Amateur </w:t>
            </w:r>
            <w:r>
              <w:rPr>
                <w:color w:val="000000" w:themeColor="text1"/>
                <w:spacing w:val="-2"/>
                <w:szCs w:val="22"/>
              </w:rPr>
              <w:t>Station</w:t>
            </w:r>
            <w:r w:rsidR="00232BF1">
              <w:rPr>
                <w:color w:val="000000" w:themeColor="text1"/>
                <w:spacing w:val="-2"/>
                <w:szCs w:val="22"/>
              </w:rPr>
              <w:t xml:space="preserve"> W4BHV</w:t>
            </w:r>
          </w:p>
          <w:p w14:paraId="4CB2BBD9" w14:textId="08854C28" w:rsidR="00232BF1" w:rsidRPr="00981F23" w:rsidRDefault="00ED0F06">
            <w:pPr>
              <w:tabs>
                <w:tab w:val="center" w:pos="4680"/>
              </w:tabs>
              <w:suppressAutoHyphens/>
              <w:rPr>
                <w:color w:val="000000" w:themeColor="text1"/>
                <w:spacing w:val="-2"/>
                <w:szCs w:val="22"/>
              </w:rPr>
            </w:pPr>
            <w:r>
              <w:rPr>
                <w:color w:val="000000" w:themeColor="text1"/>
                <w:spacing w:val="-2"/>
                <w:szCs w:val="22"/>
              </w:rPr>
              <w:t>Ringgold</w:t>
            </w:r>
            <w:r w:rsidR="00232BF1">
              <w:rPr>
                <w:color w:val="000000" w:themeColor="text1"/>
                <w:spacing w:val="-2"/>
                <w:szCs w:val="22"/>
              </w:rPr>
              <w:t xml:space="preserve">, GA </w:t>
            </w:r>
          </w:p>
        </w:tc>
        <w:tc>
          <w:tcPr>
            <w:tcW w:w="630" w:type="dxa"/>
          </w:tcPr>
          <w:p w14:paraId="7FDD4A25" w14:textId="77777777" w:rsidR="00E9376C" w:rsidRPr="00981F23" w:rsidRDefault="00E9376C">
            <w:pPr>
              <w:tabs>
                <w:tab w:val="center" w:pos="4680"/>
              </w:tabs>
              <w:suppressAutoHyphens/>
              <w:rPr>
                <w:b/>
                <w:color w:val="000000" w:themeColor="text1"/>
                <w:spacing w:val="-2"/>
                <w:szCs w:val="22"/>
              </w:rPr>
            </w:pPr>
          </w:p>
          <w:p w14:paraId="6772773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2D551423"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33F2464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07FCBA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1B534D6"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4FB8EE27"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0495241D" w14:textId="77777777" w:rsidR="00E9376C" w:rsidRPr="00981F23" w:rsidRDefault="00E9376C">
            <w:pPr>
              <w:tabs>
                <w:tab w:val="center" w:pos="4680"/>
              </w:tabs>
              <w:suppressAutoHyphens/>
              <w:rPr>
                <w:color w:val="000000" w:themeColor="text1"/>
                <w:spacing w:val="-2"/>
                <w:szCs w:val="22"/>
              </w:rPr>
            </w:pPr>
          </w:p>
          <w:p w14:paraId="68972D1F" w14:textId="77777777" w:rsidR="00242FE3" w:rsidRDefault="00E9376C">
            <w:pPr>
              <w:rPr>
                <w:color w:val="000000" w:themeColor="text1"/>
                <w:spacing w:val="-2"/>
                <w:szCs w:val="22"/>
              </w:rPr>
            </w:pPr>
            <w:r w:rsidRPr="00981F23">
              <w:rPr>
                <w:color w:val="000000" w:themeColor="text1"/>
                <w:spacing w:val="-2"/>
                <w:szCs w:val="22"/>
              </w:rPr>
              <w:t xml:space="preserve">                </w:t>
            </w:r>
          </w:p>
          <w:p w14:paraId="0AAAEE22" w14:textId="77777777" w:rsidR="00242FE3" w:rsidRDefault="00242FE3">
            <w:pPr>
              <w:rPr>
                <w:color w:val="000000" w:themeColor="text1"/>
                <w:spacing w:val="-2"/>
                <w:szCs w:val="22"/>
              </w:rPr>
            </w:pPr>
          </w:p>
          <w:p w14:paraId="5A7E4918" w14:textId="77777777" w:rsidR="00242FE3" w:rsidRPr="00981F23" w:rsidRDefault="009F6998"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Pr>
                <w:color w:val="000000" w:themeColor="text1"/>
                <w:spacing w:val="-2"/>
                <w:szCs w:val="22"/>
              </w:rPr>
              <w:t>EB-FIELDSCR-15-00019567</w:t>
            </w:r>
            <w:r w:rsidR="00E9376C" w:rsidRPr="00981F23">
              <w:rPr>
                <w:rStyle w:val="FootnoteReference"/>
                <w:color w:val="000000" w:themeColor="text1"/>
                <w:spacing w:val="-2"/>
                <w:sz w:val="22"/>
                <w:szCs w:val="22"/>
              </w:rPr>
              <w:footnoteReference w:id="2"/>
            </w:r>
          </w:p>
          <w:p w14:paraId="39C70725" w14:textId="77777777" w:rsidR="00242FE3" w:rsidRDefault="009F6998"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Pr>
                <w:color w:val="000000" w:themeColor="text1"/>
                <w:spacing w:val="-2"/>
                <w:szCs w:val="22"/>
              </w:rPr>
              <w:t>201532480001</w:t>
            </w:r>
          </w:p>
          <w:p w14:paraId="2369DFB9" w14:textId="77777777" w:rsidR="00E9376C" w:rsidRPr="00981F23" w:rsidRDefault="009F6998"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FRN:  </w:t>
            </w:r>
            <w:r w:rsidR="00A703FD" w:rsidRPr="00B82F3B">
              <w:rPr>
                <w:color w:val="000000"/>
              </w:rPr>
              <w:t>0009319138</w:t>
            </w:r>
          </w:p>
          <w:p w14:paraId="2FB88869"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5D6DF032"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5DA484EE" w14:textId="77777777" w:rsidR="00E9376C" w:rsidRPr="00981F23" w:rsidRDefault="00E9376C">
      <w:pPr>
        <w:pStyle w:val="BodyText"/>
        <w:tabs>
          <w:tab w:val="left" w:pos="4680"/>
        </w:tabs>
        <w:jc w:val="center"/>
        <w:rPr>
          <w:color w:val="000000" w:themeColor="text1"/>
          <w:sz w:val="22"/>
          <w:szCs w:val="22"/>
          <w:u w:val="none"/>
        </w:rPr>
      </w:pPr>
    </w:p>
    <w:p w14:paraId="0B8C8557" w14:textId="458789BA"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0A2577" w:rsidRPr="000A2577">
        <w:rPr>
          <w:b/>
          <w:spacing w:val="-2"/>
          <w:szCs w:val="22"/>
        </w:rPr>
        <w:t>July 22, 2015</w:t>
      </w:r>
      <w:r w:rsidRPr="00037DB0">
        <w:rPr>
          <w:b/>
          <w:spacing w:val="-2"/>
          <w:szCs w:val="22"/>
        </w:rPr>
        <w:tab/>
        <w:t xml:space="preserve">Released:  </w:t>
      </w:r>
      <w:r w:rsidR="000A2577">
        <w:rPr>
          <w:b/>
          <w:spacing w:val="-2"/>
          <w:szCs w:val="22"/>
        </w:rPr>
        <w:t>July 22, 2015</w:t>
      </w:r>
    </w:p>
    <w:p w14:paraId="28E41D25" w14:textId="77777777" w:rsidR="00E9376C" w:rsidRPr="00981F23" w:rsidRDefault="00E9376C" w:rsidP="009645E5">
      <w:pPr>
        <w:pStyle w:val="BodyText"/>
        <w:tabs>
          <w:tab w:val="left" w:pos="4680"/>
        </w:tabs>
        <w:jc w:val="center"/>
        <w:rPr>
          <w:color w:val="000000" w:themeColor="text1"/>
          <w:sz w:val="22"/>
          <w:szCs w:val="22"/>
          <w:u w:val="none"/>
        </w:rPr>
      </w:pPr>
    </w:p>
    <w:p w14:paraId="523ED34E" w14:textId="77777777"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232BF1">
        <w:rPr>
          <w:spacing w:val="-2"/>
          <w:szCs w:val="22"/>
        </w:rPr>
        <w:t>District Director, Atlanta Office, South Central Region, Enforcement Bureau</w:t>
      </w:r>
      <w:r w:rsidRPr="006D73F2">
        <w:rPr>
          <w:spacing w:val="-2"/>
          <w:szCs w:val="22"/>
        </w:rPr>
        <w:t>:</w:t>
      </w:r>
    </w:p>
    <w:p w14:paraId="4F3D4063" w14:textId="77777777" w:rsidR="00E9376C" w:rsidRPr="00981F23" w:rsidRDefault="00E9376C" w:rsidP="00D85E60">
      <w:pPr>
        <w:pStyle w:val="Heading1"/>
        <w:rPr>
          <w:color w:val="000000" w:themeColor="text1"/>
        </w:rPr>
      </w:pPr>
      <w:r w:rsidRPr="00981F23">
        <w:rPr>
          <w:color w:val="000000" w:themeColor="text1"/>
        </w:rPr>
        <w:t>INTRODUCTION</w:t>
      </w:r>
    </w:p>
    <w:p w14:paraId="7BDBE2C3" w14:textId="28246A51" w:rsidR="00E9376C" w:rsidRPr="00272D8B" w:rsidRDefault="00E9376C" w:rsidP="00D85E60">
      <w:pPr>
        <w:pStyle w:val="ParaNum"/>
        <w:rPr>
          <w:spacing w:val="-2"/>
        </w:rPr>
      </w:pPr>
      <w:r w:rsidRPr="00272D8B">
        <w:rPr>
          <w:spacing w:val="-2"/>
        </w:rPr>
        <w:t>We propose a penalty of $</w:t>
      </w:r>
      <w:r w:rsidR="00232BF1" w:rsidRPr="00272D8B">
        <w:rPr>
          <w:spacing w:val="-2"/>
        </w:rPr>
        <w:t>1,000</w:t>
      </w:r>
      <w:r w:rsidRPr="00272D8B">
        <w:rPr>
          <w:spacing w:val="-2"/>
        </w:rPr>
        <w:t xml:space="preserve"> against</w:t>
      </w:r>
      <w:r w:rsidR="00232BF1" w:rsidRPr="00272D8B">
        <w:rPr>
          <w:spacing w:val="-2"/>
        </w:rPr>
        <w:t xml:space="preserve"> </w:t>
      </w:r>
      <w:r w:rsidR="009547E5">
        <w:rPr>
          <w:spacing w:val="-2"/>
        </w:rPr>
        <w:t xml:space="preserve">amateur radio station operator </w:t>
      </w:r>
      <w:r w:rsidR="00232BF1" w:rsidRPr="00272D8B">
        <w:rPr>
          <w:spacing w:val="-2"/>
        </w:rPr>
        <w:t xml:space="preserve">David </w:t>
      </w:r>
      <w:r w:rsidR="00A703FD" w:rsidRPr="00272D8B">
        <w:rPr>
          <w:spacing w:val="-2"/>
        </w:rPr>
        <w:t xml:space="preserve">J. </w:t>
      </w:r>
      <w:r w:rsidR="009547E5" w:rsidRPr="00272D8B">
        <w:rPr>
          <w:spacing w:val="-2"/>
        </w:rPr>
        <w:t xml:space="preserve">Tolassi </w:t>
      </w:r>
      <w:r w:rsidR="00232BF1" w:rsidRPr="00272D8B">
        <w:rPr>
          <w:spacing w:val="-2"/>
        </w:rPr>
        <w:t>for failing to transmit his assigned call sign in the Amate</w:t>
      </w:r>
      <w:r w:rsidR="00CE1DAF" w:rsidRPr="00272D8B">
        <w:rPr>
          <w:spacing w:val="-2"/>
        </w:rPr>
        <w:t>ur Radio Service</w:t>
      </w:r>
      <w:r w:rsidR="00C2021D" w:rsidRPr="009547E5">
        <w:rPr>
          <w:spacing w:val="-2"/>
        </w:rPr>
        <w:t>.</w:t>
      </w:r>
      <w:r w:rsidR="00C2021D" w:rsidRPr="00272D8B">
        <w:rPr>
          <w:spacing w:val="-2"/>
        </w:rPr>
        <w:t xml:space="preserve">  </w:t>
      </w:r>
      <w:r w:rsidR="00232BF1" w:rsidRPr="00272D8B">
        <w:rPr>
          <w:spacing w:val="-2"/>
        </w:rPr>
        <w:t xml:space="preserve">The Commission previously </w:t>
      </w:r>
      <w:r w:rsidR="00685850" w:rsidRPr="00272D8B">
        <w:rPr>
          <w:spacing w:val="-2"/>
        </w:rPr>
        <w:t xml:space="preserve">warned </w:t>
      </w:r>
      <w:r w:rsidR="00232BF1" w:rsidRPr="00272D8B">
        <w:rPr>
          <w:spacing w:val="-2"/>
        </w:rPr>
        <w:t>Mr. Tolassi</w:t>
      </w:r>
      <w:r w:rsidR="00D85E60" w:rsidRPr="00272D8B">
        <w:rPr>
          <w:spacing w:val="-2"/>
        </w:rPr>
        <w:t xml:space="preserve"> of </w:t>
      </w:r>
      <w:r w:rsidR="00D85E60">
        <w:rPr>
          <w:spacing w:val="-2"/>
        </w:rPr>
        <w:t>the station identification</w:t>
      </w:r>
      <w:r w:rsidR="00C5252B" w:rsidRPr="00272D8B">
        <w:rPr>
          <w:spacing w:val="-2"/>
        </w:rPr>
        <w:t xml:space="preserve"> requirement, </w:t>
      </w:r>
      <w:r w:rsidR="00C2021D" w:rsidRPr="00272D8B">
        <w:rPr>
          <w:spacing w:val="-2"/>
        </w:rPr>
        <w:t>which</w:t>
      </w:r>
      <w:r w:rsidR="00C5252B" w:rsidRPr="00272D8B">
        <w:rPr>
          <w:spacing w:val="-2"/>
        </w:rPr>
        <w:t xml:space="preserve"> </w:t>
      </w:r>
      <w:r w:rsidR="009547E5">
        <w:rPr>
          <w:spacing w:val="-2"/>
          <w:szCs w:val="22"/>
        </w:rPr>
        <w:t xml:space="preserve">supports the orderly administration of the Amateur Radio Service by allowing licensed users to identify a transmission’s </w:t>
      </w:r>
      <w:r w:rsidR="009547E5" w:rsidRPr="00272D8B">
        <w:rPr>
          <w:spacing w:val="-2"/>
        </w:rPr>
        <w:t>source</w:t>
      </w:r>
      <w:r w:rsidR="009547E5">
        <w:rPr>
          <w:spacing w:val="-2"/>
          <w:szCs w:val="22"/>
        </w:rPr>
        <w:t xml:space="preserve">. </w:t>
      </w:r>
      <w:r w:rsidR="009547E5" w:rsidRPr="00272D8B">
        <w:rPr>
          <w:spacing w:val="-2"/>
        </w:rPr>
        <w:t xml:space="preserve"> Mr. </w:t>
      </w:r>
      <w:r w:rsidR="009547E5">
        <w:rPr>
          <w:spacing w:val="-2"/>
          <w:szCs w:val="22"/>
        </w:rPr>
        <w:t>Tolassi’s deliberate disregard</w:t>
      </w:r>
      <w:r w:rsidR="009547E5" w:rsidRPr="00272D8B">
        <w:rPr>
          <w:spacing w:val="-2"/>
        </w:rPr>
        <w:t xml:space="preserve"> of </w:t>
      </w:r>
      <w:r w:rsidR="009547E5">
        <w:rPr>
          <w:spacing w:val="-2"/>
          <w:szCs w:val="22"/>
        </w:rPr>
        <w:t>the Commission’s warning warrants the proposed penalty.</w:t>
      </w:r>
    </w:p>
    <w:p w14:paraId="3D975A03" w14:textId="77777777" w:rsidR="0050166C" w:rsidRPr="00981F23" w:rsidRDefault="00E9376C" w:rsidP="00D85E60">
      <w:pPr>
        <w:pStyle w:val="Heading1"/>
        <w:rPr>
          <w:color w:val="000000" w:themeColor="text1"/>
          <w:spacing w:val="-2"/>
        </w:rPr>
      </w:pPr>
      <w:r w:rsidRPr="00981F23">
        <w:rPr>
          <w:color w:val="000000" w:themeColor="text1"/>
        </w:rPr>
        <w:t>BACKGROUND</w:t>
      </w:r>
    </w:p>
    <w:p w14:paraId="7264F2A3" w14:textId="2859E406" w:rsidR="005E5F3A" w:rsidRPr="00272D8B" w:rsidRDefault="00F0324E" w:rsidP="00D85E60">
      <w:pPr>
        <w:pStyle w:val="ParaNum"/>
        <w:rPr>
          <w:spacing w:val="-2"/>
        </w:rPr>
      </w:pPr>
      <w:r w:rsidRPr="00272D8B">
        <w:rPr>
          <w:spacing w:val="-2"/>
        </w:rPr>
        <w:t xml:space="preserve">The Amateur Radio Service affords qualified people of any age the opportunity to transmit communications solely for personal uses and without pecuniary interest.  Mr. Tolassi holds a General Class license in the Amateur Radio Service and </w:t>
      </w:r>
      <w:r w:rsidR="00727B22" w:rsidRPr="00272D8B">
        <w:rPr>
          <w:spacing w:val="-2"/>
        </w:rPr>
        <w:t>has a history of failing to</w:t>
      </w:r>
      <w:r w:rsidR="00881769" w:rsidRPr="00272D8B">
        <w:rPr>
          <w:spacing w:val="-2"/>
        </w:rPr>
        <w:t xml:space="preserve"> comply with the rules governing the Amateur Radio Service.  On August 11, 2014, the Commission issued Mr. Tolassi a written warning regarding his failure to identify his amateur station while operating on the frequency</w:t>
      </w:r>
      <w:r w:rsidR="00CE1DAF" w:rsidRPr="00272D8B">
        <w:rPr>
          <w:spacing w:val="-2"/>
        </w:rPr>
        <w:t xml:space="preserve"> of 14.313 MHz </w:t>
      </w:r>
      <w:r w:rsidR="00881769" w:rsidRPr="00272D8B">
        <w:rPr>
          <w:spacing w:val="-2"/>
        </w:rPr>
        <w:t>on July 22, 2014.</w:t>
      </w:r>
      <w:r w:rsidR="00881769" w:rsidRPr="00272D8B">
        <w:rPr>
          <w:rStyle w:val="FootnoteReference"/>
          <w:spacing w:val="-2"/>
          <w:sz w:val="22"/>
        </w:rPr>
        <w:footnoteReference w:id="3"/>
      </w:r>
      <w:r w:rsidR="00881769" w:rsidRPr="00272D8B">
        <w:rPr>
          <w:spacing w:val="-2"/>
        </w:rPr>
        <w:t xml:space="preserve">  The warning stated that he could face severe pen</w:t>
      </w:r>
      <w:r w:rsidR="00D85E60" w:rsidRPr="00272D8B">
        <w:rPr>
          <w:spacing w:val="-2"/>
        </w:rPr>
        <w:t xml:space="preserve">alties, including fines, if </w:t>
      </w:r>
      <w:r w:rsidR="00D85E60">
        <w:rPr>
          <w:spacing w:val="-2"/>
        </w:rPr>
        <w:t>he failed to identify his station during future transmissions.</w:t>
      </w:r>
      <w:r w:rsidR="00D85E60">
        <w:rPr>
          <w:rStyle w:val="FootnoteReference"/>
          <w:spacing w:val="-2"/>
        </w:rPr>
        <w:footnoteReference w:id="4"/>
      </w:r>
    </w:p>
    <w:p w14:paraId="25BD5758" w14:textId="73516EF3" w:rsidR="00881769" w:rsidRPr="00272D8B" w:rsidRDefault="00881769" w:rsidP="00D85E60">
      <w:pPr>
        <w:pStyle w:val="ParaNum"/>
        <w:rPr>
          <w:spacing w:val="-2"/>
        </w:rPr>
      </w:pPr>
      <w:r w:rsidRPr="00272D8B">
        <w:rPr>
          <w:spacing w:val="-2"/>
        </w:rPr>
        <w:t xml:space="preserve">On June 24, 2015, </w:t>
      </w:r>
      <w:r w:rsidR="00997254" w:rsidRPr="00272D8B">
        <w:rPr>
          <w:spacing w:val="-2"/>
        </w:rPr>
        <w:t>agents from the Atlanta Office of the Enforcement Bureau</w:t>
      </w:r>
      <w:r w:rsidR="00D85E60">
        <w:rPr>
          <w:spacing w:val="-2"/>
        </w:rPr>
        <w:t xml:space="preserve"> used</w:t>
      </w:r>
      <w:r w:rsidR="00997254" w:rsidRPr="00272D8B">
        <w:rPr>
          <w:spacing w:val="-2"/>
        </w:rPr>
        <w:t xml:space="preserve"> mobi</w:t>
      </w:r>
      <w:r w:rsidR="00D85E60" w:rsidRPr="00272D8B">
        <w:rPr>
          <w:spacing w:val="-2"/>
        </w:rPr>
        <w:t>le direction finding techniques</w:t>
      </w:r>
      <w:r w:rsidR="00D85E60">
        <w:rPr>
          <w:spacing w:val="-2"/>
        </w:rPr>
        <w:t xml:space="preserve"> to locate</w:t>
      </w:r>
      <w:r w:rsidR="00997254" w:rsidRPr="00272D8B">
        <w:rPr>
          <w:spacing w:val="-2"/>
        </w:rPr>
        <w:t xml:space="preserve"> the source of a signal on 14.313 MHz to Mr. Tolassi’s residence in </w:t>
      </w:r>
      <w:r w:rsidR="00ED0F06">
        <w:rPr>
          <w:spacing w:val="-2"/>
        </w:rPr>
        <w:t>Ringgold</w:t>
      </w:r>
      <w:r w:rsidR="00997254" w:rsidRPr="00272D8B">
        <w:rPr>
          <w:spacing w:val="-2"/>
        </w:rPr>
        <w:t xml:space="preserve">, Georgia.  The </w:t>
      </w:r>
      <w:r w:rsidR="00CE1DAF" w:rsidRPr="00272D8B">
        <w:rPr>
          <w:spacing w:val="-2"/>
        </w:rPr>
        <w:t xml:space="preserve">agents monitored and recorded transmissions </w:t>
      </w:r>
      <w:r w:rsidR="00997254" w:rsidRPr="00272D8B">
        <w:rPr>
          <w:spacing w:val="-2"/>
        </w:rPr>
        <w:t xml:space="preserve">during which Mr. Tolassi failed to transmit his assigned call sign (W4BHV).  The agents interviewed Mr. Tolassi later that evening, and, </w:t>
      </w:r>
      <w:r w:rsidR="00001606" w:rsidRPr="00272D8B">
        <w:rPr>
          <w:spacing w:val="-2"/>
        </w:rPr>
        <w:t xml:space="preserve">while he admitted operating that evening, </w:t>
      </w:r>
      <w:r w:rsidR="00F60786" w:rsidRPr="00272D8B">
        <w:rPr>
          <w:spacing w:val="-2"/>
        </w:rPr>
        <w:t>he denied making the unidentified transmissions</w:t>
      </w:r>
      <w:r w:rsidR="00997254" w:rsidRPr="00272D8B">
        <w:rPr>
          <w:spacing w:val="-2"/>
        </w:rPr>
        <w:t>.</w:t>
      </w:r>
    </w:p>
    <w:p w14:paraId="6BCC95D2" w14:textId="77777777" w:rsidR="00E9376C" w:rsidRPr="00981F23" w:rsidRDefault="00E9376C" w:rsidP="00D85E60">
      <w:pPr>
        <w:pStyle w:val="Heading1"/>
        <w:rPr>
          <w:color w:val="000000" w:themeColor="text1"/>
        </w:rPr>
      </w:pPr>
      <w:r w:rsidRPr="00981F23">
        <w:rPr>
          <w:color w:val="000000" w:themeColor="text1"/>
        </w:rPr>
        <w:t>DISCUSSION</w:t>
      </w:r>
    </w:p>
    <w:p w14:paraId="229C84BD" w14:textId="56106750" w:rsidR="00987969" w:rsidRPr="00272D8B" w:rsidRDefault="00F134E3" w:rsidP="00D85E60">
      <w:pPr>
        <w:pStyle w:val="ParaNum"/>
        <w:rPr>
          <w:spacing w:val="-2"/>
        </w:rPr>
      </w:pPr>
      <w:r w:rsidRPr="009547E5">
        <w:rPr>
          <w:spacing w:val="-2"/>
        </w:rPr>
        <w:t xml:space="preserve">We find that </w:t>
      </w:r>
      <w:r w:rsidR="00997254" w:rsidRPr="009547E5">
        <w:rPr>
          <w:spacing w:val="-2"/>
        </w:rPr>
        <w:t>Mr. Tolassi</w:t>
      </w:r>
      <w:r w:rsidRPr="009547E5">
        <w:rPr>
          <w:spacing w:val="-2"/>
        </w:rPr>
        <w:t xml:space="preserve"> apparently repeatedly violated </w:t>
      </w:r>
      <w:r w:rsidR="000D5664" w:rsidRPr="009547E5">
        <w:rPr>
          <w:spacing w:val="-2"/>
        </w:rPr>
        <w:t>Section 97.119(a) of the Commission’s rules (Rules).</w:t>
      </w:r>
      <w:r w:rsidR="00685850" w:rsidRPr="00D85E60">
        <w:rPr>
          <w:rStyle w:val="FootnoteReference"/>
          <w:spacing w:val="-2"/>
          <w:sz w:val="22"/>
        </w:rPr>
        <w:footnoteReference w:id="5"/>
      </w:r>
      <w:r w:rsidR="00685850" w:rsidRPr="00272D8B">
        <w:rPr>
          <w:spacing w:val="-2"/>
        </w:rPr>
        <w:t xml:space="preserve">  Section 97.119(a) of the Rules states that “[e]ach amateur station</w:t>
      </w:r>
      <w:r w:rsidR="001800A4" w:rsidRPr="00272D8B">
        <w:rPr>
          <w:spacing w:val="-2"/>
        </w:rPr>
        <w:t xml:space="preserve"> . . .</w:t>
      </w:r>
      <w:r w:rsidR="00685850" w:rsidRPr="00272D8B">
        <w:rPr>
          <w:spacing w:val="-2"/>
        </w:rPr>
        <w:t xml:space="preserve"> must transmit its assigned call sign on its transmitting channel at the end of each communication, and at least every 10 minutes during a communication, for the purpose of clearly making the source of the transmissions from the station known to those receiving the transmissions. </w:t>
      </w:r>
      <w:r w:rsidR="00472A67">
        <w:rPr>
          <w:spacing w:val="-2"/>
        </w:rPr>
        <w:t xml:space="preserve"> </w:t>
      </w:r>
      <w:r w:rsidR="00685850" w:rsidRPr="00272D8B">
        <w:rPr>
          <w:spacing w:val="-2"/>
        </w:rPr>
        <w:t xml:space="preserve">No station may transmit unidentified </w:t>
      </w:r>
      <w:r w:rsidR="00685850" w:rsidRPr="00272D8B">
        <w:rPr>
          <w:spacing w:val="-2"/>
        </w:rPr>
        <w:lastRenderedPageBreak/>
        <w:t>communications or signals, or transmit as the station call sign, any call sign not authorized to the station.”</w:t>
      </w:r>
      <w:r w:rsidR="001800A4" w:rsidRPr="00272D8B">
        <w:rPr>
          <w:rStyle w:val="FootnoteReference"/>
          <w:spacing w:val="-2"/>
          <w:sz w:val="22"/>
        </w:rPr>
        <w:footnoteReference w:id="6"/>
      </w:r>
      <w:r w:rsidR="00685850" w:rsidRPr="00272D8B">
        <w:rPr>
          <w:spacing w:val="-2"/>
        </w:rPr>
        <w:t xml:space="preserve">  </w:t>
      </w:r>
      <w:r w:rsidR="001800A4" w:rsidRPr="00272D8B">
        <w:rPr>
          <w:spacing w:val="-2"/>
        </w:rPr>
        <w:t xml:space="preserve">On June 24, 2015, agents from the Atlanta Office observed Mr. Tolassi </w:t>
      </w:r>
      <w:r w:rsidR="00CE1DAF">
        <w:rPr>
          <w:spacing w:val="-2"/>
        </w:rPr>
        <w:t>make multiple</w:t>
      </w:r>
      <w:r w:rsidR="00CE1DAF" w:rsidRPr="00272D8B">
        <w:rPr>
          <w:spacing w:val="-2"/>
        </w:rPr>
        <w:t xml:space="preserve"> </w:t>
      </w:r>
      <w:r w:rsidR="001800A4" w:rsidRPr="00272D8B">
        <w:rPr>
          <w:spacing w:val="-2"/>
        </w:rPr>
        <w:t xml:space="preserve">brief transmissions without stating his call sign W4BVH.  As a result, we find Mr. Tolassi apparently </w:t>
      </w:r>
      <w:r w:rsidR="00CA3C72">
        <w:rPr>
          <w:spacing w:val="-2"/>
        </w:rPr>
        <w:t>r</w:t>
      </w:r>
      <w:r w:rsidR="001800A4" w:rsidRPr="00272D8B">
        <w:rPr>
          <w:spacing w:val="-2"/>
        </w:rPr>
        <w:t xml:space="preserve">epeatedly violated Section 97.119(a) </w:t>
      </w:r>
      <w:r w:rsidR="00472A67">
        <w:rPr>
          <w:spacing w:val="-2"/>
        </w:rPr>
        <w:t xml:space="preserve">of the Rules </w:t>
      </w:r>
      <w:r w:rsidR="001800A4" w:rsidRPr="00272D8B">
        <w:rPr>
          <w:spacing w:val="-2"/>
        </w:rPr>
        <w:t>by failing to transmit his assigned call sign.</w:t>
      </w:r>
    </w:p>
    <w:p w14:paraId="699D0C6B" w14:textId="670409AD" w:rsidR="003C50D2" w:rsidRPr="00272D8B" w:rsidRDefault="00D85E60" w:rsidP="00472A67">
      <w:pPr>
        <w:pStyle w:val="ParaNum"/>
        <w:rPr>
          <w:spacing w:val="-2"/>
        </w:rPr>
      </w:pPr>
      <w:r w:rsidRPr="00272D8B">
        <w:rPr>
          <w:spacing w:val="-2"/>
        </w:rPr>
        <w:t>Section 503(b) of the Communications Act of 1934, as amended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7"/>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766684" w:rsidRPr="00272D8B">
        <w:rPr>
          <w:spacing w:val="-2"/>
        </w:rPr>
        <w:t>Mr. Tolassi</w:t>
      </w:r>
      <w:r w:rsidR="002F3CB7" w:rsidRPr="00272D8B">
        <w:rPr>
          <w:spacing w:val="-2"/>
        </w:rPr>
        <w:t xml:space="preserve"> 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8"/>
      </w:r>
      <w:r w:rsidR="002F3CB7" w:rsidRPr="00272D8B">
        <w:rPr>
          <w:spacing w:val="-2"/>
        </w:rPr>
        <w:t xml:space="preserve">  In exercising our forfeiture authority, we must consider</w:t>
      </w:r>
      <w:r w:rsidR="00EA5433" w:rsidRPr="00272D8B">
        <w:rPr>
          <w:spacing w:val="-2"/>
        </w:rPr>
        <w:t xml:space="preserve"> the “</w:t>
      </w:r>
      <w:r w:rsidR="002F3CB7" w:rsidRPr="00272D8B">
        <w:rPr>
          <w:spacing w:val="-2"/>
        </w:rPr>
        <w:t>nature, circumstances, extent, and gravity of the violation and, with respect to the violator, the degree of culpability, any history of prior offenses, ability to pay, and such other matters as justice may require.”</w:t>
      </w:r>
      <w:r w:rsidR="002F3CB7" w:rsidRPr="00272D8B">
        <w:rPr>
          <w:rStyle w:val="FootnoteReference"/>
          <w:spacing w:val="-2"/>
          <w:sz w:val="22"/>
        </w:rPr>
        <w:footnoteReference w:id="9"/>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0"/>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1"/>
      </w:r>
      <w:r w:rsidR="00EA5433" w:rsidRPr="00272D8B">
        <w:rPr>
          <w:spacing w:val="-2"/>
          <w:vertAlign w:val="superscript"/>
        </w:rPr>
        <w:t xml:space="preserve">  </w:t>
      </w:r>
    </w:p>
    <w:p w14:paraId="48F242D5" w14:textId="73D3E5BD" w:rsidR="00E9376C" w:rsidRPr="00272D8B" w:rsidRDefault="002F3CB7" w:rsidP="00D85E60">
      <w:pPr>
        <w:pStyle w:val="ParaNum"/>
        <w:rPr>
          <w:spacing w:val="-2"/>
        </w:rPr>
      </w:pPr>
      <w:r w:rsidRPr="00272D8B">
        <w:rPr>
          <w:spacing w:val="-2"/>
        </w:rPr>
        <w:t>Section 1.80(b) of the Rules sets a base forfeiture of $</w:t>
      </w:r>
      <w:r w:rsidR="00766684" w:rsidRPr="00272D8B">
        <w:rPr>
          <w:spacing w:val="-2"/>
        </w:rPr>
        <w:t>1,000</w:t>
      </w:r>
      <w:r w:rsidRPr="00272D8B">
        <w:rPr>
          <w:spacing w:val="-2"/>
        </w:rPr>
        <w:t xml:space="preserve"> for </w:t>
      </w:r>
      <w:r w:rsidR="00CE1DAF" w:rsidRPr="00272D8B">
        <w:rPr>
          <w:spacing w:val="-2"/>
        </w:rPr>
        <w:t xml:space="preserve">failure to provide station </w:t>
      </w:r>
      <w:r w:rsidR="00CE1DAF">
        <w:rPr>
          <w:spacing w:val="-2"/>
        </w:rPr>
        <w:t>identification</w:t>
      </w:r>
      <w:r w:rsidRPr="00272D8B">
        <w:rPr>
          <w:spacing w:val="-2"/>
        </w:rPr>
        <w:t>.</w:t>
      </w:r>
      <w:r w:rsidRPr="00272D8B">
        <w:rPr>
          <w:spacing w:val="-2"/>
          <w:vertAlign w:val="superscript"/>
        </w:rPr>
        <w:footnoteReference w:id="12"/>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3"/>
      </w:r>
      <w:r w:rsidR="009E2EF6" w:rsidRPr="00272D8B">
        <w:rPr>
          <w:spacing w:val="-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$1,000</w:t>
      </w:r>
      <w:r w:rsidR="009E2EF6" w:rsidRPr="00981F23">
        <w:t xml:space="preserve">, for which </w:t>
      </w:r>
      <w:r w:rsidR="009E2EF6">
        <w:t>Mr. Tolassi</w:t>
      </w:r>
      <w:r w:rsidR="009E2EF6" w:rsidRPr="00981F23">
        <w:t xml:space="preserve"> is apparently liable.</w:t>
      </w:r>
      <w:r w:rsidR="00BF56EF">
        <w:rPr>
          <w:rStyle w:val="FootnoteReference"/>
        </w:rPr>
        <w:footnoteReference w:id="14"/>
      </w:r>
    </w:p>
    <w:p w14:paraId="10FAB6AE" w14:textId="77777777" w:rsidR="009E2EF6" w:rsidRDefault="009E2EF6">
      <w:pPr>
        <w:widowControl/>
        <w:rPr>
          <w:rFonts w:ascii="Times New Roman Bold" w:hAnsi="Times New Roman Bold"/>
          <w:b/>
          <w:caps/>
          <w:color w:val="000000" w:themeColor="text1"/>
        </w:rPr>
      </w:pPr>
      <w:r>
        <w:rPr>
          <w:color w:val="000000" w:themeColor="text1"/>
        </w:rPr>
        <w:br w:type="page"/>
      </w:r>
    </w:p>
    <w:p w14:paraId="7D3EE7C1" w14:textId="77777777" w:rsidR="00E9376C" w:rsidRPr="00981F23" w:rsidRDefault="00E9376C" w:rsidP="00D85E60">
      <w:pPr>
        <w:pStyle w:val="Heading1"/>
        <w:rPr>
          <w:color w:val="000000" w:themeColor="text1"/>
          <w:spacing w:val="-2"/>
        </w:rPr>
      </w:pPr>
      <w:r w:rsidRPr="00981F23">
        <w:rPr>
          <w:color w:val="000000" w:themeColor="text1"/>
        </w:rPr>
        <w:lastRenderedPageBreak/>
        <w:t>ORDERING CLAUSES</w:t>
      </w:r>
    </w:p>
    <w:p w14:paraId="714DE04E" w14:textId="7C07611D" w:rsidR="00E9376C" w:rsidRPr="00981F23" w:rsidRDefault="00E9376C" w:rsidP="00D85E60">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15"/>
      </w:r>
      <w:r w:rsidRPr="00981F23">
        <w:t xml:space="preserve"> and Sections 1.80 of the</w:t>
      </w:r>
      <w:r w:rsidR="003A3B45">
        <w:t xml:space="preserve"> R</w:t>
      </w:r>
      <w:r w:rsidRPr="00981F23">
        <w:t>ules,</w:t>
      </w:r>
      <w:r w:rsidRPr="00981F23">
        <w:rPr>
          <w:vertAlign w:val="superscript"/>
        </w:rPr>
        <w:footnoteReference w:id="16"/>
      </w:r>
      <w:r w:rsidRPr="00981F23">
        <w:t xml:space="preserve"> </w:t>
      </w:r>
      <w:r w:rsidR="00A703FD">
        <w:t>David J. Tolassi</w:t>
      </w:r>
      <w:r w:rsidRPr="00981F23">
        <w:t xml:space="preserve"> is hereby </w:t>
      </w:r>
      <w:r w:rsidRPr="00981F23">
        <w:rPr>
          <w:b/>
        </w:rPr>
        <w:t>NOTIFIED</w:t>
      </w:r>
      <w:r w:rsidRPr="00981F23">
        <w:t xml:space="preserve"> of this </w:t>
      </w:r>
      <w:r w:rsidRPr="00981F23">
        <w:rPr>
          <w:b/>
        </w:rPr>
        <w:t>APPARENT LIABILITY FOR A FORFEITURE</w:t>
      </w:r>
      <w:r w:rsidRPr="00981F23">
        <w:t xml:space="preserve"> in the amount of </w:t>
      </w:r>
      <w:r w:rsidR="00A703FD">
        <w:t>one thousand dollars</w:t>
      </w:r>
      <w:r w:rsidRPr="00981F23">
        <w:t xml:space="preserve"> ($</w:t>
      </w:r>
      <w:r w:rsidR="00A703FD">
        <w:t>1,000</w:t>
      </w:r>
      <w:r w:rsidR="00A0350D" w:rsidRPr="00981F23">
        <w:t>)</w:t>
      </w:r>
      <w:r w:rsidRPr="00981F23">
        <w:t xml:space="preserve"> for repeated violations of Section </w:t>
      </w:r>
      <w:r w:rsidR="00A703FD">
        <w:t>97.119(a) of the Rules.</w:t>
      </w:r>
      <w:r w:rsidRPr="00981F23">
        <w:rPr>
          <w:vertAlign w:val="superscript"/>
        </w:rPr>
        <w:footnoteReference w:id="17"/>
      </w:r>
    </w:p>
    <w:p w14:paraId="53A300A7" w14:textId="31A0617A" w:rsidR="00E9376C" w:rsidRPr="00981F23" w:rsidRDefault="00E9376C" w:rsidP="00D85E60">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18"/>
      </w:r>
      <w:r w:rsidRPr="00981F23">
        <w:rPr>
          <w:vertAlign w:val="superscript"/>
        </w:rPr>
        <w:t xml:space="preserve"> </w:t>
      </w:r>
      <w:r w:rsidRPr="00981F23">
        <w:t xml:space="preserve">within thirty (30) calendar days of the release date of this Notice of Apparent Liability for Forfeiture, </w:t>
      </w:r>
      <w:r w:rsidR="00A703FD">
        <w:t>David J. Tolassi</w:t>
      </w:r>
      <w:r w:rsidRPr="00981F23">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9E2EF6">
        <w:t>1</w:t>
      </w:r>
      <w:r w:rsidRPr="00981F23">
        <w:t xml:space="preserve"> below.</w:t>
      </w:r>
    </w:p>
    <w:p w14:paraId="2F5CEB4C" w14:textId="77777777" w:rsidR="00E9376C" w:rsidRPr="00981F23" w:rsidRDefault="00E9376C" w:rsidP="00D85E60">
      <w:pPr>
        <w:pStyle w:val="ParaNum"/>
        <w:rPr>
          <w:spacing w:val="-2"/>
        </w:rPr>
      </w:pPr>
      <w:r w:rsidRPr="00981F23">
        <w:t xml:space="preserve">Payment of the forfeiture must be made by check or similar instrument, wire transfer, or credit card, and must include the NAL/Account Number and FRN referenced above.  </w:t>
      </w:r>
      <w:r w:rsidR="00C44D5C">
        <w:t>David J. Tolassi</w:t>
      </w:r>
      <w:r w:rsidR="00CF750C" w:rsidRPr="00981F23">
        <w:t xml:space="preserve"> </w:t>
      </w:r>
      <w:r w:rsidRPr="00981F23">
        <w:t xml:space="preserve">shall send electronic notification of payment to </w:t>
      </w:r>
      <w:r w:rsidR="00C44D5C" w:rsidRPr="00C44D5C">
        <w:rPr>
          <w:color w:val="000000" w:themeColor="text1"/>
          <w:szCs w:val="22"/>
        </w:rPr>
        <w:t xml:space="preserve">SCR-Response@fcc.gov </w:t>
      </w:r>
      <w:r w:rsidRPr="00981F23">
        <w:t>on the date said payment is made.  Regardless of the form of payment, a completed FCC Form 159 (Remittance Advice) must be submitted.</w:t>
      </w:r>
      <w:r w:rsidRPr="00981F23">
        <w:rPr>
          <w:vertAlign w:val="superscript"/>
        </w:rPr>
        <w:footnoteReference w:id="19"/>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1ABB9A47" w14:textId="77777777" w:rsidR="00E9376C" w:rsidRPr="00981F23" w:rsidRDefault="00E9376C" w:rsidP="00D85E60">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2A1A5D34" w14:textId="77777777" w:rsidR="00E9376C" w:rsidRPr="00981F23" w:rsidRDefault="00E9376C" w:rsidP="00D85E60">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0764B56" w14:textId="77777777" w:rsidR="00E9376C" w:rsidRPr="00981F23" w:rsidRDefault="00E9376C" w:rsidP="00D85E60">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5350BF7" w14:textId="77777777" w:rsidR="00E9376C" w:rsidRPr="00981F23" w:rsidRDefault="00E9376C" w:rsidP="00D85E60">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0"/>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3F18E7E2" w14:textId="77777777" w:rsidR="00E9376C" w:rsidRPr="00981F23" w:rsidRDefault="00E9376C" w:rsidP="00D85E60">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1"/>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C44D5C" w:rsidRPr="00570D99">
        <w:rPr>
          <w:color w:val="000000"/>
          <w:spacing w:val="-2"/>
          <w:szCs w:val="22"/>
        </w:rPr>
        <w:t xml:space="preserve">South Central Region, Atlanta Office, </w:t>
      </w:r>
      <w:smartTag w:uri="urn:schemas-microsoft-com:office:smarttags" w:element="address">
        <w:smartTag w:uri="urn:schemas-microsoft-com:office:smarttags" w:element="Street">
          <w:r w:rsidR="00C44D5C" w:rsidRPr="00570D99">
            <w:rPr>
              <w:color w:val="000000"/>
              <w:spacing w:val="-2"/>
              <w:szCs w:val="22"/>
            </w:rPr>
            <w:t>3575 Koger Blvd</w:t>
          </w:r>
          <w:r w:rsidR="00C44D5C">
            <w:rPr>
              <w:color w:val="000000"/>
              <w:spacing w:val="-2"/>
              <w:szCs w:val="22"/>
            </w:rPr>
            <w:t>,</w:t>
          </w:r>
          <w:r w:rsidR="00C44D5C" w:rsidRPr="00570D99">
            <w:rPr>
              <w:color w:val="000000"/>
              <w:spacing w:val="-2"/>
              <w:szCs w:val="22"/>
            </w:rPr>
            <w:t xml:space="preserve"> S</w:t>
          </w:r>
          <w:r w:rsidR="00C44D5C">
            <w:rPr>
              <w:color w:val="000000"/>
              <w:spacing w:val="-2"/>
              <w:szCs w:val="22"/>
            </w:rPr>
            <w:t>uite</w:t>
          </w:r>
          <w:r w:rsidR="00C44D5C" w:rsidRPr="00570D99">
            <w:rPr>
              <w:color w:val="000000"/>
              <w:spacing w:val="-2"/>
              <w:szCs w:val="22"/>
            </w:rPr>
            <w:t xml:space="preserve"> 320</w:t>
          </w:r>
        </w:smartTag>
        <w:r w:rsidR="00C44D5C" w:rsidRPr="00570D99">
          <w:rPr>
            <w:color w:val="000000"/>
            <w:spacing w:val="-2"/>
            <w:szCs w:val="22"/>
          </w:rPr>
          <w:t xml:space="preserve">, </w:t>
        </w:r>
        <w:smartTag w:uri="urn:schemas-microsoft-com:office:smarttags" w:element="place">
          <w:smartTag w:uri="urn:schemas-microsoft-com:office:smarttags" w:element="City">
            <w:r w:rsidR="00C44D5C" w:rsidRPr="00570D99">
              <w:rPr>
                <w:color w:val="000000"/>
                <w:spacing w:val="-2"/>
                <w:szCs w:val="22"/>
              </w:rPr>
              <w:t>Duluth</w:t>
            </w:r>
          </w:smartTag>
          <w:r w:rsidR="00C44D5C" w:rsidRPr="00570D99">
            <w:rPr>
              <w:color w:val="000000"/>
              <w:spacing w:val="-2"/>
              <w:szCs w:val="22"/>
            </w:rPr>
            <w:t xml:space="preserve">, </w:t>
          </w:r>
          <w:smartTag w:uri="urn:schemas-microsoft-com:office:smarttags" w:element="State">
            <w:r w:rsidR="00C44D5C" w:rsidRPr="00570D99">
              <w:rPr>
                <w:color w:val="000000"/>
                <w:spacing w:val="-2"/>
                <w:szCs w:val="22"/>
              </w:rPr>
              <w:t>GA</w:t>
            </w:r>
          </w:smartTag>
          <w:r w:rsidR="00C44D5C" w:rsidRPr="00570D99">
            <w:rPr>
              <w:color w:val="000000"/>
              <w:spacing w:val="-2"/>
              <w:szCs w:val="22"/>
            </w:rPr>
            <w:t xml:space="preserve"> </w:t>
          </w:r>
          <w:smartTag w:uri="urn:schemas-microsoft-com:office:smarttags" w:element="PostalCode">
            <w:r w:rsidR="00C44D5C" w:rsidRPr="00570D99">
              <w:rPr>
                <w:color w:val="000000"/>
                <w:spacing w:val="-2"/>
                <w:szCs w:val="22"/>
              </w:rPr>
              <w:t>30096</w:t>
            </w:r>
          </w:smartTag>
        </w:smartTag>
      </w:smartTag>
      <w:r w:rsidRPr="00981F23">
        <w:t xml:space="preserve">, and must include the NAL/Account Number referenced in the caption.  The statement must also be e-mailed to </w:t>
      </w:r>
      <w:r w:rsidR="00C44D5C" w:rsidRPr="00C44D5C">
        <w:rPr>
          <w:color w:val="000000" w:themeColor="text1"/>
          <w:szCs w:val="22"/>
        </w:rPr>
        <w:t>SCR-Response@fcc.gov</w:t>
      </w:r>
      <w:r w:rsidRPr="00981F23">
        <w:t xml:space="preserve">.  </w:t>
      </w:r>
    </w:p>
    <w:p w14:paraId="3984AB2F" w14:textId="77777777" w:rsidR="00E9376C" w:rsidRPr="00981F23" w:rsidRDefault="00E9376C" w:rsidP="00D85E60">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31A7FAFF" w14:textId="77777777" w:rsidR="00E9376C" w:rsidRPr="00981F23" w:rsidRDefault="00E9376C" w:rsidP="00D85E60">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C44D5C">
        <w:t>David J. Tolassi at his address of record</w:t>
      </w:r>
      <w:r w:rsidRPr="00981F23">
        <w:t>.</w:t>
      </w:r>
    </w:p>
    <w:p w14:paraId="1454E913" w14:textId="77777777" w:rsidR="007C3A62" w:rsidRPr="00981F23" w:rsidRDefault="007C3A62" w:rsidP="007C3A62">
      <w:pPr>
        <w:rPr>
          <w:color w:val="000000" w:themeColor="text1"/>
        </w:rPr>
      </w:pPr>
    </w:p>
    <w:p w14:paraId="187E289D"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3AE8D70B" w14:textId="77777777" w:rsidR="00F60397" w:rsidRPr="00981F23" w:rsidRDefault="00F60397" w:rsidP="00BD75A3">
      <w:pPr>
        <w:rPr>
          <w:color w:val="000000" w:themeColor="text1"/>
        </w:rPr>
      </w:pPr>
    </w:p>
    <w:p w14:paraId="118E89D4" w14:textId="77777777" w:rsidR="00F60397" w:rsidRPr="00981F23" w:rsidRDefault="00F60397" w:rsidP="00BD75A3">
      <w:pPr>
        <w:rPr>
          <w:color w:val="000000" w:themeColor="text1"/>
        </w:rPr>
      </w:pPr>
    </w:p>
    <w:p w14:paraId="244A52C6" w14:textId="77777777" w:rsidR="00F60397" w:rsidRPr="00981F23" w:rsidRDefault="00F60397" w:rsidP="00BD75A3">
      <w:pPr>
        <w:rPr>
          <w:color w:val="000000" w:themeColor="text1"/>
        </w:rPr>
      </w:pPr>
    </w:p>
    <w:p w14:paraId="525637B7" w14:textId="77777777" w:rsidR="009547E5" w:rsidRDefault="009547E5" w:rsidP="009547E5">
      <w:pPr>
        <w:rPr>
          <w:color w:val="000000" w:themeColor="text1"/>
        </w:rPr>
      </w:pPr>
    </w:p>
    <w:p w14:paraId="50A453C0" w14:textId="4DB8EA73" w:rsidR="00C44D5C" w:rsidRPr="00B82F3B" w:rsidRDefault="009547E5" w:rsidP="00B82F3B">
      <w:r>
        <w:rPr>
          <w:color w:val="000000" w:themeColor="text1"/>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sidRPr="002A6118">
        <w:rPr>
          <w:color w:val="000000"/>
          <w:spacing w:val="-2"/>
          <w:szCs w:val="22"/>
        </w:rPr>
        <w:t>Douglas Miller</w:t>
      </w:r>
    </w:p>
    <w:p w14:paraId="4B2DD8A5" w14:textId="77777777" w:rsidR="00C44D5C" w:rsidRPr="002A6118" w:rsidRDefault="00C44D5C" w:rsidP="00C44D5C">
      <w:pPr>
        <w:tabs>
          <w:tab w:val="left" w:pos="0"/>
          <w:tab w:val="num" w:pos="1440"/>
        </w:tabs>
        <w:suppressAutoHyphens/>
        <w:spacing w:line="240" w:lineRule="atLeast"/>
        <w:jc w:val="both"/>
        <w:rPr>
          <w:color w:val="000000"/>
          <w:spacing w:val="-2"/>
          <w:szCs w:val="22"/>
        </w:rPr>
      </w:pP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t>District Director</w:t>
      </w:r>
    </w:p>
    <w:p w14:paraId="38DD215C" w14:textId="77777777" w:rsidR="00C44D5C" w:rsidRPr="002A6118" w:rsidRDefault="00C44D5C" w:rsidP="00C44D5C">
      <w:pPr>
        <w:tabs>
          <w:tab w:val="left" w:pos="0"/>
          <w:tab w:val="num" w:pos="1440"/>
        </w:tabs>
        <w:suppressAutoHyphens/>
        <w:spacing w:line="240" w:lineRule="atLeast"/>
        <w:jc w:val="both"/>
        <w:rPr>
          <w:color w:val="000000"/>
          <w:spacing w:val="-2"/>
          <w:szCs w:val="22"/>
        </w:rPr>
      </w:pP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smartTag w:uri="urn:schemas-microsoft-com:office:smarttags" w:element="place">
        <w:smartTag w:uri="urn:schemas-microsoft-com:office:smarttags" w:element="City">
          <w:r w:rsidRPr="002A6118">
            <w:rPr>
              <w:color w:val="000000"/>
              <w:spacing w:val="-2"/>
              <w:szCs w:val="22"/>
            </w:rPr>
            <w:t>Atlanta</w:t>
          </w:r>
        </w:smartTag>
      </w:smartTag>
      <w:r w:rsidRPr="002A6118">
        <w:rPr>
          <w:color w:val="000000"/>
          <w:spacing w:val="-2"/>
          <w:szCs w:val="22"/>
        </w:rPr>
        <w:t xml:space="preserve"> Office</w:t>
      </w:r>
    </w:p>
    <w:p w14:paraId="1655A416" w14:textId="77777777" w:rsidR="00C44D5C" w:rsidRPr="002A6118" w:rsidRDefault="00C44D5C" w:rsidP="00C44D5C">
      <w:pPr>
        <w:tabs>
          <w:tab w:val="left" w:pos="0"/>
          <w:tab w:val="num" w:pos="1440"/>
        </w:tabs>
        <w:suppressAutoHyphens/>
        <w:spacing w:line="240" w:lineRule="atLeast"/>
        <w:jc w:val="both"/>
        <w:rPr>
          <w:color w:val="000000"/>
          <w:spacing w:val="-2"/>
          <w:szCs w:val="22"/>
        </w:rPr>
      </w:pP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r>
      <w:r w:rsidRPr="002A6118">
        <w:rPr>
          <w:color w:val="000000"/>
          <w:spacing w:val="-2"/>
          <w:szCs w:val="22"/>
        </w:rPr>
        <w:tab/>
        <w:t>South Central Region</w:t>
      </w:r>
    </w:p>
    <w:p w14:paraId="6E84956A" w14:textId="77777777" w:rsidR="00C44D5C" w:rsidRDefault="00C44D5C" w:rsidP="00C44D5C">
      <w:pPr>
        <w:tabs>
          <w:tab w:val="left" w:pos="0"/>
          <w:tab w:val="num" w:pos="1440"/>
        </w:tabs>
        <w:suppressAutoHyphens/>
        <w:spacing w:line="240" w:lineRule="atLeast"/>
        <w:jc w:val="both"/>
      </w:pPr>
      <w:r>
        <w:rPr>
          <w:spacing w:val="-2"/>
          <w:szCs w:val="22"/>
        </w:rPr>
        <w:tab/>
      </w:r>
      <w:r>
        <w:rPr>
          <w:spacing w:val="-2"/>
          <w:szCs w:val="22"/>
        </w:rPr>
        <w:tab/>
      </w:r>
      <w:r>
        <w:rPr>
          <w:spacing w:val="-2"/>
          <w:szCs w:val="22"/>
        </w:rPr>
        <w:tab/>
      </w:r>
      <w:r>
        <w:rPr>
          <w:spacing w:val="-2"/>
          <w:szCs w:val="22"/>
        </w:rPr>
        <w:tab/>
      </w:r>
      <w:r>
        <w:rPr>
          <w:spacing w:val="-2"/>
          <w:szCs w:val="22"/>
        </w:rPr>
        <w:tab/>
        <w:t>Enforcement Bureau</w:t>
      </w:r>
    </w:p>
    <w:p w14:paraId="6F64F0E7" w14:textId="77777777" w:rsidR="00FA0B93" w:rsidRPr="008C10CC" w:rsidRDefault="00FA0B93" w:rsidP="00F60397">
      <w:pPr>
        <w:rPr>
          <w:color w:val="000000" w:themeColor="text1"/>
          <w:szCs w:val="22"/>
        </w:rPr>
      </w:pP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0ED33" w14:textId="77777777" w:rsidR="00B51E55" w:rsidRDefault="00B51E55">
      <w:r>
        <w:separator/>
      </w:r>
    </w:p>
  </w:endnote>
  <w:endnote w:type="continuationSeparator" w:id="0">
    <w:p w14:paraId="6A2DAC0F" w14:textId="77777777" w:rsidR="00B51E55" w:rsidRDefault="00B51E55">
      <w:r>
        <w:continuationSeparator/>
      </w:r>
    </w:p>
  </w:endnote>
  <w:endnote w:type="continuationNotice" w:id="1">
    <w:p w14:paraId="179AC420" w14:textId="77777777" w:rsidR="00B51E55" w:rsidRDefault="00B5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1054"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75569"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7E9A"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476FDB">
      <w:rPr>
        <w:rStyle w:val="PageNumber"/>
        <w:noProof/>
        <w:szCs w:val="22"/>
      </w:rPr>
      <w:t>2</w:t>
    </w:r>
    <w:r w:rsidRPr="00575313">
      <w:rPr>
        <w:rStyle w:val="PageNumber"/>
        <w:szCs w:val="22"/>
      </w:rPr>
      <w:fldChar w:fldCharType="end"/>
    </w:r>
  </w:p>
  <w:p w14:paraId="17FD9E5C" w14:textId="77777777"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E121"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01C5" w14:textId="77777777" w:rsidR="00B51E55" w:rsidRDefault="00B51E55">
      <w:r>
        <w:separator/>
      </w:r>
    </w:p>
  </w:footnote>
  <w:footnote w:type="continuationSeparator" w:id="0">
    <w:p w14:paraId="2627AD3F" w14:textId="77777777" w:rsidR="00B51E55" w:rsidRDefault="00B51E55" w:rsidP="00F60397">
      <w:r w:rsidRPr="00F60397">
        <w:rPr>
          <w:sz w:val="20"/>
        </w:rPr>
        <w:t>(Continued from previous page…)</w:t>
      </w:r>
      <w:r>
        <w:rPr>
          <w:sz w:val="20"/>
        </w:rPr>
        <w:t xml:space="preserve"> </w:t>
      </w:r>
      <w:r>
        <w:separator/>
      </w:r>
    </w:p>
  </w:footnote>
  <w:footnote w:type="continuationNotice" w:id="1">
    <w:p w14:paraId="132BF31C" w14:textId="77777777" w:rsidR="00B51E55" w:rsidRPr="00F60397" w:rsidRDefault="00B51E55" w:rsidP="00AE54D6">
      <w:pPr>
        <w:jc w:val="right"/>
        <w:rPr>
          <w:sz w:val="20"/>
        </w:rPr>
      </w:pPr>
      <w:r w:rsidRPr="00F60397">
        <w:rPr>
          <w:sz w:val="20"/>
        </w:rPr>
        <w:t>(continued…)</w:t>
      </w:r>
    </w:p>
  </w:footnote>
  <w:footnote w:id="2">
    <w:p w14:paraId="0E7AAF41"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00FC5AE2" w:rsidRPr="00790B4B">
        <w:t xml:space="preserve">The investigation </w:t>
      </w:r>
      <w:r w:rsidR="009F6998">
        <w:t xml:space="preserve">was initially assigned </w:t>
      </w:r>
      <w:r w:rsidR="00CA3D8B">
        <w:t>File No. EB-FIELDNER-15-00019472</w:t>
      </w:r>
      <w:r w:rsidR="00FC5AE2" w:rsidRPr="0007571D">
        <w:t xml:space="preserve">.  Any future correspondence with the Commission concerning this matter should reflect the new case number.  </w:t>
      </w:r>
    </w:p>
  </w:footnote>
  <w:footnote w:id="3">
    <w:p w14:paraId="13A2024B" w14:textId="4A072E65" w:rsidR="00881769" w:rsidRDefault="00881769">
      <w:pPr>
        <w:pStyle w:val="FootnoteText"/>
      </w:pPr>
      <w:r>
        <w:rPr>
          <w:rStyle w:val="FootnoteReference"/>
        </w:rPr>
        <w:footnoteRef/>
      </w:r>
      <w:r>
        <w:t xml:space="preserve"> Letter to David J. Tolassi, Amateur Radio Licensee W4BVH, from Laura L. Smith, Special Counsel, Enforcement </w:t>
      </w:r>
      <w:r w:rsidR="00D85E60">
        <w:t>Bureau (Aug. 11, 2014)</w:t>
      </w:r>
      <w:r>
        <w:t>.</w:t>
      </w:r>
    </w:p>
  </w:footnote>
  <w:footnote w:id="4">
    <w:p w14:paraId="493EBB22" w14:textId="77777777" w:rsidR="00D85E60" w:rsidRPr="00D85E60" w:rsidRDefault="00D85E60">
      <w:pPr>
        <w:pStyle w:val="FootnoteText"/>
        <w:rPr>
          <w:i/>
        </w:rPr>
      </w:pPr>
      <w:r>
        <w:rPr>
          <w:rStyle w:val="FootnoteReference"/>
        </w:rPr>
        <w:footnoteRef/>
      </w:r>
      <w:r>
        <w:t xml:space="preserve"> </w:t>
      </w:r>
      <w:r>
        <w:rPr>
          <w:i/>
        </w:rPr>
        <w:t>Id.</w:t>
      </w:r>
    </w:p>
  </w:footnote>
  <w:footnote w:id="5">
    <w:p w14:paraId="069DD08F" w14:textId="77777777" w:rsidR="00685850" w:rsidRDefault="00685850">
      <w:pPr>
        <w:pStyle w:val="FootnoteText"/>
      </w:pPr>
      <w:r>
        <w:rPr>
          <w:rStyle w:val="FootnoteReference"/>
        </w:rPr>
        <w:footnoteRef/>
      </w:r>
      <w:r>
        <w:t xml:space="preserve"> 47 C.F.R. </w:t>
      </w:r>
      <w:r w:rsidRPr="006856C3">
        <w:t>§</w:t>
      </w:r>
      <w:r>
        <w:t xml:space="preserve"> 97.119(a).</w:t>
      </w:r>
    </w:p>
  </w:footnote>
  <w:footnote w:id="6">
    <w:p w14:paraId="6F56C32E" w14:textId="1C9D5F54" w:rsidR="001800A4" w:rsidRDefault="001800A4">
      <w:pPr>
        <w:pStyle w:val="FootnoteText"/>
      </w:pPr>
      <w:r>
        <w:rPr>
          <w:rStyle w:val="FootnoteReference"/>
        </w:rPr>
        <w:footnoteRef/>
      </w:r>
      <w:r w:rsidR="00472A67">
        <w:t xml:space="preserve"> </w:t>
      </w:r>
      <w:r w:rsidR="00472A67">
        <w:rPr>
          <w:i/>
        </w:rPr>
        <w:t>Id.</w:t>
      </w:r>
    </w:p>
  </w:footnote>
  <w:footnote w:id="7">
    <w:p w14:paraId="6E8AB59E"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8">
    <w:p w14:paraId="5A665C9E" w14:textId="5C5EE8DD"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9">
    <w:p w14:paraId="23FBFABB"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0">
    <w:p w14:paraId="14CEAFE7"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1">
    <w:p w14:paraId="583EEDD5"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2">
    <w:p w14:paraId="0136F813"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w:t>
      </w:r>
    </w:p>
  </w:footnote>
  <w:footnote w:id="13">
    <w:p w14:paraId="34D78F66"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4">
    <w:p w14:paraId="0ED2CEED" w14:textId="3C7F738F" w:rsidR="00BF56EF" w:rsidRPr="00E531CF" w:rsidRDefault="00BF56EF" w:rsidP="00BF56EF">
      <w:pPr>
        <w:pStyle w:val="HTMLPreformatted"/>
        <w:rPr>
          <w:rFonts w:ascii="Times New Roman" w:hAnsi="Times New Roman"/>
          <w:snapToGrid/>
          <w:color w:val="000000" w:themeColor="text1"/>
        </w:rPr>
      </w:pPr>
      <w:r>
        <w:rPr>
          <w:rStyle w:val="FootnoteReference"/>
        </w:rPr>
        <w:footnoteRef/>
      </w:r>
      <w:r>
        <w:t xml:space="preserve"> </w:t>
      </w:r>
      <w:r w:rsidR="00E531CF" w:rsidRPr="00E531CF">
        <w:rPr>
          <w:rFonts w:ascii="Times New Roman" w:hAnsi="Times New Roman"/>
          <w:i/>
          <w:color w:val="000000" w:themeColor="text1"/>
        </w:rPr>
        <w:t xml:space="preserve">See </w:t>
      </w:r>
      <w:r w:rsidRPr="00E531CF">
        <w:rPr>
          <w:rStyle w:val="Emphasis"/>
          <w:rFonts w:ascii="Times New Roman" w:hAnsi="Times New Roman"/>
          <w:color w:val="000000" w:themeColor="text1"/>
        </w:rPr>
        <w:t>Ronald E. Sauer</w:t>
      </w:r>
      <w:r w:rsidRPr="00E531CF">
        <w:rPr>
          <w:rFonts w:ascii="Times New Roman" w:hAnsi="Times New Roman"/>
          <w:color w:val="000000" w:themeColor="text1"/>
        </w:rPr>
        <w:t>, Notice of Apparent Liability for Forfeiture, NAL/Acct. No. 200332360006 (Enf. Bur.</w:t>
      </w:r>
      <w:r w:rsidR="009A7359">
        <w:rPr>
          <w:rFonts w:ascii="Times New Roman" w:hAnsi="Times New Roman"/>
          <w:color w:val="000000" w:themeColor="text1"/>
        </w:rPr>
        <w:t xml:space="preserve"> </w:t>
      </w:r>
      <w:r w:rsidRPr="00E531CF">
        <w:rPr>
          <w:rFonts w:ascii="Times New Roman" w:hAnsi="Times New Roman"/>
          <w:color w:val="000000" w:themeColor="text1"/>
        </w:rPr>
        <w:t xml:space="preserve">rel. May 6, 2003) (proposing </w:t>
      </w:r>
      <w:r w:rsidR="00365C26">
        <w:rPr>
          <w:rFonts w:ascii="Times New Roman" w:hAnsi="Times New Roman"/>
          <w:color w:val="000000" w:themeColor="text1"/>
        </w:rPr>
        <w:t>$1,000 forfeiture for repeated</w:t>
      </w:r>
      <w:r w:rsidRPr="00E531CF">
        <w:rPr>
          <w:rFonts w:ascii="Times New Roman" w:hAnsi="Times New Roman"/>
          <w:color w:val="000000" w:themeColor="text1"/>
        </w:rPr>
        <w:t xml:space="preserve"> fail</w:t>
      </w:r>
      <w:r w:rsidR="00365C26">
        <w:rPr>
          <w:rFonts w:ascii="Times New Roman" w:hAnsi="Times New Roman"/>
          <w:color w:val="000000" w:themeColor="text1"/>
        </w:rPr>
        <w:t>ure</w:t>
      </w:r>
      <w:r w:rsidRPr="00E531CF">
        <w:rPr>
          <w:rFonts w:ascii="Times New Roman" w:hAnsi="Times New Roman"/>
          <w:color w:val="000000" w:themeColor="text1"/>
        </w:rPr>
        <w:t xml:space="preserve"> to identify Amateur station), </w:t>
      </w:r>
      <w:r w:rsidRPr="00E531CF">
        <w:rPr>
          <w:rFonts w:ascii="Times New Roman" w:hAnsi="Times New Roman"/>
          <w:i/>
          <w:color w:val="000000" w:themeColor="text1"/>
        </w:rPr>
        <w:t>Scott E. Kamm</w:t>
      </w:r>
      <w:r w:rsidRPr="00E531CF">
        <w:rPr>
          <w:rFonts w:ascii="Times New Roman" w:hAnsi="Times New Roman"/>
          <w:color w:val="000000" w:themeColor="text1"/>
        </w:rPr>
        <w:t xml:space="preserve">, </w:t>
      </w:r>
      <w:r w:rsidR="00033F34">
        <w:rPr>
          <w:rFonts w:ascii="Times New Roman" w:hAnsi="Times New Roman"/>
          <w:color w:val="000000" w:themeColor="text1"/>
        </w:rPr>
        <w:t xml:space="preserve">Notice </w:t>
      </w:r>
      <w:r w:rsidRPr="00E531CF">
        <w:rPr>
          <w:rFonts w:ascii="Times New Roman" w:hAnsi="Times New Roman"/>
          <w:color w:val="000000" w:themeColor="text1"/>
        </w:rPr>
        <w:t xml:space="preserve">of Apparent Liability for Forfeiture, </w:t>
      </w:r>
      <w:r w:rsidR="00E531CF" w:rsidRPr="00E531CF">
        <w:rPr>
          <w:rFonts w:ascii="Times New Roman" w:hAnsi="Times New Roman"/>
          <w:color w:val="000000" w:themeColor="text1"/>
        </w:rPr>
        <w:t xml:space="preserve">NAL/Acct. No. </w:t>
      </w:r>
      <w:r w:rsidRPr="00E531CF">
        <w:rPr>
          <w:rFonts w:ascii="Times New Roman" w:hAnsi="Times New Roman"/>
          <w:snapToGrid/>
          <w:color w:val="000000" w:themeColor="text1"/>
        </w:rPr>
        <w:t>200332560008</w:t>
      </w:r>
      <w:r w:rsidR="00E531CF" w:rsidRPr="00E531CF">
        <w:rPr>
          <w:rFonts w:ascii="Times New Roman" w:hAnsi="Times New Roman"/>
          <w:snapToGrid/>
          <w:color w:val="000000" w:themeColor="text1"/>
        </w:rPr>
        <w:t xml:space="preserve"> (Enf. Bur. rel. Jan. 24, 2003)</w:t>
      </w:r>
      <w:r w:rsidR="00033F34">
        <w:rPr>
          <w:rFonts w:ascii="Times New Roman" w:hAnsi="Times New Roman"/>
          <w:snapToGrid/>
          <w:color w:val="000000" w:themeColor="text1"/>
        </w:rPr>
        <w:t xml:space="preserve"> (same)</w:t>
      </w:r>
      <w:r w:rsidR="00E531CF" w:rsidRPr="00E531CF">
        <w:rPr>
          <w:rFonts w:ascii="Times New Roman" w:hAnsi="Times New Roman"/>
          <w:snapToGrid/>
          <w:color w:val="000000" w:themeColor="text1"/>
        </w:rPr>
        <w:t>.</w:t>
      </w:r>
    </w:p>
    <w:p w14:paraId="2321727B" w14:textId="515BA62E" w:rsidR="00BF56EF" w:rsidRPr="00E531CF" w:rsidRDefault="00BF56EF">
      <w:pPr>
        <w:pStyle w:val="FootnoteText"/>
      </w:pPr>
      <w:r w:rsidRPr="00E531CF">
        <w:rPr>
          <w:color w:val="252525"/>
        </w:rPr>
        <w:t xml:space="preserve"> </w:t>
      </w:r>
    </w:p>
  </w:footnote>
  <w:footnote w:id="15">
    <w:p w14:paraId="4CA5131F"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6">
    <w:p w14:paraId="73DB742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17">
    <w:p w14:paraId="4503BCE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w:t>
      </w:r>
      <w:r w:rsidR="00A703FD">
        <w:rPr>
          <w:color w:val="000000" w:themeColor="text1"/>
          <w:lang w:val="es-ES"/>
        </w:rPr>
        <w:t>97.119(a)</w:t>
      </w:r>
      <w:r w:rsidRPr="00981F23">
        <w:rPr>
          <w:color w:val="000000" w:themeColor="text1"/>
          <w:lang w:val="es-ES"/>
        </w:rPr>
        <w:t>.</w:t>
      </w:r>
    </w:p>
  </w:footnote>
  <w:footnote w:id="18">
    <w:p w14:paraId="3B72E7B9"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19">
    <w:p w14:paraId="42307D12"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0">
    <w:p w14:paraId="593B05B6"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1">
    <w:p w14:paraId="4856FFB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F93E" w14:textId="77777777" w:rsidR="0028463C" w:rsidRDefault="00284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FF33" w14:textId="7A33AA23"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22993E2C" wp14:editId="6BF2E6A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FEE6E"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60397">
      <w:rPr>
        <w:b/>
      </w:rPr>
      <w:tab/>
      <w:t>Federal Communications Commission</w:t>
    </w:r>
    <w:r w:rsidRPr="00F60397">
      <w:rPr>
        <w:b/>
      </w:rPr>
      <w:tab/>
    </w:r>
    <w:r w:rsidR="000A2577">
      <w:rPr>
        <w:b/>
        <w:spacing w:val="-2"/>
      </w:rPr>
      <w:t>DA</w:t>
    </w:r>
    <w:r>
      <w:rPr>
        <w:b/>
        <w:spacing w:val="-2"/>
      </w:rPr>
      <w:t xml:space="preserve"> </w:t>
    </w:r>
    <w:r w:rsidR="000A2577">
      <w:rPr>
        <w:b/>
        <w:spacing w:val="-2"/>
      </w:rPr>
      <w:t>15-831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1570" w14:textId="67868A02" w:rsidR="000A633B" w:rsidRPr="00F60397" w:rsidRDefault="000A633B" w:rsidP="00F60397">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485A65E5" wp14:editId="4F03CB05">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78F18"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F60397">
      <w:rPr>
        <w:b/>
      </w:rPr>
      <w:tab/>
      <w:t>Federal Communications Commission</w:t>
    </w:r>
    <w:r w:rsidRPr="00F60397">
      <w:rPr>
        <w:b/>
      </w:rPr>
      <w:tab/>
    </w:r>
    <w:r w:rsidR="000A2577">
      <w:rPr>
        <w:b/>
        <w:spacing w:val="-2"/>
      </w:rPr>
      <w:t>DA 15-831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7222"/>
    <w:rsid w:val="00083739"/>
    <w:rsid w:val="00084F62"/>
    <w:rsid w:val="0008593B"/>
    <w:rsid w:val="00086C04"/>
    <w:rsid w:val="0008793B"/>
    <w:rsid w:val="000907C9"/>
    <w:rsid w:val="00092A66"/>
    <w:rsid w:val="00092BAB"/>
    <w:rsid w:val="00092BF2"/>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5985"/>
    <w:rsid w:val="000E71A8"/>
    <w:rsid w:val="000F1523"/>
    <w:rsid w:val="000F1FEB"/>
    <w:rsid w:val="000F22A2"/>
    <w:rsid w:val="000F41D6"/>
    <w:rsid w:val="000F438B"/>
    <w:rsid w:val="000F7062"/>
    <w:rsid w:val="000F7572"/>
    <w:rsid w:val="001002A6"/>
    <w:rsid w:val="001056BA"/>
    <w:rsid w:val="00106C96"/>
    <w:rsid w:val="00110261"/>
    <w:rsid w:val="00111A21"/>
    <w:rsid w:val="00113784"/>
    <w:rsid w:val="00113BC4"/>
    <w:rsid w:val="00116FE5"/>
    <w:rsid w:val="00122A8F"/>
    <w:rsid w:val="00122B8F"/>
    <w:rsid w:val="00125A79"/>
    <w:rsid w:val="0013283B"/>
    <w:rsid w:val="001336C6"/>
    <w:rsid w:val="0013442B"/>
    <w:rsid w:val="001353CD"/>
    <w:rsid w:val="001374F2"/>
    <w:rsid w:val="001374F8"/>
    <w:rsid w:val="00137BCF"/>
    <w:rsid w:val="001422A3"/>
    <w:rsid w:val="001435D9"/>
    <w:rsid w:val="0014680D"/>
    <w:rsid w:val="00155D7C"/>
    <w:rsid w:val="001564D8"/>
    <w:rsid w:val="001602AA"/>
    <w:rsid w:val="00161B26"/>
    <w:rsid w:val="00162CC6"/>
    <w:rsid w:val="001643B3"/>
    <w:rsid w:val="00172372"/>
    <w:rsid w:val="00172896"/>
    <w:rsid w:val="00175520"/>
    <w:rsid w:val="001765F1"/>
    <w:rsid w:val="001778DD"/>
    <w:rsid w:val="001800A4"/>
    <w:rsid w:val="00180FE4"/>
    <w:rsid w:val="00182136"/>
    <w:rsid w:val="00186025"/>
    <w:rsid w:val="0018718B"/>
    <w:rsid w:val="001910A2"/>
    <w:rsid w:val="00194247"/>
    <w:rsid w:val="00196363"/>
    <w:rsid w:val="001A04AB"/>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E0AD2"/>
    <w:rsid w:val="001E218B"/>
    <w:rsid w:val="001E3C95"/>
    <w:rsid w:val="001E5C37"/>
    <w:rsid w:val="001E621A"/>
    <w:rsid w:val="001F0F03"/>
    <w:rsid w:val="001F1B76"/>
    <w:rsid w:val="001F39AA"/>
    <w:rsid w:val="001F4FEC"/>
    <w:rsid w:val="001F6575"/>
    <w:rsid w:val="001F7A78"/>
    <w:rsid w:val="0020014C"/>
    <w:rsid w:val="002036AA"/>
    <w:rsid w:val="002044D7"/>
    <w:rsid w:val="00204AA0"/>
    <w:rsid w:val="002051C3"/>
    <w:rsid w:val="0020572D"/>
    <w:rsid w:val="00210084"/>
    <w:rsid w:val="002112B7"/>
    <w:rsid w:val="002119D0"/>
    <w:rsid w:val="00211A06"/>
    <w:rsid w:val="0021431B"/>
    <w:rsid w:val="00215996"/>
    <w:rsid w:val="00215F06"/>
    <w:rsid w:val="0022442C"/>
    <w:rsid w:val="00226DB0"/>
    <w:rsid w:val="002302F1"/>
    <w:rsid w:val="00232003"/>
    <w:rsid w:val="00232BF1"/>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2EB3"/>
    <w:rsid w:val="0028463C"/>
    <w:rsid w:val="002849B2"/>
    <w:rsid w:val="00285BAA"/>
    <w:rsid w:val="00286303"/>
    <w:rsid w:val="002911F1"/>
    <w:rsid w:val="0029239D"/>
    <w:rsid w:val="0029779F"/>
    <w:rsid w:val="00297E39"/>
    <w:rsid w:val="002A3CC7"/>
    <w:rsid w:val="002A63EC"/>
    <w:rsid w:val="002A7EC5"/>
    <w:rsid w:val="002B1030"/>
    <w:rsid w:val="002B1319"/>
    <w:rsid w:val="002B3B4C"/>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376A"/>
    <w:rsid w:val="00384B8B"/>
    <w:rsid w:val="00387B6A"/>
    <w:rsid w:val="00390031"/>
    <w:rsid w:val="00390587"/>
    <w:rsid w:val="003928DB"/>
    <w:rsid w:val="00395E9D"/>
    <w:rsid w:val="003975A7"/>
    <w:rsid w:val="003A01A5"/>
    <w:rsid w:val="003A3B45"/>
    <w:rsid w:val="003A502F"/>
    <w:rsid w:val="003B1761"/>
    <w:rsid w:val="003B1A70"/>
    <w:rsid w:val="003B30EF"/>
    <w:rsid w:val="003B5704"/>
    <w:rsid w:val="003B67C1"/>
    <w:rsid w:val="003B7B5A"/>
    <w:rsid w:val="003C1758"/>
    <w:rsid w:val="003C41A0"/>
    <w:rsid w:val="003C4A20"/>
    <w:rsid w:val="003C50D2"/>
    <w:rsid w:val="003C5824"/>
    <w:rsid w:val="003D3528"/>
    <w:rsid w:val="003D47BD"/>
    <w:rsid w:val="003D66C7"/>
    <w:rsid w:val="003E6415"/>
    <w:rsid w:val="003E78BF"/>
    <w:rsid w:val="003F2994"/>
    <w:rsid w:val="003F2B5A"/>
    <w:rsid w:val="003F2E86"/>
    <w:rsid w:val="003F342B"/>
    <w:rsid w:val="003F541B"/>
    <w:rsid w:val="00400BD1"/>
    <w:rsid w:val="00401498"/>
    <w:rsid w:val="0041264B"/>
    <w:rsid w:val="00413C25"/>
    <w:rsid w:val="00415029"/>
    <w:rsid w:val="004172C6"/>
    <w:rsid w:val="004223B8"/>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60EC0"/>
    <w:rsid w:val="0046348E"/>
    <w:rsid w:val="004710E7"/>
    <w:rsid w:val="00471223"/>
    <w:rsid w:val="00472A67"/>
    <w:rsid w:val="0047487B"/>
    <w:rsid w:val="00474D14"/>
    <w:rsid w:val="00475713"/>
    <w:rsid w:val="00476FDB"/>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119BA"/>
    <w:rsid w:val="005126EA"/>
    <w:rsid w:val="0051347C"/>
    <w:rsid w:val="005142AD"/>
    <w:rsid w:val="00514A5B"/>
    <w:rsid w:val="00514B32"/>
    <w:rsid w:val="005155B5"/>
    <w:rsid w:val="0051631C"/>
    <w:rsid w:val="00521311"/>
    <w:rsid w:val="0052262B"/>
    <w:rsid w:val="0052272D"/>
    <w:rsid w:val="00522E0F"/>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7D61"/>
    <w:rsid w:val="0057007F"/>
    <w:rsid w:val="00570CDA"/>
    <w:rsid w:val="00575313"/>
    <w:rsid w:val="0057714E"/>
    <w:rsid w:val="00577295"/>
    <w:rsid w:val="0057772C"/>
    <w:rsid w:val="005779C9"/>
    <w:rsid w:val="005816FB"/>
    <w:rsid w:val="00583524"/>
    <w:rsid w:val="00584805"/>
    <w:rsid w:val="00585DC5"/>
    <w:rsid w:val="00586F83"/>
    <w:rsid w:val="00587FE4"/>
    <w:rsid w:val="00590221"/>
    <w:rsid w:val="005922F2"/>
    <w:rsid w:val="00593AF2"/>
    <w:rsid w:val="00595DC2"/>
    <w:rsid w:val="00596580"/>
    <w:rsid w:val="005A027A"/>
    <w:rsid w:val="005A3373"/>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DCE"/>
    <w:rsid w:val="0064676C"/>
    <w:rsid w:val="0064768F"/>
    <w:rsid w:val="00647E1D"/>
    <w:rsid w:val="00647E8E"/>
    <w:rsid w:val="0065280A"/>
    <w:rsid w:val="00652F84"/>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54AE"/>
    <w:rsid w:val="006E22DC"/>
    <w:rsid w:val="006E2E30"/>
    <w:rsid w:val="006E3F36"/>
    <w:rsid w:val="006E4C66"/>
    <w:rsid w:val="006E4D54"/>
    <w:rsid w:val="006F1B3B"/>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B22"/>
    <w:rsid w:val="0073075A"/>
    <w:rsid w:val="007327A5"/>
    <w:rsid w:val="00736AFD"/>
    <w:rsid w:val="00737B49"/>
    <w:rsid w:val="00742779"/>
    <w:rsid w:val="00742889"/>
    <w:rsid w:val="007452AD"/>
    <w:rsid w:val="0074545F"/>
    <w:rsid w:val="00747FFC"/>
    <w:rsid w:val="00752092"/>
    <w:rsid w:val="0075283E"/>
    <w:rsid w:val="0075306C"/>
    <w:rsid w:val="007534DB"/>
    <w:rsid w:val="007541CD"/>
    <w:rsid w:val="00755873"/>
    <w:rsid w:val="00755FE2"/>
    <w:rsid w:val="00764D7C"/>
    <w:rsid w:val="00765361"/>
    <w:rsid w:val="00765D8A"/>
    <w:rsid w:val="00766684"/>
    <w:rsid w:val="00767D0B"/>
    <w:rsid w:val="00771D26"/>
    <w:rsid w:val="00772E30"/>
    <w:rsid w:val="007743C4"/>
    <w:rsid w:val="007755D2"/>
    <w:rsid w:val="007764E8"/>
    <w:rsid w:val="00781FF4"/>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3450"/>
    <w:rsid w:val="007E62D6"/>
    <w:rsid w:val="007F1655"/>
    <w:rsid w:val="007F17B2"/>
    <w:rsid w:val="007F4F8B"/>
    <w:rsid w:val="007F683C"/>
    <w:rsid w:val="007F7D64"/>
    <w:rsid w:val="0080023B"/>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6099"/>
    <w:rsid w:val="00836180"/>
    <w:rsid w:val="0083689A"/>
    <w:rsid w:val="008400AB"/>
    <w:rsid w:val="008422AD"/>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E03"/>
    <w:rsid w:val="00872507"/>
    <w:rsid w:val="00874165"/>
    <w:rsid w:val="008743C3"/>
    <w:rsid w:val="00877187"/>
    <w:rsid w:val="0088088D"/>
    <w:rsid w:val="00881769"/>
    <w:rsid w:val="00881D01"/>
    <w:rsid w:val="00882F22"/>
    <w:rsid w:val="00885078"/>
    <w:rsid w:val="00894020"/>
    <w:rsid w:val="00894B8B"/>
    <w:rsid w:val="00896373"/>
    <w:rsid w:val="008A0341"/>
    <w:rsid w:val="008A0F7A"/>
    <w:rsid w:val="008A1CCF"/>
    <w:rsid w:val="008A3AA7"/>
    <w:rsid w:val="008A4054"/>
    <w:rsid w:val="008A7F41"/>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56D7"/>
    <w:rsid w:val="008E5E76"/>
    <w:rsid w:val="008E7466"/>
    <w:rsid w:val="008F1AD2"/>
    <w:rsid w:val="008F1ED7"/>
    <w:rsid w:val="008F21CC"/>
    <w:rsid w:val="008F4015"/>
    <w:rsid w:val="008F6B03"/>
    <w:rsid w:val="008F6B27"/>
    <w:rsid w:val="00900593"/>
    <w:rsid w:val="00901083"/>
    <w:rsid w:val="00904F5B"/>
    <w:rsid w:val="00906BE7"/>
    <w:rsid w:val="009122C7"/>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DE8"/>
    <w:rsid w:val="00953743"/>
    <w:rsid w:val="009547E5"/>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C031C"/>
    <w:rsid w:val="009C276F"/>
    <w:rsid w:val="009C37E4"/>
    <w:rsid w:val="009C42E1"/>
    <w:rsid w:val="009D1055"/>
    <w:rsid w:val="009D265E"/>
    <w:rsid w:val="009D276A"/>
    <w:rsid w:val="009D2ACC"/>
    <w:rsid w:val="009D3ADE"/>
    <w:rsid w:val="009D587C"/>
    <w:rsid w:val="009D701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26C9"/>
    <w:rsid w:val="00A031CA"/>
    <w:rsid w:val="00A0350D"/>
    <w:rsid w:val="00A03B0D"/>
    <w:rsid w:val="00A0573A"/>
    <w:rsid w:val="00A12292"/>
    <w:rsid w:val="00A13C44"/>
    <w:rsid w:val="00A14137"/>
    <w:rsid w:val="00A14EE4"/>
    <w:rsid w:val="00A15B42"/>
    <w:rsid w:val="00A15BB3"/>
    <w:rsid w:val="00A16D7C"/>
    <w:rsid w:val="00A2192D"/>
    <w:rsid w:val="00A248D1"/>
    <w:rsid w:val="00A31120"/>
    <w:rsid w:val="00A31B76"/>
    <w:rsid w:val="00A3692B"/>
    <w:rsid w:val="00A37677"/>
    <w:rsid w:val="00A3775B"/>
    <w:rsid w:val="00A40AED"/>
    <w:rsid w:val="00A4110C"/>
    <w:rsid w:val="00A42F52"/>
    <w:rsid w:val="00A435AA"/>
    <w:rsid w:val="00A435C0"/>
    <w:rsid w:val="00A46411"/>
    <w:rsid w:val="00A50C1B"/>
    <w:rsid w:val="00A53880"/>
    <w:rsid w:val="00A55B84"/>
    <w:rsid w:val="00A56690"/>
    <w:rsid w:val="00A569CE"/>
    <w:rsid w:val="00A60117"/>
    <w:rsid w:val="00A602D6"/>
    <w:rsid w:val="00A60B23"/>
    <w:rsid w:val="00A625BA"/>
    <w:rsid w:val="00A62DF2"/>
    <w:rsid w:val="00A64975"/>
    <w:rsid w:val="00A703FD"/>
    <w:rsid w:val="00A75348"/>
    <w:rsid w:val="00A75550"/>
    <w:rsid w:val="00A7610E"/>
    <w:rsid w:val="00A77F8F"/>
    <w:rsid w:val="00A831C4"/>
    <w:rsid w:val="00A85E6C"/>
    <w:rsid w:val="00A85E88"/>
    <w:rsid w:val="00A87AC2"/>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44BB"/>
    <w:rsid w:val="00AF4AE5"/>
    <w:rsid w:val="00AF5168"/>
    <w:rsid w:val="00AF543D"/>
    <w:rsid w:val="00AF6392"/>
    <w:rsid w:val="00AF6F6E"/>
    <w:rsid w:val="00B0320D"/>
    <w:rsid w:val="00B04BF9"/>
    <w:rsid w:val="00B10724"/>
    <w:rsid w:val="00B13100"/>
    <w:rsid w:val="00B156D6"/>
    <w:rsid w:val="00B16B77"/>
    <w:rsid w:val="00B16C61"/>
    <w:rsid w:val="00B1708D"/>
    <w:rsid w:val="00B20040"/>
    <w:rsid w:val="00B21387"/>
    <w:rsid w:val="00B24061"/>
    <w:rsid w:val="00B24A9A"/>
    <w:rsid w:val="00B27944"/>
    <w:rsid w:val="00B32E45"/>
    <w:rsid w:val="00B33D37"/>
    <w:rsid w:val="00B35874"/>
    <w:rsid w:val="00B44CB9"/>
    <w:rsid w:val="00B46A8D"/>
    <w:rsid w:val="00B47B65"/>
    <w:rsid w:val="00B51E55"/>
    <w:rsid w:val="00B52385"/>
    <w:rsid w:val="00B5247D"/>
    <w:rsid w:val="00B52903"/>
    <w:rsid w:val="00B552EB"/>
    <w:rsid w:val="00B5612A"/>
    <w:rsid w:val="00B57988"/>
    <w:rsid w:val="00B6139D"/>
    <w:rsid w:val="00B6266B"/>
    <w:rsid w:val="00B63DDB"/>
    <w:rsid w:val="00B64831"/>
    <w:rsid w:val="00B66750"/>
    <w:rsid w:val="00B67DC8"/>
    <w:rsid w:val="00B70FE9"/>
    <w:rsid w:val="00B73AEA"/>
    <w:rsid w:val="00B73BC5"/>
    <w:rsid w:val="00B76783"/>
    <w:rsid w:val="00B76A8F"/>
    <w:rsid w:val="00B76AAB"/>
    <w:rsid w:val="00B81209"/>
    <w:rsid w:val="00B82F3B"/>
    <w:rsid w:val="00B86D7B"/>
    <w:rsid w:val="00B876CE"/>
    <w:rsid w:val="00B937E0"/>
    <w:rsid w:val="00B937E9"/>
    <w:rsid w:val="00BA00A5"/>
    <w:rsid w:val="00BA129B"/>
    <w:rsid w:val="00BA36F4"/>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71D8"/>
    <w:rsid w:val="00BE7B23"/>
    <w:rsid w:val="00BF1CB0"/>
    <w:rsid w:val="00BF56EF"/>
    <w:rsid w:val="00BF6FE2"/>
    <w:rsid w:val="00BF7335"/>
    <w:rsid w:val="00C01F37"/>
    <w:rsid w:val="00C04A83"/>
    <w:rsid w:val="00C05334"/>
    <w:rsid w:val="00C05E50"/>
    <w:rsid w:val="00C07E24"/>
    <w:rsid w:val="00C152E5"/>
    <w:rsid w:val="00C2021D"/>
    <w:rsid w:val="00C210E7"/>
    <w:rsid w:val="00C21101"/>
    <w:rsid w:val="00C219A7"/>
    <w:rsid w:val="00C26416"/>
    <w:rsid w:val="00C31528"/>
    <w:rsid w:val="00C32D73"/>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604B"/>
    <w:rsid w:val="00C5625D"/>
    <w:rsid w:val="00C56892"/>
    <w:rsid w:val="00C6724A"/>
    <w:rsid w:val="00C67360"/>
    <w:rsid w:val="00C67DCF"/>
    <w:rsid w:val="00C756EA"/>
    <w:rsid w:val="00C75D98"/>
    <w:rsid w:val="00C855DA"/>
    <w:rsid w:val="00C87338"/>
    <w:rsid w:val="00C9031A"/>
    <w:rsid w:val="00C91870"/>
    <w:rsid w:val="00C92320"/>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1DAF"/>
    <w:rsid w:val="00CE25C4"/>
    <w:rsid w:val="00CE2CD7"/>
    <w:rsid w:val="00CE43FD"/>
    <w:rsid w:val="00CE4637"/>
    <w:rsid w:val="00CE5F1E"/>
    <w:rsid w:val="00CE6C03"/>
    <w:rsid w:val="00CF0B35"/>
    <w:rsid w:val="00CF0C10"/>
    <w:rsid w:val="00CF1512"/>
    <w:rsid w:val="00CF412B"/>
    <w:rsid w:val="00CF750C"/>
    <w:rsid w:val="00CF7F0D"/>
    <w:rsid w:val="00D0158A"/>
    <w:rsid w:val="00D01AD8"/>
    <w:rsid w:val="00D029C5"/>
    <w:rsid w:val="00D0680D"/>
    <w:rsid w:val="00D10070"/>
    <w:rsid w:val="00D20F36"/>
    <w:rsid w:val="00D22FDF"/>
    <w:rsid w:val="00D23390"/>
    <w:rsid w:val="00D2475A"/>
    <w:rsid w:val="00D24E13"/>
    <w:rsid w:val="00D2638A"/>
    <w:rsid w:val="00D31832"/>
    <w:rsid w:val="00D3690C"/>
    <w:rsid w:val="00D40B62"/>
    <w:rsid w:val="00D415D9"/>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5E60"/>
    <w:rsid w:val="00D87441"/>
    <w:rsid w:val="00D877AC"/>
    <w:rsid w:val="00D91323"/>
    <w:rsid w:val="00D92CC6"/>
    <w:rsid w:val="00D944AF"/>
    <w:rsid w:val="00D94648"/>
    <w:rsid w:val="00D97661"/>
    <w:rsid w:val="00DA0DE6"/>
    <w:rsid w:val="00DA4CDB"/>
    <w:rsid w:val="00DA4DED"/>
    <w:rsid w:val="00DA7007"/>
    <w:rsid w:val="00DB1253"/>
    <w:rsid w:val="00DC030E"/>
    <w:rsid w:val="00DC39C5"/>
    <w:rsid w:val="00DC710C"/>
    <w:rsid w:val="00DD03BA"/>
    <w:rsid w:val="00DD2559"/>
    <w:rsid w:val="00DD26EA"/>
    <w:rsid w:val="00DD400A"/>
    <w:rsid w:val="00DD42E6"/>
    <w:rsid w:val="00DE3BA3"/>
    <w:rsid w:val="00DE7AA2"/>
    <w:rsid w:val="00DF0D42"/>
    <w:rsid w:val="00DF2406"/>
    <w:rsid w:val="00DF270A"/>
    <w:rsid w:val="00DF2A7D"/>
    <w:rsid w:val="00DF3A53"/>
    <w:rsid w:val="00DF55BA"/>
    <w:rsid w:val="00E016A5"/>
    <w:rsid w:val="00E06091"/>
    <w:rsid w:val="00E06F13"/>
    <w:rsid w:val="00E06F80"/>
    <w:rsid w:val="00E11EAB"/>
    <w:rsid w:val="00E136C0"/>
    <w:rsid w:val="00E15F9C"/>
    <w:rsid w:val="00E26878"/>
    <w:rsid w:val="00E30369"/>
    <w:rsid w:val="00E30FB0"/>
    <w:rsid w:val="00E315AE"/>
    <w:rsid w:val="00E32BA9"/>
    <w:rsid w:val="00E34768"/>
    <w:rsid w:val="00E35544"/>
    <w:rsid w:val="00E37EAF"/>
    <w:rsid w:val="00E426B8"/>
    <w:rsid w:val="00E43A7C"/>
    <w:rsid w:val="00E4646F"/>
    <w:rsid w:val="00E46843"/>
    <w:rsid w:val="00E50979"/>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79BF"/>
    <w:rsid w:val="00E81DAB"/>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0F06"/>
    <w:rsid w:val="00ED2556"/>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973"/>
    <w:rsid w:val="00F06FEA"/>
    <w:rsid w:val="00F134E3"/>
    <w:rsid w:val="00F13CCB"/>
    <w:rsid w:val="00F20EE9"/>
    <w:rsid w:val="00F2398A"/>
    <w:rsid w:val="00F24332"/>
    <w:rsid w:val="00F3069C"/>
    <w:rsid w:val="00F32F68"/>
    <w:rsid w:val="00F33C53"/>
    <w:rsid w:val="00F377C6"/>
    <w:rsid w:val="00F40CCD"/>
    <w:rsid w:val="00F468EB"/>
    <w:rsid w:val="00F47251"/>
    <w:rsid w:val="00F50713"/>
    <w:rsid w:val="00F60397"/>
    <w:rsid w:val="00F60786"/>
    <w:rsid w:val="00F62647"/>
    <w:rsid w:val="00F64B4A"/>
    <w:rsid w:val="00F65609"/>
    <w:rsid w:val="00F65A9F"/>
    <w:rsid w:val="00F66644"/>
    <w:rsid w:val="00F6681B"/>
    <w:rsid w:val="00F70C81"/>
    <w:rsid w:val="00F7194A"/>
    <w:rsid w:val="00F72C93"/>
    <w:rsid w:val="00F73244"/>
    <w:rsid w:val="00F769AB"/>
    <w:rsid w:val="00F7799C"/>
    <w:rsid w:val="00F80F2C"/>
    <w:rsid w:val="00F813C6"/>
    <w:rsid w:val="00F83505"/>
    <w:rsid w:val="00F85F4C"/>
    <w:rsid w:val="00F876A5"/>
    <w:rsid w:val="00F90659"/>
    <w:rsid w:val="00F9689C"/>
    <w:rsid w:val="00F9764A"/>
    <w:rsid w:val="00FA0B93"/>
    <w:rsid w:val="00FA158F"/>
    <w:rsid w:val="00FA1E04"/>
    <w:rsid w:val="00FA3A82"/>
    <w:rsid w:val="00FB4923"/>
    <w:rsid w:val="00FB7DB0"/>
    <w:rsid w:val="00FC4E6A"/>
    <w:rsid w:val="00FC5AE2"/>
    <w:rsid w:val="00FC744E"/>
    <w:rsid w:val="00FC7C47"/>
    <w:rsid w:val="00FD1C11"/>
    <w:rsid w:val="00FD1D43"/>
    <w:rsid w:val="00FD2990"/>
    <w:rsid w:val="00FD5D92"/>
    <w:rsid w:val="00FD71A6"/>
    <w:rsid w:val="00FE31E3"/>
    <w:rsid w:val="00FE3B90"/>
    <w:rsid w:val="00FE59F9"/>
    <w:rsid w:val="00FE6BE5"/>
    <w:rsid w:val="00FF1806"/>
    <w:rsid w:val="00FF28C9"/>
    <w:rsid w:val="00FF338D"/>
    <w:rsid w:val="00FF42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6FDB"/>
    <w:pPr>
      <w:widowControl w:val="0"/>
    </w:pPr>
    <w:rPr>
      <w:snapToGrid w:val="0"/>
      <w:kern w:val="28"/>
      <w:szCs w:val="20"/>
    </w:rPr>
  </w:style>
  <w:style w:type="paragraph" w:styleId="Heading1">
    <w:name w:val="heading 1"/>
    <w:basedOn w:val="Normal"/>
    <w:next w:val="ParaNum"/>
    <w:link w:val="Heading1Char"/>
    <w:qFormat/>
    <w:rsid w:val="00476FDB"/>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6FDB"/>
    <w:pPr>
      <w:keepNext/>
      <w:numPr>
        <w:ilvl w:val="1"/>
        <w:numId w:val="6"/>
      </w:numPr>
      <w:spacing w:after="120"/>
      <w:outlineLvl w:val="1"/>
    </w:pPr>
    <w:rPr>
      <w:b/>
    </w:rPr>
  </w:style>
  <w:style w:type="paragraph" w:styleId="Heading3">
    <w:name w:val="heading 3"/>
    <w:basedOn w:val="Normal"/>
    <w:next w:val="ParaNum"/>
    <w:link w:val="Heading3Char"/>
    <w:qFormat/>
    <w:rsid w:val="00476FDB"/>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476FDB"/>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476FDB"/>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476FDB"/>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476FDB"/>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476FDB"/>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76FDB"/>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6F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FDB"/>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476FDB"/>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476FDB"/>
    <w:rPr>
      <w:rFonts w:ascii="Times New Roman" w:hAnsi="Times New Roman"/>
      <w:dstrike w:val="0"/>
      <w:color w:val="auto"/>
      <w:sz w:val="20"/>
      <w:vertAlign w:val="superscript"/>
    </w:rPr>
  </w:style>
  <w:style w:type="paragraph" w:styleId="Header">
    <w:name w:val="header"/>
    <w:basedOn w:val="Normal"/>
    <w:link w:val="HeaderChar"/>
    <w:autoRedefine/>
    <w:rsid w:val="00476FDB"/>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476FDB"/>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476FDB"/>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476FDB"/>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476FDB"/>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476FDB"/>
    <w:pPr>
      <w:jc w:val="center"/>
    </w:pPr>
    <w:rPr>
      <w:rFonts w:ascii="Times New Roman Bold" w:hAnsi="Times New Roman Bold"/>
      <w:b/>
      <w:bCs/>
      <w:caps/>
      <w:szCs w:val="22"/>
    </w:rPr>
  </w:style>
  <w:style w:type="paragraph" w:styleId="TOAHeading">
    <w:name w:val="toa heading"/>
    <w:basedOn w:val="Normal"/>
    <w:next w:val="Normal"/>
    <w:semiHidden/>
    <w:rsid w:val="00476FDB"/>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476FDB"/>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476FDB"/>
    <w:rPr>
      <w:vertAlign w:val="superscript"/>
    </w:rPr>
  </w:style>
  <w:style w:type="paragraph" w:styleId="TOC1">
    <w:name w:val="toc 1"/>
    <w:basedOn w:val="Normal"/>
    <w:next w:val="Normal"/>
    <w:semiHidden/>
    <w:locked/>
    <w:rsid w:val="00476FDB"/>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476FDB"/>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476F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476F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476F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476FDB"/>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476FDB"/>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476FDB"/>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476FDB"/>
    <w:pPr>
      <w:tabs>
        <w:tab w:val="left" w:pos="3240"/>
        <w:tab w:val="right" w:leader="dot" w:pos="9360"/>
      </w:tabs>
      <w:suppressAutoHyphens/>
      <w:ind w:left="3240" w:hanging="360"/>
    </w:pPr>
    <w:rPr>
      <w:noProof/>
    </w:rPr>
  </w:style>
  <w:style w:type="character" w:customStyle="1" w:styleId="EquationCaption">
    <w:name w:val="_Equation Caption"/>
    <w:rsid w:val="00476FDB"/>
  </w:style>
  <w:style w:type="paragraph" w:styleId="BlockText">
    <w:name w:val="Block Text"/>
    <w:basedOn w:val="Normal"/>
    <w:locked/>
    <w:rsid w:val="00476FDB"/>
    <w:pPr>
      <w:spacing w:after="240"/>
      <w:ind w:left="1440" w:right="1440"/>
    </w:pPr>
  </w:style>
  <w:style w:type="paragraph" w:customStyle="1" w:styleId="Paratitle">
    <w:name w:val="Para title"/>
    <w:basedOn w:val="Normal"/>
    <w:rsid w:val="00476FDB"/>
    <w:pPr>
      <w:tabs>
        <w:tab w:val="center" w:pos="9270"/>
      </w:tabs>
      <w:spacing w:after="240"/>
    </w:pPr>
    <w:rPr>
      <w:spacing w:val="-2"/>
    </w:rPr>
  </w:style>
  <w:style w:type="paragraph" w:customStyle="1" w:styleId="Bullet">
    <w:name w:val="Bullet"/>
    <w:basedOn w:val="Normal"/>
    <w:rsid w:val="00476FDB"/>
    <w:pPr>
      <w:tabs>
        <w:tab w:val="left" w:pos="2160"/>
      </w:tabs>
      <w:spacing w:after="220"/>
      <w:ind w:left="2160" w:hanging="720"/>
    </w:pPr>
  </w:style>
  <w:style w:type="paragraph" w:customStyle="1" w:styleId="TableFormat">
    <w:name w:val="TableFormat"/>
    <w:basedOn w:val="Bullet"/>
    <w:rsid w:val="00476FDB"/>
    <w:pPr>
      <w:tabs>
        <w:tab w:val="clear" w:pos="2160"/>
        <w:tab w:val="left" w:pos="5040"/>
      </w:tabs>
      <w:ind w:left="5040" w:hanging="3600"/>
    </w:pPr>
  </w:style>
  <w:style w:type="paragraph" w:customStyle="1" w:styleId="TOCTitle">
    <w:name w:val="TOC Title"/>
    <w:basedOn w:val="Normal"/>
    <w:rsid w:val="00476FDB"/>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6FDB"/>
    <w:pPr>
      <w:widowControl w:val="0"/>
    </w:pPr>
    <w:rPr>
      <w:snapToGrid w:val="0"/>
      <w:kern w:val="28"/>
      <w:szCs w:val="20"/>
    </w:rPr>
  </w:style>
  <w:style w:type="paragraph" w:styleId="Heading1">
    <w:name w:val="heading 1"/>
    <w:basedOn w:val="Normal"/>
    <w:next w:val="ParaNum"/>
    <w:link w:val="Heading1Char"/>
    <w:qFormat/>
    <w:rsid w:val="00476FDB"/>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76FDB"/>
    <w:pPr>
      <w:keepNext/>
      <w:numPr>
        <w:ilvl w:val="1"/>
        <w:numId w:val="6"/>
      </w:numPr>
      <w:spacing w:after="120"/>
      <w:outlineLvl w:val="1"/>
    </w:pPr>
    <w:rPr>
      <w:b/>
    </w:rPr>
  </w:style>
  <w:style w:type="paragraph" w:styleId="Heading3">
    <w:name w:val="heading 3"/>
    <w:basedOn w:val="Normal"/>
    <w:next w:val="ParaNum"/>
    <w:link w:val="Heading3Char"/>
    <w:qFormat/>
    <w:rsid w:val="00476FDB"/>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476FDB"/>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476FDB"/>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476FDB"/>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476FDB"/>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476FDB"/>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76FDB"/>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6F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FDB"/>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476FDB"/>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476FDB"/>
    <w:rPr>
      <w:rFonts w:ascii="Times New Roman" w:hAnsi="Times New Roman"/>
      <w:dstrike w:val="0"/>
      <w:color w:val="auto"/>
      <w:sz w:val="20"/>
      <w:vertAlign w:val="superscript"/>
    </w:rPr>
  </w:style>
  <w:style w:type="paragraph" w:styleId="Header">
    <w:name w:val="header"/>
    <w:basedOn w:val="Normal"/>
    <w:link w:val="HeaderChar"/>
    <w:autoRedefine/>
    <w:rsid w:val="00476FDB"/>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476FDB"/>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476FDB"/>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476FDB"/>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476FDB"/>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476FDB"/>
    <w:pPr>
      <w:jc w:val="center"/>
    </w:pPr>
    <w:rPr>
      <w:rFonts w:ascii="Times New Roman Bold" w:hAnsi="Times New Roman Bold"/>
      <w:b/>
      <w:bCs/>
      <w:caps/>
      <w:szCs w:val="22"/>
    </w:rPr>
  </w:style>
  <w:style w:type="paragraph" w:styleId="TOAHeading">
    <w:name w:val="toa heading"/>
    <w:basedOn w:val="Normal"/>
    <w:next w:val="Normal"/>
    <w:semiHidden/>
    <w:rsid w:val="00476FDB"/>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476FDB"/>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476FDB"/>
    <w:rPr>
      <w:vertAlign w:val="superscript"/>
    </w:rPr>
  </w:style>
  <w:style w:type="paragraph" w:styleId="TOC1">
    <w:name w:val="toc 1"/>
    <w:basedOn w:val="Normal"/>
    <w:next w:val="Normal"/>
    <w:semiHidden/>
    <w:locked/>
    <w:rsid w:val="00476FDB"/>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476FDB"/>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476F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476F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476F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476FDB"/>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476FDB"/>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476FDB"/>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476FDB"/>
    <w:pPr>
      <w:tabs>
        <w:tab w:val="left" w:pos="3240"/>
        <w:tab w:val="right" w:leader="dot" w:pos="9360"/>
      </w:tabs>
      <w:suppressAutoHyphens/>
      <w:ind w:left="3240" w:hanging="360"/>
    </w:pPr>
    <w:rPr>
      <w:noProof/>
    </w:rPr>
  </w:style>
  <w:style w:type="character" w:customStyle="1" w:styleId="EquationCaption">
    <w:name w:val="_Equation Caption"/>
    <w:rsid w:val="00476FDB"/>
  </w:style>
  <w:style w:type="paragraph" w:styleId="BlockText">
    <w:name w:val="Block Text"/>
    <w:basedOn w:val="Normal"/>
    <w:locked/>
    <w:rsid w:val="00476FDB"/>
    <w:pPr>
      <w:spacing w:after="240"/>
      <w:ind w:left="1440" w:right="1440"/>
    </w:pPr>
  </w:style>
  <w:style w:type="paragraph" w:customStyle="1" w:styleId="Paratitle">
    <w:name w:val="Para title"/>
    <w:basedOn w:val="Normal"/>
    <w:rsid w:val="00476FDB"/>
    <w:pPr>
      <w:tabs>
        <w:tab w:val="center" w:pos="9270"/>
      </w:tabs>
      <w:spacing w:after="240"/>
    </w:pPr>
    <w:rPr>
      <w:spacing w:val="-2"/>
    </w:rPr>
  </w:style>
  <w:style w:type="paragraph" w:customStyle="1" w:styleId="Bullet">
    <w:name w:val="Bullet"/>
    <w:basedOn w:val="Normal"/>
    <w:rsid w:val="00476FDB"/>
    <w:pPr>
      <w:tabs>
        <w:tab w:val="left" w:pos="2160"/>
      </w:tabs>
      <w:spacing w:after="220"/>
      <w:ind w:left="2160" w:hanging="720"/>
    </w:pPr>
  </w:style>
  <w:style w:type="paragraph" w:customStyle="1" w:styleId="TableFormat">
    <w:name w:val="TableFormat"/>
    <w:basedOn w:val="Bullet"/>
    <w:rsid w:val="00476FDB"/>
    <w:pPr>
      <w:tabs>
        <w:tab w:val="clear" w:pos="2160"/>
        <w:tab w:val="left" w:pos="5040"/>
      </w:tabs>
      <w:ind w:left="5040" w:hanging="3600"/>
    </w:pPr>
  </w:style>
  <w:style w:type="paragraph" w:customStyle="1" w:styleId="TOCTitle">
    <w:name w:val="TOC Title"/>
    <w:basedOn w:val="Normal"/>
    <w:rsid w:val="00476FDB"/>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1401</Words>
  <Characters>7676</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2015-07-21T20:42:00Z</dcterms:created>
  <dcterms:modified xsi:type="dcterms:W3CDTF">2015-07-21T20:42:00Z</dcterms:modified>
  <cp:category> </cp:category>
  <cp:contentStatus> </cp:contentStatus>
</cp:coreProperties>
</file>