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9DB9C" w14:textId="77777777" w:rsidR="00050854" w:rsidRPr="00331410" w:rsidRDefault="00050854" w:rsidP="00BF1922">
      <w:pPr>
        <w:widowControl/>
        <w:tabs>
          <w:tab w:val="center" w:pos="4770"/>
        </w:tabs>
        <w:suppressAutoHyphens/>
        <w:jc w:val="center"/>
        <w:outlineLvl w:val="0"/>
        <w:rPr>
          <w:b/>
          <w:spacing w:val="-2"/>
          <w:sz w:val="22"/>
          <w:szCs w:val="22"/>
        </w:rPr>
      </w:pPr>
      <w:bookmarkStart w:id="0" w:name="_GoBack"/>
      <w:bookmarkEnd w:id="0"/>
      <w:r w:rsidRPr="00331410">
        <w:rPr>
          <w:b/>
          <w:spacing w:val="-2"/>
          <w:sz w:val="22"/>
          <w:szCs w:val="22"/>
        </w:rPr>
        <w:t>Before the</w:t>
      </w:r>
    </w:p>
    <w:p w14:paraId="229ABC8D" w14:textId="77777777" w:rsidR="004C6D99" w:rsidRPr="00331410" w:rsidRDefault="004C6D99" w:rsidP="00BF1922">
      <w:pPr>
        <w:widowControl/>
        <w:tabs>
          <w:tab w:val="center" w:pos="4770"/>
        </w:tabs>
        <w:suppressAutoHyphens/>
        <w:jc w:val="center"/>
        <w:outlineLvl w:val="0"/>
        <w:rPr>
          <w:b/>
          <w:spacing w:val="-2"/>
          <w:sz w:val="22"/>
          <w:szCs w:val="22"/>
        </w:rPr>
      </w:pPr>
      <w:r w:rsidRPr="00331410">
        <w:rPr>
          <w:b/>
          <w:spacing w:val="-2"/>
          <w:sz w:val="22"/>
          <w:szCs w:val="22"/>
        </w:rPr>
        <w:t>Federal Communications Commission</w:t>
      </w:r>
    </w:p>
    <w:p w14:paraId="25402EA3" w14:textId="1C8C1312" w:rsidR="00050854" w:rsidRPr="00331410" w:rsidRDefault="004C6D99" w:rsidP="00BF1922">
      <w:pPr>
        <w:widowControl/>
        <w:tabs>
          <w:tab w:val="center" w:pos="4770"/>
        </w:tabs>
        <w:suppressAutoHyphens/>
        <w:jc w:val="center"/>
        <w:outlineLvl w:val="0"/>
        <w:rPr>
          <w:b/>
          <w:sz w:val="22"/>
          <w:szCs w:val="22"/>
        </w:rPr>
      </w:pPr>
      <w:r w:rsidRPr="00331410">
        <w:rPr>
          <w:b/>
          <w:sz w:val="22"/>
          <w:szCs w:val="22"/>
        </w:rPr>
        <w:t>Washington</w:t>
      </w:r>
      <w:r w:rsidR="00A64BE6">
        <w:rPr>
          <w:b/>
          <w:sz w:val="22"/>
          <w:szCs w:val="22"/>
        </w:rPr>
        <w:t>, DC</w:t>
      </w:r>
      <w:r w:rsidRPr="00331410">
        <w:rPr>
          <w:b/>
          <w:sz w:val="22"/>
          <w:szCs w:val="22"/>
        </w:rPr>
        <w:t xml:space="preserve"> 20554</w:t>
      </w:r>
    </w:p>
    <w:p w14:paraId="2A49ECA5" w14:textId="77777777" w:rsidR="00050854" w:rsidRDefault="00050854" w:rsidP="00BF1922">
      <w:pPr>
        <w:widowControl/>
        <w:tabs>
          <w:tab w:val="center" w:pos="4680"/>
        </w:tabs>
        <w:suppressAutoHyphens/>
        <w:spacing w:line="240" w:lineRule="atLeast"/>
        <w:jc w:val="both"/>
        <w:outlineLvl w:val="0"/>
        <w:rPr>
          <w:b/>
          <w:spacing w:val="-2"/>
          <w:sz w:val="24"/>
        </w:rPr>
      </w:pPr>
    </w:p>
    <w:tbl>
      <w:tblPr>
        <w:tblW w:w="9720" w:type="dxa"/>
        <w:jc w:val="center"/>
        <w:tblLayout w:type="fixed"/>
        <w:tblLook w:val="0000" w:firstRow="0" w:lastRow="0" w:firstColumn="0" w:lastColumn="0" w:noHBand="0" w:noVBand="0"/>
      </w:tblPr>
      <w:tblGrid>
        <w:gridCol w:w="4770"/>
        <w:gridCol w:w="270"/>
        <w:gridCol w:w="4680"/>
      </w:tblGrid>
      <w:tr w:rsidR="00050854" w:rsidRPr="00211F2D" w14:paraId="5D179BE2" w14:textId="77777777" w:rsidTr="00571009">
        <w:trPr>
          <w:jc w:val="center"/>
        </w:trPr>
        <w:tc>
          <w:tcPr>
            <w:tcW w:w="4770" w:type="dxa"/>
          </w:tcPr>
          <w:p w14:paraId="71085014" w14:textId="77777777" w:rsidR="00050854" w:rsidRPr="00211F2D" w:rsidRDefault="00050854" w:rsidP="00513F6C">
            <w:pPr>
              <w:widowControl/>
              <w:rPr>
                <w:sz w:val="22"/>
                <w:szCs w:val="22"/>
              </w:rPr>
            </w:pPr>
            <w:r w:rsidRPr="00211F2D">
              <w:rPr>
                <w:spacing w:val="-2"/>
                <w:sz w:val="22"/>
                <w:szCs w:val="22"/>
              </w:rPr>
              <w:t>In the Matter of</w:t>
            </w:r>
            <w:r w:rsidRPr="00211F2D">
              <w:rPr>
                <w:sz w:val="22"/>
                <w:szCs w:val="22"/>
              </w:rPr>
              <w:t xml:space="preserve"> </w:t>
            </w:r>
          </w:p>
          <w:p w14:paraId="66F4FCCF" w14:textId="77777777" w:rsidR="00050854" w:rsidRPr="00211F2D" w:rsidRDefault="00050854" w:rsidP="00513F6C">
            <w:pPr>
              <w:widowControl/>
              <w:rPr>
                <w:sz w:val="22"/>
                <w:szCs w:val="22"/>
              </w:rPr>
            </w:pPr>
          </w:p>
          <w:p w14:paraId="5F93809E" w14:textId="77777777" w:rsidR="00050854" w:rsidRPr="00211F2D" w:rsidRDefault="003F5B96" w:rsidP="00513F6C">
            <w:pPr>
              <w:widowControl/>
              <w:rPr>
                <w:spacing w:val="-2"/>
                <w:sz w:val="22"/>
                <w:szCs w:val="22"/>
              </w:rPr>
            </w:pPr>
            <w:r w:rsidRPr="00211F2D">
              <w:rPr>
                <w:spacing w:val="-2"/>
                <w:sz w:val="22"/>
                <w:szCs w:val="22"/>
              </w:rPr>
              <w:t>Michael Guernsey</w:t>
            </w:r>
          </w:p>
          <w:p w14:paraId="38BA0B0F" w14:textId="77777777" w:rsidR="00513F6C" w:rsidRPr="00211F2D" w:rsidRDefault="00513F6C" w:rsidP="00513F6C">
            <w:pPr>
              <w:widowControl/>
              <w:rPr>
                <w:sz w:val="22"/>
                <w:szCs w:val="22"/>
              </w:rPr>
            </w:pPr>
          </w:p>
          <w:p w14:paraId="54471A3C" w14:textId="77777777" w:rsidR="00050854" w:rsidRPr="00211F2D" w:rsidRDefault="00050854" w:rsidP="00513F6C">
            <w:pPr>
              <w:widowControl/>
              <w:rPr>
                <w:sz w:val="22"/>
                <w:szCs w:val="22"/>
              </w:rPr>
            </w:pPr>
            <w:r w:rsidRPr="00211F2D">
              <w:rPr>
                <w:sz w:val="22"/>
                <w:szCs w:val="22"/>
              </w:rPr>
              <w:t xml:space="preserve">Licensee of </w:t>
            </w:r>
            <w:r w:rsidR="00513F6C" w:rsidRPr="00211F2D">
              <w:rPr>
                <w:sz w:val="22"/>
                <w:szCs w:val="22"/>
              </w:rPr>
              <w:t xml:space="preserve">Amateur Radio </w:t>
            </w:r>
            <w:r w:rsidRPr="00211F2D">
              <w:rPr>
                <w:sz w:val="22"/>
                <w:szCs w:val="22"/>
              </w:rPr>
              <w:t>Station</w:t>
            </w:r>
            <w:r w:rsidR="003F5B96" w:rsidRPr="00211F2D">
              <w:rPr>
                <w:sz w:val="22"/>
                <w:szCs w:val="22"/>
              </w:rPr>
              <w:t xml:space="preserve"> KZ8O</w:t>
            </w:r>
          </w:p>
          <w:p w14:paraId="46C65D31" w14:textId="77777777" w:rsidR="00050854" w:rsidRPr="00211F2D" w:rsidRDefault="003F5B96" w:rsidP="00513F6C">
            <w:pPr>
              <w:widowControl/>
              <w:rPr>
                <w:sz w:val="22"/>
                <w:szCs w:val="22"/>
              </w:rPr>
            </w:pPr>
            <w:r w:rsidRPr="00211F2D">
              <w:rPr>
                <w:sz w:val="22"/>
                <w:szCs w:val="22"/>
              </w:rPr>
              <w:t>Parchment, Michigan</w:t>
            </w:r>
          </w:p>
          <w:p w14:paraId="42F20222" w14:textId="77777777" w:rsidR="00050854" w:rsidRPr="00211F2D" w:rsidRDefault="00050854" w:rsidP="00BF1922">
            <w:pPr>
              <w:widowControl/>
              <w:rPr>
                <w:spacing w:val="-2"/>
                <w:sz w:val="22"/>
                <w:szCs w:val="22"/>
              </w:rPr>
            </w:pPr>
          </w:p>
        </w:tc>
        <w:tc>
          <w:tcPr>
            <w:tcW w:w="270" w:type="dxa"/>
          </w:tcPr>
          <w:p w14:paraId="5948AA51" w14:textId="77777777" w:rsidR="00050854" w:rsidRPr="00211F2D" w:rsidRDefault="00050854" w:rsidP="00BF1922">
            <w:pPr>
              <w:widowControl/>
              <w:tabs>
                <w:tab w:val="center" w:pos="4680"/>
              </w:tabs>
              <w:suppressAutoHyphens/>
              <w:spacing w:line="240" w:lineRule="atLeast"/>
              <w:jc w:val="both"/>
              <w:outlineLvl w:val="0"/>
              <w:rPr>
                <w:sz w:val="22"/>
                <w:szCs w:val="22"/>
              </w:rPr>
            </w:pPr>
            <w:r w:rsidRPr="00211F2D">
              <w:rPr>
                <w:sz w:val="22"/>
                <w:szCs w:val="22"/>
              </w:rPr>
              <w:t>)</w:t>
            </w:r>
          </w:p>
          <w:p w14:paraId="53BAC8B4" w14:textId="77777777" w:rsidR="00050854" w:rsidRPr="00211F2D" w:rsidRDefault="00050854" w:rsidP="00BF1922">
            <w:pPr>
              <w:widowControl/>
              <w:tabs>
                <w:tab w:val="center" w:pos="4680"/>
              </w:tabs>
              <w:suppressAutoHyphens/>
              <w:spacing w:line="240" w:lineRule="atLeast"/>
              <w:jc w:val="both"/>
              <w:outlineLvl w:val="0"/>
              <w:rPr>
                <w:sz w:val="22"/>
                <w:szCs w:val="22"/>
              </w:rPr>
            </w:pPr>
            <w:r w:rsidRPr="00211F2D">
              <w:rPr>
                <w:sz w:val="22"/>
                <w:szCs w:val="22"/>
              </w:rPr>
              <w:t>)</w:t>
            </w:r>
          </w:p>
          <w:p w14:paraId="3FB29515" w14:textId="77777777" w:rsidR="00050854" w:rsidRPr="00211F2D" w:rsidRDefault="00050854" w:rsidP="00BF1922">
            <w:pPr>
              <w:widowControl/>
              <w:tabs>
                <w:tab w:val="center" w:pos="4680"/>
              </w:tabs>
              <w:suppressAutoHyphens/>
              <w:spacing w:line="240" w:lineRule="atLeast"/>
              <w:jc w:val="both"/>
              <w:outlineLvl w:val="0"/>
              <w:rPr>
                <w:sz w:val="22"/>
                <w:szCs w:val="22"/>
              </w:rPr>
            </w:pPr>
            <w:r w:rsidRPr="00211F2D">
              <w:rPr>
                <w:sz w:val="22"/>
                <w:szCs w:val="22"/>
              </w:rPr>
              <w:t>)</w:t>
            </w:r>
          </w:p>
          <w:p w14:paraId="410E0B7D" w14:textId="77777777" w:rsidR="00050854" w:rsidRPr="00211F2D" w:rsidRDefault="00050854" w:rsidP="00BF1922">
            <w:pPr>
              <w:widowControl/>
              <w:tabs>
                <w:tab w:val="center" w:pos="4680"/>
              </w:tabs>
              <w:suppressAutoHyphens/>
              <w:spacing w:line="240" w:lineRule="atLeast"/>
              <w:jc w:val="both"/>
              <w:outlineLvl w:val="0"/>
              <w:rPr>
                <w:sz w:val="22"/>
                <w:szCs w:val="22"/>
              </w:rPr>
            </w:pPr>
            <w:r w:rsidRPr="00211F2D">
              <w:rPr>
                <w:sz w:val="22"/>
                <w:szCs w:val="22"/>
              </w:rPr>
              <w:t>)</w:t>
            </w:r>
          </w:p>
          <w:p w14:paraId="52DB917A" w14:textId="77777777" w:rsidR="00050854" w:rsidRPr="00211F2D" w:rsidRDefault="00050854" w:rsidP="00BF1922">
            <w:pPr>
              <w:widowControl/>
              <w:tabs>
                <w:tab w:val="center" w:pos="4680"/>
              </w:tabs>
              <w:suppressAutoHyphens/>
              <w:spacing w:line="240" w:lineRule="atLeast"/>
              <w:jc w:val="both"/>
              <w:outlineLvl w:val="0"/>
              <w:rPr>
                <w:sz w:val="22"/>
                <w:szCs w:val="22"/>
              </w:rPr>
            </w:pPr>
            <w:r w:rsidRPr="00211F2D">
              <w:rPr>
                <w:sz w:val="22"/>
                <w:szCs w:val="22"/>
              </w:rPr>
              <w:t>)</w:t>
            </w:r>
          </w:p>
          <w:p w14:paraId="4C68D1B5" w14:textId="77777777" w:rsidR="00050854" w:rsidRPr="00211F2D" w:rsidRDefault="00050854" w:rsidP="00BF1922">
            <w:pPr>
              <w:widowControl/>
              <w:tabs>
                <w:tab w:val="center" w:pos="4680"/>
              </w:tabs>
              <w:suppressAutoHyphens/>
              <w:spacing w:line="240" w:lineRule="atLeast"/>
              <w:jc w:val="both"/>
              <w:outlineLvl w:val="0"/>
              <w:rPr>
                <w:sz w:val="22"/>
                <w:szCs w:val="22"/>
              </w:rPr>
            </w:pPr>
            <w:r w:rsidRPr="00211F2D">
              <w:rPr>
                <w:sz w:val="22"/>
                <w:szCs w:val="22"/>
              </w:rPr>
              <w:t>)</w:t>
            </w:r>
          </w:p>
        </w:tc>
        <w:tc>
          <w:tcPr>
            <w:tcW w:w="4680" w:type="dxa"/>
          </w:tcPr>
          <w:p w14:paraId="6C41E52B" w14:textId="77777777" w:rsidR="003E2AD5" w:rsidRPr="00211F2D" w:rsidRDefault="003E2AD5" w:rsidP="00BF1922">
            <w:pPr>
              <w:widowControl/>
              <w:rPr>
                <w:spacing w:val="-2"/>
                <w:sz w:val="22"/>
                <w:szCs w:val="22"/>
              </w:rPr>
            </w:pPr>
          </w:p>
          <w:p w14:paraId="37018959" w14:textId="77777777" w:rsidR="005F002F" w:rsidRPr="00211F2D" w:rsidRDefault="005F002F" w:rsidP="00BF1922">
            <w:pPr>
              <w:widowControl/>
              <w:ind w:left="702"/>
              <w:rPr>
                <w:spacing w:val="-2"/>
                <w:sz w:val="22"/>
                <w:szCs w:val="22"/>
              </w:rPr>
            </w:pPr>
          </w:p>
          <w:p w14:paraId="50FEF65F" w14:textId="77777777" w:rsidR="00780C18" w:rsidRPr="00211F2D" w:rsidRDefault="00050854" w:rsidP="00BF1922">
            <w:pPr>
              <w:widowControl/>
              <w:ind w:left="702"/>
              <w:rPr>
                <w:sz w:val="22"/>
                <w:szCs w:val="22"/>
              </w:rPr>
            </w:pPr>
            <w:r w:rsidRPr="00211F2D">
              <w:rPr>
                <w:sz w:val="22"/>
                <w:szCs w:val="22"/>
              </w:rPr>
              <w:t>File N</w:t>
            </w:r>
            <w:r w:rsidR="00A16AF9" w:rsidRPr="00211F2D">
              <w:rPr>
                <w:sz w:val="22"/>
                <w:szCs w:val="22"/>
              </w:rPr>
              <w:t>o.</w:t>
            </w:r>
            <w:r w:rsidR="003E2AD5" w:rsidRPr="00211F2D">
              <w:rPr>
                <w:sz w:val="22"/>
                <w:szCs w:val="22"/>
              </w:rPr>
              <w:t xml:space="preserve">:  </w:t>
            </w:r>
            <w:r w:rsidR="00780C18" w:rsidRPr="00211F2D">
              <w:rPr>
                <w:sz w:val="22"/>
                <w:szCs w:val="22"/>
              </w:rPr>
              <w:t>EB-FIELD</w:t>
            </w:r>
            <w:r w:rsidR="00513F6C" w:rsidRPr="00211F2D">
              <w:rPr>
                <w:sz w:val="22"/>
                <w:szCs w:val="22"/>
              </w:rPr>
              <w:t>NER</w:t>
            </w:r>
            <w:r w:rsidR="00780C18" w:rsidRPr="00211F2D">
              <w:rPr>
                <w:sz w:val="22"/>
                <w:szCs w:val="22"/>
              </w:rPr>
              <w:t>-1</w:t>
            </w:r>
            <w:r w:rsidR="00513F6C" w:rsidRPr="00211F2D">
              <w:rPr>
                <w:sz w:val="22"/>
                <w:szCs w:val="22"/>
              </w:rPr>
              <w:t>4</w:t>
            </w:r>
            <w:r w:rsidR="00780C18" w:rsidRPr="00211F2D">
              <w:rPr>
                <w:sz w:val="22"/>
                <w:szCs w:val="22"/>
              </w:rPr>
              <w:t>-000</w:t>
            </w:r>
            <w:r w:rsidR="00513F6C" w:rsidRPr="00211F2D">
              <w:rPr>
                <w:sz w:val="22"/>
                <w:szCs w:val="22"/>
              </w:rPr>
              <w:t>14</w:t>
            </w:r>
            <w:r w:rsidR="003F5B96" w:rsidRPr="00211F2D">
              <w:rPr>
                <w:sz w:val="22"/>
                <w:szCs w:val="22"/>
              </w:rPr>
              <w:t>398</w:t>
            </w:r>
          </w:p>
          <w:p w14:paraId="603E6896" w14:textId="77777777" w:rsidR="005B67D8" w:rsidRPr="005A3F75" w:rsidRDefault="00050854" w:rsidP="00211F2D">
            <w:pPr>
              <w:widowControl/>
              <w:ind w:left="702"/>
              <w:rPr>
                <w:sz w:val="22"/>
                <w:szCs w:val="22"/>
              </w:rPr>
            </w:pPr>
            <w:r w:rsidRPr="005A3F75">
              <w:rPr>
                <w:sz w:val="22"/>
                <w:szCs w:val="22"/>
              </w:rPr>
              <w:t>NAL/Acct. No.</w:t>
            </w:r>
            <w:r w:rsidR="003E2AD5" w:rsidRPr="005A3F75">
              <w:rPr>
                <w:sz w:val="22"/>
                <w:szCs w:val="22"/>
              </w:rPr>
              <w:t>:</w:t>
            </w:r>
            <w:r w:rsidR="00E847E3" w:rsidRPr="005A3F75">
              <w:rPr>
                <w:sz w:val="22"/>
                <w:szCs w:val="22"/>
              </w:rPr>
              <w:t xml:space="preserve">  </w:t>
            </w:r>
            <w:r w:rsidR="005B67D8" w:rsidRPr="005A3F75">
              <w:rPr>
                <w:sz w:val="22"/>
                <w:szCs w:val="22"/>
              </w:rPr>
              <w:t>201432360001</w:t>
            </w:r>
          </w:p>
          <w:tbl>
            <w:tblPr>
              <w:tblW w:w="4950" w:type="pct"/>
              <w:tblCellSpacing w:w="0" w:type="dxa"/>
              <w:tblLayout w:type="fixed"/>
              <w:tblCellMar>
                <w:left w:w="0" w:type="dxa"/>
                <w:right w:w="0" w:type="dxa"/>
              </w:tblCellMar>
              <w:tblLook w:val="04A0" w:firstRow="1" w:lastRow="0" w:firstColumn="1" w:lastColumn="0" w:noHBand="0" w:noVBand="1"/>
            </w:tblPr>
            <w:tblGrid>
              <w:gridCol w:w="4390"/>
              <w:gridCol w:w="29"/>
            </w:tblGrid>
            <w:tr w:rsidR="005B67D8" w:rsidRPr="005B67D8" w14:paraId="1AACA187" w14:textId="77777777" w:rsidTr="005B67D8">
              <w:trPr>
                <w:tblCellSpacing w:w="0" w:type="dxa"/>
              </w:trPr>
              <w:tc>
                <w:tcPr>
                  <w:tcW w:w="9228" w:type="dxa"/>
                  <w:vAlign w:val="center"/>
                  <w:hideMark/>
                </w:tcPr>
                <w:p w14:paraId="553F26AC" w14:textId="77777777" w:rsidR="005B67D8" w:rsidRPr="005B67D8" w:rsidRDefault="005B67D8" w:rsidP="005B67D8">
                  <w:pPr>
                    <w:widowControl/>
                    <w:autoSpaceDE/>
                    <w:autoSpaceDN/>
                    <w:adjustRightInd/>
                    <w:rPr>
                      <w:sz w:val="24"/>
                      <w:szCs w:val="24"/>
                    </w:rPr>
                  </w:pPr>
                </w:p>
              </w:tc>
              <w:tc>
                <w:tcPr>
                  <w:tcW w:w="38" w:type="dxa"/>
                  <w:vAlign w:val="center"/>
                  <w:hideMark/>
                </w:tcPr>
                <w:p w14:paraId="72BB68B3" w14:textId="77777777" w:rsidR="005B67D8" w:rsidRPr="005B67D8" w:rsidRDefault="005B67D8" w:rsidP="005B67D8">
                  <w:pPr>
                    <w:widowControl/>
                    <w:autoSpaceDE/>
                    <w:autoSpaceDN/>
                    <w:adjustRightInd/>
                    <w:rPr>
                      <w:sz w:val="24"/>
                      <w:szCs w:val="24"/>
                    </w:rPr>
                  </w:pPr>
                </w:p>
              </w:tc>
            </w:tr>
          </w:tbl>
          <w:p w14:paraId="6BBD6D51" w14:textId="77777777" w:rsidR="00050854" w:rsidRPr="00211F2D" w:rsidRDefault="00050854" w:rsidP="00FD4DF3">
            <w:pPr>
              <w:widowControl/>
              <w:ind w:left="702"/>
              <w:rPr>
                <w:sz w:val="22"/>
                <w:szCs w:val="22"/>
              </w:rPr>
            </w:pPr>
            <w:r w:rsidRPr="00211F2D">
              <w:rPr>
                <w:sz w:val="22"/>
                <w:szCs w:val="22"/>
              </w:rPr>
              <w:t>FRN</w:t>
            </w:r>
            <w:r w:rsidR="003E2AD5" w:rsidRPr="00211F2D">
              <w:rPr>
                <w:sz w:val="22"/>
                <w:szCs w:val="22"/>
              </w:rPr>
              <w:t>:</w:t>
            </w:r>
            <w:r w:rsidR="004110FC" w:rsidRPr="00211F2D">
              <w:rPr>
                <w:sz w:val="22"/>
                <w:szCs w:val="22"/>
              </w:rPr>
              <w:t xml:space="preserve"> </w:t>
            </w:r>
            <w:r w:rsidR="00A64BE6">
              <w:rPr>
                <w:sz w:val="22"/>
                <w:szCs w:val="22"/>
              </w:rPr>
              <w:t xml:space="preserve"> </w:t>
            </w:r>
            <w:r w:rsidR="00513F6C" w:rsidRPr="00211F2D">
              <w:rPr>
                <w:sz w:val="22"/>
                <w:szCs w:val="22"/>
              </w:rPr>
              <w:t>0009895590</w:t>
            </w:r>
            <w:r w:rsidR="008B58B7" w:rsidRPr="00211F2D">
              <w:rPr>
                <w:sz w:val="22"/>
                <w:szCs w:val="22"/>
              </w:rPr>
              <w:t xml:space="preserve">    </w:t>
            </w:r>
          </w:p>
        </w:tc>
      </w:tr>
    </w:tbl>
    <w:p w14:paraId="6DC416D3" w14:textId="77777777" w:rsidR="003E2AD5" w:rsidRPr="00211F2D" w:rsidRDefault="00050854" w:rsidP="00FD4DF3">
      <w:pPr>
        <w:pStyle w:val="Heading2"/>
        <w:widowControl/>
        <w:numPr>
          <w:ilvl w:val="0"/>
          <w:numId w:val="0"/>
        </w:numPr>
        <w:jc w:val="center"/>
        <w:rPr>
          <w:sz w:val="22"/>
          <w:szCs w:val="22"/>
        </w:rPr>
      </w:pPr>
      <w:r w:rsidRPr="00211F2D">
        <w:rPr>
          <w:sz w:val="22"/>
          <w:szCs w:val="22"/>
        </w:rPr>
        <w:t>FORFEITURE</w:t>
      </w:r>
      <w:r w:rsidR="00AE55EB">
        <w:rPr>
          <w:sz w:val="22"/>
          <w:szCs w:val="22"/>
        </w:rPr>
        <w:t xml:space="preserve"> ORDER</w:t>
      </w:r>
    </w:p>
    <w:p w14:paraId="16AC81CF" w14:textId="3297A09E" w:rsidR="00050854" w:rsidRPr="00211F2D" w:rsidRDefault="007E2E05" w:rsidP="00BF1922">
      <w:pPr>
        <w:widowControl/>
        <w:rPr>
          <w:b/>
          <w:spacing w:val="-2"/>
          <w:sz w:val="22"/>
          <w:szCs w:val="22"/>
        </w:rPr>
      </w:pPr>
      <w:r w:rsidRPr="00F93CB6">
        <w:rPr>
          <w:b/>
          <w:sz w:val="22"/>
        </w:rPr>
        <w:t>Adopted:</w:t>
      </w:r>
      <w:r w:rsidR="00C747D2">
        <w:rPr>
          <w:b/>
          <w:sz w:val="22"/>
        </w:rPr>
        <w:t xml:space="preserve">  July </w:t>
      </w:r>
      <w:r w:rsidR="007748C3">
        <w:rPr>
          <w:b/>
          <w:sz w:val="22"/>
        </w:rPr>
        <w:t>22</w:t>
      </w:r>
      <w:r w:rsidR="00C747D2">
        <w:rPr>
          <w:b/>
          <w:sz w:val="22"/>
        </w:rPr>
        <w:t>, 201</w:t>
      </w:r>
      <w:r w:rsidR="00AE55EB">
        <w:rPr>
          <w:b/>
          <w:sz w:val="22"/>
        </w:rPr>
        <w:t>5</w:t>
      </w:r>
      <w:r w:rsidRPr="00F93CB6">
        <w:rPr>
          <w:b/>
          <w:sz w:val="22"/>
        </w:rPr>
        <w:tab/>
      </w:r>
      <w:r w:rsidR="00211F2D" w:rsidRPr="00F93CB6">
        <w:rPr>
          <w:b/>
          <w:sz w:val="22"/>
        </w:rPr>
        <w:tab/>
      </w:r>
      <w:r w:rsidR="00211F2D" w:rsidRPr="00F93CB6">
        <w:rPr>
          <w:b/>
          <w:sz w:val="22"/>
        </w:rPr>
        <w:tab/>
      </w:r>
      <w:r w:rsidR="00211F2D" w:rsidRPr="00F93CB6">
        <w:rPr>
          <w:b/>
          <w:sz w:val="22"/>
        </w:rPr>
        <w:tab/>
      </w:r>
      <w:r w:rsidR="00211F2D" w:rsidRPr="00F93CB6">
        <w:rPr>
          <w:b/>
          <w:sz w:val="22"/>
        </w:rPr>
        <w:tab/>
      </w:r>
      <w:r w:rsidR="00211F2D" w:rsidRPr="00F93CB6">
        <w:rPr>
          <w:b/>
          <w:sz w:val="22"/>
        </w:rPr>
        <w:tab/>
      </w:r>
      <w:r w:rsidR="00050854" w:rsidRPr="00F93CB6">
        <w:rPr>
          <w:b/>
          <w:sz w:val="22"/>
        </w:rPr>
        <w:t>Released:</w:t>
      </w:r>
      <w:r w:rsidR="00C747D2">
        <w:rPr>
          <w:b/>
          <w:sz w:val="22"/>
        </w:rPr>
        <w:t xml:space="preserve">  July </w:t>
      </w:r>
      <w:r w:rsidR="007748C3">
        <w:rPr>
          <w:b/>
          <w:sz w:val="22"/>
        </w:rPr>
        <w:t>22</w:t>
      </w:r>
      <w:r w:rsidR="00C747D2">
        <w:rPr>
          <w:b/>
          <w:sz w:val="22"/>
        </w:rPr>
        <w:t>, 201</w:t>
      </w:r>
      <w:r w:rsidR="00AE55EB">
        <w:rPr>
          <w:b/>
          <w:sz w:val="22"/>
        </w:rPr>
        <w:t>5</w:t>
      </w:r>
    </w:p>
    <w:p w14:paraId="72FC9E10" w14:textId="77777777" w:rsidR="00050854" w:rsidRPr="00E34AAE" w:rsidRDefault="00050854" w:rsidP="00BF1922">
      <w:pPr>
        <w:widowControl/>
        <w:tabs>
          <w:tab w:val="left" w:pos="0"/>
          <w:tab w:val="left" w:pos="720"/>
          <w:tab w:val="left" w:pos="5760"/>
        </w:tabs>
        <w:suppressAutoHyphens/>
        <w:spacing w:line="240" w:lineRule="atLeast"/>
        <w:jc w:val="both"/>
        <w:rPr>
          <w:spacing w:val="-2"/>
          <w:sz w:val="22"/>
          <w:szCs w:val="22"/>
        </w:rPr>
      </w:pPr>
    </w:p>
    <w:p w14:paraId="6048D109" w14:textId="77777777" w:rsidR="00050854" w:rsidRPr="00E34AAE" w:rsidRDefault="00050854" w:rsidP="00BF1922">
      <w:pPr>
        <w:widowControl/>
        <w:tabs>
          <w:tab w:val="left" w:pos="0"/>
          <w:tab w:val="left" w:pos="720"/>
          <w:tab w:val="left" w:pos="5760"/>
        </w:tabs>
        <w:suppressAutoHyphens/>
        <w:spacing w:line="240" w:lineRule="atLeast"/>
        <w:rPr>
          <w:spacing w:val="-2"/>
          <w:sz w:val="22"/>
          <w:szCs w:val="22"/>
        </w:rPr>
      </w:pPr>
      <w:r w:rsidRPr="00E34AAE">
        <w:rPr>
          <w:spacing w:val="-2"/>
          <w:sz w:val="22"/>
          <w:szCs w:val="22"/>
        </w:rPr>
        <w:t>By the</w:t>
      </w:r>
      <w:r w:rsidR="00AE55EB">
        <w:rPr>
          <w:spacing w:val="-2"/>
          <w:sz w:val="22"/>
          <w:szCs w:val="22"/>
        </w:rPr>
        <w:t xml:space="preserve"> Regional</w:t>
      </w:r>
      <w:r w:rsidR="00513F6C">
        <w:rPr>
          <w:spacing w:val="-2"/>
          <w:sz w:val="22"/>
          <w:szCs w:val="22"/>
        </w:rPr>
        <w:t xml:space="preserve"> Director, Northeast Region, </w:t>
      </w:r>
      <w:r w:rsidRPr="00E34AAE">
        <w:rPr>
          <w:spacing w:val="-2"/>
          <w:sz w:val="22"/>
          <w:szCs w:val="22"/>
        </w:rPr>
        <w:t>Enforcement Bureau:</w:t>
      </w:r>
    </w:p>
    <w:p w14:paraId="64881E9C" w14:textId="77777777" w:rsidR="00AE3A0F" w:rsidRPr="00E34AAE" w:rsidRDefault="00AE3A0F" w:rsidP="00BF1922">
      <w:pPr>
        <w:widowControl/>
        <w:tabs>
          <w:tab w:val="left" w:pos="0"/>
        </w:tabs>
        <w:suppressAutoHyphens/>
        <w:spacing w:line="240" w:lineRule="atLeast"/>
        <w:jc w:val="both"/>
        <w:rPr>
          <w:sz w:val="22"/>
          <w:szCs w:val="22"/>
        </w:rPr>
      </w:pPr>
    </w:p>
    <w:p w14:paraId="550B266E" w14:textId="77777777" w:rsidR="00990FB6" w:rsidRDefault="00990FB6" w:rsidP="00310E75">
      <w:pPr>
        <w:pStyle w:val="Heading1"/>
        <w:widowControl/>
        <w:spacing w:after="120"/>
        <w:rPr>
          <w:sz w:val="22"/>
          <w:szCs w:val="22"/>
        </w:rPr>
      </w:pPr>
      <w:r w:rsidRPr="003F3CFD">
        <w:rPr>
          <w:sz w:val="22"/>
          <w:szCs w:val="22"/>
        </w:rPr>
        <w:t>INTRODUCTION</w:t>
      </w:r>
    </w:p>
    <w:p w14:paraId="27CE290C" w14:textId="4EFDCD09" w:rsidR="00C77289" w:rsidRDefault="00006836" w:rsidP="00310E75">
      <w:pPr>
        <w:widowControl/>
        <w:numPr>
          <w:ilvl w:val="0"/>
          <w:numId w:val="22"/>
        </w:numPr>
        <w:tabs>
          <w:tab w:val="clear" w:pos="1260"/>
          <w:tab w:val="left" w:pos="0"/>
          <w:tab w:val="num" w:pos="1440"/>
        </w:tabs>
        <w:suppressAutoHyphens/>
        <w:spacing w:after="120"/>
        <w:ind w:left="0"/>
        <w:rPr>
          <w:spacing w:val="-2"/>
          <w:sz w:val="22"/>
          <w:szCs w:val="22"/>
        </w:rPr>
      </w:pPr>
      <w:r w:rsidRPr="00006836">
        <w:rPr>
          <w:spacing w:val="-2"/>
          <w:sz w:val="22"/>
          <w:szCs w:val="22"/>
        </w:rPr>
        <w:t>W</w:t>
      </w:r>
      <w:r w:rsidR="00613F65" w:rsidRPr="00006836">
        <w:rPr>
          <w:spacing w:val="-2"/>
          <w:sz w:val="22"/>
          <w:szCs w:val="22"/>
        </w:rPr>
        <w:t xml:space="preserve">e </w:t>
      </w:r>
      <w:r w:rsidR="00AE55EB">
        <w:rPr>
          <w:spacing w:val="-2"/>
          <w:sz w:val="22"/>
          <w:szCs w:val="22"/>
        </w:rPr>
        <w:t xml:space="preserve">impose </w:t>
      </w:r>
      <w:r w:rsidR="00613F65" w:rsidRPr="00006836">
        <w:rPr>
          <w:spacing w:val="-2"/>
          <w:sz w:val="22"/>
          <w:szCs w:val="22"/>
        </w:rPr>
        <w:t xml:space="preserve">a penalty of $22,000 against amateur radio station operator </w:t>
      </w:r>
      <w:r w:rsidR="00C77289" w:rsidRPr="00006836">
        <w:rPr>
          <w:spacing w:val="-2"/>
          <w:sz w:val="22"/>
          <w:szCs w:val="22"/>
        </w:rPr>
        <w:t xml:space="preserve">Michael Guernsey </w:t>
      </w:r>
      <w:r w:rsidR="00613F65" w:rsidRPr="00006836">
        <w:rPr>
          <w:spacing w:val="-2"/>
          <w:sz w:val="22"/>
          <w:szCs w:val="22"/>
        </w:rPr>
        <w:t xml:space="preserve">for </w:t>
      </w:r>
      <w:r w:rsidR="00C77289" w:rsidRPr="00006836">
        <w:rPr>
          <w:spacing w:val="-2"/>
          <w:sz w:val="22"/>
          <w:szCs w:val="22"/>
        </w:rPr>
        <w:t>intentionally causing</w:t>
      </w:r>
      <w:r w:rsidR="00613F65" w:rsidRPr="00006836">
        <w:rPr>
          <w:spacing w:val="-2"/>
          <w:sz w:val="22"/>
          <w:szCs w:val="22"/>
        </w:rPr>
        <w:t xml:space="preserve"> </w:t>
      </w:r>
      <w:r w:rsidR="00433A70">
        <w:rPr>
          <w:spacing w:val="-2"/>
          <w:sz w:val="22"/>
          <w:szCs w:val="22"/>
        </w:rPr>
        <w:t>inte</w:t>
      </w:r>
      <w:r w:rsidR="002F7017" w:rsidRPr="00006836">
        <w:rPr>
          <w:spacing w:val="-2"/>
          <w:sz w:val="22"/>
          <w:szCs w:val="22"/>
        </w:rPr>
        <w:t xml:space="preserve">rference to other </w:t>
      </w:r>
      <w:r w:rsidR="00613F65" w:rsidRPr="00006836">
        <w:rPr>
          <w:spacing w:val="-2"/>
          <w:sz w:val="22"/>
          <w:szCs w:val="22"/>
        </w:rPr>
        <w:t>amateur</w:t>
      </w:r>
      <w:r w:rsidR="002F7017" w:rsidRPr="00006836">
        <w:rPr>
          <w:spacing w:val="-2"/>
          <w:sz w:val="22"/>
          <w:szCs w:val="22"/>
        </w:rPr>
        <w:t xml:space="preserve"> radio operators</w:t>
      </w:r>
      <w:r w:rsidR="00613F65" w:rsidRPr="00006836">
        <w:rPr>
          <w:spacing w:val="-2"/>
          <w:sz w:val="22"/>
          <w:szCs w:val="22"/>
        </w:rPr>
        <w:t xml:space="preserve"> and failing to provide station identification.  </w:t>
      </w:r>
      <w:r w:rsidR="003F0D55" w:rsidRPr="00006836">
        <w:rPr>
          <w:spacing w:val="-2"/>
          <w:sz w:val="22"/>
          <w:szCs w:val="22"/>
        </w:rPr>
        <w:t xml:space="preserve">Amateur radio frequencies are shared and licensees may not monopolize any frequency for their exclusive use.  </w:t>
      </w:r>
      <w:r w:rsidR="00C77289" w:rsidRPr="00006836">
        <w:rPr>
          <w:spacing w:val="-2"/>
          <w:sz w:val="22"/>
          <w:szCs w:val="22"/>
        </w:rPr>
        <w:t>Deliberate</w:t>
      </w:r>
      <w:r w:rsidR="00C77289">
        <w:rPr>
          <w:spacing w:val="-2"/>
          <w:sz w:val="22"/>
          <w:szCs w:val="22"/>
        </w:rPr>
        <w:t xml:space="preserve"> interference</w:t>
      </w:r>
      <w:r w:rsidR="009D4949">
        <w:rPr>
          <w:spacing w:val="-2"/>
          <w:sz w:val="22"/>
          <w:szCs w:val="22"/>
        </w:rPr>
        <w:t xml:space="preserve"> and failure to transmit call sign information</w:t>
      </w:r>
      <w:r w:rsidR="00C77289">
        <w:rPr>
          <w:spacing w:val="-2"/>
          <w:sz w:val="22"/>
          <w:szCs w:val="22"/>
        </w:rPr>
        <w:t xml:space="preserve"> undermine</w:t>
      </w:r>
      <w:r w:rsidR="009D4949">
        <w:rPr>
          <w:spacing w:val="-2"/>
          <w:sz w:val="22"/>
          <w:szCs w:val="22"/>
        </w:rPr>
        <w:t>s</w:t>
      </w:r>
      <w:r w:rsidR="00C77289">
        <w:rPr>
          <w:spacing w:val="-2"/>
          <w:sz w:val="22"/>
          <w:szCs w:val="22"/>
        </w:rPr>
        <w:t xml:space="preserve"> the </w:t>
      </w:r>
      <w:r w:rsidR="009D4949">
        <w:rPr>
          <w:spacing w:val="-2"/>
          <w:sz w:val="22"/>
          <w:szCs w:val="22"/>
        </w:rPr>
        <w:t>purpose</w:t>
      </w:r>
      <w:r w:rsidR="00577134">
        <w:rPr>
          <w:spacing w:val="-2"/>
          <w:sz w:val="22"/>
          <w:szCs w:val="22"/>
        </w:rPr>
        <w:t xml:space="preserve"> of the Amateur Radio S</w:t>
      </w:r>
      <w:r w:rsidR="00C77289">
        <w:rPr>
          <w:spacing w:val="-2"/>
          <w:sz w:val="22"/>
          <w:szCs w:val="22"/>
        </w:rPr>
        <w:t>ervice by preventing comm</w:t>
      </w:r>
      <w:r w:rsidR="003F0D55">
        <w:rPr>
          <w:spacing w:val="-2"/>
          <w:sz w:val="22"/>
          <w:szCs w:val="22"/>
        </w:rPr>
        <w:t>unications among licensed users</w:t>
      </w:r>
      <w:r w:rsidR="009D4949">
        <w:rPr>
          <w:spacing w:val="-2"/>
          <w:sz w:val="22"/>
          <w:szCs w:val="22"/>
        </w:rPr>
        <w:t xml:space="preserve"> and disrupts</w:t>
      </w:r>
      <w:r w:rsidR="003F0D55">
        <w:rPr>
          <w:spacing w:val="-2"/>
          <w:sz w:val="22"/>
          <w:szCs w:val="22"/>
        </w:rPr>
        <w:t xml:space="preserve"> the</w:t>
      </w:r>
      <w:r w:rsidR="00577134">
        <w:rPr>
          <w:spacing w:val="-2"/>
          <w:sz w:val="22"/>
          <w:szCs w:val="22"/>
        </w:rPr>
        <w:t xml:space="preserve"> orderly administration of the Amateur Radio S</w:t>
      </w:r>
      <w:r w:rsidR="003F0D55">
        <w:rPr>
          <w:spacing w:val="-2"/>
          <w:sz w:val="22"/>
          <w:szCs w:val="22"/>
        </w:rPr>
        <w:t xml:space="preserve">ervice by </w:t>
      </w:r>
      <w:r w:rsidR="00C17AF7">
        <w:rPr>
          <w:spacing w:val="-2"/>
          <w:sz w:val="22"/>
          <w:szCs w:val="22"/>
        </w:rPr>
        <w:t xml:space="preserve">preventing </w:t>
      </w:r>
      <w:r w:rsidR="003F0D55">
        <w:rPr>
          <w:spacing w:val="-2"/>
          <w:sz w:val="22"/>
          <w:szCs w:val="22"/>
        </w:rPr>
        <w:t>licensed users from identifying a transmission’s source.</w:t>
      </w:r>
      <w:r w:rsidR="007A45A0">
        <w:rPr>
          <w:spacing w:val="-2"/>
          <w:sz w:val="22"/>
          <w:szCs w:val="22"/>
        </w:rPr>
        <w:t xml:space="preserve">  </w:t>
      </w:r>
      <w:r w:rsidR="002F7017">
        <w:rPr>
          <w:spacing w:val="-2"/>
          <w:sz w:val="22"/>
          <w:szCs w:val="22"/>
        </w:rPr>
        <w:t xml:space="preserve">Mr. Guernsey </w:t>
      </w:r>
      <w:r w:rsidR="007A45A0">
        <w:rPr>
          <w:spacing w:val="-2"/>
          <w:sz w:val="22"/>
          <w:szCs w:val="22"/>
        </w:rPr>
        <w:t>denies that he was responsible for causing the interference</w:t>
      </w:r>
      <w:r w:rsidR="009D4949">
        <w:rPr>
          <w:spacing w:val="-2"/>
          <w:sz w:val="22"/>
          <w:szCs w:val="22"/>
        </w:rPr>
        <w:t xml:space="preserve"> and failing to identify</w:t>
      </w:r>
      <w:r w:rsidR="007A45A0">
        <w:rPr>
          <w:spacing w:val="-2"/>
          <w:sz w:val="22"/>
          <w:szCs w:val="22"/>
        </w:rPr>
        <w:t xml:space="preserve">, arguing that since the agents did not inspect his station they could have confused his signal for the signal of </w:t>
      </w:r>
      <w:r w:rsidR="00A64BE6">
        <w:rPr>
          <w:spacing w:val="-2"/>
          <w:sz w:val="22"/>
          <w:szCs w:val="22"/>
        </w:rPr>
        <w:t xml:space="preserve">nearby </w:t>
      </w:r>
      <w:r w:rsidR="009D4949">
        <w:rPr>
          <w:spacing w:val="-2"/>
          <w:sz w:val="22"/>
          <w:szCs w:val="22"/>
        </w:rPr>
        <w:t>a</w:t>
      </w:r>
      <w:r w:rsidR="00A64BE6">
        <w:rPr>
          <w:spacing w:val="-2"/>
          <w:sz w:val="22"/>
          <w:szCs w:val="22"/>
        </w:rPr>
        <w:t>mateur operators</w:t>
      </w:r>
      <w:r w:rsidR="007A45A0">
        <w:rPr>
          <w:spacing w:val="-2"/>
          <w:sz w:val="22"/>
          <w:szCs w:val="22"/>
        </w:rPr>
        <w:t xml:space="preserve">.  </w:t>
      </w:r>
      <w:r w:rsidR="00B01AC4">
        <w:rPr>
          <w:spacing w:val="-2"/>
          <w:sz w:val="22"/>
          <w:szCs w:val="22"/>
        </w:rPr>
        <w:t xml:space="preserve">Mr. Guernsey also requests </w:t>
      </w:r>
      <w:r w:rsidR="00A77197">
        <w:rPr>
          <w:spacing w:val="-2"/>
          <w:sz w:val="22"/>
          <w:szCs w:val="22"/>
        </w:rPr>
        <w:t xml:space="preserve">forfeiture </w:t>
      </w:r>
      <w:r w:rsidR="00B01AC4">
        <w:rPr>
          <w:spacing w:val="-2"/>
          <w:sz w:val="22"/>
          <w:szCs w:val="22"/>
        </w:rPr>
        <w:t xml:space="preserve">cancellation or reduction </w:t>
      </w:r>
      <w:r w:rsidR="00A77197">
        <w:rPr>
          <w:spacing w:val="-2"/>
          <w:sz w:val="22"/>
          <w:szCs w:val="22"/>
        </w:rPr>
        <w:t>based on his</w:t>
      </w:r>
      <w:r w:rsidR="00A64BE6">
        <w:rPr>
          <w:spacing w:val="-2"/>
          <w:sz w:val="22"/>
          <w:szCs w:val="22"/>
        </w:rPr>
        <w:t xml:space="preserve"> purported</w:t>
      </w:r>
      <w:r w:rsidR="00A77197">
        <w:rPr>
          <w:spacing w:val="-2"/>
          <w:sz w:val="22"/>
          <w:szCs w:val="22"/>
        </w:rPr>
        <w:t xml:space="preserve"> inability to pay.  Considering the entire record an</w:t>
      </w:r>
      <w:r w:rsidR="0015255D">
        <w:rPr>
          <w:spacing w:val="-2"/>
          <w:sz w:val="22"/>
          <w:szCs w:val="22"/>
        </w:rPr>
        <w:t>d</w:t>
      </w:r>
      <w:r w:rsidR="00A77197">
        <w:rPr>
          <w:spacing w:val="-2"/>
          <w:sz w:val="22"/>
          <w:szCs w:val="22"/>
        </w:rPr>
        <w:t xml:space="preserve"> the factors discussed below, we find no reason to cancel, withdraw, or reduce the proposed penalty, and we therefore assess the $22,000 forfeiture the Enforcement Bureau </w:t>
      </w:r>
      <w:r w:rsidR="0030290E">
        <w:rPr>
          <w:spacing w:val="-2"/>
          <w:sz w:val="22"/>
          <w:szCs w:val="22"/>
        </w:rPr>
        <w:t xml:space="preserve">(Bureau) </w:t>
      </w:r>
      <w:r w:rsidR="00A77197">
        <w:rPr>
          <w:spacing w:val="-2"/>
          <w:sz w:val="22"/>
          <w:szCs w:val="22"/>
        </w:rPr>
        <w:t>previously proposed.</w:t>
      </w:r>
    </w:p>
    <w:p w14:paraId="2B097818" w14:textId="77777777" w:rsidR="00050854" w:rsidRPr="004930F5" w:rsidRDefault="00050854" w:rsidP="00310E75">
      <w:pPr>
        <w:pStyle w:val="Heading1"/>
        <w:widowControl/>
        <w:spacing w:after="120"/>
        <w:rPr>
          <w:spacing w:val="-2"/>
          <w:sz w:val="22"/>
          <w:szCs w:val="22"/>
        </w:rPr>
      </w:pPr>
      <w:r w:rsidRPr="004930F5">
        <w:rPr>
          <w:sz w:val="22"/>
          <w:szCs w:val="22"/>
        </w:rPr>
        <w:t>BACKGROUND</w:t>
      </w:r>
    </w:p>
    <w:p w14:paraId="2550F62E" w14:textId="764EF94D" w:rsidR="006336DF" w:rsidRPr="00597628" w:rsidRDefault="00957592" w:rsidP="00310E75">
      <w:pPr>
        <w:widowControl/>
        <w:numPr>
          <w:ilvl w:val="0"/>
          <w:numId w:val="22"/>
        </w:numPr>
        <w:tabs>
          <w:tab w:val="clear" w:pos="1260"/>
          <w:tab w:val="left" w:pos="0"/>
          <w:tab w:val="num" w:pos="1440"/>
        </w:tabs>
        <w:suppressAutoHyphens/>
        <w:spacing w:after="120"/>
        <w:ind w:left="0"/>
        <w:rPr>
          <w:sz w:val="22"/>
        </w:rPr>
      </w:pPr>
      <w:r w:rsidRPr="00DE4A65">
        <w:rPr>
          <w:spacing w:val="-2"/>
          <w:sz w:val="22"/>
          <w:szCs w:val="22"/>
        </w:rPr>
        <w:t xml:space="preserve">On March 7, 2014, </w:t>
      </w:r>
      <w:r w:rsidR="00C558ED">
        <w:rPr>
          <w:spacing w:val="-2"/>
          <w:sz w:val="22"/>
          <w:szCs w:val="22"/>
        </w:rPr>
        <w:t xml:space="preserve">in response to multiple complaints of intentional interference, </w:t>
      </w:r>
      <w:r w:rsidRPr="00DE4A65">
        <w:rPr>
          <w:spacing w:val="-2"/>
          <w:sz w:val="22"/>
          <w:szCs w:val="22"/>
        </w:rPr>
        <w:t>agents from the Bureau’s Detroit</w:t>
      </w:r>
      <w:r w:rsidR="00DE4A65">
        <w:rPr>
          <w:spacing w:val="-2"/>
          <w:sz w:val="22"/>
          <w:szCs w:val="22"/>
        </w:rPr>
        <w:t xml:space="preserve"> Office (Detroit Office) used</w:t>
      </w:r>
      <w:r w:rsidRPr="00DE4A65">
        <w:rPr>
          <w:spacing w:val="-2"/>
          <w:sz w:val="22"/>
          <w:szCs w:val="22"/>
        </w:rPr>
        <w:t xml:space="preserve"> mobile direction finding techniques </w:t>
      </w:r>
      <w:r w:rsidR="00DE4A65">
        <w:rPr>
          <w:spacing w:val="-2"/>
          <w:sz w:val="22"/>
          <w:szCs w:val="22"/>
        </w:rPr>
        <w:t>to identify</w:t>
      </w:r>
      <w:r w:rsidRPr="00DE4A65">
        <w:rPr>
          <w:spacing w:val="-2"/>
          <w:sz w:val="22"/>
          <w:szCs w:val="22"/>
        </w:rPr>
        <w:t xml:space="preserve"> the source of transmissions </w:t>
      </w:r>
      <w:r w:rsidR="00795279">
        <w:rPr>
          <w:spacing w:val="-2"/>
          <w:sz w:val="22"/>
          <w:szCs w:val="22"/>
        </w:rPr>
        <w:t>interferi</w:t>
      </w:r>
      <w:r w:rsidR="00E5183B">
        <w:rPr>
          <w:spacing w:val="-2"/>
          <w:sz w:val="22"/>
          <w:szCs w:val="22"/>
        </w:rPr>
        <w:t xml:space="preserve">ng with amateur radio operations </w:t>
      </w:r>
      <w:r w:rsidRPr="00DE4A65">
        <w:rPr>
          <w:spacing w:val="-2"/>
          <w:sz w:val="22"/>
          <w:szCs w:val="22"/>
        </w:rPr>
        <w:t xml:space="preserve">to Mr. Guernsey’s </w:t>
      </w:r>
      <w:r w:rsidR="00795279">
        <w:rPr>
          <w:spacing w:val="-2"/>
          <w:sz w:val="22"/>
          <w:szCs w:val="22"/>
        </w:rPr>
        <w:t>residence.</w:t>
      </w:r>
      <w:r w:rsidR="00021DFB">
        <w:rPr>
          <w:rStyle w:val="FootnoteReference"/>
          <w:spacing w:val="-2"/>
          <w:sz w:val="22"/>
          <w:szCs w:val="22"/>
        </w:rPr>
        <w:footnoteReference w:id="2"/>
      </w:r>
      <w:r w:rsidR="00795279">
        <w:rPr>
          <w:spacing w:val="-2"/>
          <w:sz w:val="22"/>
          <w:szCs w:val="22"/>
        </w:rPr>
        <w:t xml:space="preserve">  </w:t>
      </w:r>
      <w:r w:rsidR="00C558ED">
        <w:rPr>
          <w:spacing w:val="-2"/>
          <w:sz w:val="22"/>
          <w:szCs w:val="22"/>
        </w:rPr>
        <w:t xml:space="preserve">On July 22, 2104, the Bureau issued the </w:t>
      </w:r>
      <w:r w:rsidR="00C558ED" w:rsidRPr="00A92F1A">
        <w:rPr>
          <w:i/>
          <w:spacing w:val="-2"/>
          <w:sz w:val="22"/>
          <w:szCs w:val="22"/>
        </w:rPr>
        <w:t>NAL</w:t>
      </w:r>
      <w:r w:rsidR="00C558ED">
        <w:rPr>
          <w:spacing w:val="-2"/>
          <w:sz w:val="22"/>
          <w:szCs w:val="22"/>
        </w:rPr>
        <w:t xml:space="preserve"> proposing a $2</w:t>
      </w:r>
      <w:r w:rsidR="00E5183B">
        <w:rPr>
          <w:spacing w:val="-2"/>
          <w:sz w:val="22"/>
          <w:szCs w:val="22"/>
        </w:rPr>
        <w:t>2,000 forfeiture against Mr.</w:t>
      </w:r>
      <w:r w:rsidR="00C558ED">
        <w:rPr>
          <w:spacing w:val="-2"/>
          <w:sz w:val="22"/>
          <w:szCs w:val="22"/>
        </w:rPr>
        <w:t xml:space="preserve"> Guernsey for his apparent violations of Section 333 of the Communications Act of 1934, as amended (Act), and Sections 97.101(d) and 97.119(a) of the Commission’s rules (Rules).</w:t>
      </w:r>
      <w:r w:rsidR="001E3CF1">
        <w:rPr>
          <w:rStyle w:val="FootnoteReference"/>
          <w:spacing w:val="-2"/>
          <w:sz w:val="22"/>
          <w:szCs w:val="22"/>
        </w:rPr>
        <w:footnoteReference w:id="3"/>
      </w:r>
      <w:r w:rsidR="00C558ED">
        <w:rPr>
          <w:spacing w:val="-2"/>
          <w:sz w:val="22"/>
          <w:szCs w:val="22"/>
        </w:rPr>
        <w:t xml:space="preserve">  </w:t>
      </w:r>
      <w:r w:rsidR="00783286">
        <w:rPr>
          <w:spacing w:val="-2"/>
          <w:sz w:val="22"/>
          <w:szCs w:val="22"/>
        </w:rPr>
        <w:t xml:space="preserve">On August 15, 2014, Mr. Guernsey filed a response to the </w:t>
      </w:r>
      <w:r w:rsidR="00783286" w:rsidRPr="00783286">
        <w:rPr>
          <w:i/>
          <w:spacing w:val="-2"/>
          <w:sz w:val="22"/>
          <w:szCs w:val="22"/>
        </w:rPr>
        <w:t>NAL.</w:t>
      </w:r>
      <w:r w:rsidR="00783286" w:rsidRPr="009C5B32">
        <w:rPr>
          <w:rStyle w:val="FootnoteReference"/>
          <w:spacing w:val="-2"/>
          <w:sz w:val="22"/>
        </w:rPr>
        <w:footnoteReference w:id="4"/>
      </w:r>
      <w:r w:rsidR="00783286" w:rsidRPr="0030290E">
        <w:rPr>
          <w:spacing w:val="-2"/>
          <w:sz w:val="22"/>
          <w:szCs w:val="22"/>
        </w:rPr>
        <w:t xml:space="preserve">  </w:t>
      </w:r>
      <w:r w:rsidR="00C558ED" w:rsidRPr="00783286">
        <w:rPr>
          <w:spacing w:val="-2"/>
          <w:sz w:val="22"/>
          <w:szCs w:val="22"/>
        </w:rPr>
        <w:t>In</w:t>
      </w:r>
      <w:r w:rsidR="00D42FF1">
        <w:rPr>
          <w:spacing w:val="-2"/>
          <w:sz w:val="22"/>
          <w:szCs w:val="22"/>
        </w:rPr>
        <w:t xml:space="preserve"> his </w:t>
      </w:r>
      <w:r w:rsidR="00D42FF1">
        <w:rPr>
          <w:i/>
          <w:spacing w:val="-2"/>
          <w:sz w:val="22"/>
          <w:szCs w:val="22"/>
        </w:rPr>
        <w:t>NAL Response</w:t>
      </w:r>
      <w:r w:rsidR="00D42FF1">
        <w:rPr>
          <w:spacing w:val="-2"/>
          <w:sz w:val="22"/>
          <w:szCs w:val="22"/>
        </w:rPr>
        <w:t xml:space="preserve">, </w:t>
      </w:r>
      <w:r w:rsidR="00783286">
        <w:rPr>
          <w:spacing w:val="-2"/>
          <w:sz w:val="22"/>
          <w:szCs w:val="22"/>
        </w:rPr>
        <w:t xml:space="preserve">Mr. Guernsey </w:t>
      </w:r>
      <w:r w:rsidR="00E5183B">
        <w:rPr>
          <w:spacing w:val="-2"/>
          <w:sz w:val="22"/>
          <w:szCs w:val="22"/>
        </w:rPr>
        <w:t xml:space="preserve">argues that </w:t>
      </w:r>
      <w:r w:rsidR="00D17E61">
        <w:rPr>
          <w:spacing w:val="-2"/>
          <w:sz w:val="22"/>
          <w:szCs w:val="22"/>
        </w:rPr>
        <w:t xml:space="preserve">the </w:t>
      </w:r>
      <w:r w:rsidR="00D17E61" w:rsidRPr="00A92F1A">
        <w:rPr>
          <w:i/>
          <w:spacing w:val="-2"/>
          <w:sz w:val="22"/>
          <w:szCs w:val="22"/>
        </w:rPr>
        <w:t>NAL</w:t>
      </w:r>
      <w:r w:rsidR="00D17E61">
        <w:rPr>
          <w:spacing w:val="-2"/>
          <w:sz w:val="22"/>
          <w:szCs w:val="22"/>
        </w:rPr>
        <w:t xml:space="preserve"> should be cancelled because</w:t>
      </w:r>
      <w:r w:rsidR="00E5183B">
        <w:rPr>
          <w:spacing w:val="-2"/>
          <w:sz w:val="22"/>
          <w:szCs w:val="22"/>
        </w:rPr>
        <w:t xml:space="preserve"> the Detroit Office agents did not inspect his station and</w:t>
      </w:r>
      <w:r w:rsidR="00D17E61">
        <w:rPr>
          <w:spacing w:val="-2"/>
          <w:sz w:val="22"/>
          <w:szCs w:val="22"/>
        </w:rPr>
        <w:t xml:space="preserve"> the Bureau </w:t>
      </w:r>
      <w:r w:rsidR="00E5183B">
        <w:rPr>
          <w:spacing w:val="-2"/>
          <w:sz w:val="22"/>
          <w:szCs w:val="22"/>
        </w:rPr>
        <w:t xml:space="preserve">therefore </w:t>
      </w:r>
      <w:r w:rsidR="00D17E61">
        <w:rPr>
          <w:spacing w:val="-2"/>
          <w:sz w:val="22"/>
          <w:szCs w:val="22"/>
        </w:rPr>
        <w:t>did not properly establish that it was his station causing the interference.</w:t>
      </w:r>
      <w:r w:rsidR="00D17E61">
        <w:rPr>
          <w:rStyle w:val="FootnoteReference"/>
          <w:spacing w:val="-2"/>
          <w:sz w:val="22"/>
          <w:szCs w:val="22"/>
        </w:rPr>
        <w:footnoteReference w:id="5"/>
      </w:r>
      <w:r w:rsidR="0030290E">
        <w:rPr>
          <w:spacing w:val="-2"/>
          <w:sz w:val="22"/>
          <w:szCs w:val="22"/>
        </w:rPr>
        <w:t xml:space="preserve">  </w:t>
      </w:r>
      <w:r w:rsidR="00184F3A">
        <w:rPr>
          <w:spacing w:val="-2"/>
          <w:sz w:val="22"/>
          <w:szCs w:val="22"/>
        </w:rPr>
        <w:t>Mr. Guernsey also contends that the source(s) of the interference could have been any number of amateur operators who live with a quarter mile of his location.</w:t>
      </w:r>
      <w:r w:rsidR="00184F3A">
        <w:rPr>
          <w:rStyle w:val="FootnoteReference"/>
          <w:spacing w:val="-2"/>
          <w:sz w:val="22"/>
          <w:szCs w:val="22"/>
        </w:rPr>
        <w:footnoteReference w:id="6"/>
      </w:r>
      <w:r w:rsidR="00184F3A">
        <w:rPr>
          <w:spacing w:val="-2"/>
          <w:sz w:val="22"/>
          <w:szCs w:val="22"/>
        </w:rPr>
        <w:t xml:space="preserve">  </w:t>
      </w:r>
      <w:r w:rsidR="002B5468">
        <w:rPr>
          <w:spacing w:val="-2"/>
          <w:sz w:val="22"/>
          <w:szCs w:val="22"/>
        </w:rPr>
        <w:t xml:space="preserve">Finally, Mr. </w:t>
      </w:r>
      <w:r w:rsidR="002B5468">
        <w:rPr>
          <w:spacing w:val="-2"/>
          <w:sz w:val="22"/>
          <w:szCs w:val="22"/>
        </w:rPr>
        <w:lastRenderedPageBreak/>
        <w:t xml:space="preserve">Guernsey states that he is “unable to pay” the </w:t>
      </w:r>
      <w:r w:rsidR="0030290E">
        <w:rPr>
          <w:spacing w:val="-2"/>
          <w:sz w:val="22"/>
          <w:szCs w:val="22"/>
        </w:rPr>
        <w:t xml:space="preserve">forfeiture proposed in the </w:t>
      </w:r>
      <w:r w:rsidR="002B5468" w:rsidRPr="00A92F1A">
        <w:rPr>
          <w:i/>
          <w:spacing w:val="-2"/>
          <w:sz w:val="22"/>
          <w:szCs w:val="22"/>
        </w:rPr>
        <w:t>NAL</w:t>
      </w:r>
      <w:r w:rsidR="002B5468">
        <w:rPr>
          <w:spacing w:val="-2"/>
          <w:sz w:val="22"/>
          <w:szCs w:val="22"/>
        </w:rPr>
        <w:t xml:space="preserve"> because he lives on disability</w:t>
      </w:r>
      <w:r w:rsidR="00E5183B">
        <w:rPr>
          <w:spacing w:val="-2"/>
          <w:sz w:val="22"/>
          <w:szCs w:val="22"/>
        </w:rPr>
        <w:t>, and provides</w:t>
      </w:r>
      <w:r w:rsidR="002B5468">
        <w:rPr>
          <w:spacing w:val="-2"/>
          <w:sz w:val="22"/>
          <w:szCs w:val="22"/>
        </w:rPr>
        <w:t xml:space="preserve"> his federa</w:t>
      </w:r>
      <w:r w:rsidR="0030290E">
        <w:rPr>
          <w:spacing w:val="-2"/>
          <w:sz w:val="22"/>
          <w:szCs w:val="22"/>
        </w:rPr>
        <w:t>l tax returns in support of a forfeiture reduction</w:t>
      </w:r>
      <w:r w:rsidR="00225173" w:rsidRPr="00FD4DF3">
        <w:rPr>
          <w:sz w:val="22"/>
        </w:rPr>
        <w:t>.</w:t>
      </w:r>
      <w:r w:rsidR="002B5468">
        <w:rPr>
          <w:rStyle w:val="FootnoteReference"/>
          <w:sz w:val="22"/>
        </w:rPr>
        <w:footnoteReference w:id="7"/>
      </w:r>
    </w:p>
    <w:p w14:paraId="2E0104CD" w14:textId="77777777" w:rsidR="00050854" w:rsidRPr="006336DF" w:rsidRDefault="00050854" w:rsidP="00310E75">
      <w:pPr>
        <w:pStyle w:val="Heading1"/>
        <w:spacing w:after="120"/>
      </w:pPr>
      <w:r w:rsidRPr="006336DF">
        <w:t>DISCUSSION</w:t>
      </w:r>
    </w:p>
    <w:p w14:paraId="7821E7E3" w14:textId="0D481604" w:rsidR="00CE2E71" w:rsidRPr="006D73DD" w:rsidRDefault="001C09B2" w:rsidP="00310E75">
      <w:pPr>
        <w:widowControl/>
        <w:numPr>
          <w:ilvl w:val="0"/>
          <w:numId w:val="22"/>
        </w:numPr>
        <w:tabs>
          <w:tab w:val="clear" w:pos="1260"/>
          <w:tab w:val="num" w:pos="1440"/>
          <w:tab w:val="left" w:pos="4680"/>
          <w:tab w:val="left" w:pos="5760"/>
        </w:tabs>
        <w:spacing w:after="120"/>
        <w:ind w:left="0"/>
        <w:rPr>
          <w:color w:val="000000"/>
          <w:sz w:val="22"/>
          <w:szCs w:val="22"/>
        </w:rPr>
      </w:pPr>
      <w:r>
        <w:rPr>
          <w:spacing w:val="-3"/>
          <w:sz w:val="22"/>
          <w:szCs w:val="22"/>
        </w:rPr>
        <w:t xml:space="preserve">The Bureau proposed a forfeiture in this case in accordance with </w:t>
      </w:r>
      <w:r w:rsidR="00050854" w:rsidRPr="00E34AAE">
        <w:rPr>
          <w:spacing w:val="-3"/>
          <w:sz w:val="22"/>
          <w:szCs w:val="22"/>
        </w:rPr>
        <w:t xml:space="preserve">Section 503(b) of the </w:t>
      </w:r>
      <w:r w:rsidR="00286F24">
        <w:rPr>
          <w:spacing w:val="-3"/>
          <w:sz w:val="22"/>
          <w:szCs w:val="22"/>
        </w:rPr>
        <w:t>Act</w:t>
      </w:r>
      <w:r>
        <w:rPr>
          <w:spacing w:val="-3"/>
          <w:sz w:val="22"/>
          <w:szCs w:val="22"/>
        </w:rPr>
        <w:t>,</w:t>
      </w:r>
      <w:r>
        <w:rPr>
          <w:rStyle w:val="FootnoteReference"/>
          <w:spacing w:val="-3"/>
          <w:sz w:val="22"/>
          <w:szCs w:val="22"/>
        </w:rPr>
        <w:footnoteReference w:id="8"/>
      </w:r>
      <w:r>
        <w:rPr>
          <w:spacing w:val="-3"/>
          <w:sz w:val="22"/>
          <w:szCs w:val="22"/>
        </w:rPr>
        <w:t xml:space="preserve"> Section 1.80 of the Rules,</w:t>
      </w:r>
      <w:r>
        <w:rPr>
          <w:rStyle w:val="FootnoteReference"/>
          <w:spacing w:val="-3"/>
          <w:sz w:val="22"/>
          <w:szCs w:val="22"/>
        </w:rPr>
        <w:footnoteReference w:id="9"/>
      </w:r>
      <w:r>
        <w:rPr>
          <w:spacing w:val="-3"/>
          <w:sz w:val="22"/>
          <w:szCs w:val="22"/>
        </w:rPr>
        <w:t xml:space="preserve"> and the Commission’s </w:t>
      </w:r>
      <w:r>
        <w:rPr>
          <w:i/>
          <w:spacing w:val="-3"/>
          <w:sz w:val="22"/>
          <w:szCs w:val="22"/>
        </w:rPr>
        <w:t>Forfeiture Policy Statement</w:t>
      </w:r>
      <w:r w:rsidR="001665F5" w:rsidRPr="00A12D37">
        <w:rPr>
          <w:color w:val="000000"/>
          <w:spacing w:val="-3"/>
          <w:sz w:val="22"/>
          <w:szCs w:val="22"/>
        </w:rPr>
        <w:t>.</w:t>
      </w:r>
      <w:r>
        <w:rPr>
          <w:rStyle w:val="FootnoteReference"/>
          <w:color w:val="000000"/>
          <w:spacing w:val="-3"/>
          <w:sz w:val="22"/>
          <w:szCs w:val="22"/>
        </w:rPr>
        <w:footnoteReference w:id="10"/>
      </w:r>
      <w:r w:rsidR="001665F5" w:rsidRPr="00A12D37">
        <w:rPr>
          <w:color w:val="000000"/>
          <w:spacing w:val="-3"/>
          <w:sz w:val="22"/>
          <w:szCs w:val="22"/>
        </w:rPr>
        <w:t xml:space="preserve">  </w:t>
      </w:r>
      <w:r w:rsidR="00927322">
        <w:rPr>
          <w:color w:val="000000"/>
          <w:spacing w:val="-3"/>
          <w:sz w:val="22"/>
          <w:szCs w:val="22"/>
        </w:rPr>
        <w:t xml:space="preserve">When we </w:t>
      </w:r>
      <w:r w:rsidR="0026472F" w:rsidRPr="00195ECB">
        <w:rPr>
          <w:spacing w:val="-2"/>
          <w:sz w:val="22"/>
          <w:szCs w:val="22"/>
        </w:rPr>
        <w:t xml:space="preserve">assess </w:t>
      </w:r>
      <w:r w:rsidR="0026472F">
        <w:rPr>
          <w:spacing w:val="-2"/>
          <w:sz w:val="22"/>
          <w:szCs w:val="22"/>
        </w:rPr>
        <w:t>forfeitures, Section 503(b)(2)</w:t>
      </w:r>
      <w:r w:rsidR="006D73DD">
        <w:rPr>
          <w:spacing w:val="-2"/>
          <w:sz w:val="22"/>
          <w:szCs w:val="22"/>
        </w:rPr>
        <w:t>(E)</w:t>
      </w:r>
      <w:r w:rsidR="0026472F">
        <w:rPr>
          <w:spacing w:val="-2"/>
          <w:sz w:val="22"/>
          <w:szCs w:val="22"/>
        </w:rPr>
        <w:t xml:space="preserve"> </w:t>
      </w:r>
      <w:r w:rsidR="00927322">
        <w:rPr>
          <w:spacing w:val="-2"/>
          <w:sz w:val="22"/>
          <w:szCs w:val="22"/>
        </w:rPr>
        <w:t>requires</w:t>
      </w:r>
      <w:r w:rsidR="0026472F">
        <w:rPr>
          <w:spacing w:val="-2"/>
          <w:sz w:val="22"/>
          <w:szCs w:val="22"/>
        </w:rPr>
        <w:t xml:space="preserve"> that we </w:t>
      </w:r>
      <w:r w:rsidR="0026472F" w:rsidRPr="00195ECB">
        <w:rPr>
          <w:spacing w:val="-2"/>
          <w:sz w:val="22"/>
          <w:szCs w:val="22"/>
        </w:rPr>
        <w:t xml:space="preserve">take into account the </w:t>
      </w:r>
      <w:r w:rsidR="00927322">
        <w:rPr>
          <w:spacing w:val="-2"/>
          <w:sz w:val="22"/>
          <w:szCs w:val="22"/>
        </w:rPr>
        <w:t>“</w:t>
      </w:r>
      <w:r w:rsidR="0026472F" w:rsidRPr="00195ECB">
        <w:rPr>
          <w:spacing w:val="-2"/>
          <w:sz w:val="22"/>
          <w:szCs w:val="22"/>
        </w:rPr>
        <w:t>nature, circumstances, extent, and gravity of the violations, and with respect to the violator, the degree of culpability, any history of prior offenses, ability to pay, and other such matters as justice may require.</w:t>
      </w:r>
      <w:r w:rsidR="00927322">
        <w:rPr>
          <w:spacing w:val="-2"/>
          <w:sz w:val="22"/>
          <w:szCs w:val="22"/>
        </w:rPr>
        <w:t>”</w:t>
      </w:r>
      <w:r w:rsidR="0026472F" w:rsidRPr="00E34AAE">
        <w:rPr>
          <w:rStyle w:val="FootnoteReference"/>
          <w:spacing w:val="-2"/>
          <w:sz w:val="22"/>
          <w:szCs w:val="22"/>
        </w:rPr>
        <w:footnoteReference w:id="11"/>
      </w:r>
      <w:r w:rsidR="0026472F">
        <w:rPr>
          <w:spacing w:val="-2"/>
          <w:sz w:val="22"/>
          <w:szCs w:val="22"/>
        </w:rPr>
        <w:t xml:space="preserve">  </w:t>
      </w:r>
      <w:r w:rsidR="006D73DD">
        <w:rPr>
          <w:spacing w:val="-2"/>
          <w:sz w:val="22"/>
          <w:szCs w:val="22"/>
        </w:rPr>
        <w:t xml:space="preserve">As discussed below, </w:t>
      </w:r>
      <w:r w:rsidR="0030290E">
        <w:rPr>
          <w:spacing w:val="-2"/>
          <w:sz w:val="22"/>
          <w:szCs w:val="22"/>
        </w:rPr>
        <w:t>we have fully considered Mr.</w:t>
      </w:r>
      <w:r w:rsidR="006D73DD">
        <w:rPr>
          <w:spacing w:val="-2"/>
          <w:sz w:val="22"/>
          <w:szCs w:val="22"/>
        </w:rPr>
        <w:t xml:space="preserve"> Guernsey’s </w:t>
      </w:r>
      <w:r w:rsidR="006D73DD">
        <w:rPr>
          <w:i/>
          <w:spacing w:val="-2"/>
          <w:sz w:val="22"/>
          <w:szCs w:val="22"/>
        </w:rPr>
        <w:t>NAL Response</w:t>
      </w:r>
      <w:r w:rsidR="006D73DD">
        <w:rPr>
          <w:spacing w:val="-2"/>
          <w:sz w:val="22"/>
          <w:szCs w:val="22"/>
        </w:rPr>
        <w:t xml:space="preserve">, but find none of the arguments persuasive.  We therefore affirm the $22,000 forfeiture proposed in the </w:t>
      </w:r>
      <w:r w:rsidR="006D73DD">
        <w:rPr>
          <w:i/>
          <w:spacing w:val="-2"/>
          <w:sz w:val="22"/>
          <w:szCs w:val="22"/>
        </w:rPr>
        <w:t>NAL</w:t>
      </w:r>
      <w:r w:rsidR="006D73DD">
        <w:rPr>
          <w:spacing w:val="-2"/>
          <w:sz w:val="22"/>
          <w:szCs w:val="22"/>
        </w:rPr>
        <w:t xml:space="preserve">.  </w:t>
      </w:r>
    </w:p>
    <w:p w14:paraId="47C9F13E" w14:textId="7CB6E802" w:rsidR="006D73DD" w:rsidRPr="006D73DD" w:rsidRDefault="0030290E" w:rsidP="009C5B32">
      <w:pPr>
        <w:pStyle w:val="Heading2"/>
        <w:tabs>
          <w:tab w:val="clear" w:pos="720"/>
        </w:tabs>
        <w:spacing w:after="120"/>
        <w:ind w:left="1440"/>
        <w:jc w:val="left"/>
        <w:rPr>
          <w:sz w:val="22"/>
          <w:szCs w:val="22"/>
        </w:rPr>
      </w:pPr>
      <w:r>
        <w:rPr>
          <w:sz w:val="22"/>
          <w:szCs w:val="22"/>
        </w:rPr>
        <w:t>The Bureau Established that Mr. Guernsey Caused</w:t>
      </w:r>
      <w:r w:rsidR="006D73DD" w:rsidRPr="006D73DD">
        <w:rPr>
          <w:sz w:val="22"/>
          <w:szCs w:val="22"/>
        </w:rPr>
        <w:t xml:space="preserve"> Inte</w:t>
      </w:r>
      <w:r w:rsidR="00B01AC4">
        <w:rPr>
          <w:sz w:val="22"/>
          <w:szCs w:val="22"/>
        </w:rPr>
        <w:t>ntional Interference to Amateur</w:t>
      </w:r>
      <w:r w:rsidR="006D73DD" w:rsidRPr="006D73DD">
        <w:rPr>
          <w:sz w:val="22"/>
          <w:szCs w:val="22"/>
        </w:rPr>
        <w:t xml:space="preserve"> Communications</w:t>
      </w:r>
      <w:r>
        <w:rPr>
          <w:sz w:val="22"/>
          <w:szCs w:val="22"/>
        </w:rPr>
        <w:t xml:space="preserve"> and Failed</w:t>
      </w:r>
      <w:r w:rsidR="006936AA">
        <w:rPr>
          <w:sz w:val="22"/>
          <w:szCs w:val="22"/>
        </w:rPr>
        <w:t xml:space="preserve"> to Identify</w:t>
      </w:r>
    </w:p>
    <w:p w14:paraId="2938A214" w14:textId="57B65D50" w:rsidR="00CF74B6" w:rsidRPr="00A26DCA" w:rsidRDefault="0030290E" w:rsidP="00310E75">
      <w:pPr>
        <w:widowControl/>
        <w:numPr>
          <w:ilvl w:val="0"/>
          <w:numId w:val="22"/>
        </w:numPr>
        <w:tabs>
          <w:tab w:val="clear" w:pos="1260"/>
          <w:tab w:val="num" w:pos="1440"/>
          <w:tab w:val="left" w:pos="4680"/>
          <w:tab w:val="left" w:pos="5760"/>
        </w:tabs>
        <w:spacing w:after="120"/>
        <w:ind w:left="0"/>
        <w:rPr>
          <w:b/>
          <w:color w:val="FF00FF"/>
          <w:spacing w:val="-2"/>
          <w:sz w:val="22"/>
          <w:szCs w:val="22"/>
        </w:rPr>
      </w:pPr>
      <w:r>
        <w:rPr>
          <w:spacing w:val="-3"/>
          <w:sz w:val="22"/>
          <w:szCs w:val="22"/>
        </w:rPr>
        <w:t xml:space="preserve">Mr. </w:t>
      </w:r>
      <w:r w:rsidR="00927322" w:rsidRPr="00A26DCA">
        <w:rPr>
          <w:spacing w:val="-3"/>
          <w:sz w:val="22"/>
          <w:szCs w:val="22"/>
        </w:rPr>
        <w:t>Guernsey argues that the Bureau failed to establish th</w:t>
      </w:r>
      <w:r w:rsidR="00A92F1A">
        <w:rPr>
          <w:spacing w:val="-3"/>
          <w:sz w:val="22"/>
          <w:szCs w:val="22"/>
        </w:rPr>
        <w:t xml:space="preserve">at it was him playing music, </w:t>
      </w:r>
      <w:r w:rsidR="00927322" w:rsidRPr="00A26DCA">
        <w:rPr>
          <w:spacing w:val="-3"/>
          <w:sz w:val="22"/>
          <w:szCs w:val="22"/>
        </w:rPr>
        <w:t>making animal sounds</w:t>
      </w:r>
      <w:r>
        <w:rPr>
          <w:spacing w:val="-3"/>
          <w:sz w:val="22"/>
          <w:szCs w:val="22"/>
        </w:rPr>
        <w:t>,</w:t>
      </w:r>
      <w:r w:rsidR="00927322" w:rsidRPr="00A26DCA">
        <w:rPr>
          <w:spacing w:val="-3"/>
          <w:sz w:val="22"/>
          <w:szCs w:val="22"/>
        </w:rPr>
        <w:t xml:space="preserve"> </w:t>
      </w:r>
      <w:r w:rsidR="00A92F1A">
        <w:rPr>
          <w:spacing w:val="-3"/>
          <w:sz w:val="22"/>
          <w:szCs w:val="22"/>
        </w:rPr>
        <w:t xml:space="preserve">and failing to transmit call sign information </w:t>
      </w:r>
      <w:r>
        <w:rPr>
          <w:spacing w:val="-3"/>
          <w:sz w:val="22"/>
          <w:szCs w:val="22"/>
        </w:rPr>
        <w:t>because the agents</w:t>
      </w:r>
      <w:r w:rsidR="00927322" w:rsidRPr="00A26DCA">
        <w:rPr>
          <w:spacing w:val="-3"/>
          <w:sz w:val="22"/>
          <w:szCs w:val="22"/>
        </w:rPr>
        <w:t xml:space="preserve"> failed to inspect his station.</w:t>
      </w:r>
      <w:r w:rsidR="00927322">
        <w:rPr>
          <w:rStyle w:val="FootnoteReference"/>
          <w:spacing w:val="-3"/>
          <w:sz w:val="22"/>
          <w:szCs w:val="22"/>
        </w:rPr>
        <w:footnoteReference w:id="12"/>
      </w:r>
      <w:r w:rsidR="00C51409" w:rsidRPr="00A26DCA">
        <w:rPr>
          <w:spacing w:val="-3"/>
          <w:sz w:val="22"/>
          <w:szCs w:val="22"/>
        </w:rPr>
        <w:t xml:space="preserve"> </w:t>
      </w:r>
      <w:r w:rsidR="00AD7D81">
        <w:rPr>
          <w:spacing w:val="-2"/>
          <w:sz w:val="22"/>
          <w:szCs w:val="22"/>
        </w:rPr>
        <w:t xml:space="preserve"> Mr. Guernsey further asserts that there are other operators with a quarter mile of his residence and maintains that one of them might have been the source of the interference.</w:t>
      </w:r>
      <w:r w:rsidR="00AD7D81">
        <w:rPr>
          <w:rStyle w:val="FootnoteReference"/>
          <w:spacing w:val="-2"/>
          <w:sz w:val="22"/>
          <w:szCs w:val="22"/>
        </w:rPr>
        <w:footnoteReference w:id="13"/>
      </w:r>
      <w:r w:rsidR="00AD7D81">
        <w:rPr>
          <w:spacing w:val="-2"/>
          <w:sz w:val="22"/>
          <w:szCs w:val="22"/>
        </w:rPr>
        <w:t xml:space="preserve">  </w:t>
      </w:r>
      <w:r w:rsidR="00C51409" w:rsidRPr="00A26DCA">
        <w:rPr>
          <w:spacing w:val="-3"/>
          <w:sz w:val="22"/>
          <w:szCs w:val="22"/>
        </w:rPr>
        <w:t xml:space="preserve">We disagree.  Agents from the Detroit </w:t>
      </w:r>
      <w:r w:rsidR="003949D9">
        <w:rPr>
          <w:spacing w:val="-3"/>
          <w:sz w:val="22"/>
          <w:szCs w:val="22"/>
        </w:rPr>
        <w:t>O</w:t>
      </w:r>
      <w:r w:rsidR="008C659E">
        <w:rPr>
          <w:spacing w:val="-3"/>
          <w:sz w:val="22"/>
          <w:szCs w:val="22"/>
        </w:rPr>
        <w:t xml:space="preserve">ffice performed close-in </w:t>
      </w:r>
      <w:r w:rsidR="00C51409" w:rsidRPr="00A26DCA">
        <w:rPr>
          <w:spacing w:val="-3"/>
          <w:sz w:val="22"/>
          <w:szCs w:val="22"/>
        </w:rPr>
        <w:t xml:space="preserve">direction finding </w:t>
      </w:r>
      <w:r w:rsidR="008C659E">
        <w:rPr>
          <w:spacing w:val="-3"/>
          <w:sz w:val="22"/>
          <w:szCs w:val="22"/>
        </w:rPr>
        <w:t>and positively confirmed</w:t>
      </w:r>
      <w:r w:rsidR="00C51409" w:rsidRPr="00A26DCA">
        <w:rPr>
          <w:spacing w:val="-3"/>
          <w:sz w:val="22"/>
          <w:szCs w:val="22"/>
        </w:rPr>
        <w:t xml:space="preserve"> the source of the interfering transmission as</w:t>
      </w:r>
      <w:r w:rsidR="00C51409" w:rsidRPr="00A26DCA">
        <w:rPr>
          <w:spacing w:val="-2"/>
          <w:sz w:val="22"/>
          <w:szCs w:val="22"/>
        </w:rPr>
        <w:t xml:space="preserve"> 2026 Travis Road, Parchment, Michigan, the address of record for Mr. Guernsey’s amateur station KZ8O.  Although the agents did not </w:t>
      </w:r>
      <w:r w:rsidR="00B01AC4">
        <w:rPr>
          <w:spacing w:val="-2"/>
          <w:sz w:val="22"/>
          <w:szCs w:val="22"/>
        </w:rPr>
        <w:t xml:space="preserve">physically </w:t>
      </w:r>
      <w:r w:rsidR="00C51409" w:rsidRPr="00A26DCA">
        <w:rPr>
          <w:spacing w:val="-2"/>
          <w:sz w:val="22"/>
          <w:szCs w:val="22"/>
        </w:rPr>
        <w:t>inspect his sta</w:t>
      </w:r>
      <w:r w:rsidR="00B01AC4">
        <w:rPr>
          <w:spacing w:val="-2"/>
          <w:sz w:val="22"/>
          <w:szCs w:val="22"/>
        </w:rPr>
        <w:t>tion</w:t>
      </w:r>
      <w:r w:rsidR="00C51409" w:rsidRPr="00A26DCA">
        <w:rPr>
          <w:spacing w:val="-2"/>
          <w:sz w:val="22"/>
          <w:szCs w:val="22"/>
        </w:rPr>
        <w:t xml:space="preserve">, the agents monitored the transmissions emanating from Mr. Guernsey’s station for approximately 40 minutes and heard him transmit a </w:t>
      </w:r>
      <w:r w:rsidR="00C51409" w:rsidRPr="00A26DCA">
        <w:rPr>
          <w:iCs/>
          <w:sz w:val="22"/>
        </w:rPr>
        <w:t>prerecorded</w:t>
      </w:r>
      <w:r w:rsidR="00C51409" w:rsidRPr="00A26DCA">
        <w:rPr>
          <w:sz w:val="22"/>
        </w:rPr>
        <w:t xml:space="preserve"> song and various animal noises</w:t>
      </w:r>
      <w:r w:rsidR="00C51409" w:rsidRPr="00A26DCA">
        <w:rPr>
          <w:spacing w:val="-2"/>
          <w:sz w:val="22"/>
          <w:szCs w:val="22"/>
        </w:rPr>
        <w:t xml:space="preserve"> on the frequency</w:t>
      </w:r>
      <w:r w:rsidR="00A92F1A">
        <w:rPr>
          <w:spacing w:val="-2"/>
          <w:sz w:val="22"/>
          <w:szCs w:val="22"/>
        </w:rPr>
        <w:t xml:space="preserve"> without transmitting his assigned call sign</w:t>
      </w:r>
      <w:r w:rsidR="00B439D6">
        <w:rPr>
          <w:spacing w:val="-2"/>
          <w:sz w:val="22"/>
          <w:szCs w:val="22"/>
        </w:rPr>
        <w:t xml:space="preserve">.  Further, Mr. Guernsey </w:t>
      </w:r>
      <w:r w:rsidR="00A26DCA">
        <w:rPr>
          <w:spacing w:val="-2"/>
          <w:sz w:val="22"/>
          <w:szCs w:val="22"/>
        </w:rPr>
        <w:t xml:space="preserve">acknowledges that he received a prior </w:t>
      </w:r>
      <w:r w:rsidR="00B439D6">
        <w:rPr>
          <w:spacing w:val="-2"/>
          <w:sz w:val="22"/>
          <w:szCs w:val="22"/>
        </w:rPr>
        <w:t>w</w:t>
      </w:r>
      <w:r w:rsidR="00A26DCA">
        <w:rPr>
          <w:spacing w:val="-2"/>
          <w:sz w:val="22"/>
          <w:szCs w:val="22"/>
        </w:rPr>
        <w:t>arning</w:t>
      </w:r>
      <w:r w:rsidR="00B439D6">
        <w:rPr>
          <w:spacing w:val="-2"/>
          <w:sz w:val="22"/>
          <w:szCs w:val="22"/>
        </w:rPr>
        <w:t xml:space="preserve"> from the Commission</w:t>
      </w:r>
      <w:r w:rsidR="00A26DCA">
        <w:rPr>
          <w:spacing w:val="-2"/>
          <w:sz w:val="22"/>
          <w:szCs w:val="22"/>
        </w:rPr>
        <w:t xml:space="preserve"> regarding causing interference to other amateur radio operators</w:t>
      </w:r>
      <w:r w:rsidR="00B439D6">
        <w:rPr>
          <w:spacing w:val="-2"/>
          <w:sz w:val="22"/>
          <w:szCs w:val="22"/>
        </w:rPr>
        <w:t xml:space="preserve"> and</w:t>
      </w:r>
      <w:r w:rsidR="001D1002">
        <w:rPr>
          <w:spacing w:val="-2"/>
          <w:sz w:val="22"/>
          <w:szCs w:val="22"/>
        </w:rPr>
        <w:t xml:space="preserve"> admits that he </w:t>
      </w:r>
      <w:r w:rsidR="006936AA">
        <w:rPr>
          <w:spacing w:val="-2"/>
          <w:sz w:val="22"/>
          <w:szCs w:val="22"/>
        </w:rPr>
        <w:t xml:space="preserve">may have </w:t>
      </w:r>
      <w:r w:rsidR="001D1002">
        <w:rPr>
          <w:spacing w:val="-2"/>
          <w:sz w:val="22"/>
          <w:szCs w:val="22"/>
        </w:rPr>
        <w:t xml:space="preserve">caused interference </w:t>
      </w:r>
      <w:r w:rsidR="00B01AC4">
        <w:rPr>
          <w:spacing w:val="-2"/>
          <w:sz w:val="22"/>
          <w:szCs w:val="22"/>
        </w:rPr>
        <w:t xml:space="preserve">to </w:t>
      </w:r>
      <w:r w:rsidR="00B439D6">
        <w:rPr>
          <w:spacing w:val="-2"/>
          <w:sz w:val="22"/>
          <w:szCs w:val="22"/>
        </w:rPr>
        <w:t xml:space="preserve">ongoing </w:t>
      </w:r>
      <w:r w:rsidR="00B01AC4">
        <w:rPr>
          <w:spacing w:val="-2"/>
          <w:sz w:val="22"/>
          <w:szCs w:val="22"/>
        </w:rPr>
        <w:t xml:space="preserve">amateur </w:t>
      </w:r>
      <w:r w:rsidR="00B439D6">
        <w:rPr>
          <w:spacing w:val="-2"/>
          <w:sz w:val="22"/>
          <w:szCs w:val="22"/>
        </w:rPr>
        <w:t>communications because he “was not able to hear them</w:t>
      </w:r>
      <w:r w:rsidR="001D1002">
        <w:rPr>
          <w:spacing w:val="-2"/>
          <w:sz w:val="22"/>
          <w:szCs w:val="22"/>
        </w:rPr>
        <w:t>.</w:t>
      </w:r>
      <w:r w:rsidR="00B439D6">
        <w:rPr>
          <w:spacing w:val="-2"/>
          <w:sz w:val="22"/>
          <w:szCs w:val="22"/>
        </w:rPr>
        <w:t>”</w:t>
      </w:r>
      <w:r w:rsidR="00A26DCA">
        <w:rPr>
          <w:rStyle w:val="FootnoteReference"/>
          <w:spacing w:val="-2"/>
          <w:sz w:val="22"/>
          <w:szCs w:val="22"/>
        </w:rPr>
        <w:footnoteReference w:id="14"/>
      </w:r>
      <w:r w:rsidR="006936AA">
        <w:rPr>
          <w:spacing w:val="-2"/>
          <w:sz w:val="22"/>
          <w:szCs w:val="22"/>
        </w:rPr>
        <w:t xml:space="preserve">  </w:t>
      </w:r>
      <w:r w:rsidR="006B4D89" w:rsidRPr="00A26DCA">
        <w:rPr>
          <w:spacing w:val="-2"/>
          <w:sz w:val="22"/>
          <w:szCs w:val="22"/>
        </w:rPr>
        <w:t>Indeed, Mr. Guernsey has a long history of causing interference to other amateur radio operators and has been warned repeatedl</w:t>
      </w:r>
      <w:r w:rsidR="00B01AC4">
        <w:rPr>
          <w:spacing w:val="-2"/>
          <w:sz w:val="22"/>
          <w:szCs w:val="22"/>
        </w:rPr>
        <w:t xml:space="preserve">y in writing by the </w:t>
      </w:r>
      <w:r w:rsidR="006B4D89" w:rsidRPr="00A26DCA">
        <w:rPr>
          <w:spacing w:val="-2"/>
          <w:sz w:val="22"/>
          <w:szCs w:val="22"/>
        </w:rPr>
        <w:t xml:space="preserve">Bureau that his actions violate the </w:t>
      </w:r>
      <w:r w:rsidR="00B01AC4">
        <w:rPr>
          <w:spacing w:val="-2"/>
          <w:sz w:val="22"/>
          <w:szCs w:val="22"/>
        </w:rPr>
        <w:t xml:space="preserve">Act and </w:t>
      </w:r>
      <w:r w:rsidR="006B4D89" w:rsidRPr="00A26DCA">
        <w:rPr>
          <w:spacing w:val="-2"/>
          <w:sz w:val="22"/>
          <w:szCs w:val="22"/>
        </w:rPr>
        <w:t>Rules.</w:t>
      </w:r>
      <w:r w:rsidR="006B4D89" w:rsidRPr="006B4D89">
        <w:rPr>
          <w:spacing w:val="-2"/>
          <w:sz w:val="22"/>
          <w:szCs w:val="22"/>
          <w:vertAlign w:val="superscript"/>
        </w:rPr>
        <w:footnoteReference w:id="15"/>
      </w:r>
      <w:r w:rsidR="006B4D89" w:rsidRPr="00A26DCA">
        <w:rPr>
          <w:spacing w:val="-2"/>
          <w:sz w:val="22"/>
          <w:szCs w:val="22"/>
        </w:rPr>
        <w:t xml:space="preserve"> </w:t>
      </w:r>
      <w:r w:rsidR="007A1188" w:rsidRPr="00A26DCA">
        <w:rPr>
          <w:spacing w:val="-2"/>
          <w:sz w:val="22"/>
          <w:szCs w:val="22"/>
        </w:rPr>
        <w:t xml:space="preserve"> </w:t>
      </w:r>
      <w:bookmarkStart w:id="1" w:name="sp_999_3"/>
      <w:bookmarkStart w:id="2" w:name="SDU_3"/>
      <w:bookmarkEnd w:id="1"/>
      <w:bookmarkEnd w:id="2"/>
      <w:r w:rsidR="006B4D89" w:rsidRPr="00A26DCA">
        <w:rPr>
          <w:spacing w:val="-3"/>
          <w:sz w:val="22"/>
          <w:szCs w:val="22"/>
        </w:rPr>
        <w:t>As a result, w</w:t>
      </w:r>
      <w:r w:rsidR="006D73DD" w:rsidRPr="00A26DCA">
        <w:rPr>
          <w:spacing w:val="-3"/>
          <w:sz w:val="22"/>
          <w:szCs w:val="22"/>
        </w:rPr>
        <w:t xml:space="preserve">e affirm the </w:t>
      </w:r>
      <w:r w:rsidR="006D73DD" w:rsidRPr="00A26DCA">
        <w:rPr>
          <w:i/>
          <w:spacing w:val="-3"/>
          <w:sz w:val="22"/>
          <w:szCs w:val="22"/>
        </w:rPr>
        <w:t>NAL</w:t>
      </w:r>
      <w:r w:rsidR="006D73DD" w:rsidRPr="00A26DCA">
        <w:rPr>
          <w:spacing w:val="-3"/>
          <w:sz w:val="22"/>
          <w:szCs w:val="22"/>
        </w:rPr>
        <w:t xml:space="preserve">’s finding </w:t>
      </w:r>
      <w:r w:rsidR="00B01AC4">
        <w:rPr>
          <w:spacing w:val="-3"/>
          <w:sz w:val="22"/>
          <w:szCs w:val="22"/>
        </w:rPr>
        <w:lastRenderedPageBreak/>
        <w:t>that Mr.</w:t>
      </w:r>
      <w:r w:rsidR="006D73DD" w:rsidRPr="00A26DCA">
        <w:rPr>
          <w:spacing w:val="-3"/>
          <w:sz w:val="22"/>
          <w:szCs w:val="22"/>
        </w:rPr>
        <w:t xml:space="preserve"> Guernsey caused intentional interference to licensed communications</w:t>
      </w:r>
      <w:r w:rsidR="006936AA">
        <w:rPr>
          <w:spacing w:val="-3"/>
          <w:sz w:val="22"/>
          <w:szCs w:val="22"/>
        </w:rPr>
        <w:t xml:space="preserve"> and failed to properly identify his station</w:t>
      </w:r>
      <w:r w:rsidR="006D73DD" w:rsidRPr="00A26DCA">
        <w:rPr>
          <w:spacing w:val="-3"/>
          <w:sz w:val="22"/>
          <w:szCs w:val="22"/>
        </w:rPr>
        <w:t>.</w:t>
      </w:r>
      <w:r w:rsidR="006D73DD">
        <w:rPr>
          <w:rStyle w:val="FootnoteReference"/>
          <w:spacing w:val="-3"/>
          <w:sz w:val="22"/>
          <w:szCs w:val="22"/>
        </w:rPr>
        <w:footnoteReference w:id="16"/>
      </w:r>
      <w:r w:rsidR="006D73DD" w:rsidRPr="00A26DCA">
        <w:rPr>
          <w:spacing w:val="-3"/>
          <w:sz w:val="22"/>
          <w:szCs w:val="22"/>
        </w:rPr>
        <w:t xml:space="preserve">  </w:t>
      </w:r>
    </w:p>
    <w:p w14:paraId="7CAEA8D6" w14:textId="0472CCE7" w:rsidR="00F46870" w:rsidRPr="006936AA" w:rsidRDefault="00B01AC4" w:rsidP="009C5B32">
      <w:pPr>
        <w:pStyle w:val="Heading2"/>
        <w:tabs>
          <w:tab w:val="clear" w:pos="720"/>
        </w:tabs>
        <w:spacing w:after="120"/>
        <w:ind w:left="1440"/>
        <w:rPr>
          <w:sz w:val="22"/>
          <w:szCs w:val="22"/>
        </w:rPr>
      </w:pPr>
      <w:r>
        <w:rPr>
          <w:sz w:val="22"/>
          <w:szCs w:val="22"/>
        </w:rPr>
        <w:t>Mr. Guernsey Failed to Demonstrate an Inability to Pay the Forfeiture</w:t>
      </w:r>
      <w:r w:rsidR="006936AA">
        <w:rPr>
          <w:sz w:val="22"/>
          <w:szCs w:val="22"/>
        </w:rPr>
        <w:t xml:space="preserve"> </w:t>
      </w:r>
    </w:p>
    <w:p w14:paraId="53901632" w14:textId="7E37532B" w:rsidR="00CC29A4" w:rsidRDefault="006936AA" w:rsidP="00310E75">
      <w:pPr>
        <w:widowControl/>
        <w:numPr>
          <w:ilvl w:val="0"/>
          <w:numId w:val="22"/>
        </w:numPr>
        <w:tabs>
          <w:tab w:val="clear" w:pos="1260"/>
          <w:tab w:val="num" w:pos="1440"/>
          <w:tab w:val="left" w:pos="4680"/>
          <w:tab w:val="left" w:pos="5760"/>
        </w:tabs>
        <w:suppressAutoHyphens/>
        <w:spacing w:after="120"/>
        <w:ind w:left="0"/>
        <w:rPr>
          <w:spacing w:val="-2"/>
          <w:sz w:val="22"/>
          <w:szCs w:val="22"/>
        </w:rPr>
      </w:pPr>
      <w:r>
        <w:rPr>
          <w:spacing w:val="-2"/>
          <w:sz w:val="22"/>
          <w:szCs w:val="22"/>
        </w:rPr>
        <w:t>Mr. Guernsey also seeks a reduction or cancellation of the</w:t>
      </w:r>
      <w:r w:rsidR="00B01AC4">
        <w:rPr>
          <w:spacing w:val="-2"/>
          <w:sz w:val="22"/>
          <w:szCs w:val="22"/>
        </w:rPr>
        <w:t xml:space="preserve"> proposed forfeiture based on his purported</w:t>
      </w:r>
      <w:r>
        <w:rPr>
          <w:spacing w:val="-2"/>
          <w:sz w:val="22"/>
          <w:szCs w:val="22"/>
        </w:rPr>
        <w:t xml:space="preserve"> inability to pay and provided financial documentation supporting his claim.</w:t>
      </w:r>
      <w:r>
        <w:rPr>
          <w:rStyle w:val="FootnoteReference"/>
          <w:spacing w:val="-2"/>
          <w:sz w:val="22"/>
          <w:szCs w:val="22"/>
        </w:rPr>
        <w:footnoteReference w:id="17"/>
      </w:r>
      <w:r>
        <w:rPr>
          <w:spacing w:val="-2"/>
          <w:sz w:val="22"/>
          <w:szCs w:val="22"/>
        </w:rPr>
        <w:t xml:space="preserve">  As indicated above, Section 503(b)(2)(E) of the Act states that</w:t>
      </w:r>
      <w:r w:rsidR="00B01AC4">
        <w:rPr>
          <w:spacing w:val="-2"/>
          <w:sz w:val="22"/>
          <w:szCs w:val="22"/>
        </w:rPr>
        <w:t>,</w:t>
      </w:r>
      <w:r>
        <w:rPr>
          <w:spacing w:val="-2"/>
          <w:sz w:val="22"/>
          <w:szCs w:val="22"/>
        </w:rPr>
        <w:t xml:space="preserve"> in determining the amount of a forfeiture penalty, the Commission shall take into account the nature, circumstances, extent, and gravity of the violation and, with respect to the violator, the degree of culpability, any history of prior offenses, ability to pay, and other such matters as justice may require.</w:t>
      </w:r>
      <w:r w:rsidR="00E53F90">
        <w:rPr>
          <w:rStyle w:val="FootnoteReference"/>
          <w:spacing w:val="-2"/>
          <w:sz w:val="22"/>
          <w:szCs w:val="22"/>
        </w:rPr>
        <w:footnoteReference w:id="18"/>
      </w:r>
      <w:r>
        <w:rPr>
          <w:spacing w:val="-2"/>
          <w:sz w:val="22"/>
          <w:szCs w:val="22"/>
        </w:rPr>
        <w:t xml:space="preserve">  </w:t>
      </w:r>
      <w:r w:rsidR="00694D30">
        <w:rPr>
          <w:spacing w:val="-2"/>
          <w:sz w:val="22"/>
          <w:szCs w:val="22"/>
        </w:rPr>
        <w:t>We have reviewed Mr. Guernsey’s tax records, which, standing alon</w:t>
      </w:r>
      <w:r w:rsidR="00A92F1A">
        <w:rPr>
          <w:spacing w:val="-2"/>
          <w:sz w:val="22"/>
          <w:szCs w:val="22"/>
        </w:rPr>
        <w:t>e</w:t>
      </w:r>
      <w:r w:rsidR="00694D30">
        <w:rPr>
          <w:spacing w:val="-2"/>
          <w:sz w:val="22"/>
          <w:szCs w:val="22"/>
        </w:rPr>
        <w:t xml:space="preserve"> might</w:t>
      </w:r>
      <w:r w:rsidR="00A92F1A">
        <w:rPr>
          <w:spacing w:val="-2"/>
          <w:sz w:val="22"/>
          <w:szCs w:val="22"/>
        </w:rPr>
        <w:t xml:space="preserve"> arguably</w:t>
      </w:r>
      <w:r w:rsidR="00694D30">
        <w:rPr>
          <w:spacing w:val="-2"/>
          <w:sz w:val="22"/>
          <w:szCs w:val="22"/>
        </w:rPr>
        <w:t xml:space="preserve"> support his asserted inability to pay argument.  The ability to pay, however, is just one of the criterion the Commission considers when determining the appropriate forfeiture amount.  </w:t>
      </w:r>
      <w:r w:rsidR="00B01AC4">
        <w:rPr>
          <w:spacing w:val="-2"/>
          <w:sz w:val="22"/>
          <w:szCs w:val="22"/>
        </w:rPr>
        <w:t>Here</w:t>
      </w:r>
      <w:r w:rsidR="004A1296">
        <w:rPr>
          <w:spacing w:val="-2"/>
          <w:sz w:val="22"/>
          <w:szCs w:val="22"/>
        </w:rPr>
        <w:t>, Mr. Guernsey’s violations include repeated acts of intentional and malicious interference designed to prevent other amateur radio operators from conducting legitimate communications in violation of Section 333 of the Act.</w:t>
      </w:r>
      <w:r w:rsidR="004A1296">
        <w:rPr>
          <w:rStyle w:val="FootnoteReference"/>
          <w:spacing w:val="-2"/>
          <w:sz w:val="22"/>
          <w:szCs w:val="22"/>
        </w:rPr>
        <w:footnoteReference w:id="19"/>
      </w:r>
      <w:r w:rsidR="004A1296">
        <w:rPr>
          <w:spacing w:val="-2"/>
          <w:sz w:val="22"/>
          <w:szCs w:val="22"/>
        </w:rPr>
        <w:t xml:space="preserve">  </w:t>
      </w:r>
      <w:r w:rsidR="004A1296" w:rsidRPr="004D3A3E">
        <w:rPr>
          <w:spacing w:val="-3"/>
          <w:sz w:val="22"/>
          <w:szCs w:val="22"/>
        </w:rPr>
        <w:t>Section</w:t>
      </w:r>
      <w:r w:rsidR="004A1296" w:rsidRPr="004D3A3E">
        <w:rPr>
          <w:b/>
          <w:spacing w:val="-2"/>
          <w:sz w:val="22"/>
          <w:szCs w:val="22"/>
        </w:rPr>
        <w:t xml:space="preserve"> </w:t>
      </w:r>
      <w:r w:rsidR="004A1296" w:rsidRPr="004D3A3E">
        <w:rPr>
          <w:iCs/>
          <w:sz w:val="22"/>
        </w:rPr>
        <w:t>333 of the Act states that “[n]o person shall willfully or maliciously interfere with or cause interference to any radio communications of any station licensed or authorized by or under the Act or operated</w:t>
      </w:r>
      <w:r w:rsidR="004A1296" w:rsidRPr="00A562A6">
        <w:rPr>
          <w:iCs/>
          <w:sz w:val="22"/>
        </w:rPr>
        <w:t xml:space="preserve"> by the United States </w:t>
      </w:r>
      <w:r w:rsidR="004A1296">
        <w:rPr>
          <w:iCs/>
          <w:sz w:val="22"/>
        </w:rPr>
        <w:t>G</w:t>
      </w:r>
      <w:r w:rsidR="004A1296" w:rsidRPr="00A562A6">
        <w:rPr>
          <w:iCs/>
          <w:sz w:val="22"/>
        </w:rPr>
        <w:t>overnment</w:t>
      </w:r>
      <w:r w:rsidR="004A1296">
        <w:rPr>
          <w:iCs/>
          <w:sz w:val="22"/>
        </w:rPr>
        <w:t>.</w:t>
      </w:r>
      <w:r w:rsidR="004A1296" w:rsidRPr="00A562A6">
        <w:rPr>
          <w:iCs/>
          <w:sz w:val="22"/>
        </w:rPr>
        <w:t>”</w:t>
      </w:r>
      <w:r w:rsidR="004A1296">
        <w:rPr>
          <w:rStyle w:val="FootnoteReference"/>
          <w:iCs/>
          <w:sz w:val="22"/>
        </w:rPr>
        <w:footnoteReference w:id="20"/>
      </w:r>
      <w:r w:rsidR="004A1296">
        <w:rPr>
          <w:iCs/>
          <w:sz w:val="22"/>
        </w:rPr>
        <w:t xml:space="preserve">  </w:t>
      </w:r>
      <w:r w:rsidR="00E43B7C">
        <w:rPr>
          <w:iCs/>
          <w:sz w:val="22"/>
        </w:rPr>
        <w:t>Congress enacted Section 333 of the Act to explicitly provide the Commission with the authority to deal with willful, repeated, or malicious acts of interference.</w:t>
      </w:r>
      <w:bookmarkStart w:id="3" w:name="FN[FN11]"/>
      <w:bookmarkEnd w:id="3"/>
      <w:r w:rsidR="00E43B7C">
        <w:rPr>
          <w:rStyle w:val="FootnoteReference"/>
          <w:color w:val="000000"/>
          <w:sz w:val="22"/>
          <w:szCs w:val="22"/>
          <w:shd w:val="clear" w:color="auto" w:fill="FFFFFF"/>
        </w:rPr>
        <w:footnoteReference w:id="21"/>
      </w:r>
      <w:r w:rsidR="00E43B7C" w:rsidRPr="00FD4DF3">
        <w:rPr>
          <w:color w:val="000000"/>
          <w:sz w:val="22"/>
          <w:shd w:val="clear" w:color="auto" w:fill="FFFFFF"/>
        </w:rPr>
        <w:t xml:space="preserve"> </w:t>
      </w:r>
      <w:r w:rsidR="00E43B7C">
        <w:rPr>
          <w:iCs/>
          <w:sz w:val="22"/>
        </w:rPr>
        <w:t xml:space="preserve"> </w:t>
      </w:r>
      <w:r w:rsidR="004A1296">
        <w:rPr>
          <w:iCs/>
          <w:sz w:val="22"/>
        </w:rPr>
        <w:t>Despite repeated warnings f</w:t>
      </w:r>
      <w:r w:rsidR="0096625B">
        <w:rPr>
          <w:iCs/>
          <w:sz w:val="22"/>
        </w:rPr>
        <w:t>rom the Bureau regarding his on-</w:t>
      </w:r>
      <w:r w:rsidR="004A1296">
        <w:rPr>
          <w:iCs/>
          <w:sz w:val="22"/>
        </w:rPr>
        <w:t xml:space="preserve">air behavior, </w:t>
      </w:r>
      <w:r w:rsidR="000A20F1">
        <w:rPr>
          <w:spacing w:val="-2"/>
          <w:sz w:val="22"/>
          <w:szCs w:val="22"/>
        </w:rPr>
        <w:t>Mr. Guernsey’</w:t>
      </w:r>
      <w:r w:rsidR="004A1296">
        <w:rPr>
          <w:spacing w:val="-2"/>
          <w:sz w:val="22"/>
          <w:szCs w:val="22"/>
        </w:rPr>
        <w:t>s</w:t>
      </w:r>
      <w:r w:rsidR="000A20F1">
        <w:rPr>
          <w:spacing w:val="-2"/>
          <w:sz w:val="22"/>
          <w:szCs w:val="22"/>
        </w:rPr>
        <w:t xml:space="preserve"> </w:t>
      </w:r>
      <w:r w:rsidR="004A1296">
        <w:rPr>
          <w:spacing w:val="-2"/>
          <w:sz w:val="22"/>
          <w:szCs w:val="22"/>
        </w:rPr>
        <w:t xml:space="preserve">violations </w:t>
      </w:r>
      <w:r w:rsidR="000A20F1">
        <w:rPr>
          <w:spacing w:val="-2"/>
          <w:sz w:val="22"/>
          <w:szCs w:val="22"/>
        </w:rPr>
        <w:t>include</w:t>
      </w:r>
      <w:r w:rsidR="004A1296">
        <w:rPr>
          <w:spacing w:val="-2"/>
          <w:sz w:val="22"/>
          <w:szCs w:val="22"/>
        </w:rPr>
        <w:t>d</w:t>
      </w:r>
      <w:r w:rsidR="000A20F1">
        <w:rPr>
          <w:spacing w:val="-2"/>
          <w:sz w:val="22"/>
          <w:szCs w:val="22"/>
        </w:rPr>
        <w:t xml:space="preserve"> </w:t>
      </w:r>
      <w:r w:rsidR="00E43B7C">
        <w:rPr>
          <w:spacing w:val="-2"/>
          <w:sz w:val="22"/>
          <w:szCs w:val="22"/>
        </w:rPr>
        <w:t xml:space="preserve">the </w:t>
      </w:r>
      <w:r w:rsidR="004A1296">
        <w:rPr>
          <w:spacing w:val="-2"/>
          <w:sz w:val="22"/>
          <w:szCs w:val="22"/>
        </w:rPr>
        <w:t xml:space="preserve">deliberate </w:t>
      </w:r>
      <w:r w:rsidR="00E43B7C">
        <w:rPr>
          <w:spacing w:val="-2"/>
          <w:sz w:val="22"/>
          <w:szCs w:val="22"/>
        </w:rPr>
        <w:t xml:space="preserve">playing of music </w:t>
      </w:r>
      <w:r w:rsidR="004A1296">
        <w:rPr>
          <w:spacing w:val="-2"/>
          <w:sz w:val="22"/>
          <w:szCs w:val="22"/>
        </w:rPr>
        <w:t xml:space="preserve">on top of the transmissions of other amateur operators in order to obstruct their </w:t>
      </w:r>
      <w:r w:rsidR="00E43B7C">
        <w:rPr>
          <w:spacing w:val="-2"/>
          <w:sz w:val="22"/>
          <w:szCs w:val="22"/>
        </w:rPr>
        <w:t xml:space="preserve">ability to communicate on the frequency.  Mr. Guernsey further used various animal noises to prevent the </w:t>
      </w:r>
      <w:r w:rsidR="004A1296">
        <w:rPr>
          <w:spacing w:val="-2"/>
          <w:sz w:val="22"/>
          <w:szCs w:val="22"/>
        </w:rPr>
        <w:t>communications of other stations</w:t>
      </w:r>
      <w:r w:rsidR="00E43B7C">
        <w:rPr>
          <w:spacing w:val="-2"/>
          <w:sz w:val="22"/>
          <w:szCs w:val="22"/>
        </w:rPr>
        <w:t xml:space="preserve"> with whom he had a longstanding and well-documented dispute</w:t>
      </w:r>
      <w:r w:rsidR="004A1296">
        <w:rPr>
          <w:spacing w:val="-2"/>
          <w:sz w:val="22"/>
          <w:szCs w:val="22"/>
        </w:rPr>
        <w:t>.</w:t>
      </w:r>
      <w:r w:rsidR="000236CE">
        <w:rPr>
          <w:spacing w:val="-2"/>
          <w:sz w:val="22"/>
          <w:szCs w:val="22"/>
        </w:rPr>
        <w:t xml:space="preserve">  The egregiousness of Mr. Guernsey’s </w:t>
      </w:r>
      <w:r w:rsidR="00E43B7C">
        <w:rPr>
          <w:spacing w:val="-2"/>
          <w:sz w:val="22"/>
          <w:szCs w:val="22"/>
        </w:rPr>
        <w:t xml:space="preserve">repeated </w:t>
      </w:r>
      <w:r w:rsidR="000236CE">
        <w:rPr>
          <w:spacing w:val="-2"/>
          <w:sz w:val="22"/>
          <w:szCs w:val="22"/>
        </w:rPr>
        <w:t>willful acts of malicious interference warrant assessment of the full forfeiture amount proposed.  Nothing in the record in this case, includi</w:t>
      </w:r>
      <w:r w:rsidR="0096625B">
        <w:rPr>
          <w:spacing w:val="-2"/>
          <w:sz w:val="22"/>
          <w:szCs w:val="22"/>
        </w:rPr>
        <w:t>ng Mr. Guernsey’s financial condition</w:t>
      </w:r>
      <w:r w:rsidR="000236CE">
        <w:rPr>
          <w:spacing w:val="-2"/>
          <w:sz w:val="22"/>
          <w:szCs w:val="22"/>
        </w:rPr>
        <w:t>, warrants any leniency or mitigation of that amount.</w:t>
      </w:r>
      <w:r w:rsidR="000236CE">
        <w:rPr>
          <w:rStyle w:val="FootnoteReference"/>
          <w:spacing w:val="-2"/>
          <w:sz w:val="22"/>
          <w:szCs w:val="22"/>
        </w:rPr>
        <w:footnoteReference w:id="22"/>
      </w:r>
    </w:p>
    <w:p w14:paraId="59B07120" w14:textId="32F325D0" w:rsidR="00F46D1F" w:rsidRPr="00F46D1F" w:rsidRDefault="002D482E" w:rsidP="00310E75">
      <w:pPr>
        <w:widowControl/>
        <w:numPr>
          <w:ilvl w:val="0"/>
          <w:numId w:val="22"/>
        </w:numPr>
        <w:tabs>
          <w:tab w:val="clear" w:pos="1260"/>
          <w:tab w:val="num" w:pos="1440"/>
          <w:tab w:val="left" w:pos="4680"/>
          <w:tab w:val="left" w:pos="5760"/>
        </w:tabs>
        <w:suppressAutoHyphens/>
        <w:spacing w:after="120"/>
        <w:ind w:left="0"/>
        <w:rPr>
          <w:spacing w:val="-2"/>
          <w:sz w:val="22"/>
          <w:szCs w:val="22"/>
        </w:rPr>
      </w:pPr>
      <w:r>
        <w:rPr>
          <w:spacing w:val="-2"/>
          <w:sz w:val="22"/>
          <w:szCs w:val="22"/>
        </w:rPr>
        <w:t>Based on the record before us and in light of the applicable statutory f</w:t>
      </w:r>
      <w:r w:rsidR="0096625B">
        <w:rPr>
          <w:spacing w:val="-2"/>
          <w:sz w:val="22"/>
          <w:szCs w:val="22"/>
        </w:rPr>
        <w:t>actors, we conclude that Mr.</w:t>
      </w:r>
      <w:r>
        <w:rPr>
          <w:spacing w:val="-2"/>
          <w:sz w:val="22"/>
          <w:szCs w:val="22"/>
        </w:rPr>
        <w:t xml:space="preserve"> Guernsey willfully violated Section 333 of the Act and Sections 97.101(d) and 97.119(a) of the Rules by intentionally interfering with other licensed amateur radio communications and failing to transmit his assigned call sign.</w:t>
      </w:r>
      <w:r>
        <w:rPr>
          <w:rStyle w:val="FootnoteReference"/>
          <w:spacing w:val="-2"/>
          <w:sz w:val="22"/>
          <w:szCs w:val="22"/>
        </w:rPr>
        <w:footnoteReference w:id="23"/>
      </w:r>
      <w:r>
        <w:rPr>
          <w:spacing w:val="-2"/>
          <w:sz w:val="22"/>
          <w:szCs w:val="22"/>
        </w:rPr>
        <w:t xml:space="preserve">   We further find after considering the entire record and the fa</w:t>
      </w:r>
      <w:r w:rsidR="0096625B">
        <w:rPr>
          <w:spacing w:val="-2"/>
          <w:sz w:val="22"/>
          <w:szCs w:val="22"/>
        </w:rPr>
        <w:t>ctors listed above, that Mr.</w:t>
      </w:r>
      <w:r>
        <w:rPr>
          <w:spacing w:val="-2"/>
          <w:sz w:val="22"/>
          <w:szCs w:val="22"/>
        </w:rPr>
        <w:t xml:space="preserve"> </w:t>
      </w:r>
      <w:r w:rsidRPr="00F46D1F">
        <w:rPr>
          <w:spacing w:val="-2"/>
          <w:sz w:val="22"/>
          <w:szCs w:val="22"/>
        </w:rPr>
        <w:t>Guernsey is liable for a forfeiture in the amount of $22,000</w:t>
      </w:r>
      <w:r w:rsidR="00EA21A9">
        <w:rPr>
          <w:spacing w:val="-2"/>
          <w:sz w:val="22"/>
          <w:szCs w:val="22"/>
        </w:rPr>
        <w:t>.</w:t>
      </w:r>
    </w:p>
    <w:p w14:paraId="60F0C738" w14:textId="77777777" w:rsidR="00F46D1F" w:rsidRPr="00F46D1F" w:rsidRDefault="00F46D1F" w:rsidP="009C5B32">
      <w:pPr>
        <w:pStyle w:val="Heading1"/>
        <w:spacing w:after="120"/>
        <w:rPr>
          <w:rStyle w:val="Emphasis"/>
          <w:b w:val="0"/>
          <w:caps w:val="0"/>
          <w:sz w:val="22"/>
          <w:szCs w:val="22"/>
        </w:rPr>
      </w:pPr>
      <w:r w:rsidRPr="00F46D1F">
        <w:rPr>
          <w:rStyle w:val="Emphasis"/>
          <w:i w:val="0"/>
          <w:sz w:val="22"/>
          <w:szCs w:val="22"/>
        </w:rPr>
        <w:t>ORDERING CLAUSES</w:t>
      </w:r>
    </w:p>
    <w:p w14:paraId="10178D15" w14:textId="34FE773A" w:rsidR="00F46D1F" w:rsidRPr="00F46D1F" w:rsidRDefault="00050854" w:rsidP="00310E75">
      <w:pPr>
        <w:widowControl/>
        <w:numPr>
          <w:ilvl w:val="0"/>
          <w:numId w:val="22"/>
        </w:numPr>
        <w:tabs>
          <w:tab w:val="clear" w:pos="1260"/>
          <w:tab w:val="num" w:pos="1440"/>
          <w:tab w:val="left" w:pos="4680"/>
          <w:tab w:val="left" w:pos="5760"/>
        </w:tabs>
        <w:suppressAutoHyphens/>
        <w:spacing w:after="120"/>
        <w:ind w:left="0"/>
        <w:rPr>
          <w:spacing w:val="-2"/>
          <w:sz w:val="22"/>
          <w:szCs w:val="22"/>
        </w:rPr>
      </w:pPr>
      <w:r w:rsidRPr="00F46D1F">
        <w:rPr>
          <w:b/>
          <w:spacing w:val="-2"/>
          <w:sz w:val="22"/>
          <w:szCs w:val="22"/>
        </w:rPr>
        <w:t>IT IS ORDERED</w:t>
      </w:r>
      <w:r w:rsidR="003F3CFD" w:rsidRPr="00F46D1F">
        <w:rPr>
          <w:spacing w:val="-2"/>
          <w:sz w:val="22"/>
          <w:szCs w:val="22"/>
        </w:rPr>
        <w:t xml:space="preserve"> that</w:t>
      </w:r>
      <w:r w:rsidR="00D57AE2" w:rsidRPr="00F46D1F">
        <w:rPr>
          <w:spacing w:val="-2"/>
          <w:sz w:val="22"/>
          <w:szCs w:val="22"/>
        </w:rPr>
        <w:t>,</w:t>
      </w:r>
      <w:r w:rsidR="00F46D1F" w:rsidRPr="00F46D1F">
        <w:rPr>
          <w:b/>
          <w:sz w:val="22"/>
          <w:szCs w:val="22"/>
        </w:rPr>
        <w:t xml:space="preserve"> </w:t>
      </w:r>
      <w:r w:rsidR="00F46D1F" w:rsidRPr="00F46D1F">
        <w:rPr>
          <w:sz w:val="22"/>
          <w:szCs w:val="22"/>
        </w:rPr>
        <w:t>pursuant to Section 503(b) of the Act</w:t>
      </w:r>
      <w:r w:rsidR="00F46D1F" w:rsidRPr="00F46D1F">
        <w:rPr>
          <w:rStyle w:val="FootnoteReference"/>
          <w:sz w:val="22"/>
          <w:szCs w:val="22"/>
        </w:rPr>
        <w:footnoteReference w:id="24"/>
      </w:r>
      <w:r w:rsidR="00F46D1F" w:rsidRPr="00F46D1F">
        <w:rPr>
          <w:sz w:val="22"/>
          <w:szCs w:val="22"/>
        </w:rPr>
        <w:t xml:space="preserve"> and Section 1.80 of the Rules,</w:t>
      </w:r>
      <w:r w:rsidR="00F46D1F" w:rsidRPr="00F46D1F">
        <w:rPr>
          <w:rStyle w:val="FootnoteReference"/>
          <w:sz w:val="22"/>
          <w:szCs w:val="22"/>
        </w:rPr>
        <w:footnoteReference w:id="25"/>
      </w:r>
      <w:r w:rsidR="00F46D1F" w:rsidRPr="00F46D1F">
        <w:rPr>
          <w:sz w:val="22"/>
          <w:szCs w:val="22"/>
        </w:rPr>
        <w:t xml:space="preserve"> </w:t>
      </w:r>
      <w:r w:rsidR="00F46D1F">
        <w:rPr>
          <w:sz w:val="22"/>
          <w:szCs w:val="22"/>
        </w:rPr>
        <w:t>Michael Guernsey</w:t>
      </w:r>
      <w:r w:rsidR="00F46D1F" w:rsidRPr="00F46D1F">
        <w:rPr>
          <w:sz w:val="22"/>
          <w:szCs w:val="22"/>
        </w:rPr>
        <w:t xml:space="preserve"> </w:t>
      </w:r>
      <w:r w:rsidR="00F46D1F" w:rsidRPr="00F46D1F">
        <w:rPr>
          <w:b/>
          <w:sz w:val="22"/>
          <w:szCs w:val="22"/>
        </w:rPr>
        <w:t>IS LIABLE FOR A MONETARY FORFEITURE</w:t>
      </w:r>
      <w:r w:rsidR="00F46D1F" w:rsidRPr="00F46D1F">
        <w:rPr>
          <w:sz w:val="22"/>
          <w:szCs w:val="22"/>
        </w:rPr>
        <w:t xml:space="preserve"> in the amount of </w:t>
      </w:r>
      <w:r w:rsidR="00F46D1F">
        <w:rPr>
          <w:sz w:val="22"/>
          <w:szCs w:val="22"/>
        </w:rPr>
        <w:t>twenty two</w:t>
      </w:r>
      <w:r w:rsidR="00F46D1F" w:rsidRPr="00F46D1F">
        <w:rPr>
          <w:sz w:val="22"/>
          <w:szCs w:val="22"/>
        </w:rPr>
        <w:t xml:space="preserve"> thousand dollars ($</w:t>
      </w:r>
      <w:r w:rsidR="00F46D1F">
        <w:rPr>
          <w:sz w:val="22"/>
          <w:szCs w:val="22"/>
        </w:rPr>
        <w:t>22</w:t>
      </w:r>
      <w:r w:rsidR="00F46D1F" w:rsidRPr="00F46D1F">
        <w:rPr>
          <w:sz w:val="22"/>
          <w:szCs w:val="22"/>
        </w:rPr>
        <w:t>,</w:t>
      </w:r>
      <w:r w:rsidR="00F46D1F">
        <w:rPr>
          <w:sz w:val="22"/>
          <w:szCs w:val="22"/>
        </w:rPr>
        <w:t>0</w:t>
      </w:r>
      <w:r w:rsidR="00F46D1F" w:rsidRPr="00F46D1F">
        <w:rPr>
          <w:sz w:val="22"/>
          <w:szCs w:val="22"/>
        </w:rPr>
        <w:t>00) for willfully violating Section 3</w:t>
      </w:r>
      <w:r w:rsidR="00F46D1F">
        <w:rPr>
          <w:sz w:val="22"/>
          <w:szCs w:val="22"/>
        </w:rPr>
        <w:t>33</w:t>
      </w:r>
      <w:r w:rsidR="00F46D1F" w:rsidRPr="00F46D1F">
        <w:rPr>
          <w:sz w:val="22"/>
          <w:szCs w:val="22"/>
        </w:rPr>
        <w:t xml:space="preserve"> of the Act and Section</w:t>
      </w:r>
      <w:r w:rsidR="0096625B">
        <w:rPr>
          <w:sz w:val="22"/>
          <w:szCs w:val="22"/>
        </w:rPr>
        <w:t>s</w:t>
      </w:r>
      <w:r w:rsidR="00F46D1F" w:rsidRPr="00F46D1F">
        <w:rPr>
          <w:sz w:val="22"/>
          <w:szCs w:val="22"/>
        </w:rPr>
        <w:t xml:space="preserve"> </w:t>
      </w:r>
      <w:r w:rsidR="00F46D1F">
        <w:rPr>
          <w:sz w:val="22"/>
          <w:szCs w:val="22"/>
        </w:rPr>
        <w:t>97.101</w:t>
      </w:r>
      <w:r w:rsidR="00F46D1F" w:rsidRPr="00F46D1F">
        <w:rPr>
          <w:sz w:val="22"/>
          <w:szCs w:val="22"/>
        </w:rPr>
        <w:t>(</w:t>
      </w:r>
      <w:r w:rsidR="00F46D1F">
        <w:rPr>
          <w:sz w:val="22"/>
          <w:szCs w:val="22"/>
        </w:rPr>
        <w:t>d</w:t>
      </w:r>
      <w:r w:rsidR="00F46D1F" w:rsidRPr="00F46D1F">
        <w:rPr>
          <w:sz w:val="22"/>
          <w:szCs w:val="22"/>
        </w:rPr>
        <w:t>)</w:t>
      </w:r>
      <w:r w:rsidR="00F46D1F">
        <w:rPr>
          <w:sz w:val="22"/>
          <w:szCs w:val="22"/>
        </w:rPr>
        <w:t xml:space="preserve"> and 97.119(a)</w:t>
      </w:r>
      <w:r w:rsidR="00F46D1F" w:rsidRPr="00F46D1F">
        <w:rPr>
          <w:sz w:val="22"/>
          <w:szCs w:val="22"/>
        </w:rPr>
        <w:t xml:space="preserve"> of the Rules.</w:t>
      </w:r>
      <w:r w:rsidR="00F46D1F" w:rsidRPr="00F46D1F">
        <w:rPr>
          <w:rStyle w:val="FootnoteReference"/>
          <w:sz w:val="22"/>
          <w:szCs w:val="22"/>
        </w:rPr>
        <w:footnoteReference w:id="26"/>
      </w:r>
    </w:p>
    <w:p w14:paraId="728C1B05" w14:textId="77777777" w:rsidR="00F46D1F" w:rsidRPr="00F46D1F" w:rsidRDefault="00F46D1F" w:rsidP="00310E75">
      <w:pPr>
        <w:widowControl/>
        <w:numPr>
          <w:ilvl w:val="0"/>
          <w:numId w:val="22"/>
        </w:numPr>
        <w:tabs>
          <w:tab w:val="clear" w:pos="1260"/>
          <w:tab w:val="num" w:pos="1440"/>
          <w:tab w:val="left" w:pos="4680"/>
          <w:tab w:val="left" w:pos="5760"/>
        </w:tabs>
        <w:suppressAutoHyphens/>
        <w:spacing w:after="120"/>
        <w:ind w:left="0"/>
        <w:rPr>
          <w:spacing w:val="-2"/>
          <w:sz w:val="22"/>
          <w:szCs w:val="22"/>
        </w:rPr>
      </w:pPr>
      <w:r w:rsidRPr="00F46D1F">
        <w:rPr>
          <w:sz w:val="22"/>
          <w:szCs w:val="22"/>
        </w:rPr>
        <w:t>Payment of the forfeiture shall be made in the manner provided for in Section 1.80 of the Rules within thirty (30) calendar days after the release of this Forfeiture Order.</w:t>
      </w:r>
      <w:r w:rsidRPr="00F46D1F">
        <w:rPr>
          <w:rStyle w:val="FootnoteReference"/>
          <w:sz w:val="22"/>
          <w:szCs w:val="22"/>
        </w:rPr>
        <w:footnoteReference w:id="27"/>
      </w:r>
      <w:r w:rsidRPr="00F46D1F">
        <w:rPr>
          <w:sz w:val="22"/>
          <w:szCs w:val="22"/>
        </w:rPr>
        <w:t xml:space="preserve">  If the forfeiture is not paid within the period specified, the case may be referred to the U.S. Department of Justice for enforcement of the forfeiture pursuant to Section 504(a) of the Act.</w:t>
      </w:r>
      <w:r w:rsidRPr="00F46D1F">
        <w:rPr>
          <w:rStyle w:val="FootnoteReference"/>
          <w:sz w:val="22"/>
          <w:szCs w:val="22"/>
        </w:rPr>
        <w:footnoteReference w:id="28"/>
      </w:r>
      <w:r w:rsidRPr="00F46D1F">
        <w:rPr>
          <w:sz w:val="22"/>
          <w:szCs w:val="22"/>
        </w:rPr>
        <w:t xml:space="preserve">  </w:t>
      </w:r>
    </w:p>
    <w:p w14:paraId="03F57818" w14:textId="77777777" w:rsidR="00F46D1F" w:rsidRPr="00F46D1F" w:rsidRDefault="00F46D1F" w:rsidP="00310E75">
      <w:pPr>
        <w:widowControl/>
        <w:numPr>
          <w:ilvl w:val="0"/>
          <w:numId w:val="22"/>
        </w:numPr>
        <w:tabs>
          <w:tab w:val="clear" w:pos="1260"/>
          <w:tab w:val="num" w:pos="1440"/>
          <w:tab w:val="left" w:pos="4680"/>
          <w:tab w:val="left" w:pos="5760"/>
        </w:tabs>
        <w:suppressAutoHyphens/>
        <w:spacing w:after="120"/>
        <w:ind w:left="0"/>
        <w:rPr>
          <w:spacing w:val="-2"/>
          <w:sz w:val="22"/>
          <w:szCs w:val="22"/>
        </w:rPr>
      </w:pPr>
      <w:r w:rsidRPr="00F46D1F">
        <w:rPr>
          <w:sz w:val="22"/>
          <w:szCs w:val="22"/>
        </w:rPr>
        <w:t>Payment of the forfeiture must be made by check or similar instrument, wire transfer, or credit card, and must include the NAL/Account Number and FRN referenced above.  Michael Guernsey shall send electronic notification of payment to NER-Response@fcc.gov on the date said payment is made.  Regardless of the form of payment, a completed FCC Form 159 (Remittance Advice) must be submitted.</w:t>
      </w:r>
      <w:r w:rsidRPr="00F46D1F">
        <w:rPr>
          <w:rStyle w:val="FootnoteReference"/>
          <w:sz w:val="22"/>
          <w:szCs w:val="22"/>
        </w:rPr>
        <w:footnoteReference w:id="29"/>
      </w:r>
      <w:r w:rsidRPr="00F46D1F">
        <w:rPr>
          <w:sz w:val="22"/>
          <w:szCs w:val="22"/>
        </w:rPr>
        <w:t xml:space="preserve">  When completing the Form 159, enter the Account Number in block number 23A (call sign/other ID) and enter the letters “FORF” in block number 24A (payment type code).  Below are additional instructions that should be followed based on the form of payment selected:</w:t>
      </w:r>
    </w:p>
    <w:p w14:paraId="7B0CEC22" w14:textId="77777777" w:rsidR="00F46D1F" w:rsidRPr="00F46D1F" w:rsidRDefault="00F46D1F" w:rsidP="00310E75">
      <w:pPr>
        <w:pStyle w:val="par1"/>
        <w:widowControl w:val="0"/>
        <w:numPr>
          <w:ilvl w:val="0"/>
          <w:numId w:val="37"/>
        </w:numPr>
        <w:tabs>
          <w:tab w:val="clear" w:pos="1440"/>
        </w:tabs>
        <w:spacing w:after="120"/>
        <w:rPr>
          <w:szCs w:val="22"/>
        </w:rPr>
      </w:pPr>
      <w:r w:rsidRPr="00F46D1F">
        <w:rPr>
          <w:szCs w:val="22"/>
        </w:rPr>
        <w:t>Payment by check or money order must be made payable to the order of the Federal Communications Commission.  Such payments (along with completed Form 159) must be mailed to the Federal Communications Commission, P.O. Box 979088, St. Louis, MO 63197-9000, or sent via overnight mail to U.S. Bank – Government Lockbox #979088, SL</w:t>
      </w:r>
      <w:r w:rsidRPr="00F46D1F">
        <w:rPr>
          <w:szCs w:val="22"/>
        </w:rPr>
        <w:noBreakHyphen/>
        <w:t>MO-C2-GL, 1005 Convention Plaza, St. Louis, MO 63101.</w:t>
      </w:r>
    </w:p>
    <w:p w14:paraId="39CBD621" w14:textId="77777777" w:rsidR="00F46D1F" w:rsidRPr="00F46D1F" w:rsidRDefault="00F46D1F" w:rsidP="00310E75">
      <w:pPr>
        <w:pStyle w:val="par1"/>
        <w:widowControl w:val="0"/>
        <w:numPr>
          <w:ilvl w:val="0"/>
          <w:numId w:val="37"/>
        </w:numPr>
        <w:tabs>
          <w:tab w:val="clear" w:pos="1440"/>
        </w:tabs>
        <w:spacing w:after="120"/>
        <w:rPr>
          <w:szCs w:val="22"/>
        </w:rPr>
      </w:pPr>
      <w:r w:rsidRPr="00F46D1F">
        <w:rPr>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5BE27A8A" w14:textId="77777777" w:rsidR="00F46D1F" w:rsidRDefault="00F46D1F" w:rsidP="00310E75">
      <w:pPr>
        <w:pStyle w:val="par1"/>
        <w:numPr>
          <w:ilvl w:val="0"/>
          <w:numId w:val="37"/>
        </w:numPr>
        <w:tabs>
          <w:tab w:val="clear" w:pos="1440"/>
        </w:tabs>
        <w:spacing w:after="120"/>
        <w:ind w:left="1267"/>
        <w:rPr>
          <w:szCs w:val="22"/>
        </w:rPr>
      </w:pPr>
      <w:r w:rsidRPr="00F46D1F">
        <w:rPr>
          <w:szCs w:val="22"/>
        </w:rPr>
        <w:t>Payment by credit card must be made by providing the required credit card information on FCC From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1A83F613" w14:textId="65E91B8A" w:rsidR="00F46D1F" w:rsidRDefault="00F46D1F" w:rsidP="00310E75">
      <w:pPr>
        <w:widowControl/>
        <w:numPr>
          <w:ilvl w:val="0"/>
          <w:numId w:val="22"/>
        </w:numPr>
        <w:tabs>
          <w:tab w:val="clear" w:pos="1260"/>
          <w:tab w:val="num" w:pos="1440"/>
          <w:tab w:val="left" w:pos="4680"/>
          <w:tab w:val="left" w:pos="5760"/>
        </w:tabs>
        <w:suppressAutoHyphens/>
        <w:spacing w:after="120"/>
        <w:ind w:left="0"/>
        <w:rPr>
          <w:szCs w:val="22"/>
        </w:rPr>
      </w:pPr>
      <w:r w:rsidRPr="00F46D1F">
        <w:rPr>
          <w:sz w:val="22"/>
          <w:szCs w:val="22"/>
        </w:rPr>
        <w:t>Any request for making full payment over time under an installment plan should be sent to:  Chief Financial Officer – Financial Operations, Federal Communications Commission, 445 12th Street, SW, Room 1</w:t>
      </w:r>
      <w:r w:rsidRPr="00F46D1F">
        <w:rPr>
          <w:sz w:val="22"/>
          <w:szCs w:val="22"/>
        </w:rPr>
        <w:noBreakHyphen/>
        <w:t>A625, Washington, DC 20554.</w:t>
      </w:r>
      <w:r w:rsidRPr="00F46D1F">
        <w:rPr>
          <w:rStyle w:val="FootnoteReference"/>
          <w:sz w:val="22"/>
          <w:szCs w:val="22"/>
        </w:rPr>
        <w:footnoteReference w:id="30"/>
      </w:r>
      <w:r w:rsidRPr="00F46D1F">
        <w:rPr>
          <w:sz w:val="22"/>
          <w:szCs w:val="22"/>
        </w:rPr>
        <w:t xml:space="preserve">  Questions regarding payment procedures should be directed to the Financial Operations Group Help Desk by telephone, 1-877-480-3201, or by e-mail, </w:t>
      </w:r>
      <w:r w:rsidRPr="00511CA8">
        <w:rPr>
          <w:szCs w:val="22"/>
        </w:rPr>
        <w:t>ARINQUIRIES@fcc.gov</w:t>
      </w:r>
      <w:r w:rsidRPr="00F46D1F">
        <w:rPr>
          <w:sz w:val="22"/>
          <w:szCs w:val="22"/>
        </w:rPr>
        <w:t>.</w:t>
      </w:r>
    </w:p>
    <w:p w14:paraId="5383E6A1" w14:textId="77777777" w:rsidR="00F46D1F" w:rsidRPr="00F46D1F" w:rsidRDefault="00F46D1F" w:rsidP="00310E75">
      <w:pPr>
        <w:widowControl/>
        <w:numPr>
          <w:ilvl w:val="0"/>
          <w:numId w:val="22"/>
        </w:numPr>
        <w:tabs>
          <w:tab w:val="clear" w:pos="1260"/>
          <w:tab w:val="num" w:pos="1440"/>
          <w:tab w:val="left" w:pos="4680"/>
          <w:tab w:val="left" w:pos="5760"/>
        </w:tabs>
        <w:suppressAutoHyphens/>
        <w:spacing w:after="120"/>
        <w:ind w:left="0"/>
        <w:rPr>
          <w:sz w:val="22"/>
          <w:szCs w:val="22"/>
        </w:rPr>
      </w:pPr>
      <w:r w:rsidRPr="00F46D1F">
        <w:rPr>
          <w:b/>
          <w:sz w:val="22"/>
          <w:szCs w:val="22"/>
        </w:rPr>
        <w:t>IT IS FURTHER ORDERED</w:t>
      </w:r>
      <w:r w:rsidRPr="00F46D1F">
        <w:rPr>
          <w:sz w:val="22"/>
          <w:szCs w:val="22"/>
        </w:rPr>
        <w:t xml:space="preserve"> that a copy of this Forfeiture Order shall be sent by first class mail and certified mail, return receipt requested, to</w:t>
      </w:r>
      <w:r w:rsidR="008D283E">
        <w:rPr>
          <w:sz w:val="22"/>
          <w:szCs w:val="22"/>
        </w:rPr>
        <w:t xml:space="preserve"> Michael Guernsey</w:t>
      </w:r>
      <w:r w:rsidRPr="00F46D1F">
        <w:rPr>
          <w:sz w:val="22"/>
          <w:szCs w:val="22"/>
        </w:rPr>
        <w:t xml:space="preserve">, </w:t>
      </w:r>
      <w:r w:rsidR="008D283E">
        <w:rPr>
          <w:sz w:val="22"/>
          <w:szCs w:val="22"/>
        </w:rPr>
        <w:t>2026 Travis Road, Parchment, Michigan 49004</w:t>
      </w:r>
      <w:r w:rsidRPr="00F46D1F">
        <w:rPr>
          <w:sz w:val="22"/>
          <w:szCs w:val="22"/>
        </w:rPr>
        <w:t>.</w:t>
      </w:r>
    </w:p>
    <w:p w14:paraId="0633A361" w14:textId="77777777" w:rsidR="00F46D1F" w:rsidRPr="00F46D1F" w:rsidRDefault="00F46D1F" w:rsidP="00F46D1F">
      <w:pPr>
        <w:spacing w:after="120"/>
        <w:rPr>
          <w:sz w:val="22"/>
          <w:szCs w:val="22"/>
        </w:rPr>
      </w:pPr>
    </w:p>
    <w:p w14:paraId="060F8181" w14:textId="77777777" w:rsidR="00F46D1F" w:rsidRPr="00F46D1F" w:rsidRDefault="00F46D1F" w:rsidP="00F46D1F">
      <w:pPr>
        <w:ind w:left="4406"/>
        <w:rPr>
          <w:sz w:val="22"/>
          <w:szCs w:val="22"/>
        </w:rPr>
      </w:pPr>
      <w:r w:rsidRPr="00F46D1F">
        <w:rPr>
          <w:sz w:val="22"/>
          <w:szCs w:val="22"/>
        </w:rPr>
        <w:t>FEDERAL COMMUNICATIONS COMMISSION</w:t>
      </w:r>
    </w:p>
    <w:p w14:paraId="1BE7ED5C" w14:textId="77777777" w:rsidR="00F46D1F" w:rsidRPr="00F46D1F" w:rsidRDefault="00F46D1F" w:rsidP="00F46D1F">
      <w:pPr>
        <w:ind w:left="4406"/>
        <w:rPr>
          <w:sz w:val="22"/>
          <w:szCs w:val="22"/>
        </w:rPr>
      </w:pPr>
    </w:p>
    <w:p w14:paraId="2B899E71" w14:textId="77777777" w:rsidR="00F46D1F" w:rsidRPr="00F46D1F" w:rsidRDefault="00F46D1F" w:rsidP="00F46D1F">
      <w:pPr>
        <w:ind w:left="4406"/>
        <w:rPr>
          <w:sz w:val="22"/>
          <w:szCs w:val="22"/>
        </w:rPr>
      </w:pPr>
    </w:p>
    <w:p w14:paraId="59901B7B" w14:textId="77777777" w:rsidR="00F46D1F" w:rsidRPr="00F46D1F" w:rsidRDefault="00F46D1F" w:rsidP="00F46D1F">
      <w:pPr>
        <w:ind w:left="4406"/>
        <w:rPr>
          <w:sz w:val="22"/>
          <w:szCs w:val="22"/>
        </w:rPr>
      </w:pPr>
    </w:p>
    <w:p w14:paraId="087B3400" w14:textId="77777777" w:rsidR="00F46D1F" w:rsidRPr="00F46D1F" w:rsidRDefault="00F46D1F" w:rsidP="00F46D1F">
      <w:pPr>
        <w:ind w:left="4406"/>
        <w:rPr>
          <w:sz w:val="22"/>
          <w:szCs w:val="22"/>
        </w:rPr>
      </w:pPr>
    </w:p>
    <w:p w14:paraId="79869034" w14:textId="77777777" w:rsidR="00F46D1F" w:rsidRPr="00F46D1F" w:rsidRDefault="00EA21A9" w:rsidP="00F46D1F">
      <w:pPr>
        <w:tabs>
          <w:tab w:val="left" w:pos="0"/>
          <w:tab w:val="left" w:pos="720"/>
          <w:tab w:val="left" w:pos="1440"/>
        </w:tabs>
        <w:suppressAutoHyphens/>
        <w:ind w:left="4406"/>
        <w:rPr>
          <w:sz w:val="22"/>
          <w:szCs w:val="22"/>
        </w:rPr>
      </w:pPr>
      <w:r>
        <w:rPr>
          <w:sz w:val="22"/>
          <w:szCs w:val="22"/>
        </w:rPr>
        <w:t>G. Michael Moffitt</w:t>
      </w:r>
      <w:r w:rsidR="00F46D1F" w:rsidRPr="00F46D1F">
        <w:rPr>
          <w:sz w:val="22"/>
          <w:szCs w:val="22"/>
        </w:rPr>
        <w:t xml:space="preserve"> </w:t>
      </w:r>
    </w:p>
    <w:p w14:paraId="3A57218A" w14:textId="77777777" w:rsidR="00F46D1F" w:rsidRDefault="00EA21A9" w:rsidP="00F46D1F">
      <w:pPr>
        <w:ind w:left="4406"/>
        <w:rPr>
          <w:sz w:val="22"/>
          <w:szCs w:val="22"/>
        </w:rPr>
      </w:pPr>
      <w:r>
        <w:rPr>
          <w:sz w:val="22"/>
          <w:szCs w:val="22"/>
        </w:rPr>
        <w:t>Regional Director</w:t>
      </w:r>
    </w:p>
    <w:p w14:paraId="3BAE6E58" w14:textId="77777777" w:rsidR="00EA21A9" w:rsidRPr="00F46D1F" w:rsidRDefault="00EA21A9" w:rsidP="00F46D1F">
      <w:pPr>
        <w:ind w:left="4406"/>
        <w:rPr>
          <w:sz w:val="22"/>
          <w:szCs w:val="22"/>
        </w:rPr>
      </w:pPr>
      <w:r>
        <w:rPr>
          <w:sz w:val="22"/>
          <w:szCs w:val="22"/>
        </w:rPr>
        <w:t>Northeast Region</w:t>
      </w:r>
    </w:p>
    <w:p w14:paraId="2DCBFD30" w14:textId="77777777" w:rsidR="009F6C24" w:rsidRPr="00F46D1F" w:rsidRDefault="00F46D1F" w:rsidP="00F46D1F">
      <w:pPr>
        <w:ind w:left="4406"/>
        <w:rPr>
          <w:sz w:val="22"/>
          <w:szCs w:val="22"/>
        </w:rPr>
      </w:pPr>
      <w:r w:rsidRPr="00F46D1F">
        <w:rPr>
          <w:sz w:val="22"/>
          <w:szCs w:val="22"/>
        </w:rPr>
        <w:t>Enforcement Bureau</w:t>
      </w:r>
    </w:p>
    <w:sectPr w:rsidR="009F6C24" w:rsidRPr="00F46D1F" w:rsidSect="003924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100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FF383" w14:textId="77777777" w:rsidR="001B372C" w:rsidRDefault="001B372C">
      <w:r>
        <w:separator/>
      </w:r>
    </w:p>
  </w:endnote>
  <w:endnote w:type="continuationSeparator" w:id="0">
    <w:p w14:paraId="5BC5FE77" w14:textId="77777777" w:rsidR="001B372C" w:rsidRDefault="001B372C">
      <w:r>
        <w:continuationSeparator/>
      </w:r>
    </w:p>
  </w:endnote>
  <w:endnote w:type="continuationNotice" w:id="1">
    <w:p w14:paraId="4342E184" w14:textId="77777777" w:rsidR="001B372C" w:rsidRDefault="001B37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231C0" w14:textId="77777777" w:rsidR="00FE4C15" w:rsidRDefault="00FE4C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F1435" w14:textId="77777777" w:rsidR="00EC0C6A" w:rsidRDefault="00EC0C6A">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FA1B9C">
      <w:rPr>
        <w:rStyle w:val="PageNumber"/>
        <w:noProof/>
      </w:rPr>
      <w:t>2</w:t>
    </w:r>
    <w:r>
      <w:rPr>
        <w:rStyle w:val="PageNumber"/>
      </w:rPr>
      <w:fldChar w:fldCharType="end"/>
    </w:r>
  </w:p>
  <w:p w14:paraId="19671324" w14:textId="77777777" w:rsidR="00EC0C6A" w:rsidRDefault="00EC0C6A" w:rsidP="006C72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B4B27" w14:textId="77777777" w:rsidR="00FE4C15" w:rsidRDefault="00FE4C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B3C78" w14:textId="77777777" w:rsidR="001B372C" w:rsidRDefault="001B372C">
      <w:r>
        <w:separator/>
      </w:r>
    </w:p>
  </w:footnote>
  <w:footnote w:type="continuationSeparator" w:id="0">
    <w:p w14:paraId="3C51DD57" w14:textId="77777777" w:rsidR="001B372C" w:rsidRDefault="001B372C">
      <w:r>
        <w:separator/>
      </w:r>
    </w:p>
    <w:p w14:paraId="2BA51F69" w14:textId="77777777" w:rsidR="001B372C" w:rsidRDefault="001B372C">
      <w:r>
        <w:t>(...continued from previous page)</w:t>
      </w:r>
    </w:p>
  </w:footnote>
  <w:footnote w:type="continuationNotice" w:id="1">
    <w:p w14:paraId="7B86A367" w14:textId="77777777" w:rsidR="001B372C" w:rsidRDefault="001B372C">
      <w:pPr>
        <w:jc w:val="right"/>
      </w:pPr>
      <w:r>
        <w:t>(continued....)</w:t>
      </w:r>
    </w:p>
  </w:footnote>
  <w:footnote w:id="2">
    <w:p w14:paraId="05BCDE67" w14:textId="3AD275D8" w:rsidR="00021DFB" w:rsidRPr="00C558ED" w:rsidRDefault="00021DFB" w:rsidP="009C5B32">
      <w:pPr>
        <w:pStyle w:val="FootnoteText"/>
        <w:jc w:val="left"/>
      </w:pPr>
      <w:r>
        <w:rPr>
          <w:rStyle w:val="FootnoteReference"/>
        </w:rPr>
        <w:footnoteRef/>
      </w:r>
      <w:r w:rsidR="0030290E">
        <w:t xml:space="preserve"> </w:t>
      </w:r>
      <w:r>
        <w:rPr>
          <w:i/>
        </w:rPr>
        <w:t>Michael Guernsey</w:t>
      </w:r>
      <w:r>
        <w:t xml:space="preserve">, Notice of Apparent Liability for Forfeiture, </w:t>
      </w:r>
      <w:r w:rsidR="00C558ED">
        <w:t>29 FCC Rcd 8586, 8585</w:t>
      </w:r>
      <w:r w:rsidR="00A64BE6">
        <w:t>,</w:t>
      </w:r>
      <w:r w:rsidR="00C558ED">
        <w:t xml:space="preserve"> para. 3 (Enf. Bur. 2014) (</w:t>
      </w:r>
      <w:r w:rsidR="00C558ED">
        <w:rPr>
          <w:i/>
        </w:rPr>
        <w:t>NAL</w:t>
      </w:r>
      <w:r w:rsidR="00C558ED">
        <w:t xml:space="preserve">).  The </w:t>
      </w:r>
      <w:r w:rsidR="00C558ED">
        <w:rPr>
          <w:i/>
        </w:rPr>
        <w:t>NAL</w:t>
      </w:r>
      <w:r w:rsidR="00C558ED">
        <w:t xml:space="preserve"> includes a more complete discussion of the facts and history of this case and is incorporated herein by reference.</w:t>
      </w:r>
    </w:p>
  </w:footnote>
  <w:footnote w:id="3">
    <w:p w14:paraId="39ACBF3B" w14:textId="2F08DD0B" w:rsidR="001E3CF1" w:rsidRPr="001E3CF1" w:rsidRDefault="001E3CF1" w:rsidP="009C5B32">
      <w:pPr>
        <w:pStyle w:val="FootnoteText"/>
        <w:jc w:val="left"/>
      </w:pPr>
      <w:r>
        <w:rPr>
          <w:rStyle w:val="FootnoteReference"/>
        </w:rPr>
        <w:footnoteRef/>
      </w:r>
      <w:r w:rsidR="0030290E">
        <w:t xml:space="preserve"> </w:t>
      </w:r>
      <w:r w:rsidR="00A64BE6">
        <w:rPr>
          <w:i/>
        </w:rPr>
        <w:t xml:space="preserve">Id. </w:t>
      </w:r>
      <w:r w:rsidR="00A64BE6">
        <w:t>at 8588–</w:t>
      </w:r>
      <w:r w:rsidR="007A675B">
        <w:t>89, para</w:t>
      </w:r>
      <w:r w:rsidR="00A64BE6">
        <w:t>s. 9–1</w:t>
      </w:r>
      <w:r w:rsidR="007A675B">
        <w:t>0; 47 U.S</w:t>
      </w:r>
      <w:r w:rsidR="0030290E">
        <w:t>.C. § 333; 47 C.F.R. §§ 97.101(d</w:t>
      </w:r>
      <w:r w:rsidR="00A64BE6">
        <w:t>)</w:t>
      </w:r>
      <w:r w:rsidR="007A675B">
        <w:t>, 97. 119(a).</w:t>
      </w:r>
    </w:p>
  </w:footnote>
  <w:footnote w:id="4">
    <w:p w14:paraId="3330FB8C" w14:textId="6F47A67F" w:rsidR="00783286" w:rsidRPr="00783286" w:rsidRDefault="00783286" w:rsidP="009C5B32">
      <w:pPr>
        <w:pStyle w:val="FootnoteText"/>
        <w:jc w:val="left"/>
      </w:pPr>
      <w:r>
        <w:rPr>
          <w:rStyle w:val="FootnoteReference"/>
        </w:rPr>
        <w:footnoteRef/>
      </w:r>
      <w:r w:rsidR="0030290E">
        <w:t xml:space="preserve"> </w:t>
      </w:r>
      <w:r>
        <w:t xml:space="preserve">Response to Notice of Apparent Liability for Forfeiture by Michael Guernsey </w:t>
      </w:r>
      <w:r w:rsidR="00E5183B">
        <w:t>(Aug.</w:t>
      </w:r>
      <w:r>
        <w:t xml:space="preserve"> 15, 2014</w:t>
      </w:r>
      <w:r w:rsidR="00E5183B">
        <w:t>)</w:t>
      </w:r>
      <w:r>
        <w:t xml:space="preserve"> (</w:t>
      </w:r>
      <w:r>
        <w:rPr>
          <w:i/>
        </w:rPr>
        <w:t>NAL Response</w:t>
      </w:r>
      <w:r>
        <w:t>).</w:t>
      </w:r>
    </w:p>
  </w:footnote>
  <w:footnote w:id="5">
    <w:p w14:paraId="792EFDC7" w14:textId="542402A5" w:rsidR="00D17E61" w:rsidRPr="00D17E61" w:rsidRDefault="00D17E61" w:rsidP="009C5B32">
      <w:pPr>
        <w:pStyle w:val="FootnoteText"/>
        <w:jc w:val="left"/>
      </w:pPr>
      <w:r>
        <w:rPr>
          <w:rStyle w:val="FootnoteReference"/>
        </w:rPr>
        <w:footnoteRef/>
      </w:r>
      <w:r w:rsidR="0030290E">
        <w:t xml:space="preserve"> </w:t>
      </w:r>
      <w:r w:rsidR="0030290E">
        <w:rPr>
          <w:i/>
        </w:rPr>
        <w:t>Id.</w:t>
      </w:r>
      <w:r w:rsidR="0030290E" w:rsidRPr="009C5B32">
        <w:rPr>
          <w:i/>
        </w:rPr>
        <w:t xml:space="preserve"> </w:t>
      </w:r>
      <w:r>
        <w:t>at 1.</w:t>
      </w:r>
    </w:p>
  </w:footnote>
  <w:footnote w:id="6">
    <w:p w14:paraId="1ACAA5EB" w14:textId="04864E02" w:rsidR="00184F3A" w:rsidRDefault="00184F3A" w:rsidP="009C5B32">
      <w:pPr>
        <w:pStyle w:val="FootnoteText"/>
        <w:jc w:val="left"/>
      </w:pPr>
      <w:r>
        <w:rPr>
          <w:rStyle w:val="FootnoteReference"/>
        </w:rPr>
        <w:footnoteRef/>
      </w:r>
      <w:r w:rsidR="0030290E">
        <w:t xml:space="preserve"> </w:t>
      </w:r>
      <w:r w:rsidRPr="002B5468">
        <w:rPr>
          <w:i/>
        </w:rPr>
        <w:t>Id</w:t>
      </w:r>
      <w:r>
        <w:t>.</w:t>
      </w:r>
    </w:p>
  </w:footnote>
  <w:footnote w:id="7">
    <w:p w14:paraId="6B4BEE21" w14:textId="45BF8494" w:rsidR="002B5468" w:rsidRPr="002B5468" w:rsidRDefault="002B5468" w:rsidP="009C5B32">
      <w:pPr>
        <w:pStyle w:val="FootnoteText"/>
        <w:jc w:val="left"/>
      </w:pPr>
      <w:r>
        <w:rPr>
          <w:rStyle w:val="FootnoteReference"/>
        </w:rPr>
        <w:footnoteRef/>
      </w:r>
      <w:r w:rsidR="0030290E">
        <w:t xml:space="preserve"> </w:t>
      </w:r>
      <w:r>
        <w:rPr>
          <w:i/>
        </w:rPr>
        <w:t>Id.</w:t>
      </w:r>
      <w:r w:rsidR="0030290E">
        <w:t xml:space="preserve"> at 2–</w:t>
      </w:r>
      <w:r>
        <w:t>3, Attachment.</w:t>
      </w:r>
    </w:p>
  </w:footnote>
  <w:footnote w:id="8">
    <w:p w14:paraId="5AFB45F2" w14:textId="5F4DF11D" w:rsidR="001C09B2" w:rsidRDefault="001C09B2" w:rsidP="009C5B32">
      <w:pPr>
        <w:pStyle w:val="FootnoteText"/>
        <w:jc w:val="left"/>
      </w:pPr>
      <w:r>
        <w:rPr>
          <w:rStyle w:val="FootnoteReference"/>
        </w:rPr>
        <w:footnoteRef/>
      </w:r>
      <w:r w:rsidR="0030290E">
        <w:t xml:space="preserve"> </w:t>
      </w:r>
      <w:r>
        <w:t>47 U.S.C. § 503(b).</w:t>
      </w:r>
    </w:p>
  </w:footnote>
  <w:footnote w:id="9">
    <w:p w14:paraId="74B74CB9" w14:textId="4C27CD16" w:rsidR="001C09B2" w:rsidRDefault="001C09B2" w:rsidP="009C5B32">
      <w:pPr>
        <w:pStyle w:val="FootnoteText"/>
        <w:jc w:val="left"/>
      </w:pPr>
      <w:r>
        <w:rPr>
          <w:rStyle w:val="FootnoteReference"/>
        </w:rPr>
        <w:footnoteRef/>
      </w:r>
      <w:r w:rsidR="0030290E">
        <w:t xml:space="preserve"> </w:t>
      </w:r>
      <w:r>
        <w:t>47 C.F.R. § 1.80.</w:t>
      </w:r>
    </w:p>
  </w:footnote>
  <w:footnote w:id="10">
    <w:p w14:paraId="3707400E" w14:textId="77777777" w:rsidR="001C09B2" w:rsidRDefault="001C09B2" w:rsidP="009C5B32">
      <w:pPr>
        <w:pStyle w:val="FootnoteText"/>
        <w:jc w:val="left"/>
      </w:pPr>
      <w:r>
        <w:rPr>
          <w:rStyle w:val="FootnoteReference"/>
        </w:rPr>
        <w:footnoteRef/>
      </w:r>
      <w:r>
        <w:t xml:space="preserve"> </w:t>
      </w:r>
      <w:r w:rsidRPr="00225173">
        <w:rPr>
          <w:i/>
        </w:rPr>
        <w:t>The Commission’s Forfeiture Policy Statement and Amendment of Section 1.80 of the Rules to Incorporate the Forfeiture Guidelines</w:t>
      </w:r>
      <w:r w:rsidRPr="00225173">
        <w:t>, Report and Order, 12 FCC Rcd 17087 (1997) (</w:t>
      </w:r>
      <w:r w:rsidRPr="00225173">
        <w:rPr>
          <w:i/>
        </w:rPr>
        <w:t>Forfeiture Policy Statement</w:t>
      </w:r>
      <w:r w:rsidRPr="00225173">
        <w:t xml:space="preserve">), </w:t>
      </w:r>
      <w:r w:rsidRPr="00225173">
        <w:rPr>
          <w:i/>
        </w:rPr>
        <w:t>recons. denied</w:t>
      </w:r>
      <w:r w:rsidRPr="00225173">
        <w:t>, 15 FCC Rcd 303 (1999)</w:t>
      </w:r>
      <w:r>
        <w:t>.</w:t>
      </w:r>
    </w:p>
  </w:footnote>
  <w:footnote w:id="11">
    <w:p w14:paraId="2C3133D3" w14:textId="77777777" w:rsidR="0026472F" w:rsidRPr="00225173" w:rsidRDefault="0026472F" w:rsidP="00511CA8">
      <w:pPr>
        <w:pStyle w:val="FootnoteText"/>
        <w:jc w:val="left"/>
      </w:pPr>
      <w:r w:rsidRPr="00225173">
        <w:rPr>
          <w:rStyle w:val="FootnoteReference"/>
        </w:rPr>
        <w:footnoteRef/>
      </w:r>
      <w:r w:rsidRPr="00225173">
        <w:t xml:space="preserve"> 47 U.S.C. § 503(b)(2)(E).</w:t>
      </w:r>
    </w:p>
  </w:footnote>
  <w:footnote w:id="12">
    <w:p w14:paraId="769DFE37" w14:textId="77777777" w:rsidR="00927322" w:rsidRPr="00927322" w:rsidRDefault="00927322" w:rsidP="009C5B32">
      <w:pPr>
        <w:pStyle w:val="FootnoteText"/>
        <w:jc w:val="left"/>
      </w:pPr>
      <w:r>
        <w:rPr>
          <w:rStyle w:val="FootnoteReference"/>
        </w:rPr>
        <w:footnoteRef/>
      </w:r>
      <w:r>
        <w:t xml:space="preserve"> </w:t>
      </w:r>
      <w:r>
        <w:rPr>
          <w:i/>
        </w:rPr>
        <w:t xml:space="preserve">NAL Response </w:t>
      </w:r>
      <w:r>
        <w:t>at 1.</w:t>
      </w:r>
    </w:p>
  </w:footnote>
  <w:footnote w:id="13">
    <w:p w14:paraId="262E78A5" w14:textId="77777777" w:rsidR="00AD7D81" w:rsidRPr="00AD7D81" w:rsidRDefault="00AD7D81" w:rsidP="009C5B32">
      <w:pPr>
        <w:pStyle w:val="FootnoteText"/>
        <w:jc w:val="left"/>
        <w:rPr>
          <w:i/>
        </w:rPr>
      </w:pPr>
      <w:r>
        <w:rPr>
          <w:rStyle w:val="FootnoteReference"/>
        </w:rPr>
        <w:footnoteRef/>
      </w:r>
      <w:r>
        <w:t xml:space="preserve"> </w:t>
      </w:r>
      <w:r>
        <w:rPr>
          <w:i/>
        </w:rPr>
        <w:t>Id.</w:t>
      </w:r>
    </w:p>
  </w:footnote>
  <w:footnote w:id="14">
    <w:p w14:paraId="5FD724BC" w14:textId="77777777" w:rsidR="00A26DCA" w:rsidRPr="00A26DCA" w:rsidRDefault="00A26DCA" w:rsidP="009C5B32">
      <w:pPr>
        <w:pStyle w:val="FootnoteText"/>
        <w:jc w:val="left"/>
      </w:pPr>
      <w:r>
        <w:rPr>
          <w:rStyle w:val="FootnoteReference"/>
        </w:rPr>
        <w:footnoteRef/>
      </w:r>
      <w:r>
        <w:t xml:space="preserve"> </w:t>
      </w:r>
      <w:r>
        <w:rPr>
          <w:i/>
        </w:rPr>
        <w:t>Id.</w:t>
      </w:r>
      <w:r>
        <w:t xml:space="preserve"> at 2.</w:t>
      </w:r>
    </w:p>
  </w:footnote>
  <w:footnote w:id="15">
    <w:p w14:paraId="5BA9357C" w14:textId="77777777" w:rsidR="006B4D89" w:rsidRPr="00225173" w:rsidRDefault="006B4D89" w:rsidP="00511CA8">
      <w:pPr>
        <w:pStyle w:val="FootnoteText"/>
        <w:jc w:val="left"/>
      </w:pPr>
      <w:r w:rsidRPr="00225173">
        <w:rPr>
          <w:rStyle w:val="FootnoteReference"/>
        </w:rPr>
        <w:footnoteRef/>
      </w:r>
      <w:r w:rsidRPr="00225173">
        <w:t xml:space="preserve"> </w:t>
      </w:r>
      <w:r w:rsidRPr="00225173">
        <w:rPr>
          <w:i/>
        </w:rPr>
        <w:t>See</w:t>
      </w:r>
      <w:r w:rsidRPr="00225173">
        <w:t xml:space="preserve"> </w:t>
      </w:r>
      <w:r>
        <w:t xml:space="preserve">Letter </w:t>
      </w:r>
      <w:r w:rsidRPr="00225173">
        <w:t>from Laura Smith, Esq., Special Counsel, Enforcement Bureau, Federal Communications Commission, to Michael Guernsey (Dec. 10, 2012) (on file in EB-FIELDNER-14-00014398); Letter from W. Riley Hollingsworth, Esq., Special Counsel, Enforcement Bureau, Federal Communications Commission, to Michael Guernsey (May 9, 2003) (on file in EB-FIELDNER-14-00014398); Letter from W. Riley Hollingsworth, Esq., Special Counsel, Enforcement Bureau, Federal Communications Commission, to Michael Guernsey (May 20, 2002) (on file in EB-FIELDNER-14-00014398); Letter from W. Riley Hollingsworth, Esq., Special Counsel, Enforcement Bureau, Federal Communications Commission, to Michael Guernsey (Dec. 6, 2001) (on file in EB-FIELDNER-14-00014398); Letter from W. Riley Hollingsworth, Esq., Special Counsel, Enforcement Bureau, Federal Communications Commission, to Michael Guernsey (Nov. 14, 2000) (on file in EB-FIELDNER-14-00014398); Letter from W. Riley Hollingsworth, Esq., Special Counsel, Enforcement Bureau, Federal Communications Commission, to Michael Guernsey (Oct. 17, 2000) (on file in EB-FIELDNER-14-00014398); Letter from W. Riley Hollingsworth, Esq., Special Counsel, Enforcement Bureau, Federal Communications Commission, to Michael Guernsey (Nov. 4, 1998)</w:t>
      </w:r>
      <w:r w:rsidR="00B01AC4">
        <w:t xml:space="preserve"> </w:t>
      </w:r>
      <w:r w:rsidR="00B01AC4" w:rsidRPr="00225173">
        <w:t>(on file in EB-FIELDNER-14-00014398)</w:t>
      </w:r>
      <w:r w:rsidRPr="00225173">
        <w:t>.</w:t>
      </w:r>
    </w:p>
  </w:footnote>
  <w:footnote w:id="16">
    <w:p w14:paraId="0575B330" w14:textId="77777777" w:rsidR="006D73DD" w:rsidRPr="006D73DD" w:rsidRDefault="006D73DD" w:rsidP="009C5B32">
      <w:pPr>
        <w:pStyle w:val="FootnoteText"/>
        <w:jc w:val="left"/>
      </w:pPr>
      <w:r>
        <w:rPr>
          <w:rStyle w:val="FootnoteReference"/>
        </w:rPr>
        <w:footnoteRef/>
      </w:r>
      <w:r>
        <w:t xml:space="preserve">  </w:t>
      </w:r>
      <w:r>
        <w:rPr>
          <w:i/>
        </w:rPr>
        <w:t>NAL</w:t>
      </w:r>
      <w:r w:rsidR="00B01AC4">
        <w:t>,</w:t>
      </w:r>
      <w:r>
        <w:t xml:space="preserve"> 29 FCC Rcd at 8587, para. 5.</w:t>
      </w:r>
    </w:p>
  </w:footnote>
  <w:footnote w:id="17">
    <w:p w14:paraId="0F67E373" w14:textId="77777777" w:rsidR="006936AA" w:rsidRPr="006936AA" w:rsidRDefault="006936AA" w:rsidP="009C5B32">
      <w:pPr>
        <w:pStyle w:val="FootnoteText"/>
        <w:jc w:val="left"/>
      </w:pPr>
      <w:r>
        <w:rPr>
          <w:rStyle w:val="FootnoteReference"/>
        </w:rPr>
        <w:footnoteRef/>
      </w:r>
      <w:r>
        <w:t xml:space="preserve"> </w:t>
      </w:r>
      <w:r>
        <w:rPr>
          <w:i/>
        </w:rPr>
        <w:t>NAL Response</w:t>
      </w:r>
      <w:r>
        <w:t xml:space="preserve"> at </w:t>
      </w:r>
      <w:r w:rsidR="00B01AC4">
        <w:t>2–3, Attachment.</w:t>
      </w:r>
    </w:p>
  </w:footnote>
  <w:footnote w:id="18">
    <w:p w14:paraId="1F8D704C" w14:textId="77777777" w:rsidR="00E53F90" w:rsidRDefault="00E53F90" w:rsidP="009C5B32">
      <w:pPr>
        <w:pStyle w:val="FootnoteText"/>
        <w:jc w:val="left"/>
      </w:pPr>
      <w:r>
        <w:rPr>
          <w:rStyle w:val="FootnoteReference"/>
        </w:rPr>
        <w:footnoteRef/>
      </w:r>
      <w:r>
        <w:t xml:space="preserve">  47 U.S.C. § 503(b)(2)(E).</w:t>
      </w:r>
    </w:p>
  </w:footnote>
  <w:footnote w:id="19">
    <w:p w14:paraId="1019CBF5" w14:textId="77777777" w:rsidR="004A1296" w:rsidRPr="00225173" w:rsidRDefault="004A1296" w:rsidP="00511CA8">
      <w:pPr>
        <w:pStyle w:val="FootnoteText"/>
        <w:jc w:val="left"/>
      </w:pPr>
      <w:r w:rsidRPr="00225173">
        <w:rPr>
          <w:rStyle w:val="FootnoteReference"/>
        </w:rPr>
        <w:footnoteRef/>
      </w:r>
      <w:r w:rsidRPr="00225173">
        <w:t xml:space="preserve"> </w:t>
      </w:r>
      <w:r w:rsidRPr="00225173">
        <w:rPr>
          <w:i/>
        </w:rPr>
        <w:t>See</w:t>
      </w:r>
      <w:r w:rsidRPr="00225173">
        <w:t xml:space="preserve"> </w:t>
      </w:r>
      <w:r>
        <w:rPr>
          <w:i/>
        </w:rPr>
        <w:t xml:space="preserve">supra </w:t>
      </w:r>
      <w:r>
        <w:t>note 14.</w:t>
      </w:r>
    </w:p>
  </w:footnote>
  <w:footnote w:id="20">
    <w:p w14:paraId="48B24042" w14:textId="77777777" w:rsidR="004A1296" w:rsidRPr="00225173" w:rsidRDefault="004A1296" w:rsidP="00511CA8">
      <w:pPr>
        <w:pStyle w:val="FootnoteText"/>
        <w:jc w:val="left"/>
      </w:pPr>
      <w:r w:rsidRPr="00225173">
        <w:rPr>
          <w:rStyle w:val="FootnoteReference"/>
        </w:rPr>
        <w:footnoteRef/>
      </w:r>
      <w:r w:rsidRPr="00225173">
        <w:t xml:space="preserve"> 47 U.S.C. § 333.</w:t>
      </w:r>
    </w:p>
  </w:footnote>
  <w:footnote w:id="21">
    <w:p w14:paraId="7957FE0A" w14:textId="77777777" w:rsidR="00E43B7C" w:rsidRPr="00225173" w:rsidRDefault="00E43B7C" w:rsidP="00511CA8">
      <w:pPr>
        <w:pStyle w:val="FootnoteText"/>
        <w:jc w:val="left"/>
      </w:pPr>
      <w:r w:rsidRPr="00225173">
        <w:rPr>
          <w:rStyle w:val="FootnoteReference"/>
        </w:rPr>
        <w:footnoteRef/>
      </w:r>
      <w:r w:rsidRPr="00225173">
        <w:t xml:space="preserve"> H.R. Rep. No. 101-316, at 8 (1989).  </w:t>
      </w:r>
    </w:p>
  </w:footnote>
  <w:footnote w:id="22">
    <w:p w14:paraId="3FB9AC36" w14:textId="23C120AD" w:rsidR="000236CE" w:rsidRPr="00FE2909" w:rsidRDefault="000236CE" w:rsidP="009C5B32">
      <w:pPr>
        <w:widowControl/>
      </w:pPr>
      <w:r>
        <w:rPr>
          <w:rStyle w:val="FootnoteReference"/>
        </w:rPr>
        <w:footnoteRef/>
      </w:r>
      <w:r>
        <w:t xml:space="preserve"> </w:t>
      </w:r>
      <w:r w:rsidR="0096625B">
        <w:rPr>
          <w:i/>
        </w:rPr>
        <w:t>See, e.g.</w:t>
      </w:r>
      <w:r w:rsidR="0096625B">
        <w:t>,</w:t>
      </w:r>
      <w:r w:rsidR="0096625B">
        <w:rPr>
          <w:i/>
        </w:rPr>
        <w:t xml:space="preserve"> Kevin W. Bondy</w:t>
      </w:r>
      <w:r w:rsidR="0096625B" w:rsidRPr="009C5B32">
        <w:t>,</w:t>
      </w:r>
      <w:r>
        <w:rPr>
          <w:i/>
        </w:rPr>
        <w:t xml:space="preserve"> </w:t>
      </w:r>
      <w:r>
        <w:t>Memorandum Opinion and Order, 28 FCC Rcd 1170 (</w:t>
      </w:r>
      <w:r w:rsidR="0096625B">
        <w:t xml:space="preserve">Enf. Bur. </w:t>
      </w:r>
      <w:r>
        <w:t>2013)</w:t>
      </w:r>
      <w:r w:rsidR="0096625B">
        <w:t>,</w:t>
      </w:r>
      <w:r>
        <w:t xml:space="preserve"> </w:t>
      </w:r>
      <w:r w:rsidRPr="009C5B32">
        <w:rPr>
          <w:i/>
        </w:rPr>
        <w:t>aff’g</w:t>
      </w:r>
      <w:r>
        <w:t xml:space="preserve"> Forfeiture Order, 26 FCC Rcd 7840 (Enf. Bur. 2011)</w:t>
      </w:r>
      <w:r w:rsidR="00164BD9">
        <w:t xml:space="preserve"> (repeated violation of Rules outweighed </w:t>
      </w:r>
      <w:r w:rsidR="00FE2909">
        <w:t>inability to pay argument</w:t>
      </w:r>
      <w:r w:rsidR="00164BD9">
        <w:t xml:space="preserve">); </w:t>
      </w:r>
      <w:r w:rsidR="00164BD9">
        <w:rPr>
          <w:i/>
        </w:rPr>
        <w:t>see also</w:t>
      </w:r>
      <w:r w:rsidR="00164BD9">
        <w:t xml:space="preserve"> </w:t>
      </w:r>
      <w:r w:rsidR="0096625B">
        <w:rPr>
          <w:i/>
        </w:rPr>
        <w:t>Hodson Broad. Corp.</w:t>
      </w:r>
      <w:r w:rsidR="0096625B">
        <w:t>,</w:t>
      </w:r>
      <w:r w:rsidR="00FE2909">
        <w:rPr>
          <w:i/>
        </w:rPr>
        <w:t xml:space="preserve"> </w:t>
      </w:r>
      <w:r w:rsidR="00FE2909">
        <w:t>Forfeiture Order, 24 FCC Rcd 13699 (Enf. Bur. 2009) (permittee’s continued operation at variance with its construction permit constituted an intentional and continuous violation, which outweighed permittee’s evidence concerning its ability to pay the proposed forfeitures).</w:t>
      </w:r>
      <w:r w:rsidR="0096625B">
        <w:t xml:space="preserve">  If Mr. Guernsey finds it financially infeasible to make full payment of forfeiture imposed within 30 days, he can request an installment plan, as described in paragraph 10 of this Forfeiture Order.</w:t>
      </w:r>
    </w:p>
  </w:footnote>
  <w:footnote w:id="23">
    <w:p w14:paraId="511060B8" w14:textId="3E315EA6" w:rsidR="002D482E" w:rsidRDefault="002D482E" w:rsidP="009C5B32">
      <w:pPr>
        <w:pStyle w:val="FootnoteText"/>
        <w:jc w:val="left"/>
      </w:pPr>
      <w:r>
        <w:rPr>
          <w:rStyle w:val="FootnoteReference"/>
        </w:rPr>
        <w:footnoteRef/>
      </w:r>
      <w:r w:rsidR="0096625B">
        <w:t xml:space="preserve"> 47 U.S.C. §333; 47 C.F.R</w:t>
      </w:r>
      <w:r>
        <w:t xml:space="preserve"> §</w:t>
      </w:r>
      <w:r w:rsidR="0096625B">
        <w:t>§</w:t>
      </w:r>
      <w:r>
        <w:t xml:space="preserve"> 97.101(d), 97.119(a).</w:t>
      </w:r>
    </w:p>
  </w:footnote>
  <w:footnote w:id="24">
    <w:p w14:paraId="7C5B4928" w14:textId="77777777" w:rsidR="00F46D1F" w:rsidRPr="005F1982" w:rsidRDefault="00F46D1F" w:rsidP="009C5B32">
      <w:pPr>
        <w:pStyle w:val="FootnoteText"/>
        <w:jc w:val="left"/>
      </w:pPr>
      <w:r w:rsidRPr="005F1982">
        <w:rPr>
          <w:rStyle w:val="FootnoteReference"/>
        </w:rPr>
        <w:footnoteRef/>
      </w:r>
      <w:r w:rsidRPr="005F1982">
        <w:t xml:space="preserve"> 47 U.S.C. § 503(b).</w:t>
      </w:r>
    </w:p>
  </w:footnote>
  <w:footnote w:id="25">
    <w:p w14:paraId="55128D53" w14:textId="77777777" w:rsidR="00F46D1F" w:rsidRPr="005F1982" w:rsidRDefault="00F46D1F" w:rsidP="009C5B32">
      <w:pPr>
        <w:pStyle w:val="FootnoteText"/>
        <w:jc w:val="left"/>
      </w:pPr>
      <w:r w:rsidRPr="005F1982">
        <w:rPr>
          <w:rStyle w:val="FootnoteReference"/>
        </w:rPr>
        <w:footnoteRef/>
      </w:r>
      <w:r w:rsidRPr="005F1982">
        <w:t xml:space="preserve"> 47 C.F.R. § 1.80.</w:t>
      </w:r>
    </w:p>
  </w:footnote>
  <w:footnote w:id="26">
    <w:p w14:paraId="43C4847D" w14:textId="79388C5F" w:rsidR="00F46D1F" w:rsidRDefault="00F46D1F" w:rsidP="009C5B32">
      <w:pPr>
        <w:pStyle w:val="FootnoteText"/>
        <w:jc w:val="left"/>
      </w:pPr>
      <w:r>
        <w:rPr>
          <w:rStyle w:val="FootnoteReference"/>
        </w:rPr>
        <w:footnoteRef/>
      </w:r>
      <w:r w:rsidR="0096625B">
        <w:t xml:space="preserve"> 47 U.S.C. §</w:t>
      </w:r>
      <w:r>
        <w:t xml:space="preserve"> 333; 47 C.F.R. §</w:t>
      </w:r>
      <w:r w:rsidR="0096625B">
        <w:t>§</w:t>
      </w:r>
      <w:r>
        <w:t xml:space="preserve"> 97.101(d), 97.119(a). </w:t>
      </w:r>
    </w:p>
  </w:footnote>
  <w:footnote w:id="27">
    <w:p w14:paraId="651B995B" w14:textId="77777777" w:rsidR="00F46D1F" w:rsidRPr="005F1982" w:rsidRDefault="00F46D1F" w:rsidP="009C5B32">
      <w:pPr>
        <w:pStyle w:val="FootnoteText"/>
        <w:jc w:val="left"/>
      </w:pPr>
      <w:r w:rsidRPr="005F1982">
        <w:rPr>
          <w:rStyle w:val="FootnoteReference"/>
        </w:rPr>
        <w:footnoteRef/>
      </w:r>
      <w:r w:rsidRPr="005F1982">
        <w:t xml:space="preserve"> 47 C.F.R. § 1.80.</w:t>
      </w:r>
    </w:p>
  </w:footnote>
  <w:footnote w:id="28">
    <w:p w14:paraId="6ED7321D" w14:textId="77777777" w:rsidR="00F46D1F" w:rsidRPr="005F1982" w:rsidRDefault="00F46D1F" w:rsidP="009C5B32">
      <w:pPr>
        <w:pStyle w:val="FootnoteText"/>
        <w:jc w:val="left"/>
      </w:pPr>
      <w:r w:rsidRPr="005F1982">
        <w:rPr>
          <w:rStyle w:val="FootnoteReference"/>
        </w:rPr>
        <w:footnoteRef/>
      </w:r>
      <w:r w:rsidRPr="005F1982">
        <w:t xml:space="preserve"> 47 U.S.C. § 504(a).</w:t>
      </w:r>
    </w:p>
  </w:footnote>
  <w:footnote w:id="29">
    <w:p w14:paraId="50AA7E9E" w14:textId="77777777" w:rsidR="00F46D1F" w:rsidRPr="005F1982" w:rsidRDefault="00F46D1F" w:rsidP="009C5B32">
      <w:pPr>
        <w:pStyle w:val="FootnoteText"/>
        <w:jc w:val="left"/>
      </w:pPr>
      <w:r w:rsidRPr="005F1982">
        <w:rPr>
          <w:rStyle w:val="FootnoteReference"/>
        </w:rPr>
        <w:footnoteRef/>
      </w:r>
      <w:r w:rsidRPr="005F1982">
        <w:t xml:space="preserve"> </w:t>
      </w:r>
      <w:r w:rsidRPr="005F1982">
        <w:rPr>
          <w:rStyle w:val="FootnoteTextChar2"/>
        </w:rPr>
        <w:t xml:space="preserve">An FCC Form 159 and detailed instructions for completing the form may be obtained at </w:t>
      </w:r>
      <w:r w:rsidRPr="005F1982">
        <w:t>http://www.fcc.gov/Forms/Form159/159.pdf</w:t>
      </w:r>
      <w:r w:rsidRPr="005F1982">
        <w:rPr>
          <w:rStyle w:val="FootnoteTextChar2"/>
        </w:rPr>
        <w:t>.</w:t>
      </w:r>
    </w:p>
  </w:footnote>
  <w:footnote w:id="30">
    <w:p w14:paraId="37C84572" w14:textId="77777777" w:rsidR="00F46D1F" w:rsidRPr="005F1982" w:rsidRDefault="00F46D1F" w:rsidP="009C5B32">
      <w:pPr>
        <w:pStyle w:val="FootnoteText"/>
        <w:jc w:val="left"/>
      </w:pPr>
      <w:r w:rsidRPr="005F1982">
        <w:rPr>
          <w:rStyle w:val="FootnoteReference"/>
        </w:rPr>
        <w:footnoteRef/>
      </w:r>
      <w:r w:rsidRPr="005F1982">
        <w:t xml:space="preserve"> </w:t>
      </w:r>
      <w:r w:rsidRPr="005F1982">
        <w:rPr>
          <w:i/>
        </w:rPr>
        <w:t>See</w:t>
      </w:r>
      <w:r w:rsidRPr="005F1982">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90928" w14:textId="77777777" w:rsidR="00FE4C15" w:rsidRDefault="00FE4C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CFC49" w14:textId="1AE06AA8" w:rsidR="00EC0C6A" w:rsidRPr="00331410" w:rsidRDefault="00EC0C6A" w:rsidP="006975F9">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sidR="00C747D2">
      <w:rPr>
        <w:b/>
        <w:sz w:val="22"/>
        <w:szCs w:val="22"/>
      </w:rPr>
      <w:t>DA 1</w:t>
    </w:r>
    <w:r w:rsidR="00AE55EB">
      <w:rPr>
        <w:b/>
        <w:sz w:val="22"/>
        <w:szCs w:val="22"/>
      </w:rPr>
      <w:t>5</w:t>
    </w:r>
    <w:r w:rsidR="00C747D2">
      <w:rPr>
        <w:b/>
        <w:sz w:val="22"/>
        <w:szCs w:val="22"/>
      </w:rPr>
      <w:t>-</w:t>
    </w:r>
    <w:r w:rsidR="007748C3">
      <w:rPr>
        <w:b/>
        <w:sz w:val="22"/>
        <w:szCs w:val="22"/>
      </w:rPr>
      <w:t>832</w:t>
    </w:r>
  </w:p>
  <w:p w14:paraId="08073625" w14:textId="77777777" w:rsidR="00EC0C6A" w:rsidRDefault="00FA1B9C">
    <w:pPr>
      <w:pStyle w:val="Header"/>
      <w:tabs>
        <w:tab w:val="clear" w:pos="8640"/>
        <w:tab w:val="right" w:pos="9360"/>
      </w:tabs>
    </w:pPr>
    <w:r>
      <w:rPr>
        <w:noProof/>
      </w:rPr>
      <w:pict w14:anchorId="30B9F677">
        <v:line id="_x0000_s2053" style="position:absolute;z-index:251658240" from="0,1.75pt" to="468pt,1.75pt" o:allowincell="f" strokeweight="1.5pt"/>
      </w:pict>
    </w:r>
  </w:p>
  <w:p w14:paraId="17B4D0B5" w14:textId="77777777" w:rsidR="00EC0C6A" w:rsidRDefault="00EC0C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674D0" w14:textId="1FED775F" w:rsidR="00EC0C6A" w:rsidRPr="00331410" w:rsidRDefault="00EC0C6A" w:rsidP="006975F9">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Pr>
        <w:b/>
        <w:sz w:val="22"/>
        <w:szCs w:val="22"/>
      </w:rPr>
      <w:t>DA 1</w:t>
    </w:r>
    <w:r w:rsidR="00AE55EB">
      <w:rPr>
        <w:b/>
        <w:sz w:val="22"/>
        <w:szCs w:val="22"/>
      </w:rPr>
      <w:t>5</w:t>
    </w:r>
    <w:r>
      <w:rPr>
        <w:b/>
        <w:sz w:val="22"/>
        <w:szCs w:val="22"/>
      </w:rPr>
      <w:t>-</w:t>
    </w:r>
    <w:r w:rsidR="007748C3">
      <w:rPr>
        <w:b/>
        <w:sz w:val="22"/>
        <w:szCs w:val="22"/>
      </w:rPr>
      <w:t>832</w:t>
    </w:r>
  </w:p>
  <w:p w14:paraId="1BDC3205" w14:textId="77777777" w:rsidR="00EC0C6A" w:rsidRDefault="00FA1B9C">
    <w:pPr>
      <w:pStyle w:val="Header"/>
      <w:tabs>
        <w:tab w:val="clear" w:pos="8640"/>
        <w:tab w:val="right" w:pos="9360"/>
      </w:tabs>
    </w:pPr>
    <w:r>
      <w:rPr>
        <w:noProof/>
      </w:rPr>
      <w:pict w14:anchorId="0D89943D">
        <v:line id="_x0000_s2052" style="position:absolute;z-index:251657216" from="0,1.75pt" to="468pt,1.75pt"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28EE0A"/>
    <w:lvl w:ilvl="0">
      <w:numFmt w:val="bullet"/>
      <w:lvlText w:val="*"/>
      <w:lvlJc w:val="left"/>
    </w:lvl>
  </w:abstractNum>
  <w:abstractNum w:abstractNumId="1">
    <w:nsid w:val="08735861"/>
    <w:multiLevelType w:val="hybridMultilevel"/>
    <w:tmpl w:val="5E36A01A"/>
    <w:lvl w:ilvl="0" w:tplc="88B4E408">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4F76BB7"/>
    <w:multiLevelType w:val="hybridMultilevel"/>
    <w:tmpl w:val="27C65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1">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2">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3">
    <w:nsid w:val="381073ED"/>
    <w:multiLevelType w:val="hybridMultilevel"/>
    <w:tmpl w:val="343C3AB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3C775E63"/>
    <w:multiLevelType w:val="hybridMultilevel"/>
    <w:tmpl w:val="5012492E"/>
    <w:lvl w:ilvl="0" w:tplc="BB08D36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7">
    <w:nsid w:val="3E4E796F"/>
    <w:multiLevelType w:val="singleLevel"/>
    <w:tmpl w:val="061A5C40"/>
    <w:lvl w:ilvl="0">
      <w:start w:val="1"/>
      <w:numFmt w:val="decimal"/>
      <w:lvlText w:val="%1."/>
      <w:lvlJc w:val="left"/>
      <w:pPr>
        <w:tabs>
          <w:tab w:val="num" w:pos="1260"/>
        </w:tabs>
        <w:ind w:left="180" w:firstLine="720"/>
      </w:pPr>
      <w:rPr>
        <w:rFonts w:ascii="Times New Roman" w:hAnsi="Times New Roman" w:hint="default"/>
        <w:b w:val="0"/>
        <w:i w:val="0"/>
        <w:color w:val="auto"/>
        <w:sz w:val="22"/>
        <w:szCs w:val="22"/>
      </w:rPr>
    </w:lvl>
  </w:abstractNum>
  <w:abstractNum w:abstractNumId="18">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9">
    <w:nsid w:val="432817C4"/>
    <w:multiLevelType w:val="singleLevel"/>
    <w:tmpl w:val="061A5C40"/>
    <w:lvl w:ilvl="0">
      <w:start w:val="1"/>
      <w:numFmt w:val="decimal"/>
      <w:lvlText w:val="%1."/>
      <w:lvlJc w:val="left"/>
      <w:pPr>
        <w:tabs>
          <w:tab w:val="num" w:pos="1260"/>
        </w:tabs>
        <w:ind w:left="180" w:firstLine="720"/>
      </w:pPr>
      <w:rPr>
        <w:rFonts w:ascii="Times New Roman" w:hAnsi="Times New Roman" w:hint="default"/>
        <w:b w:val="0"/>
        <w:i w:val="0"/>
        <w:color w:val="auto"/>
        <w:sz w:val="22"/>
        <w:szCs w:val="22"/>
      </w:rPr>
    </w:lvl>
  </w:abstractNum>
  <w:abstractNum w:abstractNumId="20">
    <w:nsid w:val="45AF067F"/>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21">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3">
    <w:nsid w:val="4B634E2D"/>
    <w:multiLevelType w:val="hybridMultilevel"/>
    <w:tmpl w:val="ABCE6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1E163B5"/>
    <w:multiLevelType w:val="hybridMultilevel"/>
    <w:tmpl w:val="E2325D3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720"/>
        </w:tabs>
        <w:ind w:left="72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8">
    <w:nsid w:val="582D7ECB"/>
    <w:multiLevelType w:val="hybridMultilevel"/>
    <w:tmpl w:val="EB826E9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30">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31">
    <w:nsid w:val="61182925"/>
    <w:multiLevelType w:val="singleLevel"/>
    <w:tmpl w:val="A9EE9842"/>
    <w:lvl w:ilvl="0">
      <w:start w:val="1"/>
      <w:numFmt w:val="decimal"/>
      <w:lvlText w:val="%1."/>
      <w:lvlJc w:val="left"/>
      <w:pPr>
        <w:tabs>
          <w:tab w:val="num" w:pos="1080"/>
        </w:tabs>
        <w:ind w:left="0" w:firstLine="720"/>
      </w:pPr>
    </w:lvl>
  </w:abstractNum>
  <w:abstractNum w:abstractNumId="32">
    <w:nsid w:val="628E1E95"/>
    <w:multiLevelType w:val="singleLevel"/>
    <w:tmpl w:val="084CABB8"/>
    <w:lvl w:ilvl="0">
      <w:start w:val="1"/>
      <w:numFmt w:val="decimal"/>
      <w:pStyle w:val="par1"/>
      <w:lvlText w:val="%1."/>
      <w:lvlJc w:val="left"/>
      <w:pPr>
        <w:tabs>
          <w:tab w:val="num" w:pos="990"/>
        </w:tabs>
        <w:ind w:left="-90" w:firstLine="720"/>
      </w:pPr>
      <w:rPr>
        <w:b w:val="0"/>
      </w:rPr>
    </w:lvl>
  </w:abstractNum>
  <w:abstractNum w:abstractNumId="33">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4">
    <w:nsid w:val="716E6185"/>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35">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33"/>
  </w:num>
  <w:num w:numId="2">
    <w:abstractNumId w:val="35"/>
  </w:num>
  <w:num w:numId="3">
    <w:abstractNumId w:val="6"/>
  </w:num>
  <w:num w:numId="4">
    <w:abstractNumId w:val="26"/>
  </w:num>
  <w:num w:numId="5">
    <w:abstractNumId w:val="7"/>
  </w:num>
  <w:num w:numId="6">
    <w:abstractNumId w:val="30"/>
  </w:num>
  <w:num w:numId="7">
    <w:abstractNumId w:val="21"/>
  </w:num>
  <w:num w:numId="8">
    <w:abstractNumId w:val="8"/>
  </w:num>
  <w:num w:numId="9">
    <w:abstractNumId w:val="29"/>
  </w:num>
  <w:num w:numId="10">
    <w:abstractNumId w:val="14"/>
  </w:num>
  <w:num w:numId="11">
    <w:abstractNumId w:val="12"/>
  </w:num>
  <w:num w:numId="12">
    <w:abstractNumId w:val="9"/>
  </w:num>
  <w:num w:numId="13">
    <w:abstractNumId w:val="16"/>
  </w:num>
  <w:num w:numId="14">
    <w:abstractNumId w:val="27"/>
  </w:num>
  <w:num w:numId="15">
    <w:abstractNumId w:val="4"/>
  </w:num>
  <w:num w:numId="16">
    <w:abstractNumId w:val="5"/>
  </w:num>
  <w:num w:numId="17">
    <w:abstractNumId w:val="10"/>
  </w:num>
  <w:num w:numId="18">
    <w:abstractNumId w:val="2"/>
  </w:num>
  <w:num w:numId="19">
    <w:abstractNumId w:val="11"/>
  </w:num>
  <w:num w:numId="20">
    <w:abstractNumId w:val="22"/>
  </w:num>
  <w:num w:numId="21">
    <w:abstractNumId w:val="25"/>
  </w:num>
  <w:num w:numId="22">
    <w:abstractNumId w:val="19"/>
  </w:num>
  <w:num w:numId="23">
    <w:abstractNumId w:val="13"/>
  </w:num>
  <w:num w:numId="24">
    <w:abstractNumId w:val="32"/>
  </w:num>
  <w:num w:numId="25">
    <w:abstractNumId w:val="15"/>
  </w:num>
  <w:num w:numId="26">
    <w:abstractNumId w:val="18"/>
  </w:num>
  <w:num w:numId="27">
    <w:abstractNumId w:val="3"/>
  </w:num>
  <w:num w:numId="28">
    <w:abstractNumId w:val="28"/>
  </w:num>
  <w:num w:numId="29">
    <w:abstractNumId w:val="23"/>
  </w:num>
  <w:num w:numId="30">
    <w:abstractNumId w:val="34"/>
  </w:num>
  <w:num w:numId="31">
    <w:abstractNumId w:val="20"/>
  </w:num>
  <w:num w:numId="32">
    <w:abstractNumId w:val="17"/>
  </w:num>
  <w:num w:numId="33">
    <w:abstractNumId w:val="1"/>
  </w:num>
  <w:num w:numId="34">
    <w:abstractNumId w:val="19"/>
    <w:lvlOverride w:ilvl="0">
      <w:startOverride w:val="1"/>
    </w:lvlOverride>
  </w:num>
  <w:num w:numId="35">
    <w:abstractNumId w:val="31"/>
  </w:num>
  <w:num w:numId="36">
    <w:abstractNumId w:val="0"/>
    <w:lvlOverride w:ilvl="0">
      <w:lvl w:ilvl="0">
        <w:numFmt w:val="bullet"/>
        <w:lvlText w:val=""/>
        <w:legacy w:legacy="1" w:legacySpace="0" w:legacyIndent="360"/>
        <w:lvlJc w:val="left"/>
        <w:rPr>
          <w:rFonts w:ascii="Symbol" w:hAnsi="Symbol" w:hint="default"/>
        </w:rPr>
      </w:lvl>
    </w:lvlOverride>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47E3"/>
    <w:rsid w:val="00006836"/>
    <w:rsid w:val="00017CDA"/>
    <w:rsid w:val="00021DFB"/>
    <w:rsid w:val="00022679"/>
    <w:rsid w:val="000236CE"/>
    <w:rsid w:val="0003648F"/>
    <w:rsid w:val="00037295"/>
    <w:rsid w:val="00050854"/>
    <w:rsid w:val="00053E37"/>
    <w:rsid w:val="00066DCB"/>
    <w:rsid w:val="000702F1"/>
    <w:rsid w:val="00071484"/>
    <w:rsid w:val="00077513"/>
    <w:rsid w:val="000779CC"/>
    <w:rsid w:val="00077F92"/>
    <w:rsid w:val="000875B1"/>
    <w:rsid w:val="00087C2D"/>
    <w:rsid w:val="000A0EEE"/>
    <w:rsid w:val="000A170A"/>
    <w:rsid w:val="000A20F1"/>
    <w:rsid w:val="000A5F92"/>
    <w:rsid w:val="000A71AC"/>
    <w:rsid w:val="000B1688"/>
    <w:rsid w:val="000B3C45"/>
    <w:rsid w:val="000E0451"/>
    <w:rsid w:val="000E2560"/>
    <w:rsid w:val="00105973"/>
    <w:rsid w:val="0011114B"/>
    <w:rsid w:val="0011170C"/>
    <w:rsid w:val="00112E8E"/>
    <w:rsid w:val="00120233"/>
    <w:rsid w:val="00123535"/>
    <w:rsid w:val="001253C3"/>
    <w:rsid w:val="00125A4D"/>
    <w:rsid w:val="00145224"/>
    <w:rsid w:val="0015255D"/>
    <w:rsid w:val="001526A2"/>
    <w:rsid w:val="00154417"/>
    <w:rsid w:val="00156CD9"/>
    <w:rsid w:val="00164BD9"/>
    <w:rsid w:val="001665F5"/>
    <w:rsid w:val="00174A12"/>
    <w:rsid w:val="00175E71"/>
    <w:rsid w:val="00184F3A"/>
    <w:rsid w:val="00190523"/>
    <w:rsid w:val="00195ECB"/>
    <w:rsid w:val="001B372C"/>
    <w:rsid w:val="001C09B2"/>
    <w:rsid w:val="001C0B1F"/>
    <w:rsid w:val="001D1002"/>
    <w:rsid w:val="001E246C"/>
    <w:rsid w:val="001E2A65"/>
    <w:rsid w:val="001E3CF1"/>
    <w:rsid w:val="001F566B"/>
    <w:rsid w:val="001F7450"/>
    <w:rsid w:val="00211D85"/>
    <w:rsid w:val="00211F2D"/>
    <w:rsid w:val="002223FD"/>
    <w:rsid w:val="00225173"/>
    <w:rsid w:val="00235D90"/>
    <w:rsid w:val="00237F81"/>
    <w:rsid w:val="00240998"/>
    <w:rsid w:val="00240AEB"/>
    <w:rsid w:val="002511FB"/>
    <w:rsid w:val="00256422"/>
    <w:rsid w:val="00257A58"/>
    <w:rsid w:val="00260C08"/>
    <w:rsid w:val="0026472F"/>
    <w:rsid w:val="00275D9B"/>
    <w:rsid w:val="00286F24"/>
    <w:rsid w:val="002A0F2A"/>
    <w:rsid w:val="002A732B"/>
    <w:rsid w:val="002B5468"/>
    <w:rsid w:val="002C62DA"/>
    <w:rsid w:val="002D482E"/>
    <w:rsid w:val="002E6323"/>
    <w:rsid w:val="002F1E38"/>
    <w:rsid w:val="002F7017"/>
    <w:rsid w:val="003003E1"/>
    <w:rsid w:val="0030290E"/>
    <w:rsid w:val="00310E75"/>
    <w:rsid w:val="00313D01"/>
    <w:rsid w:val="00321805"/>
    <w:rsid w:val="00323513"/>
    <w:rsid w:val="0033085D"/>
    <w:rsid w:val="00331410"/>
    <w:rsid w:val="0033797D"/>
    <w:rsid w:val="00337B75"/>
    <w:rsid w:val="003405A4"/>
    <w:rsid w:val="003422DF"/>
    <w:rsid w:val="00347CA1"/>
    <w:rsid w:val="00362432"/>
    <w:rsid w:val="00371336"/>
    <w:rsid w:val="003740F2"/>
    <w:rsid w:val="00377CA2"/>
    <w:rsid w:val="00390F1B"/>
    <w:rsid w:val="00392410"/>
    <w:rsid w:val="003949D9"/>
    <w:rsid w:val="003A2112"/>
    <w:rsid w:val="003A68D5"/>
    <w:rsid w:val="003A7878"/>
    <w:rsid w:val="003B61EB"/>
    <w:rsid w:val="003E2AD5"/>
    <w:rsid w:val="003F0D55"/>
    <w:rsid w:val="003F3CFD"/>
    <w:rsid w:val="003F5B96"/>
    <w:rsid w:val="004110FC"/>
    <w:rsid w:val="0041443C"/>
    <w:rsid w:val="00415DE5"/>
    <w:rsid w:val="00425706"/>
    <w:rsid w:val="00433A70"/>
    <w:rsid w:val="00447AAD"/>
    <w:rsid w:val="00484313"/>
    <w:rsid w:val="004930F5"/>
    <w:rsid w:val="004A1296"/>
    <w:rsid w:val="004A2084"/>
    <w:rsid w:val="004B262D"/>
    <w:rsid w:val="004B7BBA"/>
    <w:rsid w:val="004C6D99"/>
    <w:rsid w:val="004D3A3E"/>
    <w:rsid w:val="004E00D3"/>
    <w:rsid w:val="00502239"/>
    <w:rsid w:val="00510919"/>
    <w:rsid w:val="00511CA8"/>
    <w:rsid w:val="00512D71"/>
    <w:rsid w:val="00513F6C"/>
    <w:rsid w:val="00522967"/>
    <w:rsid w:val="00534B2F"/>
    <w:rsid w:val="00543E64"/>
    <w:rsid w:val="00562A69"/>
    <w:rsid w:val="00563612"/>
    <w:rsid w:val="00571009"/>
    <w:rsid w:val="00574A7A"/>
    <w:rsid w:val="00575A29"/>
    <w:rsid w:val="00577134"/>
    <w:rsid w:val="00597628"/>
    <w:rsid w:val="005A3F75"/>
    <w:rsid w:val="005B67D8"/>
    <w:rsid w:val="005D19E6"/>
    <w:rsid w:val="005D3AC8"/>
    <w:rsid w:val="005E587D"/>
    <w:rsid w:val="005F002F"/>
    <w:rsid w:val="005F2E13"/>
    <w:rsid w:val="005F46E6"/>
    <w:rsid w:val="005F483B"/>
    <w:rsid w:val="005F67D7"/>
    <w:rsid w:val="005F750B"/>
    <w:rsid w:val="00607D4F"/>
    <w:rsid w:val="00613F65"/>
    <w:rsid w:val="006172A3"/>
    <w:rsid w:val="00624E7D"/>
    <w:rsid w:val="006336DF"/>
    <w:rsid w:val="00647CC5"/>
    <w:rsid w:val="00650A4A"/>
    <w:rsid w:val="00651DE2"/>
    <w:rsid w:val="00653FAD"/>
    <w:rsid w:val="00662C5C"/>
    <w:rsid w:val="006818C9"/>
    <w:rsid w:val="006834D3"/>
    <w:rsid w:val="00683F6F"/>
    <w:rsid w:val="006868B5"/>
    <w:rsid w:val="006936AA"/>
    <w:rsid w:val="00694D30"/>
    <w:rsid w:val="006975F9"/>
    <w:rsid w:val="006B2CBC"/>
    <w:rsid w:val="006B4D89"/>
    <w:rsid w:val="006B504D"/>
    <w:rsid w:val="006C72D8"/>
    <w:rsid w:val="006D70C3"/>
    <w:rsid w:val="006D73DD"/>
    <w:rsid w:val="00702838"/>
    <w:rsid w:val="00716561"/>
    <w:rsid w:val="00733E4A"/>
    <w:rsid w:val="00735D4D"/>
    <w:rsid w:val="00744632"/>
    <w:rsid w:val="00746742"/>
    <w:rsid w:val="00755E36"/>
    <w:rsid w:val="0076083C"/>
    <w:rsid w:val="007748C3"/>
    <w:rsid w:val="00777E77"/>
    <w:rsid w:val="00780C18"/>
    <w:rsid w:val="00783286"/>
    <w:rsid w:val="00786B4E"/>
    <w:rsid w:val="00787C4B"/>
    <w:rsid w:val="007907B0"/>
    <w:rsid w:val="0079300F"/>
    <w:rsid w:val="00794C59"/>
    <w:rsid w:val="00795279"/>
    <w:rsid w:val="007A1188"/>
    <w:rsid w:val="007A45A0"/>
    <w:rsid w:val="007A675B"/>
    <w:rsid w:val="007E1368"/>
    <w:rsid w:val="007E2E05"/>
    <w:rsid w:val="007E5CCE"/>
    <w:rsid w:val="0080198A"/>
    <w:rsid w:val="008024F6"/>
    <w:rsid w:val="00832D6C"/>
    <w:rsid w:val="00840A6A"/>
    <w:rsid w:val="00852A75"/>
    <w:rsid w:val="00856437"/>
    <w:rsid w:val="00857E84"/>
    <w:rsid w:val="00861990"/>
    <w:rsid w:val="00875DB2"/>
    <w:rsid w:val="00884BDA"/>
    <w:rsid w:val="00887660"/>
    <w:rsid w:val="00890911"/>
    <w:rsid w:val="008957F6"/>
    <w:rsid w:val="008B58B7"/>
    <w:rsid w:val="008C26F7"/>
    <w:rsid w:val="008C32D3"/>
    <w:rsid w:val="008C44FD"/>
    <w:rsid w:val="008C4978"/>
    <w:rsid w:val="008C4BD5"/>
    <w:rsid w:val="008C659E"/>
    <w:rsid w:val="008D235A"/>
    <w:rsid w:val="008D283E"/>
    <w:rsid w:val="008F0580"/>
    <w:rsid w:val="0091686F"/>
    <w:rsid w:val="00920C19"/>
    <w:rsid w:val="00924BC3"/>
    <w:rsid w:val="00927322"/>
    <w:rsid w:val="00933895"/>
    <w:rsid w:val="009423ED"/>
    <w:rsid w:val="0095119D"/>
    <w:rsid w:val="00957592"/>
    <w:rsid w:val="009578B1"/>
    <w:rsid w:val="0096625B"/>
    <w:rsid w:val="00967758"/>
    <w:rsid w:val="009711A7"/>
    <w:rsid w:val="009712F4"/>
    <w:rsid w:val="00972105"/>
    <w:rsid w:val="00980DFC"/>
    <w:rsid w:val="00983CCD"/>
    <w:rsid w:val="00986009"/>
    <w:rsid w:val="00990FB6"/>
    <w:rsid w:val="009C5B32"/>
    <w:rsid w:val="009C6F48"/>
    <w:rsid w:val="009D06DE"/>
    <w:rsid w:val="009D1F23"/>
    <w:rsid w:val="009D4949"/>
    <w:rsid w:val="009D7325"/>
    <w:rsid w:val="009D75AF"/>
    <w:rsid w:val="009E0D1C"/>
    <w:rsid w:val="009E4540"/>
    <w:rsid w:val="009E7749"/>
    <w:rsid w:val="009F6C24"/>
    <w:rsid w:val="00A10DA6"/>
    <w:rsid w:val="00A12D37"/>
    <w:rsid w:val="00A13424"/>
    <w:rsid w:val="00A16AF9"/>
    <w:rsid w:val="00A26DCA"/>
    <w:rsid w:val="00A32D87"/>
    <w:rsid w:val="00A37420"/>
    <w:rsid w:val="00A410C9"/>
    <w:rsid w:val="00A546FC"/>
    <w:rsid w:val="00A64BE6"/>
    <w:rsid w:val="00A66F85"/>
    <w:rsid w:val="00A76BC5"/>
    <w:rsid w:val="00A77197"/>
    <w:rsid w:val="00A83A8B"/>
    <w:rsid w:val="00A92F1A"/>
    <w:rsid w:val="00AA497C"/>
    <w:rsid w:val="00AB3F15"/>
    <w:rsid w:val="00AD7D81"/>
    <w:rsid w:val="00AE30FC"/>
    <w:rsid w:val="00AE3A0F"/>
    <w:rsid w:val="00AE55EB"/>
    <w:rsid w:val="00B01AC4"/>
    <w:rsid w:val="00B04DF4"/>
    <w:rsid w:val="00B14ECD"/>
    <w:rsid w:val="00B25C02"/>
    <w:rsid w:val="00B3377F"/>
    <w:rsid w:val="00B439D6"/>
    <w:rsid w:val="00B711FC"/>
    <w:rsid w:val="00B90EB1"/>
    <w:rsid w:val="00B93F40"/>
    <w:rsid w:val="00B943BA"/>
    <w:rsid w:val="00BA6DFF"/>
    <w:rsid w:val="00BB34F3"/>
    <w:rsid w:val="00BB4E8D"/>
    <w:rsid w:val="00BB5A17"/>
    <w:rsid w:val="00BD24E7"/>
    <w:rsid w:val="00BE6E2F"/>
    <w:rsid w:val="00BF1922"/>
    <w:rsid w:val="00BF4DA8"/>
    <w:rsid w:val="00C009F7"/>
    <w:rsid w:val="00C17AF7"/>
    <w:rsid w:val="00C24320"/>
    <w:rsid w:val="00C24414"/>
    <w:rsid w:val="00C46A39"/>
    <w:rsid w:val="00C51409"/>
    <w:rsid w:val="00C558ED"/>
    <w:rsid w:val="00C55AF9"/>
    <w:rsid w:val="00C5634A"/>
    <w:rsid w:val="00C5743D"/>
    <w:rsid w:val="00C600C5"/>
    <w:rsid w:val="00C747D2"/>
    <w:rsid w:val="00C77289"/>
    <w:rsid w:val="00C8210C"/>
    <w:rsid w:val="00C91804"/>
    <w:rsid w:val="00C938B9"/>
    <w:rsid w:val="00CA7544"/>
    <w:rsid w:val="00CB5D98"/>
    <w:rsid w:val="00CB7E52"/>
    <w:rsid w:val="00CC29A4"/>
    <w:rsid w:val="00CC2A5F"/>
    <w:rsid w:val="00CD5AA2"/>
    <w:rsid w:val="00CE1311"/>
    <w:rsid w:val="00CE2E71"/>
    <w:rsid w:val="00CE7212"/>
    <w:rsid w:val="00CF350E"/>
    <w:rsid w:val="00CF74B6"/>
    <w:rsid w:val="00D02F61"/>
    <w:rsid w:val="00D13FA6"/>
    <w:rsid w:val="00D15A5F"/>
    <w:rsid w:val="00D17E61"/>
    <w:rsid w:val="00D24820"/>
    <w:rsid w:val="00D26EB8"/>
    <w:rsid w:val="00D42FF1"/>
    <w:rsid w:val="00D435AF"/>
    <w:rsid w:val="00D5087E"/>
    <w:rsid w:val="00D52690"/>
    <w:rsid w:val="00D57AE2"/>
    <w:rsid w:val="00D7437C"/>
    <w:rsid w:val="00D74D55"/>
    <w:rsid w:val="00D87F3D"/>
    <w:rsid w:val="00D97781"/>
    <w:rsid w:val="00DA3BB3"/>
    <w:rsid w:val="00DB12F9"/>
    <w:rsid w:val="00DC7D2B"/>
    <w:rsid w:val="00DE20D1"/>
    <w:rsid w:val="00DE4A65"/>
    <w:rsid w:val="00DF18BE"/>
    <w:rsid w:val="00DF64C1"/>
    <w:rsid w:val="00E13519"/>
    <w:rsid w:val="00E16103"/>
    <w:rsid w:val="00E43B7C"/>
    <w:rsid w:val="00E458B2"/>
    <w:rsid w:val="00E4658D"/>
    <w:rsid w:val="00E5183B"/>
    <w:rsid w:val="00E51FBD"/>
    <w:rsid w:val="00E52C78"/>
    <w:rsid w:val="00E53F90"/>
    <w:rsid w:val="00E73183"/>
    <w:rsid w:val="00E752ED"/>
    <w:rsid w:val="00E847E3"/>
    <w:rsid w:val="00E92EAB"/>
    <w:rsid w:val="00EA1E3A"/>
    <w:rsid w:val="00EA21A9"/>
    <w:rsid w:val="00EA4240"/>
    <w:rsid w:val="00EB0E5D"/>
    <w:rsid w:val="00EB57F9"/>
    <w:rsid w:val="00EB63ED"/>
    <w:rsid w:val="00EC0A33"/>
    <w:rsid w:val="00EC0C6A"/>
    <w:rsid w:val="00EC1415"/>
    <w:rsid w:val="00EE7962"/>
    <w:rsid w:val="00F23906"/>
    <w:rsid w:val="00F25F9A"/>
    <w:rsid w:val="00F265AC"/>
    <w:rsid w:val="00F30E61"/>
    <w:rsid w:val="00F4123C"/>
    <w:rsid w:val="00F46870"/>
    <w:rsid w:val="00F46D1F"/>
    <w:rsid w:val="00F6189B"/>
    <w:rsid w:val="00F634DD"/>
    <w:rsid w:val="00F71B85"/>
    <w:rsid w:val="00F82954"/>
    <w:rsid w:val="00F84613"/>
    <w:rsid w:val="00F85BBC"/>
    <w:rsid w:val="00F93CB6"/>
    <w:rsid w:val="00FA1B9C"/>
    <w:rsid w:val="00FA793B"/>
    <w:rsid w:val="00FB30D7"/>
    <w:rsid w:val="00FB4F88"/>
    <w:rsid w:val="00FC6B38"/>
    <w:rsid w:val="00FD4A67"/>
    <w:rsid w:val="00FD4DF3"/>
    <w:rsid w:val="00FE0C77"/>
    <w:rsid w:val="00FE2909"/>
    <w:rsid w:val="00FE366B"/>
    <w:rsid w:val="00FE4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FR,Style 17,Style 6,Footnote Reference/"/>
    <w:uiPriority w:val="99"/>
    <w:rsid w:val="00FD4DF3"/>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link w:val="par1Char"/>
    <w:uiPriority w:val="99"/>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 w:type="paragraph" w:styleId="ListParagraph">
    <w:name w:val="List Paragraph"/>
    <w:basedOn w:val="Normal"/>
    <w:uiPriority w:val="34"/>
    <w:qFormat/>
    <w:rsid w:val="00053E37"/>
    <w:pPr>
      <w:widowControl/>
      <w:autoSpaceDE/>
      <w:autoSpaceDN/>
      <w:adjustRightInd/>
      <w:ind w:left="720"/>
    </w:pPr>
    <w:rPr>
      <w:spacing w:val="-3"/>
      <w:sz w:val="24"/>
    </w:rPr>
  </w:style>
  <w:style w:type="character" w:customStyle="1" w:styleId="par1Char">
    <w:name w:val="par1 Char"/>
    <w:link w:val="par1"/>
    <w:uiPriority w:val="99"/>
    <w:locked/>
    <w:rsid w:val="00F46D1F"/>
    <w:rPr>
      <w:sz w:val="22"/>
    </w:rPr>
  </w:style>
  <w:style w:type="character" w:styleId="Emphasis">
    <w:name w:val="Emphasis"/>
    <w:basedOn w:val="DefaultParagraphFont"/>
    <w:qFormat/>
    <w:rsid w:val="00F46D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FR,Style 17,Style 6,Footnote Reference/"/>
    <w:uiPriority w:val="99"/>
    <w:rsid w:val="00FD4DF3"/>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link w:val="par1Char"/>
    <w:uiPriority w:val="99"/>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 w:type="paragraph" w:styleId="ListParagraph">
    <w:name w:val="List Paragraph"/>
    <w:basedOn w:val="Normal"/>
    <w:uiPriority w:val="34"/>
    <w:qFormat/>
    <w:rsid w:val="00053E37"/>
    <w:pPr>
      <w:widowControl/>
      <w:autoSpaceDE/>
      <w:autoSpaceDN/>
      <w:adjustRightInd/>
      <w:ind w:left="720"/>
    </w:pPr>
    <w:rPr>
      <w:spacing w:val="-3"/>
      <w:sz w:val="24"/>
    </w:rPr>
  </w:style>
  <w:style w:type="character" w:customStyle="1" w:styleId="par1Char">
    <w:name w:val="par1 Char"/>
    <w:link w:val="par1"/>
    <w:uiPriority w:val="99"/>
    <w:locked/>
    <w:rsid w:val="00F46D1F"/>
    <w:rPr>
      <w:sz w:val="22"/>
    </w:rPr>
  </w:style>
  <w:style w:type="character" w:styleId="Emphasis">
    <w:name w:val="Emphasis"/>
    <w:basedOn w:val="DefaultParagraphFont"/>
    <w:qFormat/>
    <w:rsid w:val="00F46D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8576">
      <w:bodyDiv w:val="1"/>
      <w:marLeft w:val="0"/>
      <w:marRight w:val="0"/>
      <w:marTop w:val="0"/>
      <w:marBottom w:val="0"/>
      <w:divBdr>
        <w:top w:val="none" w:sz="0" w:space="0" w:color="auto"/>
        <w:left w:val="none" w:sz="0" w:space="0" w:color="auto"/>
        <w:bottom w:val="none" w:sz="0" w:space="0" w:color="auto"/>
        <w:right w:val="none" w:sz="0" w:space="0" w:color="auto"/>
      </w:divBdr>
    </w:div>
    <w:div w:id="31004695">
      <w:bodyDiv w:val="1"/>
      <w:marLeft w:val="0"/>
      <w:marRight w:val="0"/>
      <w:marTop w:val="0"/>
      <w:marBottom w:val="0"/>
      <w:divBdr>
        <w:top w:val="none" w:sz="0" w:space="0" w:color="auto"/>
        <w:left w:val="none" w:sz="0" w:space="0" w:color="auto"/>
        <w:bottom w:val="none" w:sz="0" w:space="0" w:color="auto"/>
        <w:right w:val="none" w:sz="0" w:space="0" w:color="auto"/>
      </w:divBdr>
    </w:div>
    <w:div w:id="1530725765">
      <w:bodyDiv w:val="1"/>
      <w:marLeft w:val="0"/>
      <w:marRight w:val="0"/>
      <w:marTop w:val="0"/>
      <w:marBottom w:val="0"/>
      <w:divBdr>
        <w:top w:val="none" w:sz="0" w:space="0" w:color="auto"/>
        <w:left w:val="none" w:sz="0" w:space="0" w:color="auto"/>
        <w:bottom w:val="none" w:sz="0" w:space="0" w:color="auto"/>
        <w:right w:val="none" w:sz="0" w:space="0" w:color="auto"/>
      </w:divBdr>
      <w:divsChild>
        <w:div w:id="1361471758">
          <w:marLeft w:val="0"/>
          <w:marRight w:val="0"/>
          <w:marTop w:val="0"/>
          <w:marBottom w:val="0"/>
          <w:divBdr>
            <w:top w:val="none" w:sz="0" w:space="0" w:color="auto"/>
            <w:left w:val="none" w:sz="0" w:space="0" w:color="auto"/>
            <w:bottom w:val="none" w:sz="0" w:space="0" w:color="auto"/>
            <w:right w:val="none" w:sz="0" w:space="0" w:color="auto"/>
          </w:divBdr>
          <w:divsChild>
            <w:div w:id="2034838209">
              <w:marLeft w:val="0"/>
              <w:marRight w:val="0"/>
              <w:marTop w:val="0"/>
              <w:marBottom w:val="0"/>
              <w:divBdr>
                <w:top w:val="none" w:sz="0" w:space="0" w:color="auto"/>
                <w:left w:val="none" w:sz="0" w:space="0" w:color="auto"/>
                <w:bottom w:val="none" w:sz="0" w:space="0" w:color="auto"/>
                <w:right w:val="none" w:sz="0" w:space="0" w:color="auto"/>
              </w:divBdr>
              <w:divsChild>
                <w:div w:id="1482847760">
                  <w:marLeft w:val="0"/>
                  <w:marRight w:val="0"/>
                  <w:marTop w:val="0"/>
                  <w:marBottom w:val="0"/>
                  <w:divBdr>
                    <w:top w:val="none" w:sz="0" w:space="0" w:color="auto"/>
                    <w:left w:val="none" w:sz="0" w:space="0" w:color="auto"/>
                    <w:bottom w:val="none" w:sz="0" w:space="0" w:color="auto"/>
                    <w:right w:val="none" w:sz="0" w:space="0" w:color="auto"/>
                  </w:divBdr>
                  <w:divsChild>
                    <w:div w:id="18548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05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IANE~1.LAW\LOCALS~1\Temp\NAL1012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NAL101210</Template>
  <TotalTime>0</TotalTime>
  <Pages>3</Pages>
  <Words>1706</Words>
  <Characters>9424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11157</CharactersWithSpaces>
  <SharedDoc>false</SharedDoc>
  <HyperlinkBase> </HyperlinkBase>
  <HLinks>
    <vt:vector size="12" baseType="variant">
      <vt:variant>
        <vt:i4>65662</vt:i4>
      </vt:variant>
      <vt:variant>
        <vt:i4>3</vt:i4>
      </vt:variant>
      <vt:variant>
        <vt:i4>0</vt:i4>
      </vt:variant>
      <vt:variant>
        <vt:i4>5</vt:i4>
      </vt:variant>
      <vt:variant>
        <vt:lpwstr>mailto:NER-Response@fcc.gov</vt:lpwstr>
      </vt:variant>
      <vt:variant>
        <vt:lpwstr/>
      </vt:variant>
      <vt:variant>
        <vt:i4>65662</vt:i4>
      </vt:variant>
      <vt:variant>
        <vt:i4>0</vt:i4>
      </vt:variant>
      <vt:variant>
        <vt:i4>0</vt:i4>
      </vt:variant>
      <vt:variant>
        <vt:i4>5</vt:i4>
      </vt:variant>
      <vt:variant>
        <vt:lpwstr>mailto:NER-Response@fcc.gov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2015-07-20T19:04:00Z</cp:lastPrinted>
  <dcterms:created xsi:type="dcterms:W3CDTF">2015-07-22T18:12:00Z</dcterms:created>
  <dcterms:modified xsi:type="dcterms:W3CDTF">2015-07-22T18:12:00Z</dcterms:modified>
  <cp:category> </cp:category>
  <cp:contentStatus> </cp:contentStatus>
</cp:coreProperties>
</file>