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D8" w:rsidRDefault="00D717D8">
      <w:pPr>
        <w:jc w:val="center"/>
        <w:rPr>
          <w:b/>
          <w:szCs w:val="22"/>
        </w:rPr>
      </w:pPr>
      <w:bookmarkStart w:id="0" w:name="_GoBack"/>
      <w:bookmarkEnd w:id="0"/>
      <w:r>
        <w:rPr>
          <w:b/>
          <w:szCs w:val="22"/>
        </w:rPr>
        <w:t>Before the</w:t>
      </w:r>
    </w:p>
    <w:p w:rsidR="00D717D8" w:rsidRDefault="00D717D8">
      <w:pPr>
        <w:jc w:val="center"/>
        <w:rPr>
          <w:b/>
          <w:szCs w:val="22"/>
        </w:rPr>
      </w:pPr>
      <w:r>
        <w:rPr>
          <w:b/>
          <w:szCs w:val="22"/>
        </w:rPr>
        <w:t>Federal Communications Commission</w:t>
      </w:r>
    </w:p>
    <w:p w:rsidR="00D717D8" w:rsidRDefault="00D717D8">
      <w:pPr>
        <w:jc w:val="center"/>
        <w:rPr>
          <w:b/>
          <w:szCs w:val="22"/>
        </w:rPr>
      </w:pPr>
      <w:r>
        <w:rPr>
          <w:b/>
          <w:szCs w:val="22"/>
        </w:rPr>
        <w:t>Washington, D.C. 20554</w:t>
      </w:r>
    </w:p>
    <w:p w:rsidR="00D717D8" w:rsidRDefault="00D717D8">
      <w:pPr>
        <w:rPr>
          <w:szCs w:val="22"/>
        </w:rPr>
      </w:pPr>
    </w:p>
    <w:tbl>
      <w:tblPr>
        <w:tblW w:w="9648" w:type="dxa"/>
        <w:tblLayout w:type="fixed"/>
        <w:tblLook w:val="0000" w:firstRow="0" w:lastRow="0" w:firstColumn="0" w:lastColumn="0" w:noHBand="0" w:noVBand="0"/>
      </w:tblPr>
      <w:tblGrid>
        <w:gridCol w:w="4698"/>
        <w:gridCol w:w="720"/>
        <w:gridCol w:w="4230"/>
      </w:tblGrid>
      <w:tr w:rsidR="00D717D8">
        <w:tc>
          <w:tcPr>
            <w:tcW w:w="4698" w:type="dxa"/>
          </w:tcPr>
          <w:p w:rsidR="00D717D8" w:rsidRDefault="00492DF2">
            <w:pPr>
              <w:ind w:right="-18"/>
              <w:rPr>
                <w:szCs w:val="22"/>
              </w:rPr>
            </w:pPr>
            <w:r>
              <w:rPr>
                <w:szCs w:val="22"/>
              </w:rPr>
              <w:t>In re Application</w:t>
            </w:r>
            <w:r w:rsidR="00D717D8">
              <w:rPr>
                <w:szCs w:val="22"/>
              </w:rPr>
              <w:t xml:space="preserve"> of   </w:t>
            </w:r>
          </w:p>
          <w:p w:rsidR="00D717D8" w:rsidRDefault="00D717D8">
            <w:pPr>
              <w:ind w:right="-18"/>
              <w:rPr>
                <w:szCs w:val="22"/>
              </w:rPr>
            </w:pPr>
          </w:p>
          <w:p w:rsidR="00314479" w:rsidRPr="00CF7851" w:rsidRDefault="00314479" w:rsidP="00314479">
            <w:pPr>
              <w:tabs>
                <w:tab w:val="left" w:pos="0"/>
              </w:tabs>
              <w:suppressAutoHyphens/>
              <w:ind w:left="5040" w:hanging="5040"/>
              <w:rPr>
                <w:b/>
                <w:szCs w:val="22"/>
              </w:rPr>
            </w:pPr>
            <w:r>
              <w:rPr>
                <w:b/>
              </w:rPr>
              <w:t>LARKO COMMUNICATIONS,</w:t>
            </w:r>
            <w:r w:rsidRPr="00CF7851">
              <w:rPr>
                <w:b/>
              </w:rPr>
              <w:t xml:space="preserve"> INC.</w:t>
            </w:r>
          </w:p>
          <w:p w:rsidR="00D717D8" w:rsidRDefault="00D717D8">
            <w:pPr>
              <w:tabs>
                <w:tab w:val="left" w:pos="0"/>
              </w:tabs>
              <w:suppressAutoHyphens/>
              <w:ind w:left="5040" w:hanging="5040"/>
              <w:rPr>
                <w:szCs w:val="22"/>
              </w:rPr>
            </w:pPr>
          </w:p>
          <w:p w:rsidR="00D717D8" w:rsidRDefault="00D717D8">
            <w:pPr>
              <w:ind w:right="-18"/>
              <w:rPr>
                <w:szCs w:val="22"/>
              </w:rPr>
            </w:pPr>
            <w:r>
              <w:rPr>
                <w:szCs w:val="22"/>
              </w:rPr>
              <w:t xml:space="preserve">For Renewal of License for </w:t>
            </w:r>
          </w:p>
          <w:p w:rsidR="00D717D8" w:rsidRDefault="00D717D8">
            <w:pPr>
              <w:ind w:right="-18"/>
              <w:rPr>
                <w:b/>
                <w:szCs w:val="22"/>
              </w:rPr>
            </w:pPr>
            <w:r>
              <w:rPr>
                <w:szCs w:val="22"/>
              </w:rPr>
              <w:t xml:space="preserve">Station </w:t>
            </w:r>
            <w:r w:rsidR="00314479">
              <w:rPr>
                <w:szCs w:val="22"/>
              </w:rPr>
              <w:t>WMYQ(</w:t>
            </w:r>
            <w:r w:rsidR="00492DF2">
              <w:rPr>
                <w:szCs w:val="22"/>
              </w:rPr>
              <w:t>FM</w:t>
            </w:r>
            <w:r w:rsidR="00314479">
              <w:rPr>
                <w:szCs w:val="22"/>
              </w:rPr>
              <w:t>)</w:t>
            </w:r>
          </w:p>
          <w:p w:rsidR="00D717D8" w:rsidRDefault="00314479" w:rsidP="00492DF2">
            <w:pPr>
              <w:ind w:right="-18"/>
              <w:rPr>
                <w:szCs w:val="22"/>
              </w:rPr>
            </w:pPr>
            <w:r>
              <w:rPr>
                <w:szCs w:val="22"/>
              </w:rPr>
              <w:t>South Whitley, Indiana</w:t>
            </w:r>
            <w:r w:rsidR="00D717D8">
              <w:rPr>
                <w:szCs w:val="22"/>
              </w:rPr>
              <w:t xml:space="preserve"> </w:t>
            </w:r>
          </w:p>
        </w:tc>
        <w:tc>
          <w:tcPr>
            <w:tcW w:w="720" w:type="dxa"/>
          </w:tcPr>
          <w:p w:rsidR="00D717D8" w:rsidRDefault="00D717D8">
            <w:pPr>
              <w:rPr>
                <w:b/>
                <w:szCs w:val="22"/>
              </w:rPr>
            </w:pPr>
            <w:r>
              <w:rPr>
                <w:b/>
                <w:szCs w:val="22"/>
              </w:rPr>
              <w:t>)</w:t>
            </w:r>
          </w:p>
          <w:p w:rsidR="00D717D8" w:rsidRDefault="00D717D8">
            <w:pPr>
              <w:rPr>
                <w:b/>
                <w:szCs w:val="22"/>
              </w:rPr>
            </w:pPr>
            <w:r>
              <w:rPr>
                <w:b/>
                <w:szCs w:val="22"/>
              </w:rPr>
              <w:t>)</w:t>
            </w:r>
          </w:p>
          <w:p w:rsidR="00D717D8" w:rsidRDefault="00D717D8">
            <w:pPr>
              <w:rPr>
                <w:b/>
                <w:szCs w:val="22"/>
              </w:rPr>
            </w:pPr>
            <w:r>
              <w:rPr>
                <w:b/>
                <w:szCs w:val="22"/>
              </w:rPr>
              <w:t>)</w:t>
            </w:r>
          </w:p>
          <w:p w:rsidR="00D717D8" w:rsidRDefault="00D717D8">
            <w:pPr>
              <w:rPr>
                <w:b/>
                <w:szCs w:val="22"/>
              </w:rPr>
            </w:pPr>
            <w:r>
              <w:rPr>
                <w:b/>
                <w:szCs w:val="22"/>
              </w:rPr>
              <w:t>)</w:t>
            </w:r>
          </w:p>
          <w:p w:rsidR="00D717D8" w:rsidRDefault="00D717D8">
            <w:pPr>
              <w:rPr>
                <w:b/>
                <w:szCs w:val="22"/>
              </w:rPr>
            </w:pPr>
            <w:r>
              <w:rPr>
                <w:b/>
                <w:szCs w:val="22"/>
              </w:rPr>
              <w:t>)</w:t>
            </w:r>
          </w:p>
          <w:p w:rsidR="00D717D8" w:rsidRDefault="00D717D8">
            <w:pPr>
              <w:rPr>
                <w:b/>
                <w:szCs w:val="22"/>
              </w:rPr>
            </w:pPr>
            <w:r>
              <w:rPr>
                <w:b/>
                <w:szCs w:val="22"/>
              </w:rPr>
              <w:t>)</w:t>
            </w:r>
          </w:p>
          <w:p w:rsidR="00D717D8" w:rsidRDefault="00D717D8">
            <w:pPr>
              <w:rPr>
                <w:b/>
                <w:szCs w:val="22"/>
              </w:rPr>
            </w:pPr>
            <w:r>
              <w:rPr>
                <w:b/>
                <w:szCs w:val="22"/>
              </w:rPr>
              <w:t>)</w:t>
            </w:r>
          </w:p>
        </w:tc>
        <w:tc>
          <w:tcPr>
            <w:tcW w:w="4230" w:type="dxa"/>
          </w:tcPr>
          <w:p w:rsidR="00D717D8" w:rsidRDefault="00D717D8">
            <w:pPr>
              <w:rPr>
                <w:szCs w:val="22"/>
              </w:rPr>
            </w:pPr>
          </w:p>
          <w:p w:rsidR="00D717D8" w:rsidRDefault="00D717D8">
            <w:pPr>
              <w:rPr>
                <w:szCs w:val="22"/>
              </w:rPr>
            </w:pPr>
          </w:p>
          <w:p w:rsidR="00D717D8" w:rsidRDefault="00D717D8">
            <w:pPr>
              <w:rPr>
                <w:szCs w:val="22"/>
              </w:rPr>
            </w:pPr>
            <w:r>
              <w:rPr>
                <w:szCs w:val="22"/>
              </w:rPr>
              <w:t xml:space="preserve">Facility I.D. No. </w:t>
            </w:r>
            <w:r w:rsidR="00314479">
              <w:rPr>
                <w:szCs w:val="22"/>
              </w:rPr>
              <w:t>36577</w:t>
            </w:r>
          </w:p>
          <w:p w:rsidR="00D717D8" w:rsidRDefault="00D717D8">
            <w:pPr>
              <w:rPr>
                <w:b/>
                <w:szCs w:val="22"/>
              </w:rPr>
            </w:pPr>
            <w:r>
              <w:rPr>
                <w:szCs w:val="22"/>
              </w:rPr>
              <w:t xml:space="preserve">NAL/Acct. Nos. </w:t>
            </w:r>
            <w:r w:rsidR="00314479">
              <w:rPr>
                <w:szCs w:val="22"/>
              </w:rPr>
              <w:t>MB-2015414100</w:t>
            </w:r>
            <w:r w:rsidR="003963F2">
              <w:rPr>
                <w:szCs w:val="22"/>
              </w:rPr>
              <w:t>29</w:t>
            </w:r>
          </w:p>
          <w:p w:rsidR="00D717D8" w:rsidRDefault="00D717D8">
            <w:pPr>
              <w:rPr>
                <w:szCs w:val="22"/>
              </w:rPr>
            </w:pPr>
            <w:r>
              <w:rPr>
                <w:szCs w:val="22"/>
              </w:rPr>
              <w:t xml:space="preserve">FRN: </w:t>
            </w:r>
            <w:r w:rsidR="00314479">
              <w:rPr>
                <w:szCs w:val="22"/>
              </w:rPr>
              <w:t>0010680106</w:t>
            </w:r>
          </w:p>
          <w:p w:rsidR="00D717D8" w:rsidRDefault="00D717D8" w:rsidP="00314479">
            <w:pPr>
              <w:rPr>
                <w:szCs w:val="22"/>
              </w:rPr>
            </w:pPr>
            <w:r>
              <w:rPr>
                <w:szCs w:val="22"/>
              </w:rPr>
              <w:t xml:space="preserve">File No.  </w:t>
            </w:r>
            <w:r w:rsidR="00314479">
              <w:rPr>
                <w:szCs w:val="22"/>
              </w:rPr>
              <w:t>BRH-20120402ADK</w:t>
            </w:r>
          </w:p>
        </w:tc>
      </w:tr>
    </w:tbl>
    <w:p w:rsidR="00D717D8" w:rsidRDefault="00D717D8">
      <w:pPr>
        <w:rPr>
          <w:szCs w:val="22"/>
        </w:rPr>
      </w:pPr>
    </w:p>
    <w:p w:rsidR="00D717D8" w:rsidRDefault="00D717D8">
      <w:pPr>
        <w:jc w:val="center"/>
        <w:rPr>
          <w:b/>
          <w:spacing w:val="-2"/>
          <w:szCs w:val="22"/>
        </w:rPr>
      </w:pPr>
      <w:r>
        <w:rPr>
          <w:b/>
          <w:spacing w:val="-2"/>
          <w:szCs w:val="22"/>
        </w:rPr>
        <w:t xml:space="preserve">MEMORANDUM OPINION AND ORDER </w:t>
      </w:r>
    </w:p>
    <w:p w:rsidR="00D717D8" w:rsidRDefault="00D717D8">
      <w:pPr>
        <w:jc w:val="center"/>
        <w:rPr>
          <w:b/>
          <w:spacing w:val="-2"/>
          <w:szCs w:val="22"/>
        </w:rPr>
      </w:pPr>
      <w:r>
        <w:rPr>
          <w:b/>
          <w:spacing w:val="-2"/>
          <w:szCs w:val="22"/>
        </w:rPr>
        <w:t>AND</w:t>
      </w:r>
    </w:p>
    <w:p w:rsidR="00D717D8" w:rsidRDefault="00D717D8">
      <w:pPr>
        <w:jc w:val="center"/>
        <w:rPr>
          <w:b/>
          <w:szCs w:val="22"/>
        </w:rPr>
      </w:pPr>
      <w:r>
        <w:rPr>
          <w:b/>
          <w:spacing w:val="-2"/>
          <w:szCs w:val="22"/>
        </w:rPr>
        <w:t>NOTICE OF APPARENT LIABILITY FOR FORFEITURE</w:t>
      </w:r>
    </w:p>
    <w:p w:rsidR="00D717D8" w:rsidRDefault="00D717D8">
      <w:pPr>
        <w:rPr>
          <w:szCs w:val="22"/>
        </w:rPr>
      </w:pPr>
    </w:p>
    <w:p w:rsidR="00D717D8" w:rsidRDefault="00D717D8">
      <w:pPr>
        <w:tabs>
          <w:tab w:val="left" w:pos="5760"/>
        </w:tabs>
        <w:rPr>
          <w:b/>
          <w:szCs w:val="22"/>
        </w:rPr>
      </w:pPr>
      <w:r>
        <w:rPr>
          <w:b/>
          <w:szCs w:val="22"/>
        </w:rPr>
        <w:t xml:space="preserve">Adopted:  </w:t>
      </w:r>
      <w:r w:rsidR="00F7548C">
        <w:rPr>
          <w:b/>
          <w:szCs w:val="22"/>
        </w:rPr>
        <w:t>Ju</w:t>
      </w:r>
      <w:r w:rsidR="00CC5418">
        <w:rPr>
          <w:b/>
          <w:szCs w:val="22"/>
        </w:rPr>
        <w:t>ly</w:t>
      </w:r>
      <w:r w:rsidR="00F7548C">
        <w:rPr>
          <w:b/>
          <w:szCs w:val="22"/>
        </w:rPr>
        <w:t xml:space="preserve"> </w:t>
      </w:r>
      <w:r w:rsidR="00CC5418">
        <w:rPr>
          <w:b/>
          <w:szCs w:val="22"/>
        </w:rPr>
        <w:t>23</w:t>
      </w:r>
      <w:r>
        <w:rPr>
          <w:b/>
          <w:szCs w:val="22"/>
        </w:rPr>
        <w:t>, 201</w:t>
      </w:r>
      <w:r w:rsidR="00314479">
        <w:rPr>
          <w:b/>
          <w:szCs w:val="22"/>
        </w:rPr>
        <w:t>5</w:t>
      </w:r>
      <w:r>
        <w:rPr>
          <w:b/>
          <w:szCs w:val="22"/>
        </w:rPr>
        <w:t xml:space="preserve">  </w:t>
      </w:r>
      <w:r>
        <w:rPr>
          <w:b/>
          <w:szCs w:val="22"/>
        </w:rPr>
        <w:tab/>
        <w:t xml:space="preserve">Released:  </w:t>
      </w:r>
      <w:r w:rsidR="00F7548C">
        <w:rPr>
          <w:b/>
          <w:szCs w:val="22"/>
        </w:rPr>
        <w:t>Ju</w:t>
      </w:r>
      <w:r w:rsidR="00CC5418">
        <w:rPr>
          <w:b/>
          <w:szCs w:val="22"/>
        </w:rPr>
        <w:t>ly</w:t>
      </w:r>
      <w:r w:rsidR="00F7548C">
        <w:rPr>
          <w:b/>
          <w:szCs w:val="22"/>
        </w:rPr>
        <w:t xml:space="preserve"> </w:t>
      </w:r>
      <w:r w:rsidR="00CC5418">
        <w:rPr>
          <w:b/>
          <w:szCs w:val="22"/>
        </w:rPr>
        <w:t>23</w:t>
      </w:r>
      <w:r>
        <w:rPr>
          <w:b/>
          <w:szCs w:val="22"/>
        </w:rPr>
        <w:t>, 201</w:t>
      </w:r>
      <w:r w:rsidR="00314479">
        <w:rPr>
          <w:b/>
          <w:szCs w:val="22"/>
        </w:rPr>
        <w:t>5</w:t>
      </w:r>
      <w:r>
        <w:rPr>
          <w:b/>
          <w:szCs w:val="22"/>
        </w:rPr>
        <w:t xml:space="preserve">  </w:t>
      </w:r>
    </w:p>
    <w:p w:rsidR="00D717D8" w:rsidRDefault="00D717D8">
      <w:pPr>
        <w:tabs>
          <w:tab w:val="left" w:pos="5760"/>
        </w:tabs>
        <w:rPr>
          <w:b/>
          <w:szCs w:val="22"/>
        </w:rPr>
      </w:pPr>
    </w:p>
    <w:p w:rsidR="00D717D8" w:rsidRDefault="00D717D8">
      <w:pPr>
        <w:tabs>
          <w:tab w:val="left" w:pos="5760"/>
        </w:tabs>
        <w:rPr>
          <w:spacing w:val="-2"/>
          <w:szCs w:val="22"/>
        </w:rPr>
      </w:pPr>
      <w:r>
        <w:rPr>
          <w:szCs w:val="22"/>
        </w:rPr>
        <w:t>By the Chief, Audio Division, Media Bureau</w:t>
      </w:r>
      <w:r>
        <w:rPr>
          <w:spacing w:val="-2"/>
          <w:szCs w:val="22"/>
        </w:rPr>
        <w:t>:</w:t>
      </w:r>
    </w:p>
    <w:p w:rsidR="00D717D8" w:rsidRDefault="00D717D8">
      <w:pPr>
        <w:tabs>
          <w:tab w:val="left" w:pos="5760"/>
        </w:tabs>
        <w:rPr>
          <w:szCs w:val="22"/>
        </w:rPr>
      </w:pPr>
    </w:p>
    <w:p w:rsidR="00D717D8" w:rsidRDefault="00D717D8">
      <w:pPr>
        <w:tabs>
          <w:tab w:val="left" w:pos="5760"/>
        </w:tabs>
        <w:rPr>
          <w:b/>
          <w:szCs w:val="22"/>
        </w:rPr>
      </w:pPr>
      <w:r>
        <w:rPr>
          <w:b/>
          <w:szCs w:val="22"/>
        </w:rPr>
        <w:t>I.           INTRODUCTION</w:t>
      </w:r>
    </w:p>
    <w:p w:rsidR="00D717D8" w:rsidRDefault="00D717D8">
      <w:pPr>
        <w:tabs>
          <w:tab w:val="left" w:pos="5760"/>
        </w:tabs>
        <w:rPr>
          <w:b/>
          <w:szCs w:val="22"/>
        </w:rPr>
      </w:pPr>
    </w:p>
    <w:p w:rsidR="006A6E99" w:rsidRPr="008B21F4" w:rsidRDefault="00D717D8" w:rsidP="00C24879">
      <w:pPr>
        <w:pStyle w:val="ParaNum"/>
        <w:tabs>
          <w:tab w:val="clear" w:pos="990"/>
          <w:tab w:val="num" w:pos="1080"/>
        </w:tabs>
        <w:ind w:left="0"/>
        <w:jc w:val="left"/>
        <w:rPr>
          <w:szCs w:val="22"/>
        </w:rPr>
      </w:pPr>
      <w:r>
        <w:rPr>
          <w:szCs w:val="22"/>
        </w:rPr>
        <w:t>The Media Bureau (“Bureau”) has before it the application</w:t>
      </w:r>
      <w:r w:rsidR="009631F4">
        <w:rPr>
          <w:szCs w:val="22"/>
        </w:rPr>
        <w:t>, as amended,</w:t>
      </w:r>
      <w:r>
        <w:rPr>
          <w:szCs w:val="22"/>
        </w:rPr>
        <w:t xml:space="preserve"> </w:t>
      </w:r>
      <w:r w:rsidR="00AB0E84">
        <w:rPr>
          <w:szCs w:val="22"/>
        </w:rPr>
        <w:t xml:space="preserve">(“Application”) </w:t>
      </w:r>
      <w:r>
        <w:rPr>
          <w:szCs w:val="22"/>
        </w:rPr>
        <w:t xml:space="preserve">of </w:t>
      </w:r>
      <w:r w:rsidR="00314479">
        <w:rPr>
          <w:szCs w:val="22"/>
        </w:rPr>
        <w:t>Larko Communications</w:t>
      </w:r>
      <w:r w:rsidR="00314479">
        <w:t>, Inc.,</w:t>
      </w:r>
      <w:r w:rsidR="00314479">
        <w:rPr>
          <w:szCs w:val="22"/>
        </w:rPr>
        <w:t xml:space="preserve"> </w:t>
      </w:r>
      <w:r>
        <w:rPr>
          <w:szCs w:val="22"/>
        </w:rPr>
        <w:t>(</w:t>
      </w:r>
      <w:r w:rsidR="00AB0E84">
        <w:rPr>
          <w:szCs w:val="22"/>
        </w:rPr>
        <w:t xml:space="preserve">“Larko” or </w:t>
      </w:r>
      <w:r>
        <w:rPr>
          <w:szCs w:val="22"/>
        </w:rPr>
        <w:t xml:space="preserve">“Licensee”) for renewal of license for </w:t>
      </w:r>
      <w:r w:rsidR="00314479">
        <w:rPr>
          <w:szCs w:val="22"/>
        </w:rPr>
        <w:t xml:space="preserve">Station WMYQ(FM), South Whitley, Indiana </w:t>
      </w:r>
      <w:r>
        <w:rPr>
          <w:szCs w:val="22"/>
        </w:rPr>
        <w:t>(“Station”).</w:t>
      </w:r>
      <w:r w:rsidR="00F81E0E">
        <w:rPr>
          <w:rStyle w:val="FootnoteReference"/>
          <w:szCs w:val="22"/>
        </w:rPr>
        <w:footnoteReference w:id="1"/>
      </w:r>
      <w:r w:rsidR="00492DF2">
        <w:rPr>
          <w:szCs w:val="22"/>
        </w:rPr>
        <w:t xml:space="preserve">  </w:t>
      </w:r>
      <w:r>
        <w:rPr>
          <w:szCs w:val="22"/>
        </w:rPr>
        <w:t xml:space="preserve">In this </w:t>
      </w:r>
      <w:r>
        <w:rPr>
          <w:i/>
          <w:szCs w:val="22"/>
        </w:rPr>
        <w:t xml:space="preserve">Memorandum Opinion and Order and Notice of Apparent Liability for Forfeiture </w:t>
      </w:r>
      <w:r>
        <w:rPr>
          <w:szCs w:val="22"/>
        </w:rPr>
        <w:t>(</w:t>
      </w:r>
      <w:r>
        <w:rPr>
          <w:i/>
          <w:szCs w:val="22"/>
        </w:rPr>
        <w:t>“NAL”</w:t>
      </w:r>
      <w:r>
        <w:rPr>
          <w:szCs w:val="22"/>
        </w:rPr>
        <w:t>),</w:t>
      </w:r>
      <w:r>
        <w:rPr>
          <w:rStyle w:val="FootnoteReference"/>
          <w:szCs w:val="22"/>
        </w:rPr>
        <w:footnoteReference w:id="2"/>
      </w:r>
      <w:r>
        <w:rPr>
          <w:szCs w:val="22"/>
        </w:rPr>
        <w:t xml:space="preserve"> we find that L</w:t>
      </w:r>
      <w:r w:rsidR="00AB0E84">
        <w:rPr>
          <w:szCs w:val="22"/>
        </w:rPr>
        <w:t xml:space="preserve">arko </w:t>
      </w:r>
      <w:r>
        <w:rPr>
          <w:szCs w:val="22"/>
        </w:rPr>
        <w:t>apparently willfully and repeatedly violated Section 73.3526 of the Rules</w:t>
      </w:r>
      <w:r w:rsidR="00AB0E84">
        <w:rPr>
          <w:rStyle w:val="FootnoteReference"/>
          <w:szCs w:val="22"/>
        </w:rPr>
        <w:footnoteReference w:id="3"/>
      </w:r>
      <w:r>
        <w:rPr>
          <w:szCs w:val="22"/>
        </w:rPr>
        <w:t xml:space="preserve"> by failing to retain all required documentation in the Station</w:t>
      </w:r>
      <w:r w:rsidR="00492DF2">
        <w:rPr>
          <w:szCs w:val="22"/>
        </w:rPr>
        <w:t>’</w:t>
      </w:r>
      <w:r>
        <w:rPr>
          <w:szCs w:val="22"/>
        </w:rPr>
        <w:t>s public inspection file</w:t>
      </w:r>
      <w:r w:rsidR="002F609C">
        <w:rPr>
          <w:szCs w:val="22"/>
        </w:rPr>
        <w:t xml:space="preserve"> and Section 73.1740 of the Rules</w:t>
      </w:r>
      <w:r w:rsidR="002F609C">
        <w:rPr>
          <w:szCs w:val="22"/>
          <w:vertAlign w:val="superscript"/>
        </w:rPr>
        <w:footnoteReference w:id="4"/>
      </w:r>
      <w:r w:rsidR="002F609C">
        <w:rPr>
          <w:szCs w:val="22"/>
        </w:rPr>
        <w:t xml:space="preserve"> by discontinuing operation of the Station without </w:t>
      </w:r>
      <w:r w:rsidR="00CC5418">
        <w:rPr>
          <w:szCs w:val="22"/>
        </w:rPr>
        <w:t>receiving special</w:t>
      </w:r>
      <w:r w:rsidR="002F609C">
        <w:rPr>
          <w:szCs w:val="22"/>
        </w:rPr>
        <w:t xml:space="preserve"> temporary authority (“STA”)</w:t>
      </w:r>
      <w:r w:rsidR="002E1315">
        <w:rPr>
          <w:szCs w:val="22"/>
        </w:rPr>
        <w:t xml:space="preserve"> to do so</w:t>
      </w:r>
      <w:r w:rsidR="002F609C">
        <w:rPr>
          <w:szCs w:val="22"/>
        </w:rPr>
        <w:t>.</w:t>
      </w:r>
      <w:r w:rsidR="002F609C">
        <w:rPr>
          <w:rStyle w:val="FootnoteReference"/>
          <w:szCs w:val="22"/>
        </w:rPr>
        <w:footnoteReference w:id="5"/>
      </w:r>
      <w:r w:rsidR="00AB0E84">
        <w:rPr>
          <w:szCs w:val="22"/>
        </w:rPr>
        <w:t xml:space="preserve">  </w:t>
      </w:r>
      <w:r>
        <w:rPr>
          <w:szCs w:val="22"/>
        </w:rPr>
        <w:t xml:space="preserve">Based upon our review of the record before us, we conclude that Licensee is apparently liable for a monetary forfeiture in the amount of </w:t>
      </w:r>
      <w:r w:rsidR="002F609C">
        <w:rPr>
          <w:szCs w:val="22"/>
        </w:rPr>
        <w:t xml:space="preserve">fifteen </w:t>
      </w:r>
      <w:r>
        <w:rPr>
          <w:szCs w:val="22"/>
        </w:rPr>
        <w:t>thousand dollars ($</w:t>
      </w:r>
      <w:r w:rsidR="002F609C">
        <w:rPr>
          <w:szCs w:val="22"/>
        </w:rPr>
        <w:t>15,000)</w:t>
      </w:r>
      <w:r w:rsidR="002238CA">
        <w:rPr>
          <w:szCs w:val="22"/>
        </w:rPr>
        <w:t>.</w:t>
      </w:r>
    </w:p>
    <w:p w:rsidR="006A6E99" w:rsidRPr="008B21F4" w:rsidRDefault="006A6E99" w:rsidP="00C24879">
      <w:pPr>
        <w:tabs>
          <w:tab w:val="left" w:pos="720"/>
        </w:tabs>
        <w:rPr>
          <w:b/>
          <w:szCs w:val="22"/>
        </w:rPr>
      </w:pPr>
      <w:r w:rsidRPr="008B21F4">
        <w:rPr>
          <w:b/>
          <w:szCs w:val="22"/>
        </w:rPr>
        <w:t xml:space="preserve">II.     </w:t>
      </w:r>
      <w:r>
        <w:rPr>
          <w:b/>
          <w:szCs w:val="22"/>
        </w:rPr>
        <w:t xml:space="preserve">   </w:t>
      </w:r>
      <w:r>
        <w:rPr>
          <w:b/>
          <w:szCs w:val="22"/>
        </w:rPr>
        <w:tab/>
      </w:r>
      <w:r w:rsidRPr="008B21F4">
        <w:rPr>
          <w:b/>
          <w:szCs w:val="22"/>
        </w:rPr>
        <w:t>BACKGROUND</w:t>
      </w:r>
    </w:p>
    <w:p w:rsidR="006A6E99" w:rsidRPr="008B21F4" w:rsidRDefault="006A6E99" w:rsidP="00C24879">
      <w:pPr>
        <w:rPr>
          <w:b/>
          <w:szCs w:val="22"/>
        </w:rPr>
      </w:pPr>
    </w:p>
    <w:p w:rsidR="0081108E" w:rsidRDefault="00CB7573" w:rsidP="00F130C1">
      <w:pPr>
        <w:pStyle w:val="ParaNum"/>
        <w:widowControl/>
        <w:tabs>
          <w:tab w:val="clear" w:pos="990"/>
          <w:tab w:val="clear" w:pos="1440"/>
          <w:tab w:val="left" w:pos="1080"/>
          <w:tab w:val="num" w:pos="1620"/>
          <w:tab w:val="num" w:pos="1674"/>
          <w:tab w:val="num" w:pos="1710"/>
        </w:tabs>
        <w:ind w:left="0"/>
        <w:jc w:val="left"/>
        <w:rPr>
          <w:szCs w:val="22"/>
        </w:rPr>
      </w:pPr>
      <w:r w:rsidRPr="00CB7573">
        <w:rPr>
          <w:szCs w:val="22"/>
        </w:rPr>
        <w:t>Section 73.3526 of the Rules requires a commercial broadcast licensee to maintain a public inspection file containing specific types of information related to station operations.  The purpose of this requirement is to provide the public with timely information about the station at regular intervals throughout the license period.</w:t>
      </w:r>
      <w:r>
        <w:rPr>
          <w:rStyle w:val="FootnoteReference"/>
          <w:szCs w:val="22"/>
        </w:rPr>
        <w:footnoteReference w:id="6"/>
      </w:r>
      <w:r w:rsidRPr="00CB7573">
        <w:rPr>
          <w:szCs w:val="22"/>
        </w:rPr>
        <w:t xml:space="preserve"> </w:t>
      </w:r>
      <w:r w:rsidR="00562C4F">
        <w:rPr>
          <w:szCs w:val="22"/>
        </w:rPr>
        <w:t xml:space="preserve"> </w:t>
      </w:r>
      <w:r w:rsidRPr="00CB7573">
        <w:rPr>
          <w:szCs w:val="22"/>
        </w:rPr>
        <w:t>Among the materials required for inclusion in the file are the station’s quarterly issues/programs lists, which must be retained until final Commission action on the station’s next license renewal application.</w:t>
      </w:r>
      <w:r>
        <w:rPr>
          <w:rStyle w:val="FootnoteReference"/>
          <w:szCs w:val="22"/>
        </w:rPr>
        <w:footnoteReference w:id="7"/>
      </w:r>
      <w:r w:rsidRPr="00CB7573">
        <w:rPr>
          <w:szCs w:val="22"/>
        </w:rPr>
        <w:t xml:space="preserve">  </w:t>
      </w:r>
    </w:p>
    <w:p w:rsidR="00CB7573" w:rsidRPr="00CB7573" w:rsidRDefault="00CB7573" w:rsidP="00C24879">
      <w:pPr>
        <w:pStyle w:val="ParaNum"/>
        <w:tabs>
          <w:tab w:val="clear" w:pos="990"/>
          <w:tab w:val="clear" w:pos="1440"/>
          <w:tab w:val="left" w:pos="1080"/>
          <w:tab w:val="num" w:pos="1620"/>
          <w:tab w:val="num" w:pos="1674"/>
          <w:tab w:val="num" w:pos="1710"/>
        </w:tabs>
        <w:ind w:left="0"/>
        <w:jc w:val="left"/>
        <w:rPr>
          <w:szCs w:val="22"/>
        </w:rPr>
      </w:pPr>
      <w:r>
        <w:lastRenderedPageBreak/>
        <w:t>Section III, Item 3 of the license renewal application form, FCC Form 303</w:t>
      </w:r>
      <w:r w:rsidR="0081108E">
        <w:t>-</w:t>
      </w:r>
      <w:r>
        <w:t>S, requests that the licensee certify that the documentation required by Section 73.3526 has been placed in each station’s public inspection file at the appropriate times.  L</w:t>
      </w:r>
      <w:r w:rsidR="00AB0E84">
        <w:t xml:space="preserve">arko </w:t>
      </w:r>
      <w:r>
        <w:t>answered “No” to that certification and attached an Exhibit stating</w:t>
      </w:r>
      <w:r w:rsidR="00481F0F">
        <w:t>, in pertinent part</w:t>
      </w:r>
      <w:r w:rsidR="002254E9">
        <w:t>, that</w:t>
      </w:r>
      <w:r>
        <w:t>:</w:t>
      </w:r>
    </w:p>
    <w:p w:rsidR="00481F0F" w:rsidRDefault="00481F0F" w:rsidP="00CB7573">
      <w:pPr>
        <w:pStyle w:val="ParaNum"/>
        <w:numPr>
          <w:ilvl w:val="0"/>
          <w:numId w:val="0"/>
        </w:numPr>
        <w:ind w:left="720" w:right="720"/>
        <w:jc w:val="left"/>
        <w:rPr>
          <w:szCs w:val="22"/>
        </w:rPr>
      </w:pPr>
      <w:r>
        <w:rPr>
          <w:szCs w:val="22"/>
        </w:rPr>
        <w:t>Licensee’s majority shareholder and General Manager, Christopher Larko, died February 19, 2010, after an extended illness</w:t>
      </w:r>
      <w:r w:rsidR="00CB7573">
        <w:rPr>
          <w:szCs w:val="22"/>
        </w:rPr>
        <w:t>.</w:t>
      </w:r>
    </w:p>
    <w:p w:rsidR="00481F0F" w:rsidRDefault="00481F0F" w:rsidP="00CB7573">
      <w:pPr>
        <w:pStyle w:val="ParaNum"/>
        <w:numPr>
          <w:ilvl w:val="0"/>
          <w:numId w:val="0"/>
        </w:numPr>
        <w:ind w:left="720" w:right="720"/>
        <w:jc w:val="left"/>
        <w:rPr>
          <w:szCs w:val="22"/>
        </w:rPr>
      </w:pPr>
      <w:r>
        <w:rPr>
          <w:szCs w:val="22"/>
        </w:rPr>
        <w:t>Because he was the only full-time employee . . . quarterly lists of community problems and responsive programs . . . were not placed in the public file during his final illness and as described below.</w:t>
      </w:r>
    </w:p>
    <w:p w:rsidR="00481F0F" w:rsidRDefault="00481F0F" w:rsidP="00CB7573">
      <w:pPr>
        <w:pStyle w:val="ParaNum"/>
        <w:numPr>
          <w:ilvl w:val="0"/>
          <w:numId w:val="0"/>
        </w:numPr>
        <w:ind w:left="720" w:right="720"/>
        <w:jc w:val="left"/>
        <w:rPr>
          <w:szCs w:val="22"/>
        </w:rPr>
      </w:pPr>
      <w:r>
        <w:rPr>
          <w:szCs w:val="22"/>
        </w:rPr>
        <w:t xml:space="preserve">Quarterly lists of community problems and responsive programs were not placed in the public file for the fourth quarter of 2009 through the time the station suspended operation on March 29, 2011. </w:t>
      </w:r>
    </w:p>
    <w:p w:rsidR="00F81E0E" w:rsidRDefault="00F81E0E" w:rsidP="00F81E0E">
      <w:pPr>
        <w:pStyle w:val="ParaNum"/>
        <w:numPr>
          <w:ilvl w:val="0"/>
          <w:numId w:val="0"/>
        </w:numPr>
        <w:ind w:left="720" w:right="720"/>
        <w:jc w:val="left"/>
        <w:rPr>
          <w:szCs w:val="22"/>
        </w:rPr>
      </w:pPr>
      <w:r>
        <w:rPr>
          <w:szCs w:val="22"/>
        </w:rPr>
        <w:t>Station resumed operation under a time brokerage agreement from March 2, 2012, until November 20, 2013, and quarterly lists were placed in the public file [through the end of the current license term]  . . . .</w:t>
      </w:r>
    </w:p>
    <w:p w:rsidR="00CB7573" w:rsidRDefault="00F81E0E" w:rsidP="00F81E0E">
      <w:pPr>
        <w:pStyle w:val="ParaNum"/>
        <w:numPr>
          <w:ilvl w:val="0"/>
          <w:numId w:val="0"/>
        </w:numPr>
        <w:ind w:left="720" w:right="720"/>
        <w:jc w:val="left"/>
        <w:rPr>
          <w:szCs w:val="22"/>
        </w:rPr>
      </w:pPr>
      <w:r>
        <w:rPr>
          <w:szCs w:val="22"/>
        </w:rPr>
        <w:t>In sum, Licensee failed to place nine quarterly lists in its public file, including those for at least three quarters in which</w:t>
      </w:r>
      <w:r w:rsidR="002254E9">
        <w:rPr>
          <w:szCs w:val="22"/>
        </w:rPr>
        <w:t xml:space="preserve"> [the] Station operated for only part of the quarter.</w:t>
      </w:r>
      <w:r w:rsidR="00CB7573">
        <w:rPr>
          <w:rStyle w:val="FootnoteReference"/>
          <w:szCs w:val="22"/>
        </w:rPr>
        <w:footnoteReference w:id="8"/>
      </w:r>
    </w:p>
    <w:p w:rsidR="002254E9" w:rsidRDefault="00CB7573" w:rsidP="00C749B8">
      <w:pPr>
        <w:pStyle w:val="ParaNum"/>
        <w:tabs>
          <w:tab w:val="clear" w:pos="990"/>
          <w:tab w:val="num" w:pos="1080"/>
          <w:tab w:val="num" w:pos="1620"/>
          <w:tab w:val="num" w:pos="1674"/>
        </w:tabs>
        <w:ind w:left="0"/>
        <w:jc w:val="left"/>
        <w:rPr>
          <w:szCs w:val="22"/>
        </w:rPr>
      </w:pPr>
      <w:r>
        <w:t>S</w:t>
      </w:r>
      <w:r w:rsidR="006A6E99">
        <w:t>ection 73.1740 of the Rules</w:t>
      </w:r>
      <w:r w:rsidR="006A6E99">
        <w:rPr>
          <w:rStyle w:val="FootnoteReference"/>
        </w:rPr>
        <w:footnoteReference w:id="9"/>
      </w:r>
      <w:r w:rsidR="006A6E99">
        <w:t xml:space="preserve"> requires that stations adhere to minimum operating requirements</w:t>
      </w:r>
      <w:r w:rsidR="0081108E">
        <w:t>.  P</w:t>
      </w:r>
      <w:r w:rsidR="006A6E99">
        <w:t xml:space="preserve">ursuant to Section 73.1740(a)(4) of the Rules, if they are unable to do so for more than 30 days, the </w:t>
      </w:r>
      <w:r w:rsidR="00EB6B5B">
        <w:t xml:space="preserve">licensee </w:t>
      </w:r>
      <w:r w:rsidR="006A6E99">
        <w:t xml:space="preserve">must request authorization to remain silent.  </w:t>
      </w:r>
      <w:r w:rsidR="006A6E99" w:rsidRPr="00CF5B15">
        <w:rPr>
          <w:szCs w:val="22"/>
        </w:rPr>
        <w:t xml:space="preserve">Section III, Item 4 of the license renewal application form, FCC Form 303-S, </w:t>
      </w:r>
      <w:r w:rsidR="00EB6B5B">
        <w:rPr>
          <w:szCs w:val="22"/>
        </w:rPr>
        <w:t>requires</w:t>
      </w:r>
      <w:r w:rsidR="006A6E99" w:rsidRPr="00CF5B15">
        <w:rPr>
          <w:szCs w:val="22"/>
        </w:rPr>
        <w:t xml:space="preserve"> that the licensee certify that, during the license term, the </w:t>
      </w:r>
      <w:r w:rsidR="00B33C8F">
        <w:rPr>
          <w:szCs w:val="22"/>
        </w:rPr>
        <w:t>radio s</w:t>
      </w:r>
      <w:r w:rsidR="006A6E99" w:rsidRPr="00CF5B15">
        <w:rPr>
          <w:szCs w:val="22"/>
        </w:rPr>
        <w:t xml:space="preserve">tation has not been silent (or operating for less than its prescribed minimum operating hours) for any period of more than 30 days.  If the licensee is not able to so certify, then it must submit an exhibit specifying the exact dates on which the station was silent or operating for less than its prescribed hours.  </w:t>
      </w:r>
      <w:r w:rsidR="00CF5B15">
        <w:rPr>
          <w:szCs w:val="22"/>
        </w:rPr>
        <w:t>L</w:t>
      </w:r>
      <w:r w:rsidR="00AB0E84">
        <w:rPr>
          <w:szCs w:val="22"/>
        </w:rPr>
        <w:t xml:space="preserve">arko </w:t>
      </w:r>
      <w:r w:rsidR="006A6E99" w:rsidRPr="00CF5B15">
        <w:rPr>
          <w:szCs w:val="22"/>
        </w:rPr>
        <w:t xml:space="preserve">answered “No” to that certification and </w:t>
      </w:r>
      <w:r w:rsidR="005E0947">
        <w:rPr>
          <w:szCs w:val="22"/>
        </w:rPr>
        <w:t xml:space="preserve">attached an </w:t>
      </w:r>
      <w:r w:rsidR="006A6E99" w:rsidRPr="00CF5B15">
        <w:rPr>
          <w:szCs w:val="22"/>
        </w:rPr>
        <w:t>Exhibit stating</w:t>
      </w:r>
      <w:r w:rsidR="00003881">
        <w:rPr>
          <w:szCs w:val="22"/>
        </w:rPr>
        <w:t xml:space="preserve"> that it ceased broadcast operations without authorization on March 29, 2011</w:t>
      </w:r>
      <w:r w:rsidR="002254E9">
        <w:rPr>
          <w:szCs w:val="22"/>
        </w:rPr>
        <w:t>,</w:t>
      </w:r>
      <w:r w:rsidR="00003881">
        <w:rPr>
          <w:szCs w:val="22"/>
        </w:rPr>
        <w:t xml:space="preserve"> and returned to the air on January 26, 2012.</w:t>
      </w:r>
      <w:r w:rsidR="00003881">
        <w:rPr>
          <w:rStyle w:val="FootnoteReference"/>
          <w:szCs w:val="22"/>
        </w:rPr>
        <w:footnoteReference w:id="10"/>
      </w:r>
      <w:r w:rsidR="00003881">
        <w:rPr>
          <w:szCs w:val="22"/>
        </w:rPr>
        <w:t xml:space="preserve">  Licensee </w:t>
      </w:r>
      <w:r w:rsidR="002E1315">
        <w:rPr>
          <w:szCs w:val="22"/>
        </w:rPr>
        <w:t xml:space="preserve">subsequently explained </w:t>
      </w:r>
      <w:r w:rsidR="002254E9">
        <w:rPr>
          <w:szCs w:val="22"/>
        </w:rPr>
        <w:t>that:</w:t>
      </w:r>
    </w:p>
    <w:p w:rsidR="006A6E99" w:rsidRDefault="00003881" w:rsidP="002254E9">
      <w:pPr>
        <w:pStyle w:val="ParaNum"/>
        <w:numPr>
          <w:ilvl w:val="0"/>
          <w:numId w:val="0"/>
        </w:numPr>
        <w:tabs>
          <w:tab w:val="num" w:pos="1620"/>
          <w:tab w:val="num" w:pos="1674"/>
        </w:tabs>
        <w:ind w:left="720"/>
        <w:jc w:val="left"/>
        <w:rPr>
          <w:szCs w:val="22"/>
        </w:rPr>
      </w:pPr>
      <w:r>
        <w:t xml:space="preserve">No STA request </w:t>
      </w:r>
      <w:r w:rsidR="005D12F0">
        <w:t>was submitted because the Licensee was subject to the Commission’s red light policy due to the Licensee’s unpaid annual regulatory fees.  Those delinquent fees were paid in March 2012</w:t>
      </w:r>
      <w:r w:rsidR="002E1315">
        <w:t xml:space="preserve"> . . . .</w:t>
      </w:r>
      <w:r>
        <w:rPr>
          <w:rStyle w:val="FootnoteReference"/>
        </w:rPr>
        <w:footnoteReference w:id="11"/>
      </w:r>
      <w:r w:rsidR="00CC164C">
        <w:rPr>
          <w:szCs w:val="22"/>
        </w:rPr>
        <w:t xml:space="preserve">  </w:t>
      </w:r>
    </w:p>
    <w:p w:rsidR="004C3A1F" w:rsidRDefault="006A6E99" w:rsidP="004C3A1F">
      <w:pPr>
        <w:tabs>
          <w:tab w:val="left" w:pos="720"/>
        </w:tabs>
        <w:rPr>
          <w:b/>
        </w:rPr>
      </w:pPr>
      <w:r w:rsidRPr="00F267F8">
        <w:rPr>
          <w:b/>
        </w:rPr>
        <w:t xml:space="preserve">III.      </w:t>
      </w:r>
      <w:r w:rsidR="00C749B8">
        <w:rPr>
          <w:b/>
        </w:rPr>
        <w:t xml:space="preserve">  </w:t>
      </w:r>
      <w:r w:rsidRPr="00F267F8">
        <w:rPr>
          <w:b/>
        </w:rPr>
        <w:t>DISCUSSION</w:t>
      </w:r>
    </w:p>
    <w:p w:rsidR="004C3A1F" w:rsidRDefault="004C3A1F" w:rsidP="004C3A1F">
      <w:pPr>
        <w:tabs>
          <w:tab w:val="left" w:pos="720"/>
        </w:tabs>
        <w:rPr>
          <w:b/>
        </w:rPr>
      </w:pPr>
    </w:p>
    <w:p w:rsidR="009D3BE8" w:rsidRPr="009D3BE8" w:rsidRDefault="00003881" w:rsidP="009D3BE8">
      <w:pPr>
        <w:pStyle w:val="ParaNum"/>
        <w:jc w:val="left"/>
      </w:pPr>
      <w:r w:rsidRPr="0081108E">
        <w:rPr>
          <w:i/>
        </w:rPr>
        <w:t>Proposed Forfeiture.</w:t>
      </w:r>
      <w:r w:rsidR="00A2283C">
        <w:t xml:space="preserve">  </w:t>
      </w:r>
      <w:r w:rsidRPr="0081108E">
        <w:rPr>
          <w:szCs w:val="22"/>
          <w:u w:val="single"/>
        </w:rPr>
        <w:t>Public File Violation</w:t>
      </w:r>
      <w:r w:rsidR="0081108E">
        <w:rPr>
          <w:szCs w:val="22"/>
          <w:u w:val="single"/>
        </w:rPr>
        <w:t>s</w:t>
      </w:r>
      <w:r w:rsidRPr="0081108E">
        <w:rPr>
          <w:i/>
          <w:szCs w:val="22"/>
        </w:rPr>
        <w:t xml:space="preserve">.  </w:t>
      </w:r>
      <w:r w:rsidR="00A77B5F" w:rsidRPr="0081108E">
        <w:rPr>
          <w:szCs w:val="22"/>
        </w:rPr>
        <w:t xml:space="preserve">As Licensee has acknowledged, at the time of the filing of the Station’s license renewal application, and during periods within the license term, the Station’s public inspection file did not contain many of the items required to be retained in the file by Section 73.3526 of the Rules.  In particular, Licensee failed to place in the Station’s public file nine issues and programs lists during the license term, and as such the public file was not in compliance with Section 73.3526(e)(8).  In this regard, where lapses occur in maintaining the public file, neither the negligent acts </w:t>
      </w:r>
      <w:r w:rsidR="00A77B5F" w:rsidRPr="0081108E">
        <w:rPr>
          <w:szCs w:val="22"/>
        </w:rPr>
        <w:lastRenderedPageBreak/>
        <w:t>or omissions of station employees or agents, nor the subsequent remedial actions undertaken by the licensee, excuse or nullify a licensee’s rule violation.</w:t>
      </w:r>
      <w:r w:rsidR="00A77B5F">
        <w:rPr>
          <w:rStyle w:val="FootnoteReference"/>
          <w:szCs w:val="22"/>
        </w:rPr>
        <w:footnoteReference w:id="12"/>
      </w:r>
      <w:r w:rsidR="004C3A1F" w:rsidRPr="0081108E">
        <w:rPr>
          <w:szCs w:val="22"/>
        </w:rPr>
        <w:t xml:space="preserve">  </w:t>
      </w:r>
    </w:p>
    <w:p w:rsidR="00665F4C" w:rsidRPr="009D3BE8" w:rsidRDefault="004C3A1F" w:rsidP="00665F4C">
      <w:pPr>
        <w:pStyle w:val="ParaNum"/>
        <w:jc w:val="left"/>
      </w:pPr>
      <w:r w:rsidRPr="009D3BE8">
        <w:rPr>
          <w:szCs w:val="22"/>
          <w:u w:val="single"/>
        </w:rPr>
        <w:t>Unauthorized Silent Period</w:t>
      </w:r>
      <w:r w:rsidRPr="009D3BE8">
        <w:rPr>
          <w:szCs w:val="22"/>
        </w:rPr>
        <w:t xml:space="preserve">.  Section 73.1740(a)(4) of the Rules requires licensees to request permission to remain off the air for more than 30 days.  Here, </w:t>
      </w:r>
      <w:r w:rsidRPr="009D3BE8">
        <w:rPr>
          <w:color w:val="000000"/>
          <w:szCs w:val="22"/>
        </w:rPr>
        <w:t>L</w:t>
      </w:r>
      <w:r w:rsidR="0081108E">
        <w:rPr>
          <w:color w:val="000000"/>
          <w:szCs w:val="22"/>
        </w:rPr>
        <w:t xml:space="preserve">arko stated </w:t>
      </w:r>
      <w:r w:rsidRPr="009D3BE8">
        <w:rPr>
          <w:color w:val="000000"/>
          <w:szCs w:val="22"/>
        </w:rPr>
        <w:t xml:space="preserve">in </w:t>
      </w:r>
      <w:r w:rsidR="0081108E">
        <w:rPr>
          <w:color w:val="000000"/>
          <w:szCs w:val="22"/>
        </w:rPr>
        <w:t xml:space="preserve">the </w:t>
      </w:r>
      <w:r w:rsidRPr="009D3BE8">
        <w:rPr>
          <w:color w:val="000000"/>
          <w:szCs w:val="22"/>
        </w:rPr>
        <w:t xml:space="preserve">Application that </w:t>
      </w:r>
      <w:r w:rsidR="0049359F" w:rsidRPr="009D3BE8">
        <w:rPr>
          <w:color w:val="000000"/>
          <w:szCs w:val="22"/>
        </w:rPr>
        <w:t xml:space="preserve">the Station </w:t>
      </w:r>
      <w:r w:rsidRPr="009D3BE8">
        <w:rPr>
          <w:color w:val="000000"/>
          <w:szCs w:val="22"/>
        </w:rPr>
        <w:t xml:space="preserve">was silent from </w:t>
      </w:r>
      <w:r w:rsidRPr="009D3BE8">
        <w:rPr>
          <w:szCs w:val="22"/>
        </w:rPr>
        <w:t>March 29, 2011, and until January 26, 2012</w:t>
      </w:r>
      <w:r w:rsidR="002E1315">
        <w:rPr>
          <w:szCs w:val="22"/>
        </w:rPr>
        <w:t>, without Commission authorization</w:t>
      </w:r>
      <w:r w:rsidRPr="009D3BE8">
        <w:rPr>
          <w:szCs w:val="22"/>
        </w:rPr>
        <w:t xml:space="preserve">.  </w:t>
      </w:r>
      <w:r w:rsidR="001A7C02" w:rsidRPr="009D3BE8">
        <w:rPr>
          <w:color w:val="000000"/>
          <w:szCs w:val="22"/>
        </w:rPr>
        <w:t xml:space="preserve"> Licensee claims that it did not file the required STA because it was delinquent in its annual regulatory fees, but it fails to </w:t>
      </w:r>
      <w:r w:rsidR="0081108E">
        <w:rPr>
          <w:color w:val="000000"/>
          <w:szCs w:val="22"/>
        </w:rPr>
        <w:t xml:space="preserve">present any evidence that </w:t>
      </w:r>
      <w:r w:rsidR="001A7C02" w:rsidRPr="009D3BE8">
        <w:rPr>
          <w:color w:val="000000"/>
          <w:szCs w:val="22"/>
        </w:rPr>
        <w:t>it att</w:t>
      </w:r>
      <w:r w:rsidR="00F10C11">
        <w:rPr>
          <w:color w:val="000000"/>
          <w:szCs w:val="22"/>
        </w:rPr>
        <w:t>empted to file the STA, but was unable to do so because of the outstanding fees</w:t>
      </w:r>
      <w:r w:rsidR="001A7C02" w:rsidRPr="009D3BE8">
        <w:rPr>
          <w:color w:val="000000"/>
          <w:szCs w:val="22"/>
        </w:rPr>
        <w:t>.  Indeed, as L</w:t>
      </w:r>
      <w:r w:rsidR="00F10C11">
        <w:rPr>
          <w:color w:val="000000"/>
          <w:szCs w:val="22"/>
        </w:rPr>
        <w:t>arko a</w:t>
      </w:r>
      <w:r w:rsidR="001A7C02" w:rsidRPr="009D3BE8">
        <w:rPr>
          <w:color w:val="000000"/>
          <w:szCs w:val="22"/>
        </w:rPr>
        <w:t>cknowledges</w:t>
      </w:r>
      <w:r w:rsidR="0049359F" w:rsidRPr="009D3BE8">
        <w:rPr>
          <w:color w:val="000000"/>
          <w:szCs w:val="22"/>
        </w:rPr>
        <w:t xml:space="preserve">, during the same period, on July 14, 2011, the Commission’s database accepted </w:t>
      </w:r>
      <w:r w:rsidR="002B00CF">
        <w:rPr>
          <w:color w:val="000000"/>
          <w:szCs w:val="22"/>
        </w:rPr>
        <w:t>a l</w:t>
      </w:r>
      <w:r w:rsidR="0049359F" w:rsidRPr="009D3BE8">
        <w:rPr>
          <w:color w:val="000000"/>
          <w:szCs w:val="22"/>
        </w:rPr>
        <w:t>ate-filed ownership report “notwithstanding Licensee’s delinquent regulatory fees.”</w:t>
      </w:r>
      <w:r w:rsidR="0049359F">
        <w:rPr>
          <w:rStyle w:val="FootnoteReference"/>
          <w:color w:val="000000"/>
          <w:szCs w:val="22"/>
        </w:rPr>
        <w:footnoteReference w:id="13"/>
      </w:r>
      <w:r w:rsidR="00665F4C">
        <w:t xml:space="preserve">  U</w:t>
      </w:r>
      <w:r w:rsidR="00665F4C" w:rsidRPr="006C0C6F">
        <w:t>nder the Commission’s “red light</w:t>
      </w:r>
      <w:r w:rsidR="00665F4C">
        <w:t>” policy</w:t>
      </w:r>
      <w:r w:rsidR="00665F4C" w:rsidRPr="006C0C6F">
        <w:t xml:space="preserve">, the Commission withholds action on applications from any entity that </w:t>
      </w:r>
      <w:r w:rsidR="00665F4C">
        <w:t>is delinquent in its regulatory fees, and if unresolved</w:t>
      </w:r>
      <w:r w:rsidR="00665F4C" w:rsidRPr="006C0C6F">
        <w:t>, ultima</w:t>
      </w:r>
      <w:r w:rsidR="00665F4C">
        <w:t>tely dismisses such applications.</w:t>
      </w:r>
      <w:r w:rsidR="00665F4C">
        <w:rPr>
          <w:rStyle w:val="FootnoteReference"/>
        </w:rPr>
        <w:footnoteReference w:id="14"/>
      </w:r>
      <w:r w:rsidR="00CF12AD">
        <w:rPr>
          <w:vertAlign w:val="superscript"/>
        </w:rPr>
        <w:t xml:space="preserve"> </w:t>
      </w:r>
      <w:r w:rsidR="00CF12AD">
        <w:t xml:space="preserve"> </w:t>
      </w:r>
      <w:r w:rsidR="00665F4C">
        <w:t>The red light policy does not, however, prohibit the filing of applications</w:t>
      </w:r>
      <w:r w:rsidR="0026225F">
        <w:t xml:space="preserve"> or STA requests</w:t>
      </w:r>
      <w:r w:rsidR="00665F4C">
        <w:t>.</w:t>
      </w:r>
      <w:r w:rsidR="00665F4C">
        <w:rPr>
          <w:rStyle w:val="FootnoteReference"/>
        </w:rPr>
        <w:footnoteReference w:id="15"/>
      </w:r>
    </w:p>
    <w:p w:rsidR="0081108E" w:rsidRDefault="00A2283C" w:rsidP="00F130C1">
      <w:pPr>
        <w:pStyle w:val="ParaNum"/>
        <w:widowControl/>
        <w:ind w:left="-86"/>
        <w:jc w:val="left"/>
      </w:pPr>
      <w:r w:rsidRPr="009D3BE8">
        <w:rPr>
          <w:szCs w:val="22"/>
          <w:u w:val="single"/>
        </w:rPr>
        <w:t xml:space="preserve">Proposed Forfeiture </w:t>
      </w:r>
      <w:r w:rsidR="002B3879" w:rsidRPr="009D3BE8">
        <w:rPr>
          <w:szCs w:val="22"/>
          <w:u w:val="single"/>
        </w:rPr>
        <w:t>Assessment</w:t>
      </w:r>
      <w:r w:rsidRPr="009D3BE8">
        <w:rPr>
          <w:szCs w:val="22"/>
          <w:u w:val="single"/>
        </w:rPr>
        <w:t>.</w:t>
      </w:r>
      <w:r w:rsidRPr="009D3BE8">
        <w:rPr>
          <w:szCs w:val="22"/>
        </w:rPr>
        <w:t xml:space="preserve">  </w:t>
      </w:r>
      <w:r w:rsidR="0081108E">
        <w:t>Under Section 503(b)(1)(B) of the Act, any person who is determined by the Commission to have willfully or repeatedly failed to comply with any provision of the Act or any rule, regulation, or order issued by the Commission shall be liable to the United States for a forfeiture penalty.</w:t>
      </w:r>
      <w:r w:rsidR="0081108E">
        <w:rPr>
          <w:rStyle w:val="FootnoteReference"/>
          <w:szCs w:val="22"/>
        </w:rPr>
        <w:footnoteReference w:id="16"/>
      </w:r>
      <w:r w:rsidR="0081108E">
        <w:t xml:space="preserve">  Section 312(f)(1) of the Act defines willful as “the conscious and deliberate commission or omission of [any] act, irrespective of any intent to violate” the law.</w:t>
      </w:r>
      <w:r w:rsidR="0081108E">
        <w:rPr>
          <w:rStyle w:val="FootnoteReference"/>
          <w:szCs w:val="22"/>
        </w:rPr>
        <w:footnoteReference w:id="17"/>
      </w:r>
      <w:r w:rsidR="0081108E">
        <w:t xml:space="preserve">  The legislative history to Section 312(f)(1) of the Act clarifies that this definition of willful applies to both Sections 312 and 503(b) of the Act,</w:t>
      </w:r>
      <w:r w:rsidR="0081108E">
        <w:rPr>
          <w:rStyle w:val="FootnoteReference"/>
          <w:szCs w:val="22"/>
        </w:rPr>
        <w:footnoteReference w:id="18"/>
      </w:r>
      <w:r w:rsidR="0081108E">
        <w:t xml:space="preserve"> and the Commission has so interpreted the term in the Section 503(b) context.</w:t>
      </w:r>
      <w:r w:rsidR="0081108E">
        <w:rPr>
          <w:rStyle w:val="FootnoteReference"/>
          <w:szCs w:val="22"/>
        </w:rPr>
        <w:footnoteReference w:id="19"/>
      </w:r>
      <w:r w:rsidR="0081108E">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0081108E">
        <w:rPr>
          <w:rStyle w:val="FootnoteReference"/>
          <w:szCs w:val="22"/>
        </w:rPr>
        <w:footnoteReference w:id="20"/>
      </w:r>
    </w:p>
    <w:p w:rsidR="009D3BE8" w:rsidRPr="009D3BE8" w:rsidRDefault="00E37105" w:rsidP="0081108E">
      <w:pPr>
        <w:pStyle w:val="ParaNum"/>
        <w:jc w:val="left"/>
      </w:pPr>
      <w:r w:rsidRPr="0081108E">
        <w:rPr>
          <w:szCs w:val="22"/>
        </w:rPr>
        <w:t>The</w:t>
      </w:r>
      <w:r w:rsidRPr="0081108E">
        <w:rPr>
          <w:i/>
          <w:szCs w:val="22"/>
        </w:rPr>
        <w:t xml:space="preserve"> </w:t>
      </w:r>
      <w:r w:rsidRPr="0081108E">
        <w:rPr>
          <w:szCs w:val="22"/>
        </w:rPr>
        <w:t>Commission’s</w:t>
      </w:r>
      <w:r w:rsidRPr="0081108E">
        <w:rPr>
          <w:i/>
          <w:szCs w:val="22"/>
        </w:rPr>
        <w:t xml:space="preserve"> Forfeiture Policy Statement</w:t>
      </w:r>
      <w:r w:rsidRPr="0081108E">
        <w:rPr>
          <w:szCs w:val="22"/>
        </w:rPr>
        <w:t xml:space="preserve"> and Section 1.80(b)(4) of the Rules </w:t>
      </w:r>
      <w:r w:rsidR="00F10C11" w:rsidRPr="0081108E">
        <w:rPr>
          <w:szCs w:val="22"/>
        </w:rPr>
        <w:t>establish</w:t>
      </w:r>
      <w:r w:rsidRPr="0081108E">
        <w:rPr>
          <w:szCs w:val="22"/>
        </w:rPr>
        <w:t xml:space="preserve"> a base forfeiture amount of $10,000 for violation of Section 73.3526</w:t>
      </w:r>
      <w:r w:rsidR="002B3879" w:rsidRPr="0081108E">
        <w:rPr>
          <w:szCs w:val="22"/>
        </w:rPr>
        <w:t xml:space="preserve"> and $5,000 for unauthorized discontinuance of service.</w:t>
      </w:r>
      <w:r w:rsidR="002B3879">
        <w:rPr>
          <w:rStyle w:val="FootnoteReference"/>
          <w:szCs w:val="22"/>
        </w:rPr>
        <w:footnoteReference w:id="21"/>
      </w:r>
      <w:r w:rsidR="002B3879" w:rsidRPr="0081108E">
        <w:rPr>
          <w:szCs w:val="22"/>
        </w:rPr>
        <w:t xml:space="preserve">  In determining the appropriate forfeiture amount, we may adjust the base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sidR="002B3879">
        <w:rPr>
          <w:rStyle w:val="FootnoteReference"/>
          <w:szCs w:val="22"/>
        </w:rPr>
        <w:footnoteReference w:id="22"/>
      </w:r>
    </w:p>
    <w:p w:rsidR="009D3BE8" w:rsidRPr="009D3BE8" w:rsidRDefault="002B3879" w:rsidP="009D3BE8">
      <w:pPr>
        <w:pStyle w:val="ParaNum"/>
        <w:jc w:val="left"/>
      </w:pPr>
      <w:r>
        <w:t xml:space="preserve">In this case, </w:t>
      </w:r>
      <w:r w:rsidR="002B00CF">
        <w:t xml:space="preserve">with respect to </w:t>
      </w:r>
      <w:r>
        <w:t>the public file violation, although L</w:t>
      </w:r>
      <w:r w:rsidR="00F10C11">
        <w:t xml:space="preserve">arko </w:t>
      </w:r>
      <w:r>
        <w:t xml:space="preserve">has admitted to violating Section 73.3526, it did so only in the context of the question contained in its license renewal application that compelled such disclosure.  Moreover the violations were extensive, occurring over </w:t>
      </w:r>
      <w:r w:rsidR="00243EC2">
        <w:t xml:space="preserve">more than </w:t>
      </w:r>
      <w:r>
        <w:t>two year</w:t>
      </w:r>
      <w:r w:rsidR="00243EC2">
        <w:t xml:space="preserve">s </w:t>
      </w:r>
      <w:r>
        <w:t>and involving nine issues/programs lists.</w:t>
      </w:r>
      <w:r w:rsidR="00A52F8B">
        <w:t xml:space="preserve">  </w:t>
      </w:r>
      <w:r w:rsidR="002B00CF">
        <w:t xml:space="preserve">Regarding </w:t>
      </w:r>
      <w:r w:rsidR="00A52F8B">
        <w:t xml:space="preserve">the Station’s unauthorized discontinuance of service, here </w:t>
      </w:r>
      <w:r w:rsidR="00A52F8B" w:rsidRPr="009D3BE8">
        <w:rPr>
          <w:szCs w:val="22"/>
        </w:rPr>
        <w:t>the Station was silent for over ten months without the required STA.</w:t>
      </w:r>
      <w:r w:rsidR="009D3BE8" w:rsidRPr="009D3BE8">
        <w:rPr>
          <w:szCs w:val="22"/>
        </w:rPr>
        <w:t xml:space="preserve">  </w:t>
      </w:r>
      <w:r w:rsidR="00A52F8B" w:rsidRPr="009D3BE8">
        <w:rPr>
          <w:szCs w:val="22"/>
        </w:rPr>
        <w:t>Moreover, Licensee has not provided a</w:t>
      </w:r>
      <w:r w:rsidR="002B00CF">
        <w:rPr>
          <w:szCs w:val="22"/>
        </w:rPr>
        <w:t xml:space="preserve"> valid </w:t>
      </w:r>
      <w:r w:rsidR="00A52F8B" w:rsidRPr="009D3BE8">
        <w:rPr>
          <w:szCs w:val="22"/>
        </w:rPr>
        <w:t xml:space="preserve">justification for its failure to </w:t>
      </w:r>
      <w:r w:rsidR="00F10C11">
        <w:rPr>
          <w:szCs w:val="22"/>
        </w:rPr>
        <w:t xml:space="preserve">file </w:t>
      </w:r>
      <w:r w:rsidR="00A52F8B" w:rsidRPr="009D3BE8">
        <w:rPr>
          <w:szCs w:val="22"/>
        </w:rPr>
        <w:t>an STA</w:t>
      </w:r>
      <w:r w:rsidR="002E1315">
        <w:rPr>
          <w:szCs w:val="22"/>
        </w:rPr>
        <w:t xml:space="preserve"> requesting Commission consent to the Station’s silence</w:t>
      </w:r>
      <w:r w:rsidR="00A52F8B" w:rsidRPr="009D3BE8">
        <w:rPr>
          <w:szCs w:val="22"/>
        </w:rPr>
        <w:t xml:space="preserve">.  </w:t>
      </w:r>
      <w:r w:rsidR="00D53108" w:rsidRPr="009D3BE8">
        <w:rPr>
          <w:szCs w:val="22"/>
        </w:rPr>
        <w:t xml:space="preserve">Considering the record as a whole, </w:t>
      </w:r>
      <w:r w:rsidR="00D53108" w:rsidRPr="009D3BE8">
        <w:rPr>
          <w:shd w:val="clear" w:color="auto" w:fill="FFFFFF"/>
        </w:rPr>
        <w:t>we believe that a forfeiture of $10,000 for the public file violations</w:t>
      </w:r>
      <w:r w:rsidR="00D53108">
        <w:rPr>
          <w:rStyle w:val="FootnoteReference"/>
        </w:rPr>
        <w:footnoteReference w:id="23"/>
      </w:r>
      <w:r w:rsidR="002B00CF">
        <w:rPr>
          <w:shd w:val="clear" w:color="auto" w:fill="FFFFFF"/>
        </w:rPr>
        <w:t xml:space="preserve"> and $</w:t>
      </w:r>
      <w:r w:rsidR="00D53108" w:rsidRPr="009D3BE8">
        <w:rPr>
          <w:shd w:val="clear" w:color="auto" w:fill="FFFFFF"/>
        </w:rPr>
        <w:t>5,000 for the unauthorized silent period,</w:t>
      </w:r>
      <w:r w:rsidR="00D53108">
        <w:rPr>
          <w:rStyle w:val="FootnoteReference"/>
          <w:shd w:val="clear" w:color="auto" w:fill="FFFFFF"/>
        </w:rPr>
        <w:footnoteReference w:id="24"/>
      </w:r>
      <w:r w:rsidR="00D53108" w:rsidRPr="009D3BE8">
        <w:rPr>
          <w:shd w:val="clear" w:color="auto" w:fill="FFFFFF"/>
        </w:rPr>
        <w:t xml:space="preserve"> is appropriate in this case.</w:t>
      </w:r>
      <w:r w:rsidR="00D53108" w:rsidRPr="009D3BE8">
        <w:rPr>
          <w:rStyle w:val="FootnoteReference"/>
          <w:szCs w:val="22"/>
        </w:rPr>
        <w:t xml:space="preserve"> </w:t>
      </w:r>
      <w:r w:rsidR="00D53108" w:rsidRPr="009D3BE8">
        <w:rPr>
          <w:shd w:val="clear" w:color="auto" w:fill="FFFFFF"/>
        </w:rPr>
        <w:t xml:space="preserve"> Accordingly, we find that L</w:t>
      </w:r>
      <w:r w:rsidR="00F10C11">
        <w:rPr>
          <w:shd w:val="clear" w:color="auto" w:fill="FFFFFF"/>
        </w:rPr>
        <w:t>arko</w:t>
      </w:r>
      <w:r w:rsidR="00D53108" w:rsidRPr="009D3BE8">
        <w:rPr>
          <w:shd w:val="clear" w:color="auto" w:fill="FFFFFF"/>
        </w:rPr>
        <w:t xml:space="preserve"> is apparently liable for a total proposed forfeiture in the amount of $15,000.</w:t>
      </w:r>
    </w:p>
    <w:p w:rsidR="009D3BE8" w:rsidRPr="009D3BE8" w:rsidRDefault="005E58F2" w:rsidP="009D3BE8">
      <w:pPr>
        <w:pStyle w:val="ParaNum"/>
        <w:jc w:val="left"/>
      </w:pPr>
      <w:r>
        <w:rPr>
          <w:i/>
          <w:szCs w:val="22"/>
        </w:rPr>
        <w:t xml:space="preserve"> </w:t>
      </w:r>
      <w:r w:rsidR="00243EC2" w:rsidRPr="009D3BE8">
        <w:rPr>
          <w:i/>
          <w:szCs w:val="22"/>
        </w:rPr>
        <w:t>License Renewal Application.</w:t>
      </w:r>
      <w:r w:rsidR="00243EC2" w:rsidRPr="009D3BE8">
        <w:rPr>
          <w:szCs w:val="22"/>
        </w:rPr>
        <w:t xml:space="preserve">  In evaluating an application for license renewal, the Commission’s decision is governed by Section 309(k) of the Act.</w:t>
      </w:r>
      <w:r w:rsidR="00243EC2">
        <w:rPr>
          <w:rStyle w:val="FootnoteReference"/>
          <w:szCs w:val="22"/>
        </w:rPr>
        <w:footnoteReference w:id="25"/>
      </w:r>
      <w:r w:rsidR="00243EC2" w:rsidRPr="009D3BE8">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sidR="00243EC2">
        <w:rPr>
          <w:rStyle w:val="FootnoteReference"/>
          <w:szCs w:val="22"/>
        </w:rPr>
        <w:footnoteReference w:id="26"/>
      </w:r>
      <w:r w:rsidR="00243EC2" w:rsidRPr="009D3BE8">
        <w:rPr>
          <w:szCs w:val="22"/>
        </w:rPr>
        <w:t xml:space="preserve"> </w:t>
      </w:r>
      <w:r w:rsidR="00243EC2" w:rsidRPr="009D3BE8">
        <w:rPr>
          <w:i/>
          <w:szCs w:val="22"/>
        </w:rPr>
        <w:t xml:space="preserve"> </w:t>
      </w:r>
      <w:r w:rsidR="00243EC2" w:rsidRPr="009D3BE8">
        <w:rPr>
          <w:szCs w:val="22"/>
        </w:rPr>
        <w:t>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r w:rsidR="00243EC2">
        <w:rPr>
          <w:rStyle w:val="FootnoteReference"/>
          <w:szCs w:val="22"/>
        </w:rPr>
        <w:footnoteReference w:id="27"/>
      </w:r>
    </w:p>
    <w:p w:rsidR="00243EC2" w:rsidRPr="009D3BE8" w:rsidRDefault="00243EC2" w:rsidP="00D53108">
      <w:pPr>
        <w:pStyle w:val="ParaNum"/>
        <w:tabs>
          <w:tab w:val="left" w:pos="720"/>
        </w:tabs>
        <w:jc w:val="left"/>
        <w:rPr>
          <w:szCs w:val="22"/>
        </w:rPr>
      </w:pPr>
      <w:r w:rsidRPr="009D3BE8">
        <w:rPr>
          <w:color w:val="000000"/>
          <w:szCs w:val="22"/>
        </w:rPr>
        <w:t>We find that L</w:t>
      </w:r>
      <w:r w:rsidR="00F10C11">
        <w:rPr>
          <w:color w:val="000000"/>
          <w:szCs w:val="22"/>
        </w:rPr>
        <w:t>arko</w:t>
      </w:r>
      <w:r w:rsidRPr="009D3BE8">
        <w:rPr>
          <w:color w:val="000000"/>
          <w:szCs w:val="22"/>
        </w:rPr>
        <w:t xml:space="preserve">’s apparent violations of Sections 73.3526 and </w:t>
      </w:r>
      <w:r w:rsidR="00F10C11">
        <w:rPr>
          <w:color w:val="000000"/>
          <w:szCs w:val="22"/>
        </w:rPr>
        <w:t>73.</w:t>
      </w:r>
      <w:r w:rsidRPr="009D3BE8">
        <w:rPr>
          <w:color w:val="000000"/>
          <w:szCs w:val="22"/>
        </w:rPr>
        <w:t>1740 of the Rules do not constitute “serious violations” warranting designation for evidentiary hearing</w:t>
      </w:r>
      <w:r w:rsidR="002E1315">
        <w:rPr>
          <w:color w:val="000000"/>
          <w:szCs w:val="22"/>
        </w:rPr>
        <w:t xml:space="preserve"> and that the proposed forfeiture constitute</w:t>
      </w:r>
      <w:r w:rsidR="00A626B7">
        <w:rPr>
          <w:color w:val="000000"/>
          <w:szCs w:val="22"/>
        </w:rPr>
        <w:t>s a sufficient penalty for these apparent violations</w:t>
      </w:r>
      <w:r w:rsidRPr="009D3BE8">
        <w:rPr>
          <w:color w:val="000000"/>
          <w:szCs w:val="22"/>
        </w:rPr>
        <w:t>.  Moreover, we find no evidence of violations that, when considered together, evidence a pattern of abuse.</w:t>
      </w:r>
      <w:r>
        <w:rPr>
          <w:rStyle w:val="FootnoteReference"/>
          <w:color w:val="000000"/>
          <w:szCs w:val="22"/>
        </w:rPr>
        <w:footnoteReference w:id="28"/>
      </w:r>
      <w:r w:rsidRPr="009D3BE8">
        <w:rPr>
          <w:color w:val="000000"/>
          <w:szCs w:val="22"/>
        </w:rPr>
        <w:t xml:space="preserve">  </w:t>
      </w:r>
      <w:r w:rsidRPr="009D3BE8">
        <w:rPr>
          <w:spacing w:val="-2"/>
          <w:szCs w:val="22"/>
        </w:rPr>
        <w:t>Further, we find that</w:t>
      </w:r>
      <w:r w:rsidRPr="009D3BE8">
        <w:rPr>
          <w:szCs w:val="22"/>
        </w:rPr>
        <w:t xml:space="preserve"> the Station served the public interest, convenience, and necessity during the subject license term.</w:t>
      </w:r>
      <w:r w:rsidR="00F811D2" w:rsidRPr="00F811D2">
        <w:rPr>
          <w:rStyle w:val="FootnoteReference"/>
          <w:szCs w:val="22"/>
        </w:rPr>
        <w:t xml:space="preserve"> </w:t>
      </w:r>
      <w:r w:rsidR="00F811D2">
        <w:rPr>
          <w:rStyle w:val="FootnoteReference"/>
          <w:szCs w:val="22"/>
        </w:rPr>
        <w:footnoteReference w:id="29"/>
      </w:r>
      <w:r w:rsidRPr="009D3BE8">
        <w:rPr>
          <w:szCs w:val="22"/>
        </w:rPr>
        <w:t xml:space="preserve">  We will therefore grant the license renewal application by separate action upon the conclusion of this forfeiture proceeding if there are no issues other than the apparent violations that would preclude grant of the </w:t>
      </w:r>
      <w:r w:rsidR="00F10C11">
        <w:rPr>
          <w:szCs w:val="22"/>
        </w:rPr>
        <w:t>A</w:t>
      </w:r>
      <w:r w:rsidRPr="009D3BE8">
        <w:rPr>
          <w:szCs w:val="22"/>
        </w:rPr>
        <w:t>pplication.</w:t>
      </w:r>
    </w:p>
    <w:p w:rsidR="00D717D8" w:rsidRPr="00507D8C" w:rsidRDefault="00D717D8" w:rsidP="00501DA9">
      <w:pPr>
        <w:pStyle w:val="ParaNum"/>
        <w:numPr>
          <w:ilvl w:val="0"/>
          <w:numId w:val="0"/>
        </w:numPr>
        <w:jc w:val="left"/>
        <w:rPr>
          <w:b/>
          <w:szCs w:val="22"/>
        </w:rPr>
      </w:pPr>
      <w:r w:rsidRPr="00507D8C">
        <w:rPr>
          <w:b/>
          <w:szCs w:val="22"/>
        </w:rPr>
        <w:t xml:space="preserve">IV.       </w:t>
      </w:r>
      <w:r w:rsidR="00501DA9">
        <w:rPr>
          <w:b/>
          <w:szCs w:val="22"/>
        </w:rPr>
        <w:t xml:space="preserve"> </w:t>
      </w:r>
      <w:r w:rsidRPr="00507D8C">
        <w:rPr>
          <w:b/>
          <w:szCs w:val="22"/>
        </w:rPr>
        <w:t>ORDERING CLAUSES</w:t>
      </w:r>
    </w:p>
    <w:p w:rsidR="00D717D8" w:rsidRDefault="00D717D8" w:rsidP="00C749B8">
      <w:pPr>
        <w:pStyle w:val="ParaNum"/>
        <w:tabs>
          <w:tab w:val="clear" w:pos="990"/>
          <w:tab w:val="num" w:pos="1080"/>
        </w:tabs>
        <w:ind w:left="0"/>
        <w:jc w:val="left"/>
        <w:rPr>
          <w:szCs w:val="22"/>
        </w:rPr>
      </w:pPr>
      <w:r>
        <w:rPr>
          <w:szCs w:val="22"/>
        </w:rPr>
        <w:t xml:space="preserve">Accordingly, IT IS ORDERED, pursuant to Section 503(b) of the Communications Act of 1934, as amended, and Section 1.80 of the Commission’s Rules, that </w:t>
      </w:r>
      <w:r w:rsidR="009D3BE8">
        <w:rPr>
          <w:szCs w:val="22"/>
        </w:rPr>
        <w:t>Larko Communications, Inc.</w:t>
      </w:r>
      <w:r>
        <w:rPr>
          <w:szCs w:val="22"/>
        </w:rPr>
        <w:t xml:space="preserve">, is hereby NOTIFIED of its APPARENT LIABILITY FOR FORFEITURE in the amount of </w:t>
      </w:r>
      <w:r w:rsidR="00AC046F">
        <w:rPr>
          <w:szCs w:val="22"/>
        </w:rPr>
        <w:t>f</w:t>
      </w:r>
      <w:r w:rsidR="009D3BE8">
        <w:rPr>
          <w:szCs w:val="22"/>
        </w:rPr>
        <w:t xml:space="preserve">ifteen thousand </w:t>
      </w:r>
      <w:r>
        <w:rPr>
          <w:szCs w:val="22"/>
        </w:rPr>
        <w:t>dollars ($</w:t>
      </w:r>
      <w:r w:rsidR="009D3BE8">
        <w:rPr>
          <w:szCs w:val="22"/>
        </w:rPr>
        <w:t>15</w:t>
      </w:r>
      <w:r>
        <w:rPr>
          <w:szCs w:val="22"/>
        </w:rPr>
        <w:t>,000) for its apparent willful and repeated violation of Section</w:t>
      </w:r>
      <w:r w:rsidR="009D3BE8">
        <w:rPr>
          <w:szCs w:val="22"/>
        </w:rPr>
        <w:t>s</w:t>
      </w:r>
      <w:r>
        <w:rPr>
          <w:szCs w:val="22"/>
        </w:rPr>
        <w:t xml:space="preserve"> 73.3526 </w:t>
      </w:r>
      <w:r w:rsidR="009D3BE8">
        <w:rPr>
          <w:szCs w:val="22"/>
        </w:rPr>
        <w:t xml:space="preserve">and 73.1740 </w:t>
      </w:r>
      <w:r>
        <w:rPr>
          <w:szCs w:val="22"/>
        </w:rPr>
        <w:t xml:space="preserve">of the Commission’s Rules. </w:t>
      </w:r>
    </w:p>
    <w:p w:rsidR="009D3BE8" w:rsidRDefault="00D717D8" w:rsidP="009D3BE8">
      <w:pPr>
        <w:pStyle w:val="ParaNum"/>
        <w:tabs>
          <w:tab w:val="clear" w:pos="990"/>
          <w:tab w:val="num" w:pos="1080"/>
        </w:tabs>
        <w:ind w:left="0"/>
        <w:jc w:val="left"/>
        <w:rPr>
          <w:szCs w:val="22"/>
        </w:rPr>
      </w:pPr>
      <w:r>
        <w:rPr>
          <w:szCs w:val="22"/>
        </w:rPr>
        <w:t xml:space="preserve">IT IS FURTHER ORDERED, pursuant to Section 1.80 of the Commission’s Rules, that, within thirty (30) days of the release date of this </w:t>
      </w:r>
      <w:r>
        <w:rPr>
          <w:i/>
          <w:szCs w:val="22"/>
        </w:rPr>
        <w:t>NAL,</w:t>
      </w:r>
      <w:r>
        <w:rPr>
          <w:szCs w:val="22"/>
        </w:rPr>
        <w:t xml:space="preserve"> </w:t>
      </w:r>
      <w:r w:rsidR="009D3BE8">
        <w:rPr>
          <w:szCs w:val="22"/>
        </w:rPr>
        <w:t xml:space="preserve">Larko Communications, Inc., </w:t>
      </w:r>
      <w:r>
        <w:rPr>
          <w:szCs w:val="22"/>
        </w:rPr>
        <w:t xml:space="preserve">SHALL PAY the full amount of the proposed forfeiture or SHALL FILE a written statement seeking reduction or cancellation of the proposed forfeiture.  </w:t>
      </w:r>
    </w:p>
    <w:p w:rsidR="002F609C" w:rsidRPr="009D3BE8" w:rsidRDefault="00D717D8" w:rsidP="009D3BE8">
      <w:pPr>
        <w:pStyle w:val="ParaNum"/>
        <w:tabs>
          <w:tab w:val="clear" w:pos="990"/>
          <w:tab w:val="num" w:pos="1080"/>
        </w:tabs>
        <w:ind w:left="0"/>
        <w:jc w:val="left"/>
        <w:rPr>
          <w:szCs w:val="22"/>
        </w:rPr>
      </w:pPr>
      <w:r w:rsidRPr="009D3BE8">
        <w:rPr>
          <w:szCs w:val="22"/>
        </w:rPr>
        <w:t xml:space="preserve">Payment of the proposed forfeiture must be made by check or similar instrument, payable to the order of the Federal Communications Commission.  The payment must include the NAL/Acct. No. and FRN No. referenced in the caption above.  Payment by check or money order may be mailed to Federal Communications Commission, at P.O. Box 979088, St. Louis, MO  63197-9000.  Payment by overnight mail may be sent to U.S. Bank—Government Lockbox #979088, SL-MO-C2-GL, 1005 Convention Plaza, St. Louis, MO  63101.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  </w:t>
      </w:r>
      <w:r>
        <w:t xml:space="preserve">Licensee will also send electronic notification on the date said payment is made to Penelope. Dade@fcc.gov and </w:t>
      </w:r>
      <w:r w:rsidR="00C1762F">
        <w:t>Kim.Varner@fcc.gov</w:t>
      </w:r>
      <w:r>
        <w:t xml:space="preserve">. </w:t>
      </w:r>
      <w:r w:rsidR="002F609C">
        <w:t xml:space="preserve">Below are additional instructions that should be followed based on the form of payment selected: </w:t>
      </w:r>
    </w:p>
    <w:p w:rsidR="002F609C" w:rsidRDefault="002F609C" w:rsidP="002F609C">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2F609C" w:rsidRDefault="002F609C" w:rsidP="002F609C">
      <w:pPr>
        <w:spacing w:before="16" w:line="220" w:lineRule="exact"/>
      </w:pPr>
    </w:p>
    <w:p w:rsidR="002F609C" w:rsidRDefault="002F609C" w:rsidP="002F609C">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2F609C" w:rsidRDefault="002F609C" w:rsidP="002F609C">
      <w:pPr>
        <w:spacing w:before="2" w:line="240" w:lineRule="exact"/>
        <w:rPr>
          <w:sz w:val="24"/>
          <w:szCs w:val="24"/>
        </w:rPr>
      </w:pPr>
    </w:p>
    <w:p w:rsidR="00D717D8" w:rsidRDefault="002F609C" w:rsidP="001240FA">
      <w:pPr>
        <w:tabs>
          <w:tab w:val="left" w:pos="1180"/>
        </w:tabs>
        <w:spacing w:line="239" w:lineRule="auto"/>
        <w:ind w:left="1180" w:right="60" w:hanging="360"/>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w:t>
      </w:r>
      <w:r>
        <w:rPr>
          <w:spacing w:val="27"/>
        </w:rPr>
        <w:t xml:space="preserve"> </w:t>
      </w:r>
      <w:r>
        <w:t xml:space="preserve">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 xml:space="preserve">o </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 xml:space="preserve">ent </w:t>
      </w:r>
      <w:r>
        <w:rPr>
          <w:spacing w:val="1"/>
        </w:rPr>
        <w:t xml:space="preserve"> </w:t>
      </w:r>
      <w:r>
        <w:t>Loc</w:t>
      </w:r>
      <w:r>
        <w:rPr>
          <w:spacing w:val="-3"/>
        </w:rPr>
        <w:t>k</w:t>
      </w:r>
      <w:r>
        <w:rPr>
          <w:spacing w:val="1"/>
        </w:rPr>
        <w:t>b</w:t>
      </w:r>
      <w:r>
        <w:t>ox  #9</w:t>
      </w:r>
      <w:r>
        <w:rPr>
          <w:spacing w:val="-2"/>
        </w:rPr>
        <w:t>7</w:t>
      </w:r>
      <w:r>
        <w:t>9088,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 xml:space="preserve">a, </w:t>
      </w:r>
      <w:r>
        <w:rPr>
          <w:spacing w:val="1"/>
        </w:rPr>
        <w:t xml:space="preserve"> </w:t>
      </w:r>
      <w:r>
        <w:t>St.</w:t>
      </w:r>
      <w:r>
        <w:rPr>
          <w:spacing w:val="53"/>
        </w:rPr>
        <w:t xml:space="preserve"> </w:t>
      </w:r>
      <w:r>
        <w:t>Loui</w:t>
      </w:r>
      <w:r>
        <w:rPr>
          <w:spacing w:val="1"/>
        </w:rPr>
        <w:t>s</w:t>
      </w:r>
      <w:r>
        <w:t>,</w:t>
      </w:r>
      <w:r>
        <w:rPr>
          <w:spacing w:val="53"/>
        </w:rPr>
        <w:t xml:space="preserve"> </w:t>
      </w:r>
      <w:r>
        <w:t>MO 63101.</w:t>
      </w:r>
    </w:p>
    <w:p w:rsidR="001240FA" w:rsidRPr="00C749B8" w:rsidRDefault="001240FA" w:rsidP="001240FA">
      <w:pPr>
        <w:tabs>
          <w:tab w:val="left" w:pos="1180"/>
        </w:tabs>
        <w:spacing w:line="239" w:lineRule="auto"/>
        <w:ind w:left="1180" w:right="60" w:hanging="360"/>
        <w:rPr>
          <w:szCs w:val="22"/>
        </w:rPr>
      </w:pPr>
    </w:p>
    <w:p w:rsidR="00D717D8" w:rsidRDefault="00D717D8" w:rsidP="00C749B8">
      <w:pPr>
        <w:pStyle w:val="ParaNum"/>
        <w:tabs>
          <w:tab w:val="clear" w:pos="990"/>
          <w:tab w:val="num" w:pos="1080"/>
        </w:tabs>
        <w:ind w:left="0"/>
        <w:jc w:val="left"/>
        <w:rPr>
          <w:szCs w:val="22"/>
        </w:rPr>
      </w:pPr>
      <w:r>
        <w:rPr>
          <w:szCs w:val="22"/>
        </w:rPr>
        <w:t>The response, if any, must be mailed to Office of the Secretary, Federal Communications Commission, 445 12</w:t>
      </w:r>
      <w:r>
        <w:rPr>
          <w:szCs w:val="22"/>
          <w:vertAlign w:val="superscript"/>
        </w:rPr>
        <w:t>th</w:t>
      </w:r>
      <w:r>
        <w:rPr>
          <w:szCs w:val="22"/>
        </w:rPr>
        <w:t xml:space="preserve"> Street, S.W., Washington DC 20554, ATTN:  Peter H. Doyle, Chief, Audio Division, Media Bureau, and MUST INCLUDE the NAL/Acct. No. referenced above.</w:t>
      </w:r>
    </w:p>
    <w:p w:rsidR="001240FA" w:rsidRDefault="00D717D8" w:rsidP="001240FA">
      <w:pPr>
        <w:pStyle w:val="ParaNum"/>
        <w:tabs>
          <w:tab w:val="clear" w:pos="990"/>
          <w:tab w:val="num" w:pos="1080"/>
        </w:tabs>
        <w:ind w:left="0"/>
        <w:jc w:val="left"/>
        <w:rPr>
          <w:szCs w:val="22"/>
        </w:rPr>
      </w:pPr>
      <w:r>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1240FA" w:rsidRDefault="00D717D8" w:rsidP="001240FA">
      <w:pPr>
        <w:pStyle w:val="ParaNum"/>
        <w:tabs>
          <w:tab w:val="clear" w:pos="990"/>
          <w:tab w:val="num" w:pos="1080"/>
        </w:tabs>
        <w:ind w:left="0"/>
        <w:jc w:val="left"/>
        <w:rPr>
          <w:szCs w:val="22"/>
        </w:rPr>
      </w:pPr>
      <w:r w:rsidRPr="001240FA">
        <w:rPr>
          <w:szCs w:val="22"/>
        </w:rPr>
        <w:t xml:space="preserve">Requests for full payment of the forfeiture proposed in this </w:t>
      </w:r>
      <w:r w:rsidRPr="001240FA">
        <w:rPr>
          <w:i/>
          <w:szCs w:val="22"/>
        </w:rPr>
        <w:t>NAL</w:t>
      </w:r>
      <w:r w:rsidRPr="001240FA">
        <w:rPr>
          <w:szCs w:val="22"/>
        </w:rPr>
        <w:t xml:space="preserve"> under the installment plan should be sent to:  Associate Managing Director-Financial Operations, 445 12th Street, S.W., Room 1-A625, Washington, DC 20554.</w:t>
      </w:r>
      <w:r>
        <w:rPr>
          <w:rStyle w:val="FootnoteReference"/>
          <w:szCs w:val="22"/>
        </w:rPr>
        <w:footnoteReference w:id="30"/>
      </w:r>
    </w:p>
    <w:p w:rsidR="00D717D8" w:rsidRPr="001240FA" w:rsidRDefault="001D051E" w:rsidP="001240FA">
      <w:pPr>
        <w:pStyle w:val="ParaNum"/>
        <w:tabs>
          <w:tab w:val="clear" w:pos="990"/>
          <w:tab w:val="num" w:pos="1080"/>
        </w:tabs>
        <w:ind w:left="0"/>
        <w:jc w:val="left"/>
        <w:rPr>
          <w:szCs w:val="22"/>
        </w:rPr>
      </w:pPr>
      <w:r>
        <w:t xml:space="preserve">IT IS FURTHER ORDERED that </w:t>
      </w:r>
      <w:r w:rsidR="00D717D8">
        <w:t xml:space="preserve">copies of this </w:t>
      </w:r>
      <w:r w:rsidR="00D717D8" w:rsidRPr="001240FA">
        <w:rPr>
          <w:i/>
        </w:rPr>
        <w:t>NAL</w:t>
      </w:r>
      <w:r w:rsidR="00D717D8">
        <w:t xml:space="preserve"> shall be sent, by First Class and Certified Mail, Return Receipt Requested, to</w:t>
      </w:r>
      <w:r w:rsidR="00255EC4">
        <w:t xml:space="preserve"> </w:t>
      </w:r>
      <w:r w:rsidR="00A626B7">
        <w:t xml:space="preserve">Ms. Kelli Richards, President, </w:t>
      </w:r>
      <w:r w:rsidR="00255EC4">
        <w:t>L</w:t>
      </w:r>
      <w:r w:rsidR="001240FA">
        <w:t>arko Communications, Inc.,</w:t>
      </w:r>
      <w:r w:rsidR="00D717D8">
        <w:t xml:space="preserve"> </w:t>
      </w:r>
      <w:r w:rsidR="001240FA">
        <w:t>1301 N. Detroit Street</w:t>
      </w:r>
      <w:r w:rsidR="00D717D8">
        <w:t xml:space="preserve">, </w:t>
      </w:r>
      <w:r w:rsidR="001240FA">
        <w:t xml:space="preserve">Warsaw, IN 46580 </w:t>
      </w:r>
      <w:r w:rsidR="00D717D8">
        <w:t xml:space="preserve">and to its counsel, </w:t>
      </w:r>
      <w:r w:rsidR="001240FA">
        <w:t>James Cooke</w:t>
      </w:r>
      <w:r w:rsidR="00255EC4">
        <w:t xml:space="preserve">, </w:t>
      </w:r>
      <w:r w:rsidR="00D717D8">
        <w:t xml:space="preserve">Esq., </w:t>
      </w:r>
      <w:r w:rsidR="001240FA">
        <w:t>Law Offices of James Cooke</w:t>
      </w:r>
      <w:r w:rsidR="00D717D8">
        <w:t xml:space="preserve">, </w:t>
      </w:r>
      <w:r w:rsidR="001240FA">
        <w:t>2821 Beechwood Circle</w:t>
      </w:r>
      <w:r w:rsidR="00255EC4">
        <w:t xml:space="preserve">, </w:t>
      </w:r>
      <w:r w:rsidR="001240FA">
        <w:t>Arlington, VA 22207</w:t>
      </w:r>
      <w:r w:rsidR="00D717D8">
        <w:t>.</w:t>
      </w:r>
    </w:p>
    <w:p w:rsidR="0061535E" w:rsidRPr="0061535E" w:rsidRDefault="0061535E" w:rsidP="00C24879">
      <w:pPr>
        <w:pStyle w:val="ParaNum"/>
        <w:numPr>
          <w:ilvl w:val="0"/>
          <w:numId w:val="0"/>
        </w:numPr>
        <w:ind w:firstLine="630"/>
        <w:jc w:val="left"/>
        <w:rPr>
          <w:szCs w:val="22"/>
        </w:rPr>
      </w:pPr>
    </w:p>
    <w:p w:rsidR="00D717D8" w:rsidRDefault="00D717D8" w:rsidP="00C24879">
      <w:pPr>
        <w:pStyle w:val="ParaNum"/>
        <w:numPr>
          <w:ilvl w:val="0"/>
          <w:numId w:val="0"/>
        </w:numPr>
        <w:ind w:firstLine="630"/>
        <w:jc w:val="left"/>
      </w:pPr>
      <w:r>
        <w:tab/>
      </w:r>
      <w:r>
        <w:tab/>
      </w:r>
      <w:r>
        <w:tab/>
      </w:r>
      <w:r>
        <w:tab/>
      </w:r>
      <w:r>
        <w:tab/>
      </w:r>
      <w:r w:rsidR="00A22831">
        <w:t xml:space="preserve"> </w:t>
      </w:r>
      <w:r>
        <w:t>FEDERAL COMMUNICATIONS COMMISSION</w:t>
      </w:r>
    </w:p>
    <w:p w:rsidR="00D717D8" w:rsidRDefault="00D717D8" w:rsidP="00C24879">
      <w:pPr>
        <w:tabs>
          <w:tab w:val="left" w:pos="0"/>
        </w:tabs>
        <w:suppressAutoHyphens/>
        <w:ind w:firstLine="630"/>
        <w:rPr>
          <w:szCs w:val="22"/>
        </w:rPr>
      </w:pPr>
    </w:p>
    <w:p w:rsidR="00D717D8" w:rsidRDefault="00D717D8" w:rsidP="00C24879">
      <w:pPr>
        <w:tabs>
          <w:tab w:val="left" w:pos="0"/>
        </w:tabs>
        <w:suppressAutoHyphens/>
        <w:ind w:firstLine="630"/>
        <w:rPr>
          <w:szCs w:val="22"/>
        </w:rPr>
      </w:pPr>
      <w:r>
        <w:rPr>
          <w:szCs w:val="22"/>
        </w:rPr>
        <w:tab/>
      </w:r>
      <w:r>
        <w:rPr>
          <w:szCs w:val="22"/>
        </w:rPr>
        <w:tab/>
      </w:r>
      <w:r>
        <w:rPr>
          <w:szCs w:val="22"/>
        </w:rPr>
        <w:tab/>
      </w:r>
      <w:r>
        <w:rPr>
          <w:szCs w:val="22"/>
        </w:rPr>
        <w:tab/>
      </w:r>
      <w:r>
        <w:rPr>
          <w:szCs w:val="22"/>
        </w:rPr>
        <w:tab/>
      </w:r>
      <w:r>
        <w:rPr>
          <w:szCs w:val="22"/>
        </w:rPr>
        <w:tab/>
      </w:r>
      <w:r>
        <w:rPr>
          <w:szCs w:val="22"/>
        </w:rPr>
        <w:tab/>
      </w:r>
    </w:p>
    <w:p w:rsidR="00D717D8" w:rsidRDefault="00D717D8" w:rsidP="00C24879">
      <w:pPr>
        <w:ind w:firstLine="630"/>
        <w:rPr>
          <w:szCs w:val="22"/>
        </w:rPr>
      </w:pPr>
      <w:r>
        <w:tab/>
      </w:r>
      <w:r>
        <w:tab/>
      </w:r>
      <w:r>
        <w:tab/>
      </w:r>
      <w:r>
        <w:tab/>
      </w:r>
      <w:r>
        <w:tab/>
      </w:r>
      <w:r>
        <w:tab/>
      </w:r>
      <w:r>
        <w:rPr>
          <w:szCs w:val="22"/>
        </w:rPr>
        <w:t xml:space="preserve"> Peter H. Doyle</w:t>
      </w:r>
    </w:p>
    <w:p w:rsidR="00D717D8" w:rsidRDefault="00D717D8" w:rsidP="00C24879">
      <w:pPr>
        <w:ind w:firstLine="630"/>
        <w:rPr>
          <w:szCs w:val="22"/>
        </w:rPr>
      </w:pPr>
      <w:r>
        <w:rPr>
          <w:szCs w:val="22"/>
        </w:rPr>
        <w:tab/>
      </w:r>
      <w:r>
        <w:rPr>
          <w:szCs w:val="22"/>
        </w:rPr>
        <w:tab/>
      </w:r>
      <w:r>
        <w:rPr>
          <w:szCs w:val="22"/>
        </w:rPr>
        <w:tab/>
      </w:r>
      <w:r>
        <w:rPr>
          <w:szCs w:val="22"/>
        </w:rPr>
        <w:tab/>
      </w:r>
      <w:r>
        <w:rPr>
          <w:szCs w:val="22"/>
        </w:rPr>
        <w:tab/>
      </w:r>
      <w:r>
        <w:rPr>
          <w:szCs w:val="22"/>
        </w:rPr>
        <w:tab/>
        <w:t xml:space="preserve"> Chief, Audio Division</w:t>
      </w:r>
    </w:p>
    <w:p w:rsidR="00D717D8" w:rsidRDefault="00D717D8" w:rsidP="00C24879">
      <w:pPr>
        <w:ind w:firstLine="630"/>
      </w:pPr>
      <w:r>
        <w:rPr>
          <w:szCs w:val="22"/>
        </w:rPr>
        <w:t xml:space="preserve"> </w:t>
      </w:r>
      <w:r w:rsidR="00A22831">
        <w:rPr>
          <w:szCs w:val="22"/>
        </w:rPr>
        <w:tab/>
      </w:r>
      <w:r w:rsidR="00A22831">
        <w:rPr>
          <w:szCs w:val="22"/>
        </w:rPr>
        <w:tab/>
      </w:r>
      <w:r w:rsidR="00A22831">
        <w:rPr>
          <w:szCs w:val="22"/>
        </w:rPr>
        <w:tab/>
      </w:r>
      <w:r w:rsidR="00A22831">
        <w:rPr>
          <w:szCs w:val="22"/>
        </w:rPr>
        <w:tab/>
      </w:r>
      <w:r w:rsidR="00A22831">
        <w:rPr>
          <w:szCs w:val="22"/>
        </w:rPr>
        <w:tab/>
      </w:r>
      <w:r w:rsidR="00A22831">
        <w:rPr>
          <w:szCs w:val="22"/>
        </w:rPr>
        <w:tab/>
        <w:t xml:space="preserve"> </w:t>
      </w:r>
      <w:r>
        <w:rPr>
          <w:szCs w:val="22"/>
        </w:rPr>
        <w:t>Media Bureau</w:t>
      </w:r>
    </w:p>
    <w:p w:rsidR="00D717D8" w:rsidRDefault="00D717D8" w:rsidP="00C24879">
      <w:pPr>
        <w:ind w:firstLine="630"/>
      </w:pPr>
    </w:p>
    <w:sectPr w:rsidR="00D717D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81C" w:rsidRDefault="001B381C">
      <w:r>
        <w:separator/>
      </w:r>
    </w:p>
  </w:endnote>
  <w:endnote w:type="continuationSeparator" w:id="0">
    <w:p w:rsidR="001B381C" w:rsidRDefault="001B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D8" w:rsidRDefault="00D71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7D8" w:rsidRDefault="00D717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D8" w:rsidRDefault="00D71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260D">
      <w:rPr>
        <w:rStyle w:val="PageNumber"/>
        <w:noProof/>
      </w:rPr>
      <w:t>2</w:t>
    </w:r>
    <w:r>
      <w:rPr>
        <w:rStyle w:val="PageNumber"/>
      </w:rPr>
      <w:fldChar w:fldCharType="end"/>
    </w:r>
  </w:p>
  <w:p w:rsidR="00D717D8" w:rsidRDefault="00D717D8">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D8" w:rsidRDefault="00D717D8">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81C" w:rsidRDefault="001B381C">
      <w:r>
        <w:separator/>
      </w:r>
    </w:p>
  </w:footnote>
  <w:footnote w:type="continuationSeparator" w:id="0">
    <w:p w:rsidR="001B381C" w:rsidRDefault="001B381C">
      <w:r>
        <w:continuationSeparator/>
      </w:r>
    </w:p>
  </w:footnote>
  <w:footnote w:id="1">
    <w:p w:rsidR="00F81E0E" w:rsidRDefault="00F81E0E" w:rsidP="00F81E0E">
      <w:pPr>
        <w:pStyle w:val="FootnoteText"/>
        <w:spacing w:after="120"/>
      </w:pPr>
      <w:r>
        <w:rPr>
          <w:rStyle w:val="FootnoteReference"/>
        </w:rPr>
        <w:footnoteRef/>
      </w:r>
      <w:r>
        <w:t xml:space="preserve"> L</w:t>
      </w:r>
      <w:r w:rsidR="0081108E">
        <w:t xml:space="preserve">arko </w:t>
      </w:r>
      <w:r>
        <w:t xml:space="preserve">amended the </w:t>
      </w:r>
      <w:r w:rsidR="00AB0E84">
        <w:t>A</w:t>
      </w:r>
      <w:r>
        <w:t>pplication on May 1</w:t>
      </w:r>
      <w:r w:rsidR="005D12F0">
        <w:t>2</w:t>
      </w:r>
      <w:r>
        <w:t>, 2015.</w:t>
      </w:r>
    </w:p>
  </w:footnote>
  <w:footnote w:id="2">
    <w:p w:rsidR="00D717D8" w:rsidRDefault="00D717D8" w:rsidP="00E20F5B">
      <w:pPr>
        <w:pStyle w:val="Footer"/>
        <w:spacing w:after="120"/>
        <w:rPr>
          <w:sz w:val="20"/>
        </w:rPr>
      </w:pPr>
      <w:r>
        <w:rPr>
          <w:rStyle w:val="FootnoteReference"/>
          <w:sz w:val="20"/>
        </w:rPr>
        <w:footnoteRef/>
      </w:r>
      <w:r>
        <w:rPr>
          <w:sz w:val="20"/>
        </w:rPr>
        <w:t xml:space="preserve"> This </w:t>
      </w:r>
      <w:r>
        <w:rPr>
          <w:i/>
          <w:sz w:val="20"/>
        </w:rPr>
        <w:t xml:space="preserve">NAL </w:t>
      </w:r>
      <w:r>
        <w:rPr>
          <w:sz w:val="20"/>
        </w:rPr>
        <w:t xml:space="preserve">is issued pursuant to Sections 309(k) and 503(b) of the Communications Act of 1934, as amended (“Act”), and Section 1.80 of the Commission’s Rules (“Rules”).  </w:t>
      </w:r>
      <w:r>
        <w:rPr>
          <w:i/>
          <w:sz w:val="20"/>
        </w:rPr>
        <w:t xml:space="preserve">See </w:t>
      </w:r>
      <w:r>
        <w:rPr>
          <w:sz w:val="20"/>
        </w:rPr>
        <w:t xml:space="preserve">47 U.S.C. §§ 309(k), 503(b); 47 C.F.R. § 1.80.  The Bureau has delegated authority to issue the </w:t>
      </w:r>
      <w:r>
        <w:rPr>
          <w:i/>
          <w:sz w:val="20"/>
        </w:rPr>
        <w:t>NAL</w:t>
      </w:r>
      <w:r w:rsidR="0081108E">
        <w:rPr>
          <w:i/>
          <w:sz w:val="20"/>
        </w:rPr>
        <w:t xml:space="preserve"> </w:t>
      </w:r>
      <w:r>
        <w:rPr>
          <w:sz w:val="20"/>
        </w:rPr>
        <w:t xml:space="preserve">under Section 0.283 of the Rules.  </w:t>
      </w:r>
      <w:r>
        <w:rPr>
          <w:i/>
          <w:sz w:val="20"/>
        </w:rPr>
        <w:t>See</w:t>
      </w:r>
      <w:r>
        <w:rPr>
          <w:sz w:val="20"/>
        </w:rPr>
        <w:t xml:space="preserve"> 47 C.F.R. § 0.283.  </w:t>
      </w:r>
    </w:p>
  </w:footnote>
  <w:footnote w:id="3">
    <w:p w:rsidR="00AB0E84" w:rsidRDefault="00AB0E84" w:rsidP="00AB0E84">
      <w:pPr>
        <w:pStyle w:val="Footer"/>
        <w:spacing w:after="120"/>
        <w:rPr>
          <w:sz w:val="20"/>
        </w:rPr>
      </w:pPr>
      <w:r>
        <w:rPr>
          <w:rStyle w:val="FootnoteReference"/>
          <w:sz w:val="20"/>
        </w:rPr>
        <w:footnoteRef/>
      </w:r>
      <w:r>
        <w:rPr>
          <w:sz w:val="20"/>
        </w:rPr>
        <w:t xml:space="preserve"> </w:t>
      </w:r>
      <w:r>
        <w:rPr>
          <w:i/>
          <w:sz w:val="20"/>
        </w:rPr>
        <w:t>See</w:t>
      </w:r>
      <w:r>
        <w:rPr>
          <w:sz w:val="20"/>
        </w:rPr>
        <w:t xml:space="preserve"> 47 C.F.R. § 73.3526. </w:t>
      </w:r>
    </w:p>
  </w:footnote>
  <w:footnote w:id="4">
    <w:p w:rsidR="002F609C" w:rsidRDefault="002F609C" w:rsidP="002F609C">
      <w:pPr>
        <w:pStyle w:val="FootnoteText"/>
        <w:spacing w:after="120"/>
      </w:pPr>
      <w:r>
        <w:rPr>
          <w:rStyle w:val="FootnoteReference"/>
        </w:rPr>
        <w:footnoteRef/>
      </w:r>
      <w:r>
        <w:t xml:space="preserve"> </w:t>
      </w:r>
      <w:r>
        <w:rPr>
          <w:i/>
        </w:rPr>
        <w:t xml:space="preserve">See </w:t>
      </w:r>
      <w:r>
        <w:t>47 C.F.R. § 73.1740.</w:t>
      </w:r>
    </w:p>
  </w:footnote>
  <w:footnote w:id="5">
    <w:p w:rsidR="002F609C" w:rsidRDefault="002F609C" w:rsidP="002F609C">
      <w:pPr>
        <w:pStyle w:val="FootnoteText"/>
        <w:spacing w:after="120"/>
      </w:pPr>
      <w:r>
        <w:rPr>
          <w:rStyle w:val="FootnoteReference"/>
        </w:rPr>
        <w:footnoteRef/>
      </w:r>
      <w:r>
        <w:t xml:space="preserve"> </w:t>
      </w:r>
      <w:r>
        <w:rPr>
          <w:i/>
        </w:rPr>
        <w:t xml:space="preserve">See </w:t>
      </w:r>
      <w:r>
        <w:t>47 C.F.R. §73.1740(a)(4).</w:t>
      </w:r>
    </w:p>
  </w:footnote>
  <w:footnote w:id="6">
    <w:p w:rsidR="00CB7573" w:rsidRDefault="00CB7573" w:rsidP="00E20F5B">
      <w:pPr>
        <w:pStyle w:val="Footer"/>
        <w:spacing w:after="120"/>
        <w:rPr>
          <w:sz w:val="20"/>
        </w:rPr>
      </w:pPr>
      <w:r>
        <w:rPr>
          <w:rStyle w:val="FootnoteReference"/>
          <w:sz w:val="20"/>
        </w:rPr>
        <w:footnoteRef/>
      </w:r>
      <w:r>
        <w:rPr>
          <w:sz w:val="20"/>
        </w:rPr>
        <w:t xml:space="preserve"> </w:t>
      </w:r>
      <w:r>
        <w:rPr>
          <w:i/>
          <w:sz w:val="20"/>
        </w:rPr>
        <w:t>Cf</w:t>
      </w:r>
      <w:r>
        <w:rPr>
          <w:sz w:val="20"/>
        </w:rPr>
        <w:t xml:space="preserve">. </w:t>
      </w:r>
      <w:r>
        <w:rPr>
          <w:i/>
          <w:sz w:val="20"/>
        </w:rPr>
        <w:t>Letter to Kathleen N. Benfield</w:t>
      </w:r>
      <w:r>
        <w:rPr>
          <w:sz w:val="20"/>
        </w:rPr>
        <w:t xml:space="preserve">, 13 FCC Rcd 4102 (MMB 1997), citing </w:t>
      </w:r>
      <w:r>
        <w:rPr>
          <w:i/>
          <w:sz w:val="20"/>
        </w:rPr>
        <w:t>License Renewal Applications of Certain Commercial Radio Stations,</w:t>
      </w:r>
      <w:r>
        <w:rPr>
          <w:sz w:val="20"/>
        </w:rPr>
        <w:t xml:space="preserve"> Memorandum Opinion and Order, 8 FCC Rcd 6400 (MMB 1993).  </w:t>
      </w:r>
    </w:p>
  </w:footnote>
  <w:footnote w:id="7">
    <w:p w:rsidR="00CB7573" w:rsidRDefault="00CB7573" w:rsidP="00E20F5B">
      <w:pPr>
        <w:pStyle w:val="Footer"/>
        <w:spacing w:after="120"/>
        <w:rPr>
          <w:sz w:val="20"/>
        </w:rPr>
      </w:pPr>
      <w:r>
        <w:rPr>
          <w:rStyle w:val="FootnoteReference"/>
          <w:sz w:val="20"/>
        </w:rPr>
        <w:footnoteRef/>
      </w:r>
      <w:r>
        <w:rPr>
          <w:sz w:val="20"/>
        </w:rPr>
        <w:t xml:space="preserve"> </w:t>
      </w:r>
      <w:r>
        <w:rPr>
          <w:i/>
          <w:sz w:val="20"/>
        </w:rPr>
        <w:t>See</w:t>
      </w:r>
      <w:r>
        <w:rPr>
          <w:sz w:val="20"/>
        </w:rPr>
        <w:t xml:space="preserve"> 47 C.F.R. </w:t>
      </w:r>
      <w:r w:rsidR="00F12809">
        <w:rPr>
          <w:sz w:val="20"/>
        </w:rPr>
        <w:t xml:space="preserve">§ </w:t>
      </w:r>
      <w:r>
        <w:rPr>
          <w:sz w:val="20"/>
        </w:rPr>
        <w:t>73.3526(e)(12).</w:t>
      </w:r>
    </w:p>
  </w:footnote>
  <w:footnote w:id="8">
    <w:p w:rsidR="00CB7573" w:rsidRDefault="00CB7573" w:rsidP="00E20F5B">
      <w:pPr>
        <w:pStyle w:val="Footer"/>
        <w:spacing w:after="120"/>
        <w:rPr>
          <w:sz w:val="20"/>
        </w:rPr>
      </w:pPr>
      <w:r>
        <w:rPr>
          <w:rStyle w:val="FootnoteReference"/>
          <w:sz w:val="20"/>
        </w:rPr>
        <w:footnoteRef/>
      </w:r>
      <w:r>
        <w:rPr>
          <w:sz w:val="20"/>
        </w:rPr>
        <w:t xml:space="preserve"> </w:t>
      </w:r>
      <w:r w:rsidR="002F7FA9">
        <w:rPr>
          <w:sz w:val="20"/>
        </w:rPr>
        <w:t xml:space="preserve">Application, </w:t>
      </w:r>
      <w:r>
        <w:rPr>
          <w:sz w:val="20"/>
        </w:rPr>
        <w:t xml:space="preserve">Exhibit 12, </w:t>
      </w:r>
      <w:r w:rsidR="00F81E0E">
        <w:rPr>
          <w:sz w:val="20"/>
        </w:rPr>
        <w:t>as amended</w:t>
      </w:r>
      <w:r w:rsidR="002F7FA9">
        <w:rPr>
          <w:sz w:val="20"/>
        </w:rPr>
        <w:t xml:space="preserve"> on May 12, 2015.  </w:t>
      </w:r>
      <w:r w:rsidR="001672EF">
        <w:rPr>
          <w:sz w:val="20"/>
        </w:rPr>
        <w:t>Due to Mr. Larko’s death, Licensee filed an involuntary transfer of control application (File No</w:t>
      </w:r>
      <w:r w:rsidR="00787161" w:rsidRPr="00787161">
        <w:rPr>
          <w:sz w:val="20"/>
        </w:rPr>
        <w:t xml:space="preserve">. </w:t>
      </w:r>
      <w:r w:rsidR="00787161" w:rsidRPr="00787161">
        <w:rPr>
          <w:color w:val="000000"/>
          <w:sz w:val="20"/>
          <w:shd w:val="clear" w:color="auto" w:fill="FFFFFF"/>
        </w:rPr>
        <w:t>BTCH-20120402ACQ</w:t>
      </w:r>
      <w:r w:rsidR="00787161">
        <w:rPr>
          <w:color w:val="000000"/>
          <w:sz w:val="20"/>
          <w:shd w:val="clear" w:color="auto" w:fill="FFFFFF"/>
        </w:rPr>
        <w:t>) that was granted on April 30, 2012.</w:t>
      </w:r>
    </w:p>
  </w:footnote>
  <w:footnote w:id="9">
    <w:p w:rsidR="006A6E99" w:rsidRDefault="006A6E99" w:rsidP="00E20F5B">
      <w:pPr>
        <w:pStyle w:val="FootnoteText"/>
        <w:spacing w:after="120"/>
      </w:pPr>
      <w:r>
        <w:rPr>
          <w:rStyle w:val="FootnoteReference"/>
        </w:rPr>
        <w:footnoteRef/>
      </w:r>
      <w:r>
        <w:t xml:space="preserve"> 47 C.F.R. § 73.1740.</w:t>
      </w:r>
    </w:p>
  </w:footnote>
  <w:footnote w:id="10">
    <w:p w:rsidR="00003881" w:rsidRDefault="00003881" w:rsidP="00003881">
      <w:pPr>
        <w:pStyle w:val="FootnoteText"/>
        <w:spacing w:after="120"/>
      </w:pPr>
      <w:r>
        <w:rPr>
          <w:rStyle w:val="FootnoteReference"/>
        </w:rPr>
        <w:footnoteRef/>
      </w:r>
      <w:r>
        <w:t xml:space="preserve"> </w:t>
      </w:r>
      <w:r w:rsidR="002E1315">
        <w:t xml:space="preserve">Application, </w:t>
      </w:r>
      <w:r>
        <w:t>Exhibit 13, as originally filed.</w:t>
      </w:r>
    </w:p>
  </w:footnote>
  <w:footnote w:id="11">
    <w:p w:rsidR="00003881" w:rsidRDefault="00003881" w:rsidP="00003881">
      <w:pPr>
        <w:pStyle w:val="FootnoteText"/>
        <w:spacing w:after="120"/>
      </w:pPr>
      <w:r>
        <w:rPr>
          <w:rStyle w:val="FootnoteReference"/>
        </w:rPr>
        <w:footnoteRef/>
      </w:r>
      <w:r>
        <w:t xml:space="preserve"> </w:t>
      </w:r>
      <w:r w:rsidR="002E1315">
        <w:t xml:space="preserve">Application, </w:t>
      </w:r>
      <w:r>
        <w:t>Exhibit 13, as amended</w:t>
      </w:r>
      <w:r w:rsidR="002E1315">
        <w:t xml:space="preserve"> on May 12, 2015</w:t>
      </w:r>
      <w:r>
        <w:t>.</w:t>
      </w:r>
    </w:p>
  </w:footnote>
  <w:footnote w:id="12">
    <w:p w:rsidR="00A77B5F" w:rsidRPr="00BC5C0E" w:rsidRDefault="00A77B5F" w:rsidP="001672EF">
      <w:pPr>
        <w:pStyle w:val="FootnoteText"/>
        <w:spacing w:after="120"/>
      </w:pPr>
      <w:r w:rsidRPr="00BC5C0E">
        <w:rPr>
          <w:rStyle w:val="FootnoteReference"/>
        </w:rPr>
        <w:footnoteRef/>
      </w:r>
      <w:r w:rsidRPr="00BC5C0E">
        <w:t xml:space="preserve"> </w:t>
      </w:r>
      <w:r w:rsidRPr="00BC5C0E">
        <w:rPr>
          <w:i/>
        </w:rPr>
        <w:t>See Padre Serra Communications, Inc.</w:t>
      </w:r>
      <w:r w:rsidRPr="00BC5C0E">
        <w:t>, Letter, 14 FCC Rcd 9709 (MMB 1999) (citing</w:t>
      </w:r>
      <w:r w:rsidRPr="00BC5C0E">
        <w:rPr>
          <w:i/>
        </w:rPr>
        <w:t xml:space="preserve"> Gaffney Broadcasting, Inc</w:t>
      </w:r>
      <w:r w:rsidRPr="00BC5C0E">
        <w:t>., Memorandum Opinion and Order, 23 FCC 2d 912, 913 (1970) and</w:t>
      </w:r>
      <w:r w:rsidRPr="00BC5C0E">
        <w:rPr>
          <w:i/>
        </w:rPr>
        <w:t xml:space="preserve"> Eleven Ten Broadcasting Corp</w:t>
      </w:r>
      <w:r w:rsidRPr="00BC5C0E">
        <w:t>., Notice of Apparent Liability, 33 FCC</w:t>
      </w:r>
      <w:r w:rsidRPr="00BC5C0E">
        <w:rPr>
          <w:b/>
        </w:rPr>
        <w:t xml:space="preserve"> </w:t>
      </w:r>
      <w:r w:rsidRPr="00BC5C0E">
        <w:t xml:space="preserve">706 (1962)); </w:t>
      </w:r>
      <w:r w:rsidRPr="00BC5C0E">
        <w:rPr>
          <w:i/>
        </w:rPr>
        <w:t>Surrey Front Range Limited Partnership</w:t>
      </w:r>
      <w:r w:rsidRPr="00BC5C0E">
        <w:t>, Notice of Apparent Liability, 7 FCC Rcd 6361 (FOB 1992).</w:t>
      </w:r>
    </w:p>
  </w:footnote>
  <w:footnote w:id="13">
    <w:p w:rsidR="0049359F" w:rsidRDefault="0049359F" w:rsidP="001672EF">
      <w:pPr>
        <w:pStyle w:val="FootnoteText"/>
        <w:spacing w:after="120"/>
      </w:pPr>
      <w:r>
        <w:rPr>
          <w:rStyle w:val="FootnoteReference"/>
        </w:rPr>
        <w:footnoteRef/>
      </w:r>
      <w:r>
        <w:t xml:space="preserve"> </w:t>
      </w:r>
      <w:r w:rsidR="0026225F">
        <w:t xml:space="preserve">Application, </w:t>
      </w:r>
      <w:r>
        <w:t>Exhibit 9, as amended</w:t>
      </w:r>
      <w:r w:rsidR="0026225F">
        <w:t xml:space="preserve"> on May 12, 2015</w:t>
      </w:r>
      <w:r>
        <w:t>.</w:t>
      </w:r>
      <w:r w:rsidR="00BA0B5F">
        <w:t xml:space="preserve">  </w:t>
      </w:r>
      <w:r w:rsidR="00BA0B5F">
        <w:rPr>
          <w:i/>
        </w:rPr>
        <w:t xml:space="preserve">See also </w:t>
      </w:r>
      <w:r w:rsidR="00BA0B5F">
        <w:t xml:space="preserve">File No. BOA- 20110714ACB.  Larko erroneously claims that this ownership report was </w:t>
      </w:r>
      <w:r w:rsidR="00DF63E7">
        <w:t xml:space="preserve">late because </w:t>
      </w:r>
      <w:r w:rsidR="00BA0B5F">
        <w:t xml:space="preserve">it was </w:t>
      </w:r>
      <w:r w:rsidR="00DF63E7">
        <w:t xml:space="preserve">previously </w:t>
      </w:r>
      <w:r w:rsidR="00BA0B5F">
        <w:t xml:space="preserve">blocked by the Commission’s red light policy.  It is clear, however, that </w:t>
      </w:r>
      <w:r w:rsidR="00DF63E7">
        <w:t>report’s tardiness is due entirely to Larko because it did not execute the report until July 8, 2011</w:t>
      </w:r>
      <w:r w:rsidR="00F47DB6">
        <w:t>.</w:t>
      </w:r>
      <w:r w:rsidR="00BA0B5F">
        <w:t xml:space="preserve">   </w:t>
      </w:r>
    </w:p>
  </w:footnote>
  <w:footnote w:id="14">
    <w:p w:rsidR="00665F4C" w:rsidRPr="00665F4C" w:rsidRDefault="00665F4C" w:rsidP="00665F4C">
      <w:pPr>
        <w:pStyle w:val="FootnoteText"/>
        <w:spacing w:after="120"/>
      </w:pPr>
      <w:r>
        <w:rPr>
          <w:rStyle w:val="FootnoteReference"/>
        </w:rPr>
        <w:footnoteRef/>
      </w:r>
      <w:r>
        <w:t xml:space="preserve"> </w:t>
      </w:r>
      <w:r w:rsidRPr="00665F4C">
        <w:rPr>
          <w:i/>
        </w:rPr>
        <w:t>See</w:t>
      </w:r>
      <w:r>
        <w:rPr>
          <w:i/>
        </w:rPr>
        <w:t xml:space="preserve"> </w:t>
      </w:r>
      <w:r>
        <w:t>47 C.F.R. §§ 1</w:t>
      </w:r>
      <w:r w:rsidR="0026225F">
        <w:t>.1</w:t>
      </w:r>
      <w:r>
        <w:t xml:space="preserve">910(b)(2), (b)(3).  </w:t>
      </w:r>
      <w:r>
        <w:rPr>
          <w:i/>
        </w:rPr>
        <w:t xml:space="preserve"> See also Telseven, LLC</w:t>
      </w:r>
      <w:r>
        <w:t>, Notice of Apparent Liability for Forfeiture, 27 FCC Rcd 6636, 6638 (2012) (“under its ‘red light rule’ the Commission withholds action on applications . . . and ultimately dismisses . . . if the delinquencies are not resolved.”).</w:t>
      </w:r>
    </w:p>
  </w:footnote>
  <w:footnote w:id="15">
    <w:p w:rsidR="00665F4C" w:rsidRPr="00D5325A" w:rsidRDefault="00665F4C" w:rsidP="00D5325A">
      <w:pPr>
        <w:pStyle w:val="FootnoteText"/>
        <w:spacing w:after="120"/>
      </w:pPr>
      <w:r>
        <w:rPr>
          <w:rStyle w:val="FootnoteReference"/>
        </w:rPr>
        <w:footnoteRef/>
      </w:r>
      <w:r>
        <w:t xml:space="preserve"> </w:t>
      </w:r>
      <w:r w:rsidRPr="00665F4C">
        <w:rPr>
          <w:i/>
        </w:rPr>
        <w:t>See</w:t>
      </w:r>
      <w:r w:rsidR="006B44F2">
        <w:rPr>
          <w:i/>
        </w:rPr>
        <w:t xml:space="preserve">, e.g., </w:t>
      </w:r>
      <w:r w:rsidR="006B44F2">
        <w:t>47 C.F.R. § 1.1910(a) (applications “will be examined to determine if the applicant has paid the appropriate application fee</w:t>
      </w:r>
      <w:r w:rsidR="007A076A">
        <w:t>,</w:t>
      </w:r>
      <w:r w:rsidR="006B44F2">
        <w:t xml:space="preserve"> appropriate regulatory fees, is delinquent in its debts owed the Commission . . .”);</w:t>
      </w:r>
      <w:r>
        <w:rPr>
          <w:i/>
        </w:rPr>
        <w:t xml:space="preserve"> </w:t>
      </w:r>
      <w:r w:rsidR="00D5325A" w:rsidRPr="00D5325A">
        <w:rPr>
          <w:i/>
        </w:rPr>
        <w:t>see also</w:t>
      </w:r>
      <w:r w:rsidR="00D5325A">
        <w:t xml:space="preserve"> </w:t>
      </w:r>
      <w:r w:rsidR="00D5325A" w:rsidRPr="00D5325A">
        <w:rPr>
          <w:i/>
        </w:rPr>
        <w:t>Jerry  Russell d/b/a the Russell Company and Hanszen Broadcasting</w:t>
      </w:r>
      <w:r w:rsidR="00D5325A">
        <w:t xml:space="preserve">, </w:t>
      </w:r>
      <w:r w:rsidR="00D5325A" w:rsidRPr="00BC5C0E">
        <w:t>Memorandum Opinion and Order</w:t>
      </w:r>
      <w:r w:rsidR="00D5325A">
        <w:t>, 27 FCC Rcd 8323, 8331, n.18 (renewal filed without filing fee accepted but “staff was unable to grant the application due to a ‘red light’ hold for failure to pay regulatory fees.</w:t>
      </w:r>
      <w:r w:rsidR="002F7FA9">
        <w:t>”</w:t>
      </w:r>
      <w:r w:rsidR="00D5325A">
        <w:t xml:space="preserve">). </w:t>
      </w:r>
    </w:p>
  </w:footnote>
  <w:footnote w:id="16">
    <w:p w:rsidR="0081108E" w:rsidRDefault="0081108E" w:rsidP="001672EF">
      <w:pPr>
        <w:pStyle w:val="FootnoteText"/>
        <w:spacing w:after="120"/>
      </w:pPr>
      <w:r>
        <w:rPr>
          <w:rStyle w:val="FootnoteReference"/>
        </w:rPr>
        <w:footnoteRef/>
      </w:r>
      <w:r>
        <w:t xml:space="preserve"> 47 U.S.C. § 503(b)(1)(B).  </w:t>
      </w:r>
      <w:r>
        <w:rPr>
          <w:i/>
        </w:rPr>
        <w:t>S</w:t>
      </w:r>
      <w:r>
        <w:rPr>
          <w:i/>
          <w:iCs/>
        </w:rPr>
        <w:t>ee also</w:t>
      </w:r>
      <w:r>
        <w:t xml:space="preserve"> 47 C.F.R. § 1.80(a)(1).</w:t>
      </w:r>
    </w:p>
  </w:footnote>
  <w:footnote w:id="17">
    <w:p w:rsidR="0081108E" w:rsidRDefault="0081108E" w:rsidP="001672EF">
      <w:pPr>
        <w:pStyle w:val="FootnoteText"/>
        <w:spacing w:after="120"/>
      </w:pPr>
      <w:r>
        <w:rPr>
          <w:rStyle w:val="FootnoteReference"/>
        </w:rPr>
        <w:footnoteRef/>
      </w:r>
      <w:r>
        <w:t xml:space="preserve"> 47 U.S.C. § 312(f)(1).</w:t>
      </w:r>
    </w:p>
  </w:footnote>
  <w:footnote w:id="18">
    <w:p w:rsidR="0081108E" w:rsidRDefault="0081108E" w:rsidP="001672EF">
      <w:pPr>
        <w:pStyle w:val="FootnoteText"/>
        <w:spacing w:after="120"/>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9">
    <w:p w:rsidR="0081108E" w:rsidRDefault="0081108E" w:rsidP="001672EF">
      <w:pPr>
        <w:pStyle w:val="FootnoteText"/>
        <w:spacing w:after="120"/>
      </w:pPr>
      <w:r>
        <w:rPr>
          <w:rStyle w:val="FootnoteReference"/>
        </w:rPr>
        <w:footnoteRef/>
      </w:r>
      <w:r>
        <w:rPr>
          <w:i/>
          <w:iCs/>
        </w:rPr>
        <w:t xml:space="preserve"> See Southern California Broadcasting Co.</w:t>
      </w:r>
      <w:r>
        <w:t>, Memorandum Opinion and Order, 6 FCC Rcd 4387, 4388 (1991) (“</w:t>
      </w:r>
      <w:r>
        <w:rPr>
          <w:i/>
        </w:rPr>
        <w:t>Southern California</w:t>
      </w:r>
      <w:r>
        <w:t>”).</w:t>
      </w:r>
    </w:p>
  </w:footnote>
  <w:footnote w:id="20">
    <w:p w:rsidR="0081108E" w:rsidRDefault="0081108E" w:rsidP="001672EF">
      <w:pPr>
        <w:pStyle w:val="FootnoteText"/>
        <w:spacing w:after="120"/>
      </w:pPr>
      <w:r>
        <w:rPr>
          <w:rStyle w:val="FootnoteReference"/>
        </w:rPr>
        <w:footnoteRef/>
      </w:r>
      <w:r>
        <w:t xml:space="preserve"> 47 U.S.C. § 312(f)(2). </w:t>
      </w:r>
    </w:p>
  </w:footnote>
  <w:footnote w:id="21">
    <w:p w:rsidR="002B3879" w:rsidRDefault="002B3879" w:rsidP="001672EF">
      <w:pPr>
        <w:pStyle w:val="FootnoteText"/>
        <w:spacing w:after="120"/>
      </w:pPr>
      <w:r>
        <w:rPr>
          <w:rStyle w:val="FootnoteReference"/>
        </w:rPr>
        <w:footnoteRef/>
      </w:r>
      <w:r>
        <w:t xml:space="preserve"> </w:t>
      </w:r>
      <w:r>
        <w:rPr>
          <w:i/>
        </w:rPr>
        <w:t>See Forfeiture Policy Statement 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t>, 15 FCC Rcd 303 (1999); 47 C.F.R. § 1.80(b)(4), note to paragraph (b)(4), Section I.</w:t>
      </w:r>
    </w:p>
  </w:footnote>
  <w:footnote w:id="22">
    <w:p w:rsidR="002B3879" w:rsidRDefault="002B3879" w:rsidP="001672EF">
      <w:pPr>
        <w:pStyle w:val="Footer"/>
        <w:spacing w:after="120"/>
        <w:rPr>
          <w:sz w:val="20"/>
        </w:rPr>
      </w:pPr>
      <w:r>
        <w:rPr>
          <w:rStyle w:val="FootnoteReference"/>
          <w:sz w:val="20"/>
        </w:rPr>
        <w:footnoteRef/>
      </w:r>
      <w:r>
        <w:rPr>
          <w:sz w:val="20"/>
        </w:rPr>
        <w:t xml:space="preserve"> 47 U.S.C. § 503(b)(2)(D); </w:t>
      </w:r>
      <w:r>
        <w:rPr>
          <w:i/>
          <w:sz w:val="20"/>
        </w:rPr>
        <w:t>see also Forfeiture Policy Statement</w:t>
      </w:r>
      <w:r>
        <w:rPr>
          <w:sz w:val="20"/>
        </w:rPr>
        <w:t>, 12 FCC Rcd at 17100; 47 C.F.R. § 1.80(b)(4).</w:t>
      </w:r>
    </w:p>
  </w:footnote>
  <w:footnote w:id="23">
    <w:p w:rsidR="00D53108" w:rsidRDefault="00D53108" w:rsidP="00D53108">
      <w:pPr>
        <w:pStyle w:val="Footer"/>
        <w:spacing w:after="120"/>
        <w:rPr>
          <w:sz w:val="20"/>
        </w:rPr>
      </w:pPr>
      <w:r>
        <w:rPr>
          <w:rStyle w:val="FootnoteReference"/>
          <w:sz w:val="20"/>
        </w:rPr>
        <w:footnoteRef/>
      </w:r>
      <w:r>
        <w:rPr>
          <w:sz w:val="20"/>
        </w:rPr>
        <w:t xml:space="preserve"> </w:t>
      </w:r>
      <w:r>
        <w:rPr>
          <w:i/>
          <w:sz w:val="20"/>
        </w:rPr>
        <w:t xml:space="preserve">See, e.g., </w:t>
      </w:r>
      <w:r w:rsidR="00243EC2">
        <w:rPr>
          <w:i/>
          <w:sz w:val="20"/>
        </w:rPr>
        <w:t xml:space="preserve">Adelante Media of California License, LLC, </w:t>
      </w:r>
      <w:r>
        <w:rPr>
          <w:sz w:val="20"/>
        </w:rPr>
        <w:t>Memorandum Opinion and Order and Notice of Apparent Liability for Forfeiture,</w:t>
      </w:r>
      <w:r w:rsidR="00243EC2">
        <w:rPr>
          <w:sz w:val="20"/>
        </w:rPr>
        <w:t xml:space="preserve"> 28 FCC Rcd 16896 (MB 2013) </w:t>
      </w:r>
      <w:r>
        <w:rPr>
          <w:sz w:val="20"/>
        </w:rPr>
        <w:t>(proposing a $</w:t>
      </w:r>
      <w:r w:rsidR="00243EC2">
        <w:rPr>
          <w:sz w:val="20"/>
        </w:rPr>
        <w:t>10</w:t>
      </w:r>
      <w:r>
        <w:rPr>
          <w:sz w:val="20"/>
        </w:rPr>
        <w:t xml:space="preserve">,000 forfeiture for </w:t>
      </w:r>
      <w:r w:rsidR="00243EC2">
        <w:rPr>
          <w:sz w:val="20"/>
        </w:rPr>
        <w:t xml:space="preserve">nine </w:t>
      </w:r>
      <w:r>
        <w:rPr>
          <w:sz w:val="20"/>
        </w:rPr>
        <w:t>missing issues and programs lists).</w:t>
      </w:r>
    </w:p>
  </w:footnote>
  <w:footnote w:id="24">
    <w:p w:rsidR="00D53108" w:rsidRPr="00D53108" w:rsidRDefault="00D53108" w:rsidP="00F811D2">
      <w:pPr>
        <w:pStyle w:val="FootnoteText"/>
        <w:spacing w:after="120"/>
        <w:rPr>
          <w:b/>
          <w:szCs w:val="22"/>
        </w:rPr>
      </w:pPr>
      <w:r>
        <w:rPr>
          <w:rStyle w:val="FootnoteReference"/>
        </w:rPr>
        <w:footnoteRef/>
      </w:r>
      <w:r>
        <w:t xml:space="preserve"> </w:t>
      </w:r>
      <w:r>
        <w:rPr>
          <w:i/>
        </w:rPr>
        <w:t>See, e.g., WTRI Holding, LLC,</w:t>
      </w:r>
      <w:r>
        <w:t xml:space="preserve"> Memorandum Opinion and Order and Notice of Apparent Liability for Forfeiture. </w:t>
      </w:r>
      <w:r w:rsidR="00243EC2">
        <w:t xml:space="preserve"> 29 FCC Rcd 3236 (MB 2014)</w:t>
      </w:r>
      <w:r>
        <w:t xml:space="preserve"> (proposi</w:t>
      </w:r>
      <w:r w:rsidR="00243EC2">
        <w:t xml:space="preserve">ng $5,000 forfeiture for </w:t>
      </w:r>
      <w:r w:rsidR="005E58F2">
        <w:t xml:space="preserve">a seven </w:t>
      </w:r>
      <w:r>
        <w:t>month</w:t>
      </w:r>
      <w:r w:rsidR="005E58F2">
        <w:t xml:space="preserve"> </w:t>
      </w:r>
      <w:r>
        <w:t>unauthorized discontinuance of service)</w:t>
      </w:r>
      <w:r w:rsidR="00243EC2">
        <w:t>.</w:t>
      </w:r>
      <w:r w:rsidR="00F811D2">
        <w:t xml:space="preserve"> (“</w:t>
      </w:r>
      <w:r w:rsidR="00F811D2">
        <w:rPr>
          <w:i/>
        </w:rPr>
        <w:t>WTRI”</w:t>
      </w:r>
      <w:r w:rsidR="00F811D2">
        <w:t>).</w:t>
      </w:r>
    </w:p>
  </w:footnote>
  <w:footnote w:id="25">
    <w:p w:rsidR="00243EC2" w:rsidRPr="00E7504D" w:rsidRDefault="00243EC2" w:rsidP="005260DC">
      <w:pPr>
        <w:pStyle w:val="FootnoteText"/>
        <w:spacing w:after="120"/>
      </w:pPr>
      <w:r w:rsidRPr="00E7504D">
        <w:rPr>
          <w:rStyle w:val="FootnoteReference"/>
        </w:rPr>
        <w:footnoteRef/>
      </w:r>
      <w:r w:rsidRPr="00E7504D">
        <w:rPr>
          <w:i/>
        </w:rPr>
        <w:t xml:space="preserve"> </w:t>
      </w:r>
      <w:r w:rsidRPr="00E7504D">
        <w:t>47 U.S.C. § 309(k).</w:t>
      </w:r>
    </w:p>
  </w:footnote>
  <w:footnote w:id="26">
    <w:p w:rsidR="00243EC2" w:rsidRPr="00E7504D" w:rsidRDefault="00243EC2" w:rsidP="005260DC">
      <w:pPr>
        <w:pStyle w:val="FootnoteText"/>
        <w:spacing w:after="120"/>
      </w:pPr>
      <w:r w:rsidRPr="00E7504D">
        <w:rPr>
          <w:rStyle w:val="FootnoteReference"/>
        </w:rPr>
        <w:footnoteRef/>
      </w:r>
      <w:r w:rsidRPr="00E7504D">
        <w:t xml:space="preserve"> 47 U.S.C. § 309(k)(1).  </w:t>
      </w:r>
    </w:p>
  </w:footnote>
  <w:footnote w:id="27">
    <w:p w:rsidR="00243EC2" w:rsidRPr="00E7504D" w:rsidRDefault="00243EC2" w:rsidP="005260DC">
      <w:pPr>
        <w:pStyle w:val="FootnoteText"/>
        <w:spacing w:after="120"/>
      </w:pPr>
      <w:r w:rsidRPr="00E7504D">
        <w:rPr>
          <w:rStyle w:val="FootnoteReference"/>
        </w:rPr>
        <w:footnoteRef/>
      </w:r>
      <w:r w:rsidRPr="00E7504D">
        <w:t xml:space="preserve"> 47 U.S.C. §§ 309(k)(2), 309(k)(3).</w:t>
      </w:r>
    </w:p>
  </w:footnote>
  <w:footnote w:id="28">
    <w:p w:rsidR="00243EC2" w:rsidRPr="00E7504D" w:rsidRDefault="00243EC2" w:rsidP="005260DC">
      <w:pPr>
        <w:pStyle w:val="FootnoteText"/>
        <w:spacing w:after="120"/>
      </w:pPr>
      <w:r w:rsidRPr="00E7504D">
        <w:rPr>
          <w:rStyle w:val="FootnoteReference"/>
        </w:rPr>
        <w:footnoteRef/>
      </w:r>
      <w:r w:rsidRPr="00E7504D">
        <w:t xml:space="preserve"> For example, we do not find here that Licensee's Station operation "was conducted in an exceedingly careless, inept and negligent manner and that the licensee is either incapable of correcting or unwilling to correct the operating deficiencies."  </w:t>
      </w:r>
      <w:r w:rsidRPr="00E7504D">
        <w:rPr>
          <w:i/>
        </w:rPr>
        <w:t>See Heart of the Black Hills Stations</w:t>
      </w:r>
      <w:r w:rsidRPr="00E7504D">
        <w:t xml:space="preserve">, 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r w:rsidRPr="00E7504D">
        <w:rPr>
          <w:i/>
        </w:rPr>
        <w:t>Id</w:t>
      </w:r>
      <w:r w:rsidRPr="00E7504D">
        <w:t xml:space="preserve">. at 200.  </w:t>
      </w:r>
      <w:r w:rsidRPr="00E7504D">
        <w:rPr>
          <w:i/>
        </w:rPr>
        <w:t>See also Center for Study and Application of Black Economic Development</w:t>
      </w:r>
      <w:r w:rsidRPr="00E7504D">
        <w:t xml:space="preserve">, Hearing Designation Order, 6 FCC Rcd 4622 (1991); </w:t>
      </w:r>
      <w:r w:rsidRPr="00E7504D">
        <w:rPr>
          <w:i/>
        </w:rPr>
        <w:t>Calvary Educational Broadcasting Network, Inc</w:t>
      </w:r>
      <w:r w:rsidRPr="00E7504D">
        <w:t>., Hearing Designation Order, 7 FCC Rcd 4037 (1992).</w:t>
      </w:r>
    </w:p>
  </w:footnote>
  <w:footnote w:id="29">
    <w:p w:rsidR="00F811D2" w:rsidRPr="00FC71D2" w:rsidRDefault="00F811D2" w:rsidP="00F811D2">
      <w:pPr>
        <w:pStyle w:val="FootnoteText"/>
      </w:pPr>
      <w:r>
        <w:rPr>
          <w:rStyle w:val="FootnoteReference"/>
        </w:rPr>
        <w:footnoteRef/>
      </w:r>
      <w:r>
        <w:t xml:space="preserve"> In particular, we find that the Station’s silent period does not warrant a short-term renewal as the Station was only silent for </w:t>
      </w:r>
      <w:r w:rsidR="00EF5A9A">
        <w:t xml:space="preserve">ten </w:t>
      </w:r>
      <w:r>
        <w:t>months out of its 8</w:t>
      </w:r>
      <w:r w:rsidR="00A626B7">
        <w:t>-</w:t>
      </w:r>
      <w:r>
        <w:t xml:space="preserve">year license term.  </w:t>
      </w:r>
      <w:r>
        <w:rPr>
          <w:i/>
        </w:rPr>
        <w:t>See e.g.</w:t>
      </w:r>
      <w:r w:rsidR="00FC71D2">
        <w:rPr>
          <w:i/>
        </w:rPr>
        <w:t>,</w:t>
      </w:r>
      <w:r>
        <w:rPr>
          <w:i/>
        </w:rPr>
        <w:t xml:space="preserve"> WTRI</w:t>
      </w:r>
      <w:r w:rsidR="00FC71D2">
        <w:t xml:space="preserve">, 29 FCC Rcd </w:t>
      </w:r>
      <w:r w:rsidR="001672EF">
        <w:t xml:space="preserve">3236 </w:t>
      </w:r>
      <w:r w:rsidR="00FC71D2">
        <w:t xml:space="preserve">(granting full term renewal where </w:t>
      </w:r>
      <w:r w:rsidR="00EF5A9A">
        <w:t>s</w:t>
      </w:r>
      <w:r w:rsidR="00FC71D2">
        <w:t xml:space="preserve">tation </w:t>
      </w:r>
      <w:r w:rsidR="00EF5A9A">
        <w:t xml:space="preserve">was </w:t>
      </w:r>
      <w:r w:rsidR="00FC71D2">
        <w:t>silent for</w:t>
      </w:r>
      <w:r w:rsidR="002B00CF">
        <w:t xml:space="preserve"> </w:t>
      </w:r>
      <w:r w:rsidR="00EF5A9A">
        <w:t xml:space="preserve">over seven </w:t>
      </w:r>
      <w:r w:rsidR="00FC71D2">
        <w:t xml:space="preserve">months); </w:t>
      </w:r>
      <w:r w:rsidR="00FC71D2">
        <w:rPr>
          <w:i/>
        </w:rPr>
        <w:t>cf.</w:t>
      </w:r>
      <w:r w:rsidR="002F7FA9">
        <w:t xml:space="preserve"> </w:t>
      </w:r>
      <w:r w:rsidR="00FC71D2" w:rsidRPr="00C54B14">
        <w:rPr>
          <w:i/>
        </w:rPr>
        <w:t>LKCM Radio Group, L.P.</w:t>
      </w:r>
      <w:r w:rsidR="00C54B14" w:rsidRPr="00C54B14">
        <w:rPr>
          <w:i/>
        </w:rPr>
        <w:t>,</w:t>
      </w:r>
      <w:r w:rsidR="00C54B14">
        <w:t xml:space="preserve"> Memorandum Opinion and Order and Notice of Apparent Liability for Forfeiture, </w:t>
      </w:r>
      <w:r w:rsidR="001672EF">
        <w:t xml:space="preserve">29 </w:t>
      </w:r>
      <w:r w:rsidR="00C54B14">
        <w:t xml:space="preserve">FCC Rcd </w:t>
      </w:r>
      <w:r w:rsidR="001672EF">
        <w:t>1045 (MB 2014) (</w:t>
      </w:r>
      <w:r w:rsidR="00C54B14">
        <w:t>two year short-term renewal issued where station was silent for nearly half of its license term).</w:t>
      </w:r>
      <w:r w:rsidR="00FC71D2">
        <w:t xml:space="preserve"> </w:t>
      </w:r>
    </w:p>
  </w:footnote>
  <w:footnote w:id="30">
    <w:p w:rsidR="00D717D8" w:rsidRDefault="00D717D8" w:rsidP="00E20F5B">
      <w:pPr>
        <w:pStyle w:val="Footer"/>
        <w:spacing w:after="120"/>
        <w:rPr>
          <w:sz w:val="20"/>
        </w:rPr>
      </w:pPr>
      <w:r>
        <w:rPr>
          <w:rStyle w:val="FootnoteReference"/>
          <w:sz w:val="20"/>
        </w:rPr>
        <w:footnoteRef/>
      </w:r>
      <w:r>
        <w:rPr>
          <w:sz w:val="20"/>
        </w:rPr>
        <w:t xml:space="preserve"> </w:t>
      </w:r>
      <w:r>
        <w:rPr>
          <w:i/>
          <w:sz w:val="20"/>
        </w:rPr>
        <w:t>See</w:t>
      </w:r>
      <w:r>
        <w:rPr>
          <w:sz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489" w:rsidRDefault="00C85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D8" w:rsidRDefault="00D717D8">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DA </w:t>
    </w:r>
    <w:r w:rsidR="00F130C1" w:rsidRPr="00F130C1">
      <w:rPr>
        <w:b/>
        <w:szCs w:val="22"/>
      </w:rPr>
      <w:t>15-850</w:t>
    </w:r>
  </w:p>
  <w:p w:rsidR="00D717D8" w:rsidRDefault="00E20F5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DF92E96" wp14:editId="7B7CEBAF">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88B64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D717D8" w:rsidRDefault="00D717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7D8" w:rsidRDefault="00D717D8">
    <w:pPr>
      <w:pStyle w:val="Header"/>
      <w:tabs>
        <w:tab w:val="clear" w:pos="4320"/>
        <w:tab w:val="clear" w:pos="8640"/>
        <w:tab w:val="center" w:pos="4680"/>
        <w:tab w:val="right" w:pos="9360"/>
      </w:tabs>
      <w:rPr>
        <w:b/>
        <w:szCs w:val="22"/>
      </w:rPr>
    </w:pPr>
    <w:r>
      <w:rPr>
        <w:b/>
      </w:rPr>
      <w:tab/>
    </w:r>
    <w:r>
      <w:rPr>
        <w:b/>
        <w:szCs w:val="22"/>
      </w:rPr>
      <w:t>Federal Communications Commission</w:t>
    </w:r>
    <w:r>
      <w:rPr>
        <w:b/>
        <w:szCs w:val="22"/>
      </w:rPr>
      <w:tab/>
      <w:t xml:space="preserve">                          DA </w:t>
    </w:r>
    <w:r w:rsidR="00F130C1" w:rsidRPr="00F130C1">
      <w:rPr>
        <w:b/>
        <w:szCs w:val="22"/>
      </w:rPr>
      <w:t>15-850</w:t>
    </w:r>
  </w:p>
  <w:p w:rsidR="00D717D8" w:rsidRDefault="00E20F5B">
    <w:pPr>
      <w:pStyle w:val="Header"/>
      <w:tabs>
        <w:tab w:val="clear" w:pos="8640"/>
        <w:tab w:val="right" w:pos="9360"/>
      </w:tabs>
      <w:rPr>
        <w:rFonts w:ascii="Times New Roman Bold" w:hAnsi="Times New Roman Bold"/>
        <w:color w:val="FF0000"/>
      </w:rPr>
    </w:pPr>
    <w:r>
      <w:rPr>
        <w:rFonts w:ascii="Times New Roman Bold" w:hAnsi="Times New Roman Bold"/>
        <w:noProof/>
        <w:color w:val="FF0000"/>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CAA46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singleLevel"/>
    <w:tmpl w:val="2C8C4B6C"/>
    <w:lvl w:ilvl="0">
      <w:start w:val="1"/>
      <w:numFmt w:val="decimal"/>
      <w:pStyle w:val="ParaNum"/>
      <w:lvlText w:val="%1."/>
      <w:lvlJc w:val="left"/>
      <w:pPr>
        <w:tabs>
          <w:tab w:val="num" w:pos="990"/>
        </w:tabs>
        <w:ind w:left="-9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BBF264E"/>
    <w:multiLevelType w:val="hybridMultilevel"/>
    <w:tmpl w:val="4296E3B2"/>
    <w:lvl w:ilvl="0" w:tplc="6C5A5A66">
      <w:start w:val="1"/>
      <w:numFmt w:val="decimal"/>
      <w:lvlText w:val="%1."/>
      <w:lvlJc w:val="left"/>
      <w:pPr>
        <w:tabs>
          <w:tab w:val="num" w:pos="1035"/>
        </w:tabs>
        <w:ind w:left="-45"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num>
  <w:num w:numId="6">
    <w:abstractNumId w:val="0"/>
  </w:num>
  <w:num w:numId="7">
    <w:abstractNumId w:val="1"/>
  </w:num>
  <w:num w:numId="8">
    <w:abstractNumId w:val="0"/>
    <w:lvlOverride w:ilvl="0">
      <w:startOverride w:val="1"/>
    </w:lvlOverride>
  </w:num>
  <w:num w:numId="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F2"/>
    <w:rsid w:val="00003881"/>
    <w:rsid w:val="00013ADC"/>
    <w:rsid w:val="0001553F"/>
    <w:rsid w:val="00042BD2"/>
    <w:rsid w:val="00050AB1"/>
    <w:rsid w:val="00054BAA"/>
    <w:rsid w:val="00067B9E"/>
    <w:rsid w:val="00074BBD"/>
    <w:rsid w:val="00087858"/>
    <w:rsid w:val="000B5F8C"/>
    <w:rsid w:val="000D18B8"/>
    <w:rsid w:val="001240FA"/>
    <w:rsid w:val="001656F2"/>
    <w:rsid w:val="001672EF"/>
    <w:rsid w:val="001A5A59"/>
    <w:rsid w:val="001A635C"/>
    <w:rsid w:val="001A7C02"/>
    <w:rsid w:val="001B381C"/>
    <w:rsid w:val="001C0986"/>
    <w:rsid w:val="001C601F"/>
    <w:rsid w:val="001D051E"/>
    <w:rsid w:val="00202BF3"/>
    <w:rsid w:val="002238CA"/>
    <w:rsid w:val="002254E9"/>
    <w:rsid w:val="00234D37"/>
    <w:rsid w:val="00243EC2"/>
    <w:rsid w:val="00251278"/>
    <w:rsid w:val="00254200"/>
    <w:rsid w:val="00255EC4"/>
    <w:rsid w:val="0026225F"/>
    <w:rsid w:val="002851DB"/>
    <w:rsid w:val="002B00CF"/>
    <w:rsid w:val="002B3879"/>
    <w:rsid w:val="002B417D"/>
    <w:rsid w:val="002B7D3A"/>
    <w:rsid w:val="002C1DD6"/>
    <w:rsid w:val="002D0AD1"/>
    <w:rsid w:val="002E1315"/>
    <w:rsid w:val="002E77EC"/>
    <w:rsid w:val="002F524E"/>
    <w:rsid w:val="002F609C"/>
    <w:rsid w:val="002F7FA9"/>
    <w:rsid w:val="00305F01"/>
    <w:rsid w:val="00314479"/>
    <w:rsid w:val="00331B29"/>
    <w:rsid w:val="00331EA4"/>
    <w:rsid w:val="00363F23"/>
    <w:rsid w:val="003963F2"/>
    <w:rsid w:val="003A7AB9"/>
    <w:rsid w:val="003E7DE2"/>
    <w:rsid w:val="00412A80"/>
    <w:rsid w:val="00431481"/>
    <w:rsid w:val="004459E1"/>
    <w:rsid w:val="00467EAB"/>
    <w:rsid w:val="004814C4"/>
    <w:rsid w:val="00481F0F"/>
    <w:rsid w:val="00487D58"/>
    <w:rsid w:val="00492DF2"/>
    <w:rsid w:val="0049359F"/>
    <w:rsid w:val="004C3A1F"/>
    <w:rsid w:val="004C654A"/>
    <w:rsid w:val="004E4153"/>
    <w:rsid w:val="00501DA9"/>
    <w:rsid w:val="00507D8C"/>
    <w:rsid w:val="005260DC"/>
    <w:rsid w:val="005463F7"/>
    <w:rsid w:val="00562C4F"/>
    <w:rsid w:val="005706A1"/>
    <w:rsid w:val="005718F8"/>
    <w:rsid w:val="0058260D"/>
    <w:rsid w:val="005863D1"/>
    <w:rsid w:val="005866E6"/>
    <w:rsid w:val="005B51F2"/>
    <w:rsid w:val="005D12F0"/>
    <w:rsid w:val="005D737C"/>
    <w:rsid w:val="005E0947"/>
    <w:rsid w:val="005E58F2"/>
    <w:rsid w:val="005F2646"/>
    <w:rsid w:val="00605F85"/>
    <w:rsid w:val="0061535E"/>
    <w:rsid w:val="00630CE1"/>
    <w:rsid w:val="00634D40"/>
    <w:rsid w:val="00645E13"/>
    <w:rsid w:val="00665F4C"/>
    <w:rsid w:val="006674F8"/>
    <w:rsid w:val="00667D17"/>
    <w:rsid w:val="00676540"/>
    <w:rsid w:val="006A5CDE"/>
    <w:rsid w:val="006A6E99"/>
    <w:rsid w:val="006A7351"/>
    <w:rsid w:val="006B44F2"/>
    <w:rsid w:val="006D24E4"/>
    <w:rsid w:val="006E0C81"/>
    <w:rsid w:val="006F06B5"/>
    <w:rsid w:val="00776124"/>
    <w:rsid w:val="00781785"/>
    <w:rsid w:val="00787161"/>
    <w:rsid w:val="007955B4"/>
    <w:rsid w:val="007A076A"/>
    <w:rsid w:val="007A328B"/>
    <w:rsid w:val="007E75FA"/>
    <w:rsid w:val="007F6163"/>
    <w:rsid w:val="008050B9"/>
    <w:rsid w:val="0081108E"/>
    <w:rsid w:val="00831769"/>
    <w:rsid w:val="0083520A"/>
    <w:rsid w:val="008553D0"/>
    <w:rsid w:val="008621AE"/>
    <w:rsid w:val="008A7F40"/>
    <w:rsid w:val="008F6174"/>
    <w:rsid w:val="008F6FFA"/>
    <w:rsid w:val="009106E5"/>
    <w:rsid w:val="00923236"/>
    <w:rsid w:val="00930DDB"/>
    <w:rsid w:val="009631F4"/>
    <w:rsid w:val="009D3BE8"/>
    <w:rsid w:val="009F09D2"/>
    <w:rsid w:val="009F7EBF"/>
    <w:rsid w:val="00A07F47"/>
    <w:rsid w:val="00A22831"/>
    <w:rsid w:val="00A2283C"/>
    <w:rsid w:val="00A52F8B"/>
    <w:rsid w:val="00A55621"/>
    <w:rsid w:val="00A626B7"/>
    <w:rsid w:val="00A707C8"/>
    <w:rsid w:val="00A77B5F"/>
    <w:rsid w:val="00A833AC"/>
    <w:rsid w:val="00A91E15"/>
    <w:rsid w:val="00AA0565"/>
    <w:rsid w:val="00AB07AE"/>
    <w:rsid w:val="00AB0E84"/>
    <w:rsid w:val="00AB3B89"/>
    <w:rsid w:val="00AB7564"/>
    <w:rsid w:val="00AC046F"/>
    <w:rsid w:val="00AC5520"/>
    <w:rsid w:val="00AD02E3"/>
    <w:rsid w:val="00AD51DF"/>
    <w:rsid w:val="00AE0BFE"/>
    <w:rsid w:val="00AE7210"/>
    <w:rsid w:val="00B12DE2"/>
    <w:rsid w:val="00B17AE3"/>
    <w:rsid w:val="00B32306"/>
    <w:rsid w:val="00B33A78"/>
    <w:rsid w:val="00B33C8F"/>
    <w:rsid w:val="00B54F07"/>
    <w:rsid w:val="00B56607"/>
    <w:rsid w:val="00B67F67"/>
    <w:rsid w:val="00BA0B5F"/>
    <w:rsid w:val="00BE4F03"/>
    <w:rsid w:val="00BF5D4A"/>
    <w:rsid w:val="00C07B02"/>
    <w:rsid w:val="00C1762F"/>
    <w:rsid w:val="00C24879"/>
    <w:rsid w:val="00C54B14"/>
    <w:rsid w:val="00C620E0"/>
    <w:rsid w:val="00C749B8"/>
    <w:rsid w:val="00C85489"/>
    <w:rsid w:val="00CA7412"/>
    <w:rsid w:val="00CB7573"/>
    <w:rsid w:val="00CC164C"/>
    <w:rsid w:val="00CC5418"/>
    <w:rsid w:val="00CF12AD"/>
    <w:rsid w:val="00CF5B15"/>
    <w:rsid w:val="00D03789"/>
    <w:rsid w:val="00D14396"/>
    <w:rsid w:val="00D53108"/>
    <w:rsid w:val="00D5325A"/>
    <w:rsid w:val="00D717D8"/>
    <w:rsid w:val="00DA00A3"/>
    <w:rsid w:val="00DB07CF"/>
    <w:rsid w:val="00DB397B"/>
    <w:rsid w:val="00DB7C53"/>
    <w:rsid w:val="00DF63E7"/>
    <w:rsid w:val="00E131F2"/>
    <w:rsid w:val="00E15935"/>
    <w:rsid w:val="00E20F5B"/>
    <w:rsid w:val="00E30586"/>
    <w:rsid w:val="00E3530C"/>
    <w:rsid w:val="00E35BCC"/>
    <w:rsid w:val="00E37105"/>
    <w:rsid w:val="00E43899"/>
    <w:rsid w:val="00E7125B"/>
    <w:rsid w:val="00E87B43"/>
    <w:rsid w:val="00EA4C14"/>
    <w:rsid w:val="00EB3C33"/>
    <w:rsid w:val="00EB6B5B"/>
    <w:rsid w:val="00EC6EDC"/>
    <w:rsid w:val="00ED01EF"/>
    <w:rsid w:val="00EF5A9A"/>
    <w:rsid w:val="00F10C11"/>
    <w:rsid w:val="00F12809"/>
    <w:rsid w:val="00F130C1"/>
    <w:rsid w:val="00F131F3"/>
    <w:rsid w:val="00F331E8"/>
    <w:rsid w:val="00F47DB6"/>
    <w:rsid w:val="00F71918"/>
    <w:rsid w:val="00F71F1F"/>
    <w:rsid w:val="00F7548C"/>
    <w:rsid w:val="00F811D2"/>
    <w:rsid w:val="00F81E0E"/>
    <w:rsid w:val="00F82562"/>
    <w:rsid w:val="00F95578"/>
    <w:rsid w:val="00FC71D2"/>
    <w:rsid w:val="00FD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rrfootnote,f"/>
    <w:basedOn w:val="Normal"/>
    <w:link w:val="FootnoteTextChar"/>
    <w:rPr>
      <w:sz w:val="20"/>
    </w:rPr>
  </w:style>
  <w:style w:type="character" w:customStyle="1" w:styleId="FootnoteTextChar">
    <w:name w:val="Footnote Text Char"/>
    <w:aliases w:val="Footnote Text Char1 Char Char1,Footnote Text Char7 Char Char Char1,Footnote Text Char4 Char1 Char Char Char1,Footnote Text Char Char Char4 Char Char Char1,Footnote Text Char7 Char Char Char Char Char Char1,Footnote Text Char1 Char1"/>
    <w:basedOn w:val="DefaultParagraphFont"/>
    <w:link w:val="FootnoteText"/>
  </w:style>
  <w:style w:type="paragraph" w:styleId="Caption">
    <w:name w:val="caption"/>
    <w:basedOn w:val="Normal"/>
    <w:next w:val="Normal"/>
    <w:qFormat/>
    <w:rsid w:val="006A6E99"/>
    <w:pPr>
      <w:spacing w:before="120" w:after="120"/>
    </w:pPr>
    <w:rPr>
      <w:b/>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f Char"/>
    <w:rsid w:val="006A6E99"/>
    <w:rPr>
      <w:lang w:val="en-US" w:eastAsia="en-US" w:bidi="ar-SA"/>
    </w:rPr>
  </w:style>
  <w:style w:type="character" w:customStyle="1" w:styleId="apple-converted-space">
    <w:name w:val="apple-converted-space"/>
    <w:rsid w:val="006A6E99"/>
  </w:style>
  <w:style w:type="character" w:styleId="CommentReference">
    <w:name w:val="annotation reference"/>
    <w:basedOn w:val="DefaultParagraphFont"/>
    <w:rsid w:val="00F12809"/>
    <w:rPr>
      <w:sz w:val="16"/>
      <w:szCs w:val="16"/>
    </w:rPr>
  </w:style>
  <w:style w:type="paragraph" w:styleId="CommentText">
    <w:name w:val="annotation text"/>
    <w:basedOn w:val="Normal"/>
    <w:link w:val="CommentTextChar"/>
    <w:rsid w:val="00F12809"/>
    <w:rPr>
      <w:sz w:val="20"/>
    </w:rPr>
  </w:style>
  <w:style w:type="character" w:customStyle="1" w:styleId="CommentTextChar">
    <w:name w:val="Comment Text Char"/>
    <w:basedOn w:val="DefaultParagraphFont"/>
    <w:link w:val="CommentText"/>
    <w:rsid w:val="00F12809"/>
  </w:style>
  <w:style w:type="paragraph" w:styleId="CommentSubject">
    <w:name w:val="annotation subject"/>
    <w:basedOn w:val="CommentText"/>
    <w:next w:val="CommentText"/>
    <w:link w:val="CommentSubjectChar"/>
    <w:rsid w:val="00F12809"/>
    <w:rPr>
      <w:b/>
      <w:bCs/>
    </w:rPr>
  </w:style>
  <w:style w:type="character" w:customStyle="1" w:styleId="CommentSubjectChar">
    <w:name w:val="Comment Subject Char"/>
    <w:basedOn w:val="CommentTextChar"/>
    <w:link w:val="CommentSubject"/>
    <w:rsid w:val="00F128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rrfootnote,f"/>
    <w:basedOn w:val="Normal"/>
    <w:link w:val="FootnoteTextChar"/>
    <w:rPr>
      <w:sz w:val="20"/>
    </w:rPr>
  </w:style>
  <w:style w:type="character" w:customStyle="1" w:styleId="FootnoteTextChar">
    <w:name w:val="Footnote Text Char"/>
    <w:aliases w:val="Footnote Text Char1 Char Char1,Footnote Text Char7 Char Char Char1,Footnote Text Char4 Char1 Char Char Char1,Footnote Text Char Char Char4 Char Char Char1,Footnote Text Char7 Char Char Char Char Char Char1,Footnote Text Char1 Char1"/>
    <w:basedOn w:val="DefaultParagraphFont"/>
    <w:link w:val="FootnoteText"/>
  </w:style>
  <w:style w:type="paragraph" w:styleId="Caption">
    <w:name w:val="caption"/>
    <w:basedOn w:val="Normal"/>
    <w:next w:val="Normal"/>
    <w:qFormat/>
    <w:rsid w:val="006A6E99"/>
    <w:pPr>
      <w:spacing w:before="120" w:after="120"/>
    </w:pPr>
    <w:rPr>
      <w:b/>
    </w:r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f Char"/>
    <w:rsid w:val="006A6E99"/>
    <w:rPr>
      <w:lang w:val="en-US" w:eastAsia="en-US" w:bidi="ar-SA"/>
    </w:rPr>
  </w:style>
  <w:style w:type="character" w:customStyle="1" w:styleId="apple-converted-space">
    <w:name w:val="apple-converted-space"/>
    <w:rsid w:val="006A6E99"/>
  </w:style>
  <w:style w:type="character" w:styleId="CommentReference">
    <w:name w:val="annotation reference"/>
    <w:basedOn w:val="DefaultParagraphFont"/>
    <w:rsid w:val="00F12809"/>
    <w:rPr>
      <w:sz w:val="16"/>
      <w:szCs w:val="16"/>
    </w:rPr>
  </w:style>
  <w:style w:type="paragraph" w:styleId="CommentText">
    <w:name w:val="annotation text"/>
    <w:basedOn w:val="Normal"/>
    <w:link w:val="CommentTextChar"/>
    <w:rsid w:val="00F12809"/>
    <w:rPr>
      <w:sz w:val="20"/>
    </w:rPr>
  </w:style>
  <w:style w:type="character" w:customStyle="1" w:styleId="CommentTextChar">
    <w:name w:val="Comment Text Char"/>
    <w:basedOn w:val="DefaultParagraphFont"/>
    <w:link w:val="CommentText"/>
    <w:rsid w:val="00F12809"/>
  </w:style>
  <w:style w:type="paragraph" w:styleId="CommentSubject">
    <w:name w:val="annotation subject"/>
    <w:basedOn w:val="CommentText"/>
    <w:next w:val="CommentText"/>
    <w:link w:val="CommentSubjectChar"/>
    <w:rsid w:val="00F12809"/>
    <w:rPr>
      <w:b/>
      <w:bCs/>
    </w:rPr>
  </w:style>
  <w:style w:type="character" w:customStyle="1" w:styleId="CommentSubjectChar">
    <w:name w:val="Comment Subject Char"/>
    <w:basedOn w:val="CommentTextChar"/>
    <w:link w:val="CommentSubject"/>
    <w:rsid w:val="00F12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2294</Words>
  <Characters>12390</Characters>
  <Application>Microsoft Office Word</Application>
  <DocSecurity>0</DocSecurity>
  <Lines>207</Lines>
  <Paragraphs>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14805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2012-11-09T14:52:00Z</cp:lastPrinted>
  <dcterms:created xsi:type="dcterms:W3CDTF">2015-07-23T12:09:00Z</dcterms:created>
  <dcterms:modified xsi:type="dcterms:W3CDTF">2015-07-23T12:09:00Z</dcterms:modified>
  <cp:category> </cp:category>
  <cp:contentStatus> </cp:contentStatus>
</cp:coreProperties>
</file>