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892" w:rsidRPr="00217892" w:rsidRDefault="00217892" w:rsidP="00217892">
      <w:pPr>
        <w:jc w:val="center"/>
        <w:rPr>
          <w:b/>
        </w:rPr>
      </w:pPr>
      <w:bookmarkStart w:id="0" w:name="_GoBack"/>
      <w:bookmarkEnd w:id="0"/>
      <w:r w:rsidRPr="00217892">
        <w:rPr>
          <w:b/>
        </w:rPr>
        <w:t>Before the</w:t>
      </w:r>
    </w:p>
    <w:p w:rsidR="00217892" w:rsidRPr="00217892" w:rsidRDefault="00217892" w:rsidP="00217892">
      <w:pPr>
        <w:jc w:val="center"/>
        <w:rPr>
          <w:b/>
          <w:bCs/>
        </w:rPr>
      </w:pPr>
      <w:r w:rsidRPr="00217892">
        <w:rPr>
          <w:b/>
          <w:bCs/>
        </w:rPr>
        <w:t xml:space="preserve">Federal Communications </w:t>
      </w:r>
      <w:r w:rsidR="002F49A0">
        <w:rPr>
          <w:b/>
          <w:bCs/>
        </w:rPr>
        <w:t>Commission</w:t>
      </w:r>
    </w:p>
    <w:p w:rsidR="00217892" w:rsidRPr="00217892" w:rsidRDefault="00217892" w:rsidP="00217892">
      <w:pPr>
        <w:jc w:val="center"/>
        <w:rPr>
          <w:b/>
          <w:bCs/>
        </w:rPr>
      </w:pPr>
      <w:r w:rsidRPr="00217892">
        <w:rPr>
          <w:b/>
          <w:bCs/>
        </w:rPr>
        <w:t>Washington, D.C. 20554</w:t>
      </w:r>
    </w:p>
    <w:p w:rsidR="00217892" w:rsidRPr="00452533" w:rsidRDefault="00217892" w:rsidP="00217892">
      <w:pPr>
        <w:jc w:val="center"/>
        <w:rPr>
          <w:szCs w:val="22"/>
        </w:rPr>
      </w:pPr>
    </w:p>
    <w:p w:rsidR="00217892" w:rsidRPr="00452533" w:rsidRDefault="00217892" w:rsidP="00217892">
      <w:pPr>
        <w:rPr>
          <w:szCs w:val="22"/>
        </w:rPr>
      </w:pPr>
    </w:p>
    <w:tbl>
      <w:tblPr>
        <w:tblW w:w="0" w:type="auto"/>
        <w:tblLayout w:type="fixed"/>
        <w:tblLook w:val="0000" w:firstRow="0" w:lastRow="0" w:firstColumn="0" w:lastColumn="0" w:noHBand="0" w:noVBand="0"/>
      </w:tblPr>
      <w:tblGrid>
        <w:gridCol w:w="4698"/>
        <w:gridCol w:w="630"/>
        <w:gridCol w:w="4248"/>
      </w:tblGrid>
      <w:tr w:rsidR="00217892" w:rsidRPr="00452533" w:rsidTr="007836BA">
        <w:tc>
          <w:tcPr>
            <w:tcW w:w="4698" w:type="dxa"/>
          </w:tcPr>
          <w:p w:rsidR="00217892" w:rsidRPr="00452533" w:rsidRDefault="00217892" w:rsidP="00217892">
            <w:pPr>
              <w:rPr>
                <w:szCs w:val="22"/>
              </w:rPr>
            </w:pPr>
            <w:r w:rsidRPr="00452533">
              <w:rPr>
                <w:szCs w:val="22"/>
              </w:rPr>
              <w:t>In the Matter of</w:t>
            </w:r>
          </w:p>
          <w:p w:rsidR="00217892" w:rsidRPr="00452533" w:rsidRDefault="00217892" w:rsidP="00217892">
            <w:pPr>
              <w:rPr>
                <w:szCs w:val="22"/>
              </w:rPr>
            </w:pPr>
          </w:p>
          <w:p w:rsidR="00217892" w:rsidRPr="00452533" w:rsidRDefault="00217892" w:rsidP="00217892">
            <w:pPr>
              <w:rPr>
                <w:szCs w:val="22"/>
              </w:rPr>
            </w:pPr>
            <w:r w:rsidRPr="00452533">
              <w:rPr>
                <w:szCs w:val="22"/>
              </w:rPr>
              <w:t>Eger Communications, Inc.</w:t>
            </w:r>
          </w:p>
          <w:p w:rsidR="00217892" w:rsidRPr="00452533" w:rsidRDefault="00217892" w:rsidP="00217892">
            <w:pPr>
              <w:rPr>
                <w:szCs w:val="22"/>
              </w:rPr>
            </w:pPr>
            <w:r w:rsidRPr="00452533">
              <w:rPr>
                <w:szCs w:val="22"/>
              </w:rPr>
              <w:t>Petition for Reconsideration</w:t>
            </w:r>
          </w:p>
          <w:p w:rsidR="00217892" w:rsidRPr="00452533" w:rsidRDefault="00217892" w:rsidP="00217892">
            <w:pPr>
              <w:rPr>
                <w:szCs w:val="22"/>
              </w:rPr>
            </w:pPr>
          </w:p>
          <w:p w:rsidR="00217892" w:rsidRPr="00452533" w:rsidRDefault="00217892" w:rsidP="00217892">
            <w:pPr>
              <w:rPr>
                <w:szCs w:val="22"/>
              </w:rPr>
            </w:pPr>
            <w:r w:rsidRPr="00452533">
              <w:rPr>
                <w:szCs w:val="22"/>
              </w:rPr>
              <w:t>Application for Leave to Amend</w:t>
            </w:r>
          </w:p>
          <w:p w:rsidR="00217892" w:rsidRPr="00452533" w:rsidRDefault="00217892" w:rsidP="00217892">
            <w:pPr>
              <w:rPr>
                <w:szCs w:val="22"/>
              </w:rPr>
            </w:pPr>
            <w:r w:rsidRPr="00452533">
              <w:rPr>
                <w:szCs w:val="22"/>
              </w:rPr>
              <w:t>Petition for Reconsideration</w:t>
            </w:r>
          </w:p>
          <w:p w:rsidR="00217892" w:rsidRPr="00452533" w:rsidRDefault="00217892" w:rsidP="00217892">
            <w:pPr>
              <w:rPr>
                <w:szCs w:val="22"/>
              </w:rPr>
            </w:pPr>
          </w:p>
        </w:tc>
        <w:tc>
          <w:tcPr>
            <w:tcW w:w="630" w:type="dxa"/>
          </w:tcPr>
          <w:p w:rsidR="00217892" w:rsidRPr="00452533" w:rsidRDefault="00217892" w:rsidP="00217892">
            <w:pPr>
              <w:rPr>
                <w:b/>
                <w:szCs w:val="22"/>
              </w:rPr>
            </w:pPr>
            <w:r w:rsidRPr="00452533">
              <w:rPr>
                <w:b/>
                <w:szCs w:val="22"/>
              </w:rPr>
              <w:t>)</w:t>
            </w:r>
          </w:p>
          <w:p w:rsidR="00217892" w:rsidRPr="00452533" w:rsidRDefault="00217892" w:rsidP="00217892">
            <w:pPr>
              <w:rPr>
                <w:b/>
                <w:szCs w:val="22"/>
              </w:rPr>
            </w:pPr>
            <w:r w:rsidRPr="00452533">
              <w:rPr>
                <w:b/>
                <w:szCs w:val="22"/>
              </w:rPr>
              <w:t>)</w:t>
            </w:r>
          </w:p>
          <w:p w:rsidR="00217892" w:rsidRPr="00452533" w:rsidRDefault="00217892" w:rsidP="00217892">
            <w:pPr>
              <w:rPr>
                <w:b/>
                <w:szCs w:val="22"/>
              </w:rPr>
            </w:pPr>
            <w:r w:rsidRPr="00452533">
              <w:rPr>
                <w:b/>
                <w:szCs w:val="22"/>
              </w:rPr>
              <w:t>)</w:t>
            </w:r>
          </w:p>
          <w:p w:rsidR="00217892" w:rsidRPr="00452533" w:rsidRDefault="00217892" w:rsidP="00217892">
            <w:pPr>
              <w:rPr>
                <w:b/>
                <w:szCs w:val="22"/>
              </w:rPr>
            </w:pPr>
            <w:r w:rsidRPr="00452533">
              <w:rPr>
                <w:b/>
                <w:szCs w:val="22"/>
              </w:rPr>
              <w:t>)</w:t>
            </w:r>
          </w:p>
          <w:p w:rsidR="00217892" w:rsidRPr="00452533" w:rsidRDefault="00217892" w:rsidP="00217892">
            <w:pPr>
              <w:rPr>
                <w:b/>
                <w:szCs w:val="22"/>
              </w:rPr>
            </w:pPr>
            <w:r w:rsidRPr="00452533">
              <w:rPr>
                <w:b/>
                <w:szCs w:val="22"/>
              </w:rPr>
              <w:t>)</w:t>
            </w:r>
          </w:p>
          <w:p w:rsidR="00217892" w:rsidRPr="00452533" w:rsidRDefault="00217892" w:rsidP="00217892">
            <w:pPr>
              <w:rPr>
                <w:b/>
                <w:szCs w:val="22"/>
              </w:rPr>
            </w:pPr>
            <w:r w:rsidRPr="00452533">
              <w:rPr>
                <w:b/>
                <w:szCs w:val="22"/>
              </w:rPr>
              <w:t>)</w:t>
            </w:r>
          </w:p>
          <w:p w:rsidR="00217892" w:rsidRPr="00452533" w:rsidRDefault="00217892" w:rsidP="00217892">
            <w:pPr>
              <w:rPr>
                <w:b/>
                <w:szCs w:val="22"/>
              </w:rPr>
            </w:pPr>
            <w:r w:rsidRPr="00452533">
              <w:rPr>
                <w:b/>
                <w:szCs w:val="22"/>
              </w:rPr>
              <w:t>)</w:t>
            </w:r>
          </w:p>
        </w:tc>
        <w:tc>
          <w:tcPr>
            <w:tcW w:w="4248" w:type="dxa"/>
          </w:tcPr>
          <w:p w:rsidR="00217892" w:rsidRPr="00452533" w:rsidRDefault="00217892" w:rsidP="00217892">
            <w:pPr>
              <w:rPr>
                <w:szCs w:val="22"/>
              </w:rPr>
            </w:pPr>
          </w:p>
          <w:p w:rsidR="00217892" w:rsidRPr="00452533" w:rsidRDefault="00217892" w:rsidP="00217892">
            <w:pPr>
              <w:rPr>
                <w:szCs w:val="22"/>
              </w:rPr>
            </w:pPr>
          </w:p>
          <w:p w:rsidR="00217892" w:rsidRPr="00452533" w:rsidRDefault="00217892" w:rsidP="00217892">
            <w:pPr>
              <w:rPr>
                <w:szCs w:val="22"/>
              </w:rPr>
            </w:pPr>
            <w:r w:rsidRPr="00452533">
              <w:rPr>
                <w:szCs w:val="22"/>
              </w:rPr>
              <w:t>Re: Proposed Communications Tower</w:t>
            </w:r>
          </w:p>
          <w:p w:rsidR="00217892" w:rsidRPr="00452533" w:rsidRDefault="00217892" w:rsidP="00217892">
            <w:pPr>
              <w:rPr>
                <w:szCs w:val="22"/>
              </w:rPr>
            </w:pPr>
            <w:r w:rsidRPr="00452533">
              <w:rPr>
                <w:szCs w:val="22"/>
              </w:rPr>
              <w:t xml:space="preserve">Eger Communications, Inc., </w:t>
            </w:r>
          </w:p>
          <w:p w:rsidR="00217892" w:rsidRPr="00452533" w:rsidRDefault="00217892" w:rsidP="00217892">
            <w:pPr>
              <w:rPr>
                <w:szCs w:val="22"/>
              </w:rPr>
            </w:pPr>
            <w:r w:rsidRPr="00452533">
              <w:rPr>
                <w:szCs w:val="22"/>
              </w:rPr>
              <w:t>170 Eger Road, Town of Livingston,</w:t>
            </w:r>
          </w:p>
          <w:p w:rsidR="00217892" w:rsidRPr="00452533" w:rsidRDefault="00217892" w:rsidP="00217892">
            <w:pPr>
              <w:rPr>
                <w:szCs w:val="22"/>
              </w:rPr>
            </w:pPr>
            <w:r w:rsidRPr="00452533">
              <w:rPr>
                <w:szCs w:val="22"/>
              </w:rPr>
              <w:t>Columbia County, New York</w:t>
            </w:r>
          </w:p>
        </w:tc>
      </w:tr>
      <w:tr w:rsidR="00217892" w:rsidRPr="00452533" w:rsidTr="007836BA">
        <w:tc>
          <w:tcPr>
            <w:tcW w:w="4698" w:type="dxa"/>
          </w:tcPr>
          <w:p w:rsidR="00217892" w:rsidRPr="00452533" w:rsidRDefault="00217892" w:rsidP="00217892">
            <w:pPr>
              <w:rPr>
                <w:szCs w:val="22"/>
              </w:rPr>
            </w:pPr>
          </w:p>
        </w:tc>
        <w:tc>
          <w:tcPr>
            <w:tcW w:w="630" w:type="dxa"/>
          </w:tcPr>
          <w:p w:rsidR="00217892" w:rsidRPr="00452533" w:rsidRDefault="00217892" w:rsidP="00217892">
            <w:pPr>
              <w:rPr>
                <w:b/>
                <w:szCs w:val="22"/>
              </w:rPr>
            </w:pPr>
          </w:p>
        </w:tc>
        <w:tc>
          <w:tcPr>
            <w:tcW w:w="4248" w:type="dxa"/>
          </w:tcPr>
          <w:p w:rsidR="00217892" w:rsidRPr="00452533" w:rsidRDefault="00217892" w:rsidP="00217892">
            <w:pPr>
              <w:rPr>
                <w:szCs w:val="22"/>
              </w:rPr>
            </w:pPr>
          </w:p>
        </w:tc>
      </w:tr>
    </w:tbl>
    <w:p w:rsidR="00217892" w:rsidRPr="00452533" w:rsidRDefault="00217892" w:rsidP="00217892">
      <w:pPr>
        <w:jc w:val="center"/>
        <w:rPr>
          <w:b/>
          <w:szCs w:val="22"/>
        </w:rPr>
      </w:pPr>
      <w:r w:rsidRPr="00452533">
        <w:rPr>
          <w:b/>
          <w:szCs w:val="22"/>
        </w:rPr>
        <w:t>ORDER ON RECONSIDERATION</w:t>
      </w:r>
    </w:p>
    <w:p w:rsidR="00217892" w:rsidRPr="00452533" w:rsidRDefault="00217892" w:rsidP="00217892">
      <w:pPr>
        <w:rPr>
          <w:b/>
          <w:szCs w:val="22"/>
        </w:rPr>
      </w:pPr>
    </w:p>
    <w:p w:rsidR="00217892" w:rsidRPr="00452533" w:rsidRDefault="00217892" w:rsidP="00217892">
      <w:pPr>
        <w:rPr>
          <w:b/>
          <w:szCs w:val="22"/>
        </w:rPr>
      </w:pPr>
      <w:r w:rsidRPr="00452533">
        <w:rPr>
          <w:b/>
          <w:szCs w:val="22"/>
        </w:rPr>
        <w:t xml:space="preserve">Adopted:   </w:t>
      </w:r>
      <w:r w:rsidR="008B6C6F">
        <w:rPr>
          <w:b/>
          <w:szCs w:val="22"/>
        </w:rPr>
        <w:t>July 27, 2015</w:t>
      </w:r>
      <w:r w:rsidRPr="00452533">
        <w:rPr>
          <w:b/>
          <w:szCs w:val="22"/>
        </w:rPr>
        <w:t xml:space="preserve">                         </w:t>
      </w:r>
      <w:r w:rsidRPr="00452533">
        <w:rPr>
          <w:b/>
          <w:szCs w:val="22"/>
        </w:rPr>
        <w:tab/>
      </w:r>
      <w:r w:rsidRPr="00452533">
        <w:rPr>
          <w:b/>
          <w:szCs w:val="22"/>
        </w:rPr>
        <w:tab/>
      </w:r>
      <w:r w:rsidRPr="00452533">
        <w:rPr>
          <w:b/>
          <w:szCs w:val="22"/>
        </w:rPr>
        <w:tab/>
      </w:r>
      <w:r w:rsidRPr="00452533">
        <w:rPr>
          <w:b/>
          <w:szCs w:val="22"/>
        </w:rPr>
        <w:tab/>
        <w:t xml:space="preserve">Released:   </w:t>
      </w:r>
      <w:r w:rsidR="008B6C6F">
        <w:rPr>
          <w:b/>
          <w:szCs w:val="22"/>
        </w:rPr>
        <w:t>July 27, 2015</w:t>
      </w:r>
    </w:p>
    <w:p w:rsidR="00217892" w:rsidRPr="00452533" w:rsidRDefault="00217892" w:rsidP="00217892">
      <w:pPr>
        <w:rPr>
          <w:szCs w:val="22"/>
        </w:rPr>
      </w:pPr>
      <w:r w:rsidRPr="00452533">
        <w:rPr>
          <w:szCs w:val="22"/>
        </w:rPr>
        <w:t xml:space="preserve">By the Deputy Chief, Competition </w:t>
      </w:r>
      <w:r w:rsidR="000C4D75" w:rsidRPr="00452533">
        <w:rPr>
          <w:szCs w:val="22"/>
        </w:rPr>
        <w:t xml:space="preserve">and Infrastructure </w:t>
      </w:r>
      <w:r w:rsidRPr="00452533">
        <w:rPr>
          <w:szCs w:val="22"/>
        </w:rPr>
        <w:t>Policy Division, Wireless Telecommunications Bureau</w:t>
      </w:r>
      <w:r w:rsidR="006D1B93" w:rsidRPr="00452533">
        <w:rPr>
          <w:szCs w:val="22"/>
        </w:rPr>
        <w:t>:</w:t>
      </w:r>
    </w:p>
    <w:p w:rsidR="00217892" w:rsidRPr="00452533" w:rsidRDefault="00217892" w:rsidP="00217892">
      <w:pPr>
        <w:rPr>
          <w:szCs w:val="22"/>
        </w:rPr>
      </w:pPr>
      <w:r w:rsidRPr="00452533">
        <w:rPr>
          <w:b/>
          <w:szCs w:val="22"/>
        </w:rPr>
        <w:t xml:space="preserve">            </w:t>
      </w:r>
    </w:p>
    <w:p w:rsidR="00217892" w:rsidRPr="00452533" w:rsidRDefault="00217892" w:rsidP="00B04741">
      <w:pPr>
        <w:pStyle w:val="Heading1"/>
        <w:spacing w:after="0"/>
        <w:jc w:val="left"/>
        <w:rPr>
          <w:szCs w:val="22"/>
        </w:rPr>
      </w:pPr>
      <w:bookmarkStart w:id="1" w:name="_Toc394512919"/>
      <w:bookmarkStart w:id="2" w:name="_Toc396238855"/>
      <w:bookmarkStart w:id="3" w:name="_Toc396755246"/>
      <w:bookmarkStart w:id="4" w:name="_Toc396765357"/>
      <w:bookmarkStart w:id="5" w:name="_Toc396919937"/>
      <w:bookmarkStart w:id="6" w:name="_Toc397090681"/>
      <w:bookmarkStart w:id="7" w:name="_Toc397522243"/>
      <w:bookmarkStart w:id="8" w:name="_Toc398286611"/>
      <w:bookmarkStart w:id="9" w:name="_Toc399314883"/>
      <w:bookmarkStart w:id="10" w:name="_Toc399481016"/>
      <w:bookmarkStart w:id="11" w:name="_Toc399497947"/>
      <w:bookmarkStart w:id="12" w:name="_Toc399498040"/>
      <w:bookmarkStart w:id="13" w:name="_Toc399506542"/>
      <w:bookmarkStart w:id="14" w:name="_Toc399759267"/>
      <w:bookmarkStart w:id="15" w:name="_Toc399762847"/>
      <w:bookmarkStart w:id="16" w:name="_Toc399763304"/>
      <w:bookmarkStart w:id="17" w:name="_Toc399763360"/>
      <w:bookmarkStart w:id="18" w:name="_Toc399764453"/>
      <w:bookmarkStart w:id="19" w:name="_Toc400115801"/>
      <w:bookmarkStart w:id="20" w:name="_Toc400356104"/>
      <w:bookmarkStart w:id="21" w:name="_Toc400459902"/>
      <w:bookmarkStart w:id="22" w:name="_Toc401048146"/>
      <w:bookmarkStart w:id="23" w:name="_Toc401136960"/>
      <w:bookmarkStart w:id="24" w:name="_Toc401174243"/>
      <w:bookmarkStart w:id="25" w:name="_Toc401231806"/>
      <w:bookmarkStart w:id="26" w:name="_Toc401248381"/>
      <w:bookmarkStart w:id="27" w:name="_Toc401335503"/>
      <w:bookmarkStart w:id="28" w:name="_Toc395776192"/>
      <w:bookmarkStart w:id="29" w:name="_Toc395848231"/>
      <w:bookmarkStart w:id="30" w:name="_Toc395860310"/>
      <w:bookmarkStart w:id="31" w:name="_Toc396232672"/>
      <w:bookmarkStart w:id="32" w:name="_Toc396232800"/>
      <w:bookmarkStart w:id="33" w:name="_Toc396234378"/>
      <w:bookmarkStart w:id="34" w:name="_Toc394512920"/>
      <w:bookmarkStart w:id="35" w:name="_Toc394513016"/>
      <w:bookmarkStart w:id="36" w:name="_Toc394691372"/>
      <w:bookmarkStart w:id="37" w:name="_Toc394691496"/>
      <w:bookmarkStart w:id="38" w:name="_Toc394691564"/>
      <w:bookmarkStart w:id="39" w:name="_Toc394691629"/>
      <w:bookmarkStart w:id="40" w:name="_Toc394902045"/>
      <w:bookmarkStart w:id="41" w:name="_Toc395959314"/>
      <w:bookmarkStart w:id="42" w:name="_Toc395987203"/>
      <w:bookmarkStart w:id="43" w:name="_Toc394513027"/>
      <w:bookmarkStart w:id="44" w:name="_Toc394691383"/>
      <w:bookmarkStart w:id="45" w:name="_Toc394691507"/>
      <w:bookmarkStart w:id="46" w:name="_Toc394691575"/>
      <w:bookmarkStart w:id="47" w:name="_Toc394691640"/>
      <w:bookmarkStart w:id="48" w:name="_Toc394901772"/>
      <w:bookmarkStart w:id="49" w:name="_Toc394902054"/>
      <w:bookmarkEnd w:id="1"/>
      <w:r w:rsidRPr="00452533">
        <w:rPr>
          <w:szCs w:val="22"/>
        </w:rPr>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217892" w:rsidRPr="00452533" w:rsidRDefault="00217892" w:rsidP="00B04741">
      <w:pPr>
        <w:rPr>
          <w:szCs w:val="22"/>
        </w:rPr>
      </w:pPr>
    </w:p>
    <w:p w:rsidR="00217892" w:rsidRPr="0069611D" w:rsidRDefault="00217892" w:rsidP="00B04741">
      <w:pPr>
        <w:pStyle w:val="ParaNum"/>
        <w:jc w:val="left"/>
        <w:rPr>
          <w:szCs w:val="22"/>
        </w:rPr>
      </w:pPr>
      <w:r w:rsidRPr="00452533">
        <w:rPr>
          <w:szCs w:val="22"/>
        </w:rPr>
        <w:t xml:space="preserve">The Competition </w:t>
      </w:r>
      <w:r w:rsidR="000C4D75" w:rsidRPr="00452533">
        <w:rPr>
          <w:szCs w:val="22"/>
        </w:rPr>
        <w:t xml:space="preserve">and Infrastructure </w:t>
      </w:r>
      <w:r w:rsidRPr="00452533">
        <w:rPr>
          <w:szCs w:val="22"/>
        </w:rPr>
        <w:t>Policy Division (</w:t>
      </w:r>
      <w:r w:rsidR="000C4D75" w:rsidRPr="00452533">
        <w:rPr>
          <w:szCs w:val="22"/>
        </w:rPr>
        <w:t xml:space="preserve">Division) </w:t>
      </w:r>
      <w:r w:rsidRPr="00452533">
        <w:rPr>
          <w:szCs w:val="22"/>
        </w:rPr>
        <w:t xml:space="preserve">of the Wireless Telecommunications Bureau, Federal Communications </w:t>
      </w:r>
      <w:r w:rsidR="002F49A0" w:rsidRPr="00452533">
        <w:rPr>
          <w:szCs w:val="22"/>
        </w:rPr>
        <w:t>Commission</w:t>
      </w:r>
      <w:r w:rsidRPr="00452533">
        <w:rPr>
          <w:szCs w:val="22"/>
        </w:rPr>
        <w:t xml:space="preserve"> (</w:t>
      </w:r>
      <w:r w:rsidR="002F49A0" w:rsidRPr="00452533">
        <w:rPr>
          <w:szCs w:val="22"/>
        </w:rPr>
        <w:t>Commission</w:t>
      </w:r>
      <w:r w:rsidRPr="00452533">
        <w:rPr>
          <w:szCs w:val="22"/>
        </w:rPr>
        <w:t xml:space="preserve">), has before it a pending Petition for Reconsideration of the Division’s </w:t>
      </w:r>
      <w:r w:rsidR="009F569A" w:rsidRPr="00452533">
        <w:rPr>
          <w:szCs w:val="22"/>
        </w:rPr>
        <w:t>l</w:t>
      </w:r>
      <w:r w:rsidRPr="00452533">
        <w:rPr>
          <w:szCs w:val="22"/>
        </w:rPr>
        <w:t xml:space="preserve">etter regarding the above-referenced </w:t>
      </w:r>
      <w:r w:rsidR="00BC08C1" w:rsidRPr="00452533">
        <w:rPr>
          <w:szCs w:val="22"/>
        </w:rPr>
        <w:t>communications</w:t>
      </w:r>
      <w:r w:rsidRPr="00452533">
        <w:rPr>
          <w:szCs w:val="22"/>
        </w:rPr>
        <w:t xml:space="preserve"> tower that Eger Communications, Inc. (Eger) proposes to construct in Livingston, Columbia County, New York.</w:t>
      </w:r>
      <w:r w:rsidRPr="00452533">
        <w:rPr>
          <w:szCs w:val="22"/>
          <w:vertAlign w:val="superscript"/>
        </w:rPr>
        <w:footnoteReference w:id="2"/>
      </w:r>
      <w:r w:rsidRPr="00452533">
        <w:rPr>
          <w:szCs w:val="22"/>
        </w:rPr>
        <w:t xml:space="preserve">  </w:t>
      </w:r>
      <w:r w:rsidR="00D368BD" w:rsidRPr="00452533">
        <w:rPr>
          <w:szCs w:val="22"/>
        </w:rPr>
        <w:t>Specifically, in response to an Informal Complaint filed by Scenic Hudson and the Olana Partnership (Olana/Hudson),</w:t>
      </w:r>
      <w:r w:rsidR="00D368BD" w:rsidRPr="00452533">
        <w:rPr>
          <w:szCs w:val="22"/>
          <w:vertAlign w:val="superscript"/>
        </w:rPr>
        <w:footnoteReference w:id="3"/>
      </w:r>
      <w:r w:rsidR="00D368BD" w:rsidRPr="00452533">
        <w:rPr>
          <w:szCs w:val="22"/>
        </w:rPr>
        <w:t xml:space="preserve"> the Division </w:t>
      </w:r>
      <w:r w:rsidR="00662B0C" w:rsidRPr="00452533">
        <w:rPr>
          <w:szCs w:val="22"/>
        </w:rPr>
        <w:t>found</w:t>
      </w:r>
      <w:r w:rsidR="00D368BD" w:rsidRPr="00452533">
        <w:rPr>
          <w:szCs w:val="22"/>
        </w:rPr>
        <w:t xml:space="preserve"> that Eger must complete the review process for the proposed </w:t>
      </w:r>
      <w:r w:rsidR="003B4685" w:rsidRPr="00452533">
        <w:rPr>
          <w:szCs w:val="22"/>
        </w:rPr>
        <w:t>t</w:t>
      </w:r>
      <w:r w:rsidR="00D368BD" w:rsidRPr="00452533">
        <w:rPr>
          <w:szCs w:val="22"/>
        </w:rPr>
        <w:t>ower under</w:t>
      </w:r>
      <w:r w:rsidR="00662B0C" w:rsidRPr="00452533">
        <w:rPr>
          <w:szCs w:val="22"/>
        </w:rPr>
        <w:t xml:space="preserve"> Section 106 of</w:t>
      </w:r>
      <w:r w:rsidR="00D368BD" w:rsidRPr="00452533">
        <w:rPr>
          <w:szCs w:val="22"/>
        </w:rPr>
        <w:t xml:space="preserve"> the National Historic Preservation Act (NHPA) pursuant to the procedures specified in the Nationwide Programmatic Agreement for Review of Effects on Historic Properties for Certain Undertakings Approved by the Commission (Nationwide</w:t>
      </w:r>
      <w:r w:rsidR="005129B6" w:rsidRPr="00452533">
        <w:rPr>
          <w:szCs w:val="22"/>
        </w:rPr>
        <w:t xml:space="preserve"> Programmatic</w:t>
      </w:r>
      <w:r w:rsidR="00D368BD" w:rsidRPr="006B139B">
        <w:rPr>
          <w:szCs w:val="22"/>
        </w:rPr>
        <w:t xml:space="preserve"> Agreement</w:t>
      </w:r>
      <w:r w:rsidR="005129B6" w:rsidRPr="006B139B">
        <w:rPr>
          <w:szCs w:val="22"/>
        </w:rPr>
        <w:t xml:space="preserve"> or NPA</w:t>
      </w:r>
      <w:r w:rsidR="00D368BD" w:rsidRPr="006B139B">
        <w:rPr>
          <w:szCs w:val="22"/>
        </w:rPr>
        <w:t>).</w:t>
      </w:r>
      <w:r w:rsidR="00D368BD" w:rsidRPr="006B139B">
        <w:rPr>
          <w:szCs w:val="22"/>
          <w:vertAlign w:val="superscript"/>
        </w:rPr>
        <w:footnoteReference w:id="4"/>
      </w:r>
      <w:r w:rsidR="00D368BD" w:rsidRPr="006B139B">
        <w:rPr>
          <w:szCs w:val="22"/>
        </w:rPr>
        <w:t xml:space="preserve">  Eger filed a Petition for Reconsideration of the Division Letter</w:t>
      </w:r>
      <w:r w:rsidR="00452533" w:rsidRPr="0069611D">
        <w:rPr>
          <w:szCs w:val="22"/>
        </w:rPr>
        <w:t xml:space="preserve"> (Petition for Reconsideration</w:t>
      </w:r>
      <w:r w:rsidR="00452533" w:rsidRPr="006B139B">
        <w:rPr>
          <w:b/>
          <w:szCs w:val="22"/>
        </w:rPr>
        <w:t>)</w:t>
      </w:r>
      <w:r w:rsidR="00D368BD" w:rsidRPr="006B139B">
        <w:rPr>
          <w:szCs w:val="22"/>
        </w:rPr>
        <w:t>, followed by an Application for Leave to</w:t>
      </w:r>
      <w:r w:rsidR="002B4922" w:rsidRPr="006B139B">
        <w:rPr>
          <w:szCs w:val="22"/>
        </w:rPr>
        <w:t xml:space="preserve"> A</w:t>
      </w:r>
      <w:r w:rsidR="00D368BD" w:rsidRPr="006B139B">
        <w:rPr>
          <w:szCs w:val="22"/>
        </w:rPr>
        <w:t xml:space="preserve">mend its Petition for </w:t>
      </w:r>
      <w:r w:rsidR="00D368BD" w:rsidRPr="0069611D">
        <w:rPr>
          <w:szCs w:val="22"/>
        </w:rPr>
        <w:t>Reconsideration</w:t>
      </w:r>
      <w:r w:rsidR="00A66249" w:rsidRPr="0069611D">
        <w:rPr>
          <w:szCs w:val="22"/>
        </w:rPr>
        <w:t xml:space="preserve"> (Application for Leave)</w:t>
      </w:r>
      <w:r w:rsidR="00D368BD" w:rsidRPr="0069611D">
        <w:rPr>
          <w:szCs w:val="22"/>
        </w:rPr>
        <w:t>.</w:t>
      </w:r>
      <w:r w:rsidR="00D368BD" w:rsidRPr="0069611D">
        <w:rPr>
          <w:szCs w:val="22"/>
          <w:vertAlign w:val="superscript"/>
        </w:rPr>
        <w:footnoteReference w:id="5"/>
      </w:r>
      <w:r w:rsidR="00D368BD" w:rsidRPr="0069611D">
        <w:rPr>
          <w:szCs w:val="22"/>
        </w:rPr>
        <w:t xml:space="preserve">  </w:t>
      </w:r>
      <w:r w:rsidRPr="0069611D">
        <w:rPr>
          <w:szCs w:val="22"/>
        </w:rPr>
        <w:t xml:space="preserve">For the reasons discussed below, we dismiss </w:t>
      </w:r>
      <w:r w:rsidR="00B04741" w:rsidRPr="0069611D">
        <w:rPr>
          <w:szCs w:val="22"/>
        </w:rPr>
        <w:t xml:space="preserve">the </w:t>
      </w:r>
      <w:r w:rsidRPr="0069611D">
        <w:rPr>
          <w:szCs w:val="22"/>
        </w:rPr>
        <w:t xml:space="preserve">Petition </w:t>
      </w:r>
      <w:r w:rsidR="00B04741" w:rsidRPr="0069611D">
        <w:rPr>
          <w:szCs w:val="22"/>
        </w:rPr>
        <w:t xml:space="preserve">as an interlocutory appeal under Section 1.106(a)(1) of the </w:t>
      </w:r>
      <w:r w:rsidR="002F49A0" w:rsidRPr="0069611D">
        <w:rPr>
          <w:szCs w:val="22"/>
        </w:rPr>
        <w:t>Commission</w:t>
      </w:r>
      <w:r w:rsidR="00B04741" w:rsidRPr="0069611D">
        <w:rPr>
          <w:szCs w:val="22"/>
        </w:rPr>
        <w:t>’s Rules</w:t>
      </w:r>
      <w:r w:rsidR="00B04741" w:rsidRPr="0069611D">
        <w:rPr>
          <w:rStyle w:val="FootnoteReference"/>
          <w:szCs w:val="22"/>
        </w:rPr>
        <w:footnoteReference w:id="6"/>
      </w:r>
      <w:r w:rsidRPr="0069611D">
        <w:rPr>
          <w:szCs w:val="22"/>
        </w:rPr>
        <w:t xml:space="preserve"> and also dismiss Eger’s Application for Leave as moot. </w:t>
      </w:r>
    </w:p>
    <w:p w:rsidR="00217892" w:rsidRPr="0069611D" w:rsidRDefault="00217892" w:rsidP="00217892">
      <w:pPr>
        <w:pStyle w:val="Heading1"/>
        <w:rPr>
          <w:szCs w:val="22"/>
        </w:rPr>
      </w:pPr>
      <w:r w:rsidRPr="0069611D">
        <w:rPr>
          <w:szCs w:val="22"/>
        </w:rPr>
        <w:lastRenderedPageBreak/>
        <w:t>background</w:t>
      </w:r>
    </w:p>
    <w:p w:rsidR="009376F0" w:rsidRPr="0069611D" w:rsidRDefault="00B42A18" w:rsidP="00186EB9">
      <w:pPr>
        <w:pStyle w:val="ParaNum"/>
        <w:tabs>
          <w:tab w:val="clear" w:pos="1080"/>
        </w:tabs>
        <w:jc w:val="left"/>
        <w:rPr>
          <w:szCs w:val="22"/>
        </w:rPr>
      </w:pPr>
      <w:r w:rsidRPr="0069611D">
        <w:rPr>
          <w:szCs w:val="22"/>
        </w:rPr>
        <w:t>On July 2, 2010, Eger filed an Application for a Special Use Permit and Site Plan Approval with the Town of Livingston</w:t>
      </w:r>
      <w:r w:rsidR="00662B0C" w:rsidRPr="0069611D">
        <w:rPr>
          <w:szCs w:val="22"/>
        </w:rPr>
        <w:t xml:space="preserve"> Planning</w:t>
      </w:r>
      <w:r w:rsidRPr="0069611D">
        <w:rPr>
          <w:szCs w:val="22"/>
        </w:rPr>
        <w:t xml:space="preserve"> Board (Town) to construct a new 190-foot self-support lattice tower to replace two existing 190-foot guyed towers that were built in 1992.</w:t>
      </w:r>
      <w:r w:rsidRPr="0069611D">
        <w:rPr>
          <w:szCs w:val="22"/>
          <w:vertAlign w:val="superscript"/>
        </w:rPr>
        <w:footnoteReference w:id="7"/>
      </w:r>
      <w:r w:rsidRPr="0069611D">
        <w:rPr>
          <w:szCs w:val="22"/>
        </w:rPr>
        <w:t xml:space="preserve">  The proposed Eger tower site is located near the Olana House State Historic Site (Olana Estate), the former home of </w:t>
      </w:r>
      <w:r w:rsidR="00662B0C" w:rsidRPr="0069611D">
        <w:rPr>
          <w:szCs w:val="22"/>
        </w:rPr>
        <w:t xml:space="preserve">the artist </w:t>
      </w:r>
      <w:r w:rsidRPr="0069611D">
        <w:rPr>
          <w:szCs w:val="22"/>
        </w:rPr>
        <w:t>Frederic Church.</w:t>
      </w:r>
      <w:r w:rsidRPr="0069611D">
        <w:rPr>
          <w:szCs w:val="22"/>
          <w:vertAlign w:val="superscript"/>
        </w:rPr>
        <w:footnoteReference w:id="8"/>
      </w:r>
      <w:r w:rsidRPr="0069611D">
        <w:rPr>
          <w:szCs w:val="22"/>
        </w:rPr>
        <w:t xml:space="preserve">  The Olana Estate is a National Historic Landmark (NHL) </w:t>
      </w:r>
      <w:r w:rsidR="006E5506" w:rsidRPr="0069611D">
        <w:rPr>
          <w:szCs w:val="22"/>
        </w:rPr>
        <w:t xml:space="preserve">and is </w:t>
      </w:r>
      <w:r w:rsidRPr="0069611D">
        <w:rPr>
          <w:szCs w:val="22"/>
        </w:rPr>
        <w:t xml:space="preserve">listed </w:t>
      </w:r>
      <w:r w:rsidR="00662B0C" w:rsidRPr="0069611D">
        <w:rPr>
          <w:szCs w:val="22"/>
        </w:rPr>
        <w:t>in</w:t>
      </w:r>
      <w:r w:rsidRPr="0069611D">
        <w:rPr>
          <w:szCs w:val="22"/>
        </w:rPr>
        <w:t xml:space="preserve"> the National Register of Historic Places</w:t>
      </w:r>
      <w:r w:rsidR="00662B0C" w:rsidRPr="0069611D">
        <w:rPr>
          <w:szCs w:val="22"/>
        </w:rPr>
        <w:t xml:space="preserve"> (National Register)</w:t>
      </w:r>
      <w:r w:rsidRPr="0069611D">
        <w:rPr>
          <w:szCs w:val="22"/>
        </w:rPr>
        <w:t>.</w:t>
      </w:r>
      <w:r w:rsidRPr="0069611D">
        <w:rPr>
          <w:szCs w:val="22"/>
          <w:vertAlign w:val="superscript"/>
        </w:rPr>
        <w:footnoteReference w:id="9"/>
      </w:r>
      <w:r w:rsidR="00662B0C" w:rsidRPr="0069611D">
        <w:rPr>
          <w:szCs w:val="22"/>
        </w:rPr>
        <w:t xml:space="preserve">  Eger did not submit the proposed tower for </w:t>
      </w:r>
      <w:r w:rsidR="00522612" w:rsidRPr="0069611D">
        <w:rPr>
          <w:szCs w:val="22"/>
        </w:rPr>
        <w:t xml:space="preserve">federal </w:t>
      </w:r>
      <w:r w:rsidR="00662B0C" w:rsidRPr="0069611D">
        <w:rPr>
          <w:szCs w:val="22"/>
        </w:rPr>
        <w:t>review under Section 106 of the NHPA.</w:t>
      </w:r>
      <w:r w:rsidRPr="0069611D">
        <w:rPr>
          <w:szCs w:val="22"/>
        </w:rPr>
        <w:t xml:space="preserve">  </w:t>
      </w:r>
      <w:r w:rsidR="00217892" w:rsidRPr="0069611D">
        <w:rPr>
          <w:szCs w:val="22"/>
        </w:rPr>
        <w:t xml:space="preserve">On April 5, 2011, </w:t>
      </w:r>
      <w:r w:rsidR="00716E4B" w:rsidRPr="0069611D">
        <w:rPr>
          <w:szCs w:val="22"/>
        </w:rPr>
        <w:t>Olana/Hudson</w:t>
      </w:r>
      <w:r w:rsidR="00217892" w:rsidRPr="0069611D">
        <w:rPr>
          <w:szCs w:val="22"/>
        </w:rPr>
        <w:t xml:space="preserve"> filed an Informal Complaint with the Division arguing that Eger’s proposed </w:t>
      </w:r>
      <w:r w:rsidR="00662B0C" w:rsidRPr="0069611D">
        <w:rPr>
          <w:szCs w:val="22"/>
        </w:rPr>
        <w:t>t</w:t>
      </w:r>
      <w:r w:rsidR="00217892" w:rsidRPr="0069611D">
        <w:rPr>
          <w:szCs w:val="22"/>
        </w:rPr>
        <w:t xml:space="preserve">ower </w:t>
      </w:r>
      <w:r w:rsidR="008517A5" w:rsidRPr="0069611D">
        <w:rPr>
          <w:szCs w:val="22"/>
        </w:rPr>
        <w:t xml:space="preserve">should undergo full </w:t>
      </w:r>
      <w:r w:rsidR="00217892" w:rsidRPr="0069611D">
        <w:rPr>
          <w:szCs w:val="22"/>
        </w:rPr>
        <w:t xml:space="preserve">Section 106 review </w:t>
      </w:r>
      <w:r w:rsidR="00943801" w:rsidRPr="0069611D">
        <w:rPr>
          <w:szCs w:val="22"/>
        </w:rPr>
        <w:t>under the procedures specified in the N</w:t>
      </w:r>
      <w:r w:rsidR="005129B6" w:rsidRPr="0069611D">
        <w:rPr>
          <w:szCs w:val="22"/>
        </w:rPr>
        <w:t xml:space="preserve">PA </w:t>
      </w:r>
      <w:r w:rsidR="00662B0C" w:rsidRPr="0069611D">
        <w:rPr>
          <w:szCs w:val="22"/>
        </w:rPr>
        <w:t>and that the tower would have an adverse effect on the Olana Estate</w:t>
      </w:r>
      <w:r w:rsidR="00217892" w:rsidRPr="0069611D">
        <w:rPr>
          <w:szCs w:val="22"/>
        </w:rPr>
        <w:t>.</w:t>
      </w:r>
      <w:r w:rsidR="00217892" w:rsidRPr="0069611D">
        <w:rPr>
          <w:szCs w:val="22"/>
          <w:vertAlign w:val="superscript"/>
        </w:rPr>
        <w:footnoteReference w:id="10"/>
      </w:r>
      <w:r w:rsidR="00217892" w:rsidRPr="0069611D">
        <w:rPr>
          <w:szCs w:val="22"/>
        </w:rPr>
        <w:t xml:space="preserve">  In its Opposition and Sur-Reply, </w:t>
      </w:r>
      <w:r w:rsidR="00525BB3" w:rsidRPr="0069611D">
        <w:rPr>
          <w:szCs w:val="22"/>
        </w:rPr>
        <w:t xml:space="preserve">however, </w:t>
      </w:r>
      <w:r w:rsidR="00217892" w:rsidRPr="0069611D">
        <w:rPr>
          <w:szCs w:val="22"/>
        </w:rPr>
        <w:t xml:space="preserve">Eger argued that the proposed </w:t>
      </w:r>
      <w:r w:rsidR="00662B0C" w:rsidRPr="0069611D">
        <w:rPr>
          <w:szCs w:val="22"/>
        </w:rPr>
        <w:t>t</w:t>
      </w:r>
      <w:r w:rsidR="00217892" w:rsidRPr="0069611D">
        <w:rPr>
          <w:szCs w:val="22"/>
        </w:rPr>
        <w:t xml:space="preserve">ower is a replacement tower expressly excluded from Section 106 review under Section III(B) of the </w:t>
      </w:r>
      <w:r w:rsidR="005129B6" w:rsidRPr="0069611D">
        <w:rPr>
          <w:szCs w:val="22"/>
        </w:rPr>
        <w:t>NPA</w:t>
      </w:r>
      <w:r w:rsidR="00217892" w:rsidRPr="0069611D">
        <w:rPr>
          <w:szCs w:val="22"/>
        </w:rPr>
        <w:t>.</w:t>
      </w:r>
      <w:r w:rsidR="00217892" w:rsidRPr="0069611D">
        <w:rPr>
          <w:szCs w:val="22"/>
          <w:vertAlign w:val="superscript"/>
        </w:rPr>
        <w:footnoteReference w:id="11"/>
      </w:r>
      <w:r w:rsidR="004853FB" w:rsidRPr="0069611D">
        <w:rPr>
          <w:szCs w:val="22"/>
        </w:rPr>
        <w:t xml:space="preserve">  </w:t>
      </w:r>
    </w:p>
    <w:p w:rsidR="00CD7715" w:rsidRPr="0069611D" w:rsidRDefault="00217892" w:rsidP="00186EB9">
      <w:pPr>
        <w:pStyle w:val="ParaNum"/>
        <w:tabs>
          <w:tab w:val="clear" w:pos="1080"/>
        </w:tabs>
        <w:jc w:val="left"/>
        <w:rPr>
          <w:szCs w:val="22"/>
        </w:rPr>
      </w:pPr>
      <w:r w:rsidRPr="0069611D">
        <w:rPr>
          <w:i/>
          <w:szCs w:val="22"/>
        </w:rPr>
        <w:t>Division Letter.</w:t>
      </w:r>
      <w:r w:rsidRPr="0069611D">
        <w:rPr>
          <w:szCs w:val="22"/>
        </w:rPr>
        <w:t xml:space="preserve"> </w:t>
      </w:r>
      <w:r w:rsidR="00186EB9" w:rsidRPr="0069611D">
        <w:rPr>
          <w:szCs w:val="22"/>
        </w:rPr>
        <w:t xml:space="preserve"> Based on </w:t>
      </w:r>
      <w:r w:rsidR="00662B0C" w:rsidRPr="0069611D">
        <w:rPr>
          <w:szCs w:val="22"/>
        </w:rPr>
        <w:t>its</w:t>
      </w:r>
      <w:r w:rsidR="00186EB9" w:rsidRPr="0069611D">
        <w:rPr>
          <w:szCs w:val="22"/>
        </w:rPr>
        <w:t xml:space="preserve"> review of all the pleadings,</w:t>
      </w:r>
      <w:r w:rsidR="00330E93" w:rsidRPr="0069611D">
        <w:rPr>
          <w:szCs w:val="22"/>
        </w:rPr>
        <w:t xml:space="preserve"> in a letter dated August 5, 2013, </w:t>
      </w:r>
      <w:r w:rsidR="00186EB9" w:rsidRPr="0069611D">
        <w:rPr>
          <w:szCs w:val="22"/>
        </w:rPr>
        <w:t>the Division determined that several circumstances in this case render Section 106 review necessary to fulfill the purposes of the NHPA.</w:t>
      </w:r>
      <w:r w:rsidR="00186EB9" w:rsidRPr="0069611D">
        <w:rPr>
          <w:szCs w:val="22"/>
          <w:vertAlign w:val="superscript"/>
        </w:rPr>
        <w:footnoteReference w:id="12"/>
      </w:r>
      <w:r w:rsidR="00330E93" w:rsidRPr="0069611D">
        <w:rPr>
          <w:szCs w:val="22"/>
        </w:rPr>
        <w:t xml:space="preserve"> </w:t>
      </w:r>
      <w:r w:rsidR="00AD3236" w:rsidRPr="0069611D">
        <w:rPr>
          <w:szCs w:val="22"/>
        </w:rPr>
        <w:t>In particular, the Division noted that the view from the Olana Estate is not only a contributing characteristic to its historic significance, but is uniquely important to understanding the life and experience of its famous resident.  Considering that the proposed tower would be plainly and prominently visible from the Olana Estate, which is an NHL, combined with other factors, the Division found it necessary for the NYSHPO and the Division to assess under Section 106 whether the proposed tower will have an adverse effect on historic properties.</w:t>
      </w:r>
      <w:r w:rsidR="00AD3236" w:rsidRPr="0069611D">
        <w:rPr>
          <w:rStyle w:val="FootnoteReference"/>
          <w:szCs w:val="22"/>
        </w:rPr>
        <w:footnoteReference w:id="13"/>
      </w:r>
      <w:r w:rsidR="00AD3236" w:rsidRPr="0069611D">
        <w:rPr>
          <w:szCs w:val="22"/>
        </w:rPr>
        <w:t xml:space="preserve">  The Division further found that the process specified in the NPA will give all interested parties, including the NYSHPO, Eger, the </w:t>
      </w:r>
      <w:r w:rsidR="00AD3236" w:rsidRPr="0069611D">
        <w:rPr>
          <w:szCs w:val="22"/>
        </w:rPr>
        <w:lastRenderedPageBreak/>
        <w:t>existing licensees on the two towers, and any other potential consulting parties, a full opportunity to participate in the Section 106 process.</w:t>
      </w:r>
      <w:r w:rsidR="00AD3236" w:rsidRPr="0069611D">
        <w:rPr>
          <w:szCs w:val="22"/>
          <w:vertAlign w:val="superscript"/>
        </w:rPr>
        <w:footnoteReference w:id="14"/>
      </w:r>
      <w:r w:rsidR="00AD3236" w:rsidRPr="0069611D">
        <w:rPr>
          <w:szCs w:val="22"/>
        </w:rPr>
        <w:t xml:space="preserve"> </w:t>
      </w:r>
      <w:r w:rsidR="00186EB9" w:rsidRPr="0069611D">
        <w:rPr>
          <w:szCs w:val="22"/>
        </w:rPr>
        <w:t xml:space="preserve"> </w:t>
      </w:r>
      <w:r w:rsidR="00330E93" w:rsidRPr="0069611D">
        <w:rPr>
          <w:szCs w:val="22"/>
        </w:rPr>
        <w:t xml:space="preserve">In reaching this decision, </w:t>
      </w:r>
      <w:r w:rsidRPr="0069611D">
        <w:rPr>
          <w:szCs w:val="22"/>
        </w:rPr>
        <w:t xml:space="preserve">the Division </w:t>
      </w:r>
      <w:r w:rsidR="00662B0C" w:rsidRPr="0069611D">
        <w:rPr>
          <w:szCs w:val="22"/>
        </w:rPr>
        <w:t>found</w:t>
      </w:r>
      <w:r w:rsidRPr="0069611D">
        <w:rPr>
          <w:szCs w:val="22"/>
        </w:rPr>
        <w:t xml:space="preserve"> that it was not necessary to resolve whether the proposed </w:t>
      </w:r>
      <w:r w:rsidR="009F569A" w:rsidRPr="0069611D">
        <w:rPr>
          <w:szCs w:val="22"/>
        </w:rPr>
        <w:t>t</w:t>
      </w:r>
      <w:r w:rsidRPr="0069611D">
        <w:rPr>
          <w:szCs w:val="22"/>
        </w:rPr>
        <w:t xml:space="preserve">ower falls within the replacement tower exclusion under the </w:t>
      </w:r>
      <w:r w:rsidR="005129B6" w:rsidRPr="0069611D">
        <w:rPr>
          <w:szCs w:val="22"/>
        </w:rPr>
        <w:t>NPA</w:t>
      </w:r>
      <w:r w:rsidRPr="0069611D">
        <w:rPr>
          <w:szCs w:val="22"/>
        </w:rPr>
        <w:t>.</w:t>
      </w:r>
      <w:r w:rsidR="00186EB9" w:rsidRPr="0069611D">
        <w:rPr>
          <w:szCs w:val="22"/>
          <w:vertAlign w:val="superscript"/>
        </w:rPr>
        <w:t xml:space="preserve"> </w:t>
      </w:r>
      <w:r w:rsidR="00186EB9" w:rsidRPr="0069611D">
        <w:rPr>
          <w:szCs w:val="22"/>
          <w:vertAlign w:val="superscript"/>
        </w:rPr>
        <w:footnoteReference w:id="15"/>
      </w:r>
      <w:r w:rsidRPr="0069611D">
        <w:rPr>
          <w:szCs w:val="22"/>
        </w:rPr>
        <w:t xml:space="preserve">  </w:t>
      </w:r>
      <w:r w:rsidR="00D0468C" w:rsidRPr="0069611D">
        <w:rPr>
          <w:szCs w:val="22"/>
        </w:rPr>
        <w:t>T</w:t>
      </w:r>
      <w:r w:rsidRPr="0069611D">
        <w:rPr>
          <w:szCs w:val="22"/>
        </w:rPr>
        <w:t xml:space="preserve">he Division relied on Section XI of the </w:t>
      </w:r>
      <w:r w:rsidR="005129B6" w:rsidRPr="0069611D">
        <w:rPr>
          <w:szCs w:val="22"/>
        </w:rPr>
        <w:t>NPA</w:t>
      </w:r>
      <w:r w:rsidR="00CC1693" w:rsidRPr="0069611D">
        <w:rPr>
          <w:szCs w:val="22"/>
        </w:rPr>
        <w:t>,</w:t>
      </w:r>
      <w:r w:rsidRPr="0069611D">
        <w:rPr>
          <w:szCs w:val="22"/>
        </w:rPr>
        <w:t xml:space="preserve"> which provides that any interested party may notify the </w:t>
      </w:r>
      <w:r w:rsidR="002F49A0" w:rsidRPr="0069611D">
        <w:rPr>
          <w:szCs w:val="22"/>
        </w:rPr>
        <w:t>Commission</w:t>
      </w:r>
      <w:r w:rsidRPr="0069611D">
        <w:rPr>
          <w:szCs w:val="22"/>
        </w:rPr>
        <w:t xml:space="preserve"> of its concerns regarding the </w:t>
      </w:r>
      <w:r w:rsidR="005129B6" w:rsidRPr="0069611D">
        <w:rPr>
          <w:szCs w:val="22"/>
        </w:rPr>
        <w:t>NPA</w:t>
      </w:r>
      <w:r w:rsidRPr="0069611D">
        <w:rPr>
          <w:szCs w:val="22"/>
        </w:rPr>
        <w:t xml:space="preserve">’s application to the review of individual undertakings, and the </w:t>
      </w:r>
      <w:r w:rsidR="002F49A0" w:rsidRPr="0069611D">
        <w:rPr>
          <w:szCs w:val="22"/>
        </w:rPr>
        <w:t>Commission</w:t>
      </w:r>
      <w:r w:rsidRPr="0069611D">
        <w:rPr>
          <w:szCs w:val="22"/>
        </w:rPr>
        <w:t xml:space="preserve"> shall consider such comments and</w:t>
      </w:r>
      <w:r w:rsidR="00CC1693" w:rsidRPr="0069611D">
        <w:rPr>
          <w:szCs w:val="22"/>
        </w:rPr>
        <w:t>, where appropriate,</w:t>
      </w:r>
      <w:r w:rsidRPr="0069611D">
        <w:rPr>
          <w:szCs w:val="22"/>
        </w:rPr>
        <w:t xml:space="preserve"> take appropriate action.</w:t>
      </w:r>
      <w:r w:rsidRPr="0069611D">
        <w:rPr>
          <w:szCs w:val="22"/>
          <w:vertAlign w:val="superscript"/>
        </w:rPr>
        <w:footnoteReference w:id="16"/>
      </w:r>
      <w:r w:rsidRPr="0069611D">
        <w:rPr>
          <w:szCs w:val="22"/>
        </w:rPr>
        <w:t xml:space="preserve">  </w:t>
      </w:r>
      <w:r w:rsidR="00537B9E" w:rsidRPr="0069611D">
        <w:rPr>
          <w:szCs w:val="22"/>
        </w:rPr>
        <w:t>Therefore, the Division</w:t>
      </w:r>
      <w:r w:rsidR="002E2DB6" w:rsidRPr="0069611D">
        <w:rPr>
          <w:szCs w:val="22"/>
        </w:rPr>
        <w:t xml:space="preserve"> Letter</w:t>
      </w:r>
      <w:r w:rsidR="002E2DB6" w:rsidRPr="0069611D">
        <w:rPr>
          <w:i/>
          <w:szCs w:val="22"/>
        </w:rPr>
        <w:t xml:space="preserve"> </w:t>
      </w:r>
      <w:r w:rsidR="00330E93" w:rsidRPr="0069611D">
        <w:rPr>
          <w:szCs w:val="22"/>
        </w:rPr>
        <w:t>found</w:t>
      </w:r>
      <w:r w:rsidR="00CC1693" w:rsidRPr="0069611D">
        <w:rPr>
          <w:szCs w:val="22"/>
        </w:rPr>
        <w:t xml:space="preserve">, pursuant to the </w:t>
      </w:r>
      <w:r w:rsidR="00522612" w:rsidRPr="0069611D">
        <w:rPr>
          <w:szCs w:val="22"/>
        </w:rPr>
        <w:t xml:space="preserve">authority found in </w:t>
      </w:r>
      <w:r w:rsidR="00CC1693" w:rsidRPr="0069611D">
        <w:rPr>
          <w:szCs w:val="22"/>
        </w:rPr>
        <w:t>Section XI,</w:t>
      </w:r>
      <w:r w:rsidR="00330E93" w:rsidRPr="0069611D">
        <w:rPr>
          <w:szCs w:val="22"/>
        </w:rPr>
        <w:t xml:space="preserve"> that </w:t>
      </w:r>
      <w:r w:rsidR="00537B9E" w:rsidRPr="0069611D">
        <w:rPr>
          <w:szCs w:val="22"/>
        </w:rPr>
        <w:t>Eger</w:t>
      </w:r>
      <w:r w:rsidR="00330E93" w:rsidRPr="0069611D">
        <w:rPr>
          <w:szCs w:val="22"/>
        </w:rPr>
        <w:t xml:space="preserve"> must</w:t>
      </w:r>
      <w:r w:rsidR="00537B9E" w:rsidRPr="0069611D">
        <w:rPr>
          <w:szCs w:val="22"/>
        </w:rPr>
        <w:t xml:space="preserve"> complete Section 106 review pursuant to Section</w:t>
      </w:r>
      <w:r w:rsidR="00CC1693" w:rsidRPr="0069611D">
        <w:rPr>
          <w:szCs w:val="22"/>
        </w:rPr>
        <w:t>s</w:t>
      </w:r>
      <w:r w:rsidR="00537B9E" w:rsidRPr="0069611D">
        <w:rPr>
          <w:szCs w:val="22"/>
        </w:rPr>
        <w:t xml:space="preserve"> IV through VII of the </w:t>
      </w:r>
      <w:r w:rsidR="005129B6" w:rsidRPr="0069611D">
        <w:rPr>
          <w:szCs w:val="22"/>
        </w:rPr>
        <w:t>NPA</w:t>
      </w:r>
      <w:r w:rsidR="00537B9E" w:rsidRPr="0069611D">
        <w:rPr>
          <w:szCs w:val="22"/>
        </w:rPr>
        <w:t xml:space="preserve"> </w:t>
      </w:r>
      <w:r w:rsidR="00FF666E" w:rsidRPr="0069611D">
        <w:rPr>
          <w:szCs w:val="22"/>
        </w:rPr>
        <w:t xml:space="preserve">prior to construction of the proposed </w:t>
      </w:r>
      <w:r w:rsidR="009F569A" w:rsidRPr="0069611D">
        <w:rPr>
          <w:szCs w:val="22"/>
        </w:rPr>
        <w:t>t</w:t>
      </w:r>
      <w:r w:rsidR="00FF666E" w:rsidRPr="0069611D">
        <w:rPr>
          <w:szCs w:val="22"/>
        </w:rPr>
        <w:t>ower</w:t>
      </w:r>
      <w:r w:rsidR="00537B9E" w:rsidRPr="0069611D">
        <w:rPr>
          <w:szCs w:val="22"/>
        </w:rPr>
        <w:t>.</w:t>
      </w:r>
      <w:r w:rsidR="00B04DC3" w:rsidRPr="0069611D">
        <w:rPr>
          <w:szCs w:val="22"/>
        </w:rPr>
        <w:t xml:space="preserve">  </w:t>
      </w:r>
    </w:p>
    <w:p w:rsidR="00217892" w:rsidRPr="0069611D" w:rsidRDefault="00217892" w:rsidP="00CD7715">
      <w:pPr>
        <w:pStyle w:val="ParaNum"/>
        <w:tabs>
          <w:tab w:val="clear" w:pos="1080"/>
        </w:tabs>
        <w:jc w:val="left"/>
        <w:rPr>
          <w:szCs w:val="22"/>
        </w:rPr>
      </w:pPr>
      <w:r w:rsidRPr="0069611D">
        <w:rPr>
          <w:i/>
          <w:szCs w:val="22"/>
        </w:rPr>
        <w:t>Petition for Reconsideration</w:t>
      </w:r>
      <w:r w:rsidRPr="0069611D">
        <w:rPr>
          <w:szCs w:val="22"/>
        </w:rPr>
        <w:t xml:space="preserve">. On August 30, 2013, Eger filed </w:t>
      </w:r>
      <w:r w:rsidR="00F36397" w:rsidRPr="0069611D">
        <w:rPr>
          <w:szCs w:val="22"/>
        </w:rPr>
        <w:t>its</w:t>
      </w:r>
      <w:r w:rsidRPr="0069611D">
        <w:rPr>
          <w:szCs w:val="22"/>
        </w:rPr>
        <w:t xml:space="preserve"> Petition</w:t>
      </w:r>
      <w:r w:rsidR="000B0486" w:rsidRPr="0069611D">
        <w:rPr>
          <w:szCs w:val="22"/>
        </w:rPr>
        <w:t xml:space="preserve"> for Reconsideration of the Division Letter</w:t>
      </w:r>
      <w:r w:rsidR="00F36397" w:rsidRPr="0069611D">
        <w:rPr>
          <w:szCs w:val="22"/>
        </w:rPr>
        <w:t xml:space="preserve">, </w:t>
      </w:r>
      <w:r w:rsidR="00B42A18" w:rsidRPr="0069611D">
        <w:rPr>
          <w:szCs w:val="22"/>
        </w:rPr>
        <w:t xml:space="preserve">reiterating its </w:t>
      </w:r>
      <w:r w:rsidRPr="0069611D">
        <w:rPr>
          <w:szCs w:val="22"/>
        </w:rPr>
        <w:t>a</w:t>
      </w:r>
      <w:r w:rsidR="000B0486" w:rsidRPr="0069611D">
        <w:rPr>
          <w:szCs w:val="22"/>
        </w:rPr>
        <w:t>rgu</w:t>
      </w:r>
      <w:r w:rsidR="00B42A18" w:rsidRPr="0069611D">
        <w:rPr>
          <w:szCs w:val="22"/>
        </w:rPr>
        <w:t>ment</w:t>
      </w:r>
      <w:r w:rsidR="000B0486" w:rsidRPr="0069611D">
        <w:rPr>
          <w:szCs w:val="22"/>
        </w:rPr>
        <w:t xml:space="preserve"> that</w:t>
      </w:r>
      <w:r w:rsidRPr="0069611D">
        <w:rPr>
          <w:szCs w:val="22"/>
        </w:rPr>
        <w:t xml:space="preserve"> the </w:t>
      </w:r>
      <w:r w:rsidR="00FF666E" w:rsidRPr="0069611D">
        <w:rPr>
          <w:szCs w:val="22"/>
        </w:rPr>
        <w:t xml:space="preserve">proposed </w:t>
      </w:r>
      <w:r w:rsidR="00CC1693" w:rsidRPr="0069611D">
        <w:rPr>
          <w:szCs w:val="22"/>
        </w:rPr>
        <w:t>t</w:t>
      </w:r>
      <w:r w:rsidR="00FF666E" w:rsidRPr="0069611D">
        <w:rPr>
          <w:szCs w:val="22"/>
        </w:rPr>
        <w:t>ower</w:t>
      </w:r>
      <w:r w:rsidRPr="0069611D">
        <w:rPr>
          <w:szCs w:val="22"/>
        </w:rPr>
        <w:t xml:space="preserve"> is excluded from Section 106 review</w:t>
      </w:r>
      <w:r w:rsidR="00FF666E" w:rsidRPr="0069611D">
        <w:rPr>
          <w:szCs w:val="22"/>
        </w:rPr>
        <w:t xml:space="preserve"> as a replacement tower</w:t>
      </w:r>
      <w:r w:rsidRPr="0069611D">
        <w:rPr>
          <w:szCs w:val="22"/>
        </w:rPr>
        <w:t>.</w:t>
      </w:r>
      <w:r w:rsidRPr="0069611D">
        <w:rPr>
          <w:szCs w:val="22"/>
          <w:vertAlign w:val="superscript"/>
        </w:rPr>
        <w:footnoteReference w:id="17"/>
      </w:r>
      <w:r w:rsidRPr="0069611D">
        <w:rPr>
          <w:szCs w:val="22"/>
        </w:rPr>
        <w:t xml:space="preserve"> </w:t>
      </w:r>
      <w:r w:rsidR="00446D5A" w:rsidRPr="0069611D">
        <w:rPr>
          <w:szCs w:val="22"/>
        </w:rPr>
        <w:t xml:space="preserve"> </w:t>
      </w:r>
      <w:r w:rsidRPr="0069611D">
        <w:rPr>
          <w:szCs w:val="22"/>
        </w:rPr>
        <w:t xml:space="preserve">Eger </w:t>
      </w:r>
      <w:r w:rsidR="00C5660D" w:rsidRPr="0069611D">
        <w:rPr>
          <w:szCs w:val="22"/>
        </w:rPr>
        <w:t>also contends</w:t>
      </w:r>
      <w:r w:rsidRPr="0069611D">
        <w:rPr>
          <w:szCs w:val="22"/>
        </w:rPr>
        <w:t xml:space="preserve"> that under Section 1.106(c)(2) of the </w:t>
      </w:r>
      <w:r w:rsidR="002F49A0" w:rsidRPr="0069611D">
        <w:rPr>
          <w:szCs w:val="22"/>
        </w:rPr>
        <w:t>Commission</w:t>
      </w:r>
      <w:r w:rsidRPr="0069611D">
        <w:rPr>
          <w:szCs w:val="22"/>
        </w:rPr>
        <w:t>’s Rules, the Petition should be granted since it is in the public interest to consider public safety agencies’ need for the replacement tower and the consequences to public safety in the event that construction of the replacement tower is delayed or prohibited.</w:t>
      </w:r>
      <w:r w:rsidRPr="0069611D">
        <w:rPr>
          <w:szCs w:val="22"/>
          <w:vertAlign w:val="superscript"/>
        </w:rPr>
        <w:footnoteReference w:id="18"/>
      </w:r>
      <w:r w:rsidRPr="0069611D">
        <w:rPr>
          <w:szCs w:val="22"/>
        </w:rPr>
        <w:t xml:space="preserve"> </w:t>
      </w:r>
      <w:r w:rsidR="00446D5A" w:rsidRPr="0069611D">
        <w:rPr>
          <w:szCs w:val="22"/>
        </w:rPr>
        <w:t xml:space="preserve"> </w:t>
      </w:r>
      <w:r w:rsidR="000B0486" w:rsidRPr="0069611D">
        <w:rPr>
          <w:szCs w:val="22"/>
        </w:rPr>
        <w:t>In particular,</w:t>
      </w:r>
      <w:r w:rsidR="00C5660D" w:rsidRPr="0069611D">
        <w:rPr>
          <w:szCs w:val="22"/>
        </w:rPr>
        <w:t xml:space="preserve"> Eger argues that it needs to replace the twin towers with a stronger tower of the same height to support additional antennas needed to upgrade public safety communications systems in the region.</w:t>
      </w:r>
      <w:r w:rsidR="00C5660D" w:rsidRPr="0069611D">
        <w:rPr>
          <w:szCs w:val="22"/>
          <w:vertAlign w:val="superscript"/>
        </w:rPr>
        <w:footnoteReference w:id="19"/>
      </w:r>
      <w:r w:rsidR="00C5660D" w:rsidRPr="0069611D">
        <w:rPr>
          <w:szCs w:val="22"/>
        </w:rPr>
        <w:t xml:space="preserve"> </w:t>
      </w:r>
      <w:r w:rsidR="000B0486" w:rsidRPr="0069611D">
        <w:rPr>
          <w:szCs w:val="22"/>
        </w:rPr>
        <w:t xml:space="preserve"> </w:t>
      </w:r>
      <w:r w:rsidR="00CC1693" w:rsidRPr="0069611D">
        <w:rPr>
          <w:szCs w:val="22"/>
        </w:rPr>
        <w:t xml:space="preserve">In a letter supporting Eger’s petition, </w:t>
      </w:r>
      <w:r w:rsidR="000B0486" w:rsidRPr="0069611D">
        <w:rPr>
          <w:szCs w:val="22"/>
        </w:rPr>
        <w:t>Columbia County</w:t>
      </w:r>
      <w:r w:rsidR="00CC1693" w:rsidRPr="0069611D">
        <w:rPr>
          <w:szCs w:val="22"/>
        </w:rPr>
        <w:t xml:space="preserve"> similarly</w:t>
      </w:r>
      <w:r w:rsidR="000B0486" w:rsidRPr="0069611D">
        <w:rPr>
          <w:szCs w:val="22"/>
        </w:rPr>
        <w:t xml:space="preserve"> </w:t>
      </w:r>
      <w:r w:rsidR="00EB5A70" w:rsidRPr="0069611D">
        <w:rPr>
          <w:szCs w:val="22"/>
        </w:rPr>
        <w:t>urge</w:t>
      </w:r>
      <w:r w:rsidR="00CC1693" w:rsidRPr="0069611D">
        <w:rPr>
          <w:szCs w:val="22"/>
        </w:rPr>
        <w:t>s</w:t>
      </w:r>
      <w:r w:rsidR="00EB5A70" w:rsidRPr="0069611D">
        <w:rPr>
          <w:szCs w:val="22"/>
        </w:rPr>
        <w:t xml:space="preserve"> the </w:t>
      </w:r>
      <w:r w:rsidR="00CC1693" w:rsidRPr="0069611D">
        <w:rPr>
          <w:szCs w:val="22"/>
        </w:rPr>
        <w:t>Division</w:t>
      </w:r>
      <w:r w:rsidR="00EB5A70" w:rsidRPr="0069611D">
        <w:rPr>
          <w:szCs w:val="22"/>
        </w:rPr>
        <w:t xml:space="preserve"> to consider public safety</w:t>
      </w:r>
      <w:r w:rsidR="00CC1693" w:rsidRPr="0069611D">
        <w:rPr>
          <w:szCs w:val="22"/>
        </w:rPr>
        <w:t>’s</w:t>
      </w:r>
      <w:r w:rsidR="00EB5A70" w:rsidRPr="0069611D">
        <w:rPr>
          <w:szCs w:val="22"/>
        </w:rPr>
        <w:t xml:space="preserve"> interest in the </w:t>
      </w:r>
      <w:r w:rsidR="00CC1693" w:rsidRPr="0069611D">
        <w:rPr>
          <w:szCs w:val="22"/>
        </w:rPr>
        <w:t>construction</w:t>
      </w:r>
      <w:r w:rsidR="00EB5A70" w:rsidRPr="0069611D">
        <w:rPr>
          <w:szCs w:val="22"/>
        </w:rPr>
        <w:t xml:space="preserve"> of the proposed tower.</w:t>
      </w:r>
      <w:r w:rsidR="00C5660D" w:rsidRPr="0069611D">
        <w:rPr>
          <w:rStyle w:val="FootnoteReference"/>
          <w:szCs w:val="22"/>
        </w:rPr>
        <w:footnoteReference w:id="20"/>
      </w:r>
      <w:r w:rsidR="00C5660D" w:rsidRPr="0069611D">
        <w:rPr>
          <w:szCs w:val="22"/>
        </w:rPr>
        <w:t xml:space="preserve">  </w:t>
      </w:r>
      <w:r w:rsidR="00EB5A70" w:rsidRPr="0069611D">
        <w:rPr>
          <w:szCs w:val="22"/>
        </w:rPr>
        <w:t>In its Opposition to the Petition,</w:t>
      </w:r>
      <w:r w:rsidR="00446D5A" w:rsidRPr="0069611D">
        <w:rPr>
          <w:szCs w:val="22"/>
        </w:rPr>
        <w:t xml:space="preserve"> however,</w:t>
      </w:r>
      <w:r w:rsidR="0013290F" w:rsidRPr="0069611D">
        <w:rPr>
          <w:szCs w:val="22"/>
        </w:rPr>
        <w:t xml:space="preserve"> </w:t>
      </w:r>
      <w:r w:rsidRPr="0069611D">
        <w:rPr>
          <w:szCs w:val="22"/>
        </w:rPr>
        <w:t>Olana</w:t>
      </w:r>
      <w:r w:rsidR="0013290F" w:rsidRPr="0069611D">
        <w:rPr>
          <w:szCs w:val="22"/>
        </w:rPr>
        <w:t>/Hudson</w:t>
      </w:r>
      <w:r w:rsidRPr="0069611D">
        <w:rPr>
          <w:szCs w:val="22"/>
        </w:rPr>
        <w:t xml:space="preserve"> argue that Eger’s Petition should be dismissed under Section 1.106(d)</w:t>
      </w:r>
      <w:r w:rsidR="00CC1693" w:rsidRPr="0069611D">
        <w:rPr>
          <w:szCs w:val="22"/>
        </w:rPr>
        <w:t xml:space="preserve"> and</w:t>
      </w:r>
      <w:r w:rsidRPr="0069611D">
        <w:rPr>
          <w:szCs w:val="22"/>
        </w:rPr>
        <w:t xml:space="preserve"> (p) of the </w:t>
      </w:r>
      <w:r w:rsidR="002F49A0" w:rsidRPr="0069611D">
        <w:rPr>
          <w:szCs w:val="22"/>
        </w:rPr>
        <w:t>Commission</w:t>
      </w:r>
      <w:r w:rsidRPr="0069611D">
        <w:rPr>
          <w:szCs w:val="22"/>
        </w:rPr>
        <w:t>’s Rules</w:t>
      </w:r>
      <w:r w:rsidR="00CC1693" w:rsidRPr="0069611D">
        <w:rPr>
          <w:szCs w:val="22"/>
        </w:rPr>
        <w:t xml:space="preserve"> because it fails to present new facts or arguments</w:t>
      </w:r>
      <w:r w:rsidRPr="0069611D">
        <w:rPr>
          <w:szCs w:val="22"/>
        </w:rPr>
        <w:t>.</w:t>
      </w:r>
      <w:r w:rsidR="0026768C" w:rsidRPr="0069611D">
        <w:rPr>
          <w:rStyle w:val="FootnoteReference"/>
          <w:szCs w:val="22"/>
        </w:rPr>
        <w:footnoteReference w:id="21"/>
      </w:r>
      <w:r w:rsidRPr="0069611D">
        <w:rPr>
          <w:szCs w:val="22"/>
        </w:rPr>
        <w:t xml:space="preserve">  </w:t>
      </w:r>
      <w:r w:rsidR="00B04DC3" w:rsidRPr="0069611D">
        <w:rPr>
          <w:szCs w:val="22"/>
        </w:rPr>
        <w:t>Olana/Hudson</w:t>
      </w:r>
      <w:r w:rsidR="00446D5A" w:rsidRPr="0069611D">
        <w:rPr>
          <w:szCs w:val="22"/>
        </w:rPr>
        <w:t xml:space="preserve"> </w:t>
      </w:r>
      <w:r w:rsidR="00B42A18" w:rsidRPr="0069611D">
        <w:rPr>
          <w:szCs w:val="22"/>
        </w:rPr>
        <w:t>further</w:t>
      </w:r>
      <w:r w:rsidRPr="0069611D">
        <w:rPr>
          <w:szCs w:val="22"/>
        </w:rPr>
        <w:t xml:space="preserve"> </w:t>
      </w:r>
      <w:r w:rsidR="0013290F" w:rsidRPr="0069611D">
        <w:rPr>
          <w:szCs w:val="22"/>
        </w:rPr>
        <w:t>argue</w:t>
      </w:r>
      <w:r w:rsidRPr="0069611D">
        <w:rPr>
          <w:szCs w:val="22"/>
        </w:rPr>
        <w:t xml:space="preserve"> that the Section 106 process must proceed </w:t>
      </w:r>
      <w:r w:rsidR="00446D5A" w:rsidRPr="0069611D">
        <w:rPr>
          <w:szCs w:val="22"/>
        </w:rPr>
        <w:t xml:space="preserve">without further delay </w:t>
      </w:r>
      <w:r w:rsidR="004B7425" w:rsidRPr="0069611D">
        <w:rPr>
          <w:szCs w:val="22"/>
        </w:rPr>
        <w:t xml:space="preserve">to determine </w:t>
      </w:r>
      <w:r w:rsidRPr="0069611D">
        <w:rPr>
          <w:szCs w:val="22"/>
        </w:rPr>
        <w:t xml:space="preserve">the proposed </w:t>
      </w:r>
      <w:r w:rsidR="007E07D4" w:rsidRPr="0069611D">
        <w:rPr>
          <w:szCs w:val="22"/>
        </w:rPr>
        <w:t>t</w:t>
      </w:r>
      <w:r w:rsidRPr="0069611D">
        <w:rPr>
          <w:szCs w:val="22"/>
        </w:rPr>
        <w:t>ower’s potential adverse effects on the Olana Estate.</w:t>
      </w:r>
      <w:r w:rsidRPr="0069611D">
        <w:rPr>
          <w:szCs w:val="22"/>
          <w:vertAlign w:val="superscript"/>
        </w:rPr>
        <w:footnoteReference w:id="22"/>
      </w:r>
    </w:p>
    <w:p w:rsidR="002848F8" w:rsidRPr="0069611D" w:rsidRDefault="00217892" w:rsidP="00B04741">
      <w:pPr>
        <w:pStyle w:val="ParaNum"/>
        <w:tabs>
          <w:tab w:val="clear" w:pos="1080"/>
        </w:tabs>
        <w:jc w:val="left"/>
        <w:rPr>
          <w:szCs w:val="22"/>
        </w:rPr>
      </w:pPr>
      <w:r w:rsidRPr="0069611D">
        <w:rPr>
          <w:i/>
          <w:szCs w:val="22"/>
        </w:rPr>
        <w:t>Application for Leave.</w:t>
      </w:r>
      <w:r w:rsidRPr="0069611D">
        <w:rPr>
          <w:szCs w:val="22"/>
        </w:rPr>
        <w:t xml:space="preserve"> </w:t>
      </w:r>
      <w:r w:rsidR="00127C27" w:rsidRPr="0069611D">
        <w:rPr>
          <w:szCs w:val="22"/>
        </w:rPr>
        <w:t xml:space="preserve">On October 24, 2014, Eger filed </w:t>
      </w:r>
      <w:r w:rsidR="00EB5A70" w:rsidRPr="0069611D">
        <w:rPr>
          <w:szCs w:val="22"/>
        </w:rPr>
        <w:t>its</w:t>
      </w:r>
      <w:r w:rsidR="00127C27" w:rsidRPr="0069611D">
        <w:rPr>
          <w:szCs w:val="22"/>
        </w:rPr>
        <w:t xml:space="preserve"> Application for Leave, requesting to supplement its Petition to include </w:t>
      </w:r>
      <w:r w:rsidR="0026768C" w:rsidRPr="0069611D">
        <w:rPr>
          <w:szCs w:val="22"/>
        </w:rPr>
        <w:t>a</w:t>
      </w:r>
      <w:r w:rsidR="00127C27" w:rsidRPr="0069611D">
        <w:rPr>
          <w:szCs w:val="22"/>
        </w:rPr>
        <w:t xml:space="preserve"> New York State Supreme Court </w:t>
      </w:r>
      <w:r w:rsidR="00B04DC3" w:rsidRPr="0069611D">
        <w:rPr>
          <w:szCs w:val="22"/>
        </w:rPr>
        <w:t xml:space="preserve">(NY State Court) </w:t>
      </w:r>
      <w:r w:rsidR="00127C27" w:rsidRPr="0069611D">
        <w:rPr>
          <w:szCs w:val="22"/>
        </w:rPr>
        <w:t>Decision dated August 26, 2014.</w:t>
      </w:r>
      <w:r w:rsidR="00127C27" w:rsidRPr="0069611D">
        <w:rPr>
          <w:szCs w:val="22"/>
          <w:vertAlign w:val="superscript"/>
        </w:rPr>
        <w:footnoteReference w:id="23"/>
      </w:r>
      <w:r w:rsidR="00127C27" w:rsidRPr="0069611D">
        <w:rPr>
          <w:szCs w:val="22"/>
          <w:vertAlign w:val="superscript"/>
        </w:rPr>
        <w:t xml:space="preserve">  </w:t>
      </w:r>
      <w:r w:rsidR="00127C27" w:rsidRPr="0069611D">
        <w:rPr>
          <w:szCs w:val="22"/>
        </w:rPr>
        <w:t xml:space="preserve">In a proceeding filed by Olana/Hudson </w:t>
      </w:r>
      <w:r w:rsidR="00D70D3D" w:rsidRPr="0069611D">
        <w:rPr>
          <w:szCs w:val="22"/>
        </w:rPr>
        <w:t>challenging</w:t>
      </w:r>
      <w:r w:rsidR="00127C27" w:rsidRPr="0069611D">
        <w:rPr>
          <w:szCs w:val="22"/>
        </w:rPr>
        <w:t xml:space="preserve"> the Town</w:t>
      </w:r>
      <w:r w:rsidR="00D70D3D" w:rsidRPr="0069611D">
        <w:rPr>
          <w:szCs w:val="22"/>
        </w:rPr>
        <w:t xml:space="preserve">’s decision to grant municipal approvals for </w:t>
      </w:r>
      <w:r w:rsidR="00127C27" w:rsidRPr="0069611D">
        <w:rPr>
          <w:szCs w:val="22"/>
        </w:rPr>
        <w:t>Eger</w:t>
      </w:r>
      <w:r w:rsidR="00D70D3D" w:rsidRPr="0069611D">
        <w:rPr>
          <w:szCs w:val="22"/>
        </w:rPr>
        <w:t xml:space="preserve">’s proposed </w:t>
      </w:r>
      <w:r w:rsidR="009F569A" w:rsidRPr="0069611D">
        <w:rPr>
          <w:szCs w:val="22"/>
        </w:rPr>
        <w:t>t</w:t>
      </w:r>
      <w:r w:rsidR="00D70D3D" w:rsidRPr="0069611D">
        <w:rPr>
          <w:szCs w:val="22"/>
        </w:rPr>
        <w:t>ower,</w:t>
      </w:r>
      <w:r w:rsidR="00127C27" w:rsidRPr="0069611D">
        <w:rPr>
          <w:szCs w:val="22"/>
        </w:rPr>
        <w:t xml:space="preserve"> the NY State Court upheld the Town’s </w:t>
      </w:r>
      <w:r w:rsidR="00D70D3D" w:rsidRPr="0069611D">
        <w:rPr>
          <w:szCs w:val="22"/>
        </w:rPr>
        <w:t>decision and dismissed Olana/Hudson’s petition.</w:t>
      </w:r>
      <w:r w:rsidR="00D70D3D" w:rsidRPr="0069611D">
        <w:rPr>
          <w:rStyle w:val="FootnoteReference"/>
          <w:szCs w:val="22"/>
        </w:rPr>
        <w:footnoteReference w:id="24"/>
      </w:r>
      <w:r w:rsidR="00D70D3D" w:rsidRPr="0069611D">
        <w:rPr>
          <w:szCs w:val="22"/>
        </w:rPr>
        <w:t xml:space="preserve">  </w:t>
      </w:r>
      <w:r w:rsidR="002E2795" w:rsidRPr="0069611D">
        <w:rPr>
          <w:szCs w:val="22"/>
        </w:rPr>
        <w:t xml:space="preserve">At issue in the NY State Court petition was whether the Town failed to “take a hard look” at or make a rational decision about the proposed tower’s visual impact upon the viewshed of the Olana </w:t>
      </w:r>
      <w:r w:rsidR="00CA5654" w:rsidRPr="0069611D">
        <w:rPr>
          <w:szCs w:val="22"/>
        </w:rPr>
        <w:t xml:space="preserve">Estate </w:t>
      </w:r>
      <w:r w:rsidR="002E2795" w:rsidRPr="0069611D">
        <w:rPr>
          <w:szCs w:val="22"/>
        </w:rPr>
        <w:t>under</w:t>
      </w:r>
      <w:r w:rsidR="0026768C" w:rsidRPr="0069611D">
        <w:rPr>
          <w:szCs w:val="22"/>
        </w:rPr>
        <w:t xml:space="preserve"> the</w:t>
      </w:r>
      <w:r w:rsidR="002E2795" w:rsidRPr="0069611D">
        <w:rPr>
          <w:szCs w:val="22"/>
        </w:rPr>
        <w:t xml:space="preserve"> New York State Environmental Quality Review Act (SEQRA).</w:t>
      </w:r>
      <w:r w:rsidR="0026768C" w:rsidRPr="0069611D">
        <w:rPr>
          <w:rStyle w:val="FootnoteReference"/>
          <w:szCs w:val="22"/>
        </w:rPr>
        <w:footnoteReference w:id="25"/>
      </w:r>
      <w:r w:rsidR="002E2795" w:rsidRPr="0069611D">
        <w:rPr>
          <w:szCs w:val="22"/>
        </w:rPr>
        <w:t xml:space="preserve">  </w:t>
      </w:r>
      <w:r w:rsidR="002848F8" w:rsidRPr="0069611D">
        <w:rPr>
          <w:szCs w:val="22"/>
        </w:rPr>
        <w:t xml:space="preserve">In dismissing Olana/Hudson’s petition, the </w:t>
      </w:r>
      <w:r w:rsidR="0026768C" w:rsidRPr="0069611D">
        <w:rPr>
          <w:szCs w:val="22"/>
        </w:rPr>
        <w:t>c</w:t>
      </w:r>
      <w:r w:rsidR="002848F8" w:rsidRPr="0069611D">
        <w:rPr>
          <w:szCs w:val="22"/>
        </w:rPr>
        <w:t xml:space="preserve">ourt </w:t>
      </w:r>
      <w:r w:rsidR="00BD534D" w:rsidRPr="0069611D">
        <w:rPr>
          <w:szCs w:val="22"/>
        </w:rPr>
        <w:t>stated</w:t>
      </w:r>
      <w:r w:rsidR="002848F8" w:rsidRPr="0069611D">
        <w:rPr>
          <w:szCs w:val="22"/>
        </w:rPr>
        <w:t xml:space="preserve"> that the Town was </w:t>
      </w:r>
      <w:r w:rsidR="0026768C" w:rsidRPr="0069611D">
        <w:rPr>
          <w:szCs w:val="22"/>
        </w:rPr>
        <w:t>responsible for determining</w:t>
      </w:r>
      <w:r w:rsidR="002848F8" w:rsidRPr="0069611D">
        <w:rPr>
          <w:szCs w:val="22"/>
        </w:rPr>
        <w:t xml:space="preserve"> the significance of the proposed tower</w:t>
      </w:r>
      <w:r w:rsidR="0026768C" w:rsidRPr="0069611D">
        <w:rPr>
          <w:szCs w:val="22"/>
        </w:rPr>
        <w:t>’s visual impact</w:t>
      </w:r>
      <w:r w:rsidR="002848F8" w:rsidRPr="0069611D">
        <w:rPr>
          <w:szCs w:val="22"/>
        </w:rPr>
        <w:t xml:space="preserve"> under SEQRA, and that the </w:t>
      </w:r>
      <w:r w:rsidR="0026768C" w:rsidRPr="0069611D">
        <w:rPr>
          <w:szCs w:val="22"/>
        </w:rPr>
        <w:t>c</w:t>
      </w:r>
      <w:r w:rsidR="002848F8" w:rsidRPr="0069611D">
        <w:rPr>
          <w:szCs w:val="22"/>
        </w:rPr>
        <w:t xml:space="preserve">ourt </w:t>
      </w:r>
      <w:r w:rsidR="0026768C" w:rsidRPr="0069611D">
        <w:rPr>
          <w:szCs w:val="22"/>
        </w:rPr>
        <w:t>was</w:t>
      </w:r>
      <w:r w:rsidR="002848F8" w:rsidRPr="0069611D">
        <w:rPr>
          <w:szCs w:val="22"/>
        </w:rPr>
        <w:t xml:space="preserve"> constrained not to second-guess its decision.</w:t>
      </w:r>
      <w:r w:rsidR="002848F8" w:rsidRPr="0069611D">
        <w:rPr>
          <w:rStyle w:val="FootnoteReference"/>
          <w:szCs w:val="22"/>
        </w:rPr>
        <w:footnoteReference w:id="26"/>
      </w:r>
      <w:r w:rsidR="002848F8" w:rsidRPr="0069611D">
        <w:rPr>
          <w:szCs w:val="22"/>
        </w:rPr>
        <w:t xml:space="preserve">  </w:t>
      </w:r>
    </w:p>
    <w:p w:rsidR="00217892" w:rsidRPr="0069611D" w:rsidRDefault="0026768C" w:rsidP="00B04741">
      <w:pPr>
        <w:pStyle w:val="ParaNum"/>
        <w:tabs>
          <w:tab w:val="clear" w:pos="1080"/>
        </w:tabs>
        <w:jc w:val="left"/>
        <w:rPr>
          <w:szCs w:val="22"/>
        </w:rPr>
      </w:pPr>
      <w:r w:rsidRPr="0069611D">
        <w:rPr>
          <w:szCs w:val="22"/>
        </w:rPr>
        <w:t>Invoking</w:t>
      </w:r>
      <w:r w:rsidR="00217892" w:rsidRPr="0069611D">
        <w:rPr>
          <w:szCs w:val="22"/>
        </w:rPr>
        <w:t xml:space="preserve"> Section 1.106(f) of the </w:t>
      </w:r>
      <w:r w:rsidR="002F49A0" w:rsidRPr="0069611D">
        <w:rPr>
          <w:szCs w:val="22"/>
        </w:rPr>
        <w:t>Commission</w:t>
      </w:r>
      <w:r w:rsidR="00217892" w:rsidRPr="0069611D">
        <w:rPr>
          <w:szCs w:val="22"/>
        </w:rPr>
        <w:t xml:space="preserve">’s Rules, Eger argues that the NY State Court Decision is a new fact that merits inclusion in the record for its relevance to whether the proposed </w:t>
      </w:r>
      <w:r w:rsidR="009F569A" w:rsidRPr="0069611D">
        <w:rPr>
          <w:szCs w:val="22"/>
        </w:rPr>
        <w:t>t</w:t>
      </w:r>
      <w:r w:rsidR="00217892" w:rsidRPr="0069611D">
        <w:rPr>
          <w:szCs w:val="22"/>
        </w:rPr>
        <w:t>ower will have an adverse impact upon the Olana viewshed.</w:t>
      </w:r>
      <w:r w:rsidR="00217892" w:rsidRPr="0069611D">
        <w:rPr>
          <w:szCs w:val="22"/>
          <w:vertAlign w:val="superscript"/>
        </w:rPr>
        <w:footnoteReference w:id="27"/>
      </w:r>
      <w:r w:rsidR="00217892" w:rsidRPr="0069611D">
        <w:rPr>
          <w:szCs w:val="22"/>
        </w:rPr>
        <w:t xml:space="preserve">  In its Opposition to Eger’s Application for Leave, however, Olana</w:t>
      </w:r>
      <w:r w:rsidR="00BD534D" w:rsidRPr="0069611D">
        <w:rPr>
          <w:szCs w:val="22"/>
        </w:rPr>
        <w:t>/Hudson</w:t>
      </w:r>
      <w:r w:rsidR="00217892" w:rsidRPr="0069611D">
        <w:rPr>
          <w:szCs w:val="22"/>
        </w:rPr>
        <w:t xml:space="preserve"> argue that the NY State Court Decision under SEQRA is not relevant to the </w:t>
      </w:r>
      <w:r w:rsidR="002F49A0" w:rsidRPr="0069611D">
        <w:rPr>
          <w:szCs w:val="22"/>
        </w:rPr>
        <w:t>Commission</w:t>
      </w:r>
      <w:r w:rsidR="00217892" w:rsidRPr="0069611D">
        <w:rPr>
          <w:szCs w:val="22"/>
        </w:rPr>
        <w:t>’s administration of the NHPA Section 106 review.</w:t>
      </w:r>
      <w:r w:rsidR="00217892" w:rsidRPr="0069611D">
        <w:rPr>
          <w:szCs w:val="22"/>
          <w:vertAlign w:val="superscript"/>
        </w:rPr>
        <w:footnoteReference w:id="28"/>
      </w:r>
      <w:r w:rsidR="00217892" w:rsidRPr="0069611D">
        <w:rPr>
          <w:szCs w:val="22"/>
        </w:rPr>
        <w:t xml:space="preserve">  Olana</w:t>
      </w:r>
      <w:r w:rsidR="00BD534D" w:rsidRPr="0069611D">
        <w:rPr>
          <w:szCs w:val="22"/>
        </w:rPr>
        <w:t>/Hudson</w:t>
      </w:r>
      <w:r w:rsidR="00217892" w:rsidRPr="0069611D">
        <w:rPr>
          <w:szCs w:val="22"/>
        </w:rPr>
        <w:t xml:space="preserve"> further argue that the NY State Court</w:t>
      </w:r>
      <w:r w:rsidRPr="0069611D">
        <w:rPr>
          <w:szCs w:val="22"/>
        </w:rPr>
        <w:t>’s</w:t>
      </w:r>
      <w:r w:rsidR="00217892" w:rsidRPr="0069611D">
        <w:rPr>
          <w:szCs w:val="22"/>
        </w:rPr>
        <w:t xml:space="preserve"> determination that the Town met its obligation under SEQRA has no bearing on the administration of Section 106 since </w:t>
      </w:r>
      <w:r w:rsidRPr="0069611D">
        <w:rPr>
          <w:szCs w:val="22"/>
        </w:rPr>
        <w:t>the two statutes</w:t>
      </w:r>
      <w:r w:rsidR="00217892" w:rsidRPr="0069611D">
        <w:rPr>
          <w:szCs w:val="22"/>
        </w:rPr>
        <w:t xml:space="preserve"> have different criteria.</w:t>
      </w:r>
      <w:r w:rsidR="00217892" w:rsidRPr="0069611D">
        <w:rPr>
          <w:szCs w:val="22"/>
          <w:vertAlign w:val="superscript"/>
        </w:rPr>
        <w:footnoteReference w:id="29"/>
      </w:r>
    </w:p>
    <w:p w:rsidR="00217892" w:rsidRPr="0069611D" w:rsidRDefault="00217892" w:rsidP="00B04741">
      <w:pPr>
        <w:pStyle w:val="Heading1"/>
        <w:rPr>
          <w:szCs w:val="22"/>
        </w:rPr>
      </w:pPr>
      <w:r w:rsidRPr="0069611D">
        <w:rPr>
          <w:szCs w:val="22"/>
        </w:rPr>
        <w:t>discussion</w:t>
      </w:r>
    </w:p>
    <w:p w:rsidR="00205C4D" w:rsidRPr="0069611D" w:rsidRDefault="00217892" w:rsidP="00205C4D">
      <w:pPr>
        <w:pStyle w:val="ParaNum"/>
        <w:tabs>
          <w:tab w:val="clear" w:pos="1080"/>
        </w:tabs>
        <w:jc w:val="left"/>
        <w:rPr>
          <w:szCs w:val="22"/>
        </w:rPr>
      </w:pPr>
      <w:r w:rsidRPr="0069611D">
        <w:rPr>
          <w:szCs w:val="22"/>
        </w:rPr>
        <w:t xml:space="preserve">Section 106 of </w:t>
      </w:r>
      <w:r w:rsidR="0026768C" w:rsidRPr="0069611D">
        <w:rPr>
          <w:szCs w:val="22"/>
        </w:rPr>
        <w:t xml:space="preserve">the </w:t>
      </w:r>
      <w:r w:rsidRPr="0069611D">
        <w:rPr>
          <w:szCs w:val="22"/>
        </w:rPr>
        <w:t xml:space="preserve">NHPA requires Federal agencies, including the </w:t>
      </w:r>
      <w:r w:rsidR="002F49A0" w:rsidRPr="0069611D">
        <w:rPr>
          <w:szCs w:val="22"/>
        </w:rPr>
        <w:t>Commission</w:t>
      </w:r>
      <w:r w:rsidRPr="0069611D">
        <w:rPr>
          <w:szCs w:val="22"/>
        </w:rPr>
        <w:t>, to take into account the effects of their undertakings on historic properties included or eligible for inclusion in the National Register.</w:t>
      </w:r>
      <w:r w:rsidRPr="0069611D">
        <w:rPr>
          <w:szCs w:val="22"/>
          <w:vertAlign w:val="superscript"/>
        </w:rPr>
        <w:footnoteReference w:id="30"/>
      </w:r>
      <w:r w:rsidR="00522612" w:rsidRPr="0069611D">
        <w:rPr>
          <w:szCs w:val="22"/>
        </w:rPr>
        <w:t xml:space="preserve"> </w:t>
      </w:r>
      <w:r w:rsidR="002C1F7D" w:rsidRPr="0069611D">
        <w:rPr>
          <w:szCs w:val="22"/>
        </w:rPr>
        <w:t xml:space="preserve"> </w:t>
      </w:r>
      <w:r w:rsidR="00D40C97" w:rsidRPr="0069611D">
        <w:rPr>
          <w:szCs w:val="22"/>
        </w:rPr>
        <w:t>To fulfill its responsibilities under Section 106, the Commission</w:t>
      </w:r>
      <w:r w:rsidR="003C6CD1" w:rsidRPr="0069611D">
        <w:rPr>
          <w:szCs w:val="22"/>
        </w:rPr>
        <w:t>’s</w:t>
      </w:r>
      <w:r w:rsidR="00D40C97" w:rsidRPr="0069611D">
        <w:rPr>
          <w:szCs w:val="22"/>
        </w:rPr>
        <w:t xml:space="preserve"> rules</w:t>
      </w:r>
      <w:r w:rsidR="006D1B93" w:rsidRPr="0069611D">
        <w:rPr>
          <w:szCs w:val="22"/>
        </w:rPr>
        <w:t xml:space="preserve"> </w:t>
      </w:r>
      <w:r w:rsidR="003C6CD1" w:rsidRPr="0069611D">
        <w:rPr>
          <w:szCs w:val="22"/>
        </w:rPr>
        <w:t>require proponents of facilities to ascertain prior to construction whether the</w:t>
      </w:r>
      <w:r w:rsidR="00D40C97" w:rsidRPr="0069611D">
        <w:rPr>
          <w:szCs w:val="22"/>
        </w:rPr>
        <w:t xml:space="preserve"> proposed facility has the potential to affect</w:t>
      </w:r>
      <w:r w:rsidR="003C6CD1" w:rsidRPr="0069611D">
        <w:rPr>
          <w:szCs w:val="22"/>
        </w:rPr>
        <w:t xml:space="preserve"> such</w:t>
      </w:r>
      <w:r w:rsidR="00D40C97" w:rsidRPr="0069611D">
        <w:rPr>
          <w:szCs w:val="22"/>
        </w:rPr>
        <w:t xml:space="preserve"> properties.</w:t>
      </w:r>
      <w:r w:rsidR="003C6CD1" w:rsidRPr="0069611D">
        <w:rPr>
          <w:szCs w:val="22"/>
          <w:vertAlign w:val="superscript"/>
        </w:rPr>
        <w:footnoteReference w:id="31"/>
      </w:r>
      <w:r w:rsidR="00D40C97" w:rsidRPr="0069611D">
        <w:rPr>
          <w:szCs w:val="22"/>
        </w:rPr>
        <w:t xml:space="preserve">  </w:t>
      </w:r>
      <w:r w:rsidR="003C6CD1" w:rsidRPr="0069611D">
        <w:rPr>
          <w:szCs w:val="22"/>
        </w:rPr>
        <w:t>Applicants perform this assessment following the procedures set forth in the rules of the Advisory Council on Historic Preservation, as modified and supplemented by the Nationwide Programmatic Agreement for the Collocation of Wireless Antennas</w:t>
      </w:r>
      <w:r w:rsidR="00D40C97" w:rsidRPr="0069611D">
        <w:rPr>
          <w:szCs w:val="22"/>
        </w:rPr>
        <w:t xml:space="preserve"> and the </w:t>
      </w:r>
      <w:r w:rsidR="005129B6" w:rsidRPr="0069611D">
        <w:rPr>
          <w:szCs w:val="22"/>
        </w:rPr>
        <w:t>NPA</w:t>
      </w:r>
      <w:r w:rsidR="00D40C97" w:rsidRPr="0069611D">
        <w:rPr>
          <w:szCs w:val="22"/>
        </w:rPr>
        <w:t>.</w:t>
      </w:r>
      <w:r w:rsidR="00D40C97" w:rsidRPr="0069611D">
        <w:rPr>
          <w:szCs w:val="22"/>
          <w:vertAlign w:val="superscript"/>
        </w:rPr>
        <w:footnoteReference w:id="32"/>
      </w:r>
      <w:r w:rsidR="00D40C97" w:rsidRPr="0069611D">
        <w:rPr>
          <w:szCs w:val="22"/>
        </w:rPr>
        <w:t xml:space="preserve"> </w:t>
      </w:r>
    </w:p>
    <w:p w:rsidR="0038005A" w:rsidRPr="0069611D" w:rsidRDefault="00C94361" w:rsidP="00A7404A">
      <w:pPr>
        <w:pStyle w:val="ParaNum"/>
        <w:tabs>
          <w:tab w:val="clear" w:pos="1080"/>
        </w:tabs>
        <w:jc w:val="left"/>
        <w:rPr>
          <w:szCs w:val="22"/>
        </w:rPr>
      </w:pPr>
      <w:r w:rsidRPr="0069611D">
        <w:rPr>
          <w:szCs w:val="22"/>
        </w:rPr>
        <w:t xml:space="preserve">The </w:t>
      </w:r>
      <w:r w:rsidR="005129B6" w:rsidRPr="0069611D">
        <w:rPr>
          <w:szCs w:val="22"/>
        </w:rPr>
        <w:t>NPA</w:t>
      </w:r>
      <w:r w:rsidR="009645DA" w:rsidRPr="0069611D">
        <w:rPr>
          <w:szCs w:val="22"/>
        </w:rPr>
        <w:t xml:space="preserve"> </w:t>
      </w:r>
      <w:r w:rsidR="004136CF" w:rsidRPr="0069611D">
        <w:rPr>
          <w:szCs w:val="22"/>
        </w:rPr>
        <w:t>provides</w:t>
      </w:r>
      <w:r w:rsidR="009645DA" w:rsidRPr="0069611D">
        <w:rPr>
          <w:szCs w:val="22"/>
        </w:rPr>
        <w:t xml:space="preserve"> detailed procedures</w:t>
      </w:r>
      <w:r w:rsidR="003C6CD1" w:rsidRPr="0069611D">
        <w:rPr>
          <w:szCs w:val="22"/>
        </w:rPr>
        <w:t>, tailored to the context of communications towers construction,</w:t>
      </w:r>
      <w:r w:rsidR="009645DA" w:rsidRPr="0069611D">
        <w:rPr>
          <w:szCs w:val="22"/>
        </w:rPr>
        <w:t xml:space="preserve"> for </w:t>
      </w:r>
      <w:r w:rsidR="003C6CD1" w:rsidRPr="0069611D">
        <w:rPr>
          <w:szCs w:val="22"/>
        </w:rPr>
        <w:t>ascertaining</w:t>
      </w:r>
      <w:r w:rsidR="009645DA" w:rsidRPr="0069611D">
        <w:rPr>
          <w:szCs w:val="22"/>
        </w:rPr>
        <w:t xml:space="preserve"> the effects</w:t>
      </w:r>
      <w:r w:rsidR="003C6CD1" w:rsidRPr="0069611D">
        <w:rPr>
          <w:szCs w:val="22"/>
        </w:rPr>
        <w:t xml:space="preserve"> to be</w:t>
      </w:r>
      <w:r w:rsidR="009645DA" w:rsidRPr="0069611D">
        <w:rPr>
          <w:szCs w:val="22"/>
        </w:rPr>
        <w:t xml:space="preserve"> caused by</w:t>
      </w:r>
      <w:r w:rsidR="003C6CD1" w:rsidRPr="0069611D">
        <w:rPr>
          <w:szCs w:val="22"/>
        </w:rPr>
        <w:t xml:space="preserve"> proposed</w:t>
      </w:r>
      <w:r w:rsidR="009645DA" w:rsidRPr="0069611D">
        <w:rPr>
          <w:szCs w:val="22"/>
        </w:rPr>
        <w:t xml:space="preserve"> communications towers.</w:t>
      </w:r>
      <w:r w:rsidR="009645DA" w:rsidRPr="0069611D">
        <w:rPr>
          <w:szCs w:val="22"/>
          <w:vertAlign w:val="superscript"/>
        </w:rPr>
        <w:footnoteReference w:id="33"/>
      </w:r>
      <w:r w:rsidR="009803D0" w:rsidRPr="0069611D">
        <w:rPr>
          <w:szCs w:val="22"/>
        </w:rPr>
        <w:t xml:space="preserve">  In addition, </w:t>
      </w:r>
      <w:r w:rsidR="00386665" w:rsidRPr="0069611D">
        <w:rPr>
          <w:szCs w:val="22"/>
        </w:rPr>
        <w:t xml:space="preserve">Section III of the </w:t>
      </w:r>
      <w:r w:rsidR="005129B6" w:rsidRPr="0069611D">
        <w:rPr>
          <w:szCs w:val="22"/>
        </w:rPr>
        <w:t>NPA</w:t>
      </w:r>
      <w:r w:rsidR="00386665" w:rsidRPr="0069611D">
        <w:rPr>
          <w:szCs w:val="22"/>
        </w:rPr>
        <w:t xml:space="preserve"> </w:t>
      </w:r>
      <w:r w:rsidR="004136CF" w:rsidRPr="0069611D">
        <w:rPr>
          <w:szCs w:val="22"/>
        </w:rPr>
        <w:t>establishes</w:t>
      </w:r>
      <w:r w:rsidR="00193FD4" w:rsidRPr="0069611D">
        <w:rPr>
          <w:szCs w:val="22"/>
        </w:rPr>
        <w:t xml:space="preserve"> </w:t>
      </w:r>
      <w:r w:rsidR="005E2E9A" w:rsidRPr="0069611D">
        <w:rPr>
          <w:szCs w:val="22"/>
        </w:rPr>
        <w:t>that certain types of activities</w:t>
      </w:r>
      <w:r w:rsidR="000F265F" w:rsidRPr="0069611D">
        <w:rPr>
          <w:szCs w:val="22"/>
        </w:rPr>
        <w:t>, including certain replacement towers,</w:t>
      </w:r>
      <w:r w:rsidR="005E2E9A" w:rsidRPr="0069611D">
        <w:rPr>
          <w:szCs w:val="22"/>
        </w:rPr>
        <w:t xml:space="preserve"> are excluded from</w:t>
      </w:r>
      <w:r w:rsidR="00193FD4" w:rsidRPr="0069611D">
        <w:rPr>
          <w:szCs w:val="22"/>
        </w:rPr>
        <w:t xml:space="preserve"> Section 106 review</w:t>
      </w:r>
      <w:r w:rsidR="00386665" w:rsidRPr="0069611D">
        <w:rPr>
          <w:szCs w:val="22"/>
        </w:rPr>
        <w:t xml:space="preserve">, while providing that “concerns regarding the application of these exclusions from Section 106 review may be presented to and considered by the </w:t>
      </w:r>
      <w:r w:rsidR="002F49A0" w:rsidRPr="0069611D">
        <w:rPr>
          <w:szCs w:val="22"/>
        </w:rPr>
        <w:t>Commission</w:t>
      </w:r>
      <w:r w:rsidR="00386665" w:rsidRPr="0069611D">
        <w:rPr>
          <w:szCs w:val="22"/>
        </w:rPr>
        <w:t xml:space="preserve"> pursuant to Section XI</w:t>
      </w:r>
      <w:r w:rsidR="00171011" w:rsidRPr="0069611D">
        <w:rPr>
          <w:szCs w:val="22"/>
        </w:rPr>
        <w:t>.</w:t>
      </w:r>
      <w:r w:rsidR="00386665" w:rsidRPr="0069611D">
        <w:rPr>
          <w:szCs w:val="22"/>
        </w:rPr>
        <w:t>”</w:t>
      </w:r>
      <w:r w:rsidR="00386665" w:rsidRPr="0069611D">
        <w:rPr>
          <w:rStyle w:val="FootnoteReference"/>
          <w:szCs w:val="22"/>
        </w:rPr>
        <w:footnoteReference w:id="34"/>
      </w:r>
      <w:r w:rsidR="00171011" w:rsidRPr="0069611D">
        <w:rPr>
          <w:szCs w:val="22"/>
        </w:rPr>
        <w:t xml:space="preserve">  </w:t>
      </w:r>
      <w:r w:rsidR="00C226B8" w:rsidRPr="0069611D">
        <w:rPr>
          <w:szCs w:val="22"/>
        </w:rPr>
        <w:t xml:space="preserve">Section XI of the </w:t>
      </w:r>
      <w:r w:rsidR="005129B6" w:rsidRPr="0069611D">
        <w:rPr>
          <w:szCs w:val="22"/>
        </w:rPr>
        <w:t>NPA</w:t>
      </w:r>
      <w:r w:rsidR="00C226B8" w:rsidRPr="0069611D">
        <w:rPr>
          <w:szCs w:val="22"/>
        </w:rPr>
        <w:t xml:space="preserve"> provides that “any member of the public may notify the </w:t>
      </w:r>
      <w:r w:rsidR="002F49A0" w:rsidRPr="0069611D">
        <w:rPr>
          <w:szCs w:val="22"/>
        </w:rPr>
        <w:t>Commission</w:t>
      </w:r>
      <w:r w:rsidR="00C226B8" w:rsidRPr="0069611D">
        <w:rPr>
          <w:szCs w:val="22"/>
        </w:rPr>
        <w:t xml:space="preserve"> of concerns it has regarding the application of this Nationwide Agreement </w:t>
      </w:r>
      <w:r w:rsidR="00386665" w:rsidRPr="0069611D">
        <w:rPr>
          <w:szCs w:val="22"/>
        </w:rPr>
        <w:t>…</w:t>
      </w:r>
      <w:r w:rsidR="00C226B8" w:rsidRPr="0069611D">
        <w:rPr>
          <w:szCs w:val="22"/>
        </w:rPr>
        <w:t xml:space="preserve"> with regard to the review of individual Undertakings covered or excluded under the terms of this </w:t>
      </w:r>
      <w:r w:rsidR="00C226B8" w:rsidRPr="006B139B">
        <w:rPr>
          <w:szCs w:val="22"/>
        </w:rPr>
        <w:t>Agreement</w:t>
      </w:r>
      <w:r w:rsidR="00232290" w:rsidRPr="006B139B">
        <w:rPr>
          <w:szCs w:val="22"/>
        </w:rPr>
        <w:t>.”</w:t>
      </w:r>
      <w:r w:rsidR="006D000F" w:rsidRPr="006B139B">
        <w:rPr>
          <w:rStyle w:val="FootnoteReference"/>
          <w:szCs w:val="22"/>
        </w:rPr>
        <w:footnoteReference w:id="35"/>
      </w:r>
      <w:r w:rsidR="00232290" w:rsidRPr="0069611D">
        <w:rPr>
          <w:szCs w:val="22"/>
        </w:rPr>
        <w:t xml:space="preserve"> </w:t>
      </w:r>
      <w:r w:rsidR="006D000F" w:rsidRPr="0069611D">
        <w:rPr>
          <w:szCs w:val="22"/>
        </w:rPr>
        <w:t xml:space="preserve"> </w:t>
      </w:r>
      <w:r w:rsidR="00386665" w:rsidRPr="0069611D">
        <w:rPr>
          <w:szCs w:val="22"/>
        </w:rPr>
        <w:t>T</w:t>
      </w:r>
      <w:r w:rsidR="006D000F" w:rsidRPr="0069611D">
        <w:rPr>
          <w:szCs w:val="22"/>
        </w:rPr>
        <w:t xml:space="preserve">hus, the </w:t>
      </w:r>
      <w:r w:rsidR="002F49A0" w:rsidRPr="0069611D">
        <w:rPr>
          <w:szCs w:val="22"/>
        </w:rPr>
        <w:t>Commission</w:t>
      </w:r>
      <w:r w:rsidR="006D000F" w:rsidRPr="0069611D">
        <w:rPr>
          <w:szCs w:val="22"/>
        </w:rPr>
        <w:t xml:space="preserve"> is authorized</w:t>
      </w:r>
      <w:r w:rsidR="000F265F" w:rsidRPr="0069611D">
        <w:rPr>
          <w:szCs w:val="22"/>
        </w:rPr>
        <w:t xml:space="preserve"> under Section XI</w:t>
      </w:r>
      <w:r w:rsidR="006D000F" w:rsidRPr="0069611D">
        <w:rPr>
          <w:szCs w:val="22"/>
        </w:rPr>
        <w:t xml:space="preserve"> to take appropriate actions in </w:t>
      </w:r>
      <w:r w:rsidR="000F265F" w:rsidRPr="0069611D">
        <w:rPr>
          <w:szCs w:val="22"/>
        </w:rPr>
        <w:t>specific cases</w:t>
      </w:r>
      <w:r w:rsidR="006D000F" w:rsidRPr="0069611D">
        <w:rPr>
          <w:szCs w:val="22"/>
        </w:rPr>
        <w:t xml:space="preserve"> to </w:t>
      </w:r>
      <w:r w:rsidR="000F265F" w:rsidRPr="0069611D">
        <w:rPr>
          <w:szCs w:val="22"/>
        </w:rPr>
        <w:t xml:space="preserve">ensure that </w:t>
      </w:r>
      <w:r w:rsidR="006D000F" w:rsidRPr="0069611D">
        <w:rPr>
          <w:szCs w:val="22"/>
        </w:rPr>
        <w:t>potential effects on historic properties</w:t>
      </w:r>
      <w:r w:rsidR="00D939A9" w:rsidRPr="0069611D">
        <w:rPr>
          <w:szCs w:val="22"/>
        </w:rPr>
        <w:t xml:space="preserve"> </w:t>
      </w:r>
      <w:r w:rsidR="000F265F" w:rsidRPr="0069611D">
        <w:rPr>
          <w:szCs w:val="22"/>
        </w:rPr>
        <w:t>are assessed</w:t>
      </w:r>
      <w:r w:rsidR="006D000F" w:rsidRPr="0069611D">
        <w:rPr>
          <w:szCs w:val="22"/>
        </w:rPr>
        <w:t>.</w:t>
      </w:r>
      <w:r w:rsidR="00386665" w:rsidRPr="0069611D">
        <w:rPr>
          <w:szCs w:val="22"/>
        </w:rPr>
        <w:t xml:space="preserve"> </w:t>
      </w:r>
      <w:r w:rsidR="00BB2C4E" w:rsidRPr="0069611D">
        <w:rPr>
          <w:szCs w:val="22"/>
        </w:rPr>
        <w:t xml:space="preserve"> In its Petition, Eger challenges the Division’s </w:t>
      </w:r>
      <w:r w:rsidR="009F569A" w:rsidRPr="0069611D">
        <w:rPr>
          <w:szCs w:val="22"/>
        </w:rPr>
        <w:t>finding</w:t>
      </w:r>
      <w:r w:rsidR="000F265F" w:rsidRPr="0069611D">
        <w:rPr>
          <w:szCs w:val="22"/>
        </w:rPr>
        <w:t xml:space="preserve"> under Section XI</w:t>
      </w:r>
      <w:r w:rsidR="00BB2C4E" w:rsidRPr="0069611D">
        <w:rPr>
          <w:szCs w:val="22"/>
        </w:rPr>
        <w:t xml:space="preserve"> that Section 106 review </w:t>
      </w:r>
      <w:r w:rsidR="009C4854" w:rsidRPr="0069611D">
        <w:rPr>
          <w:szCs w:val="22"/>
        </w:rPr>
        <w:t>must be completed</w:t>
      </w:r>
      <w:r w:rsidR="00BB2C4E" w:rsidRPr="0069611D">
        <w:rPr>
          <w:szCs w:val="22"/>
        </w:rPr>
        <w:t xml:space="preserve"> under Section 1.1307(a)(4) </w:t>
      </w:r>
      <w:r w:rsidR="00C83319" w:rsidRPr="0069611D">
        <w:rPr>
          <w:szCs w:val="22"/>
        </w:rPr>
        <w:t xml:space="preserve">in order to assess </w:t>
      </w:r>
      <w:r w:rsidR="00BB2C4E" w:rsidRPr="0069611D">
        <w:rPr>
          <w:szCs w:val="22"/>
        </w:rPr>
        <w:t xml:space="preserve">the proposed </w:t>
      </w:r>
      <w:r w:rsidR="009F569A" w:rsidRPr="0069611D">
        <w:rPr>
          <w:szCs w:val="22"/>
        </w:rPr>
        <w:t>t</w:t>
      </w:r>
      <w:r w:rsidR="00BB2C4E" w:rsidRPr="0069611D">
        <w:rPr>
          <w:szCs w:val="22"/>
        </w:rPr>
        <w:t xml:space="preserve">ower’s potential effects on the Olana </w:t>
      </w:r>
      <w:r w:rsidR="00DC3BD6" w:rsidRPr="0069611D">
        <w:rPr>
          <w:szCs w:val="22"/>
        </w:rPr>
        <w:t>E</w:t>
      </w:r>
      <w:r w:rsidR="00BB2C4E" w:rsidRPr="0069611D">
        <w:rPr>
          <w:szCs w:val="22"/>
        </w:rPr>
        <w:t>state, a N</w:t>
      </w:r>
      <w:r w:rsidR="005F2CE8" w:rsidRPr="0069611D">
        <w:rPr>
          <w:szCs w:val="22"/>
        </w:rPr>
        <w:t xml:space="preserve">ational </w:t>
      </w:r>
      <w:r w:rsidR="00BB2C4E" w:rsidRPr="0069611D">
        <w:rPr>
          <w:szCs w:val="22"/>
        </w:rPr>
        <w:t>H</w:t>
      </w:r>
      <w:r w:rsidR="005F2CE8" w:rsidRPr="0069611D">
        <w:rPr>
          <w:szCs w:val="22"/>
        </w:rPr>
        <w:t>istoric Landmark</w:t>
      </w:r>
      <w:r w:rsidR="00BB2C4E" w:rsidRPr="0069611D">
        <w:rPr>
          <w:szCs w:val="22"/>
        </w:rPr>
        <w:t xml:space="preserve">. </w:t>
      </w:r>
    </w:p>
    <w:p w:rsidR="00C83319" w:rsidRPr="0069611D" w:rsidRDefault="00C83319" w:rsidP="00045639">
      <w:pPr>
        <w:pStyle w:val="ParaNum"/>
        <w:tabs>
          <w:tab w:val="clear" w:pos="1080"/>
        </w:tabs>
        <w:jc w:val="left"/>
        <w:rPr>
          <w:szCs w:val="22"/>
        </w:rPr>
      </w:pPr>
      <w:r w:rsidRPr="0069611D">
        <w:rPr>
          <w:i/>
          <w:szCs w:val="22"/>
        </w:rPr>
        <w:t xml:space="preserve">Interlocutory Action under Section 1.106(a)(1) of the </w:t>
      </w:r>
      <w:r w:rsidR="002F49A0" w:rsidRPr="0069611D">
        <w:rPr>
          <w:i/>
          <w:szCs w:val="22"/>
        </w:rPr>
        <w:t>Commission</w:t>
      </w:r>
      <w:r w:rsidRPr="0069611D">
        <w:rPr>
          <w:i/>
          <w:szCs w:val="22"/>
        </w:rPr>
        <w:t>’s Rules</w:t>
      </w:r>
      <w:r w:rsidR="009C4854" w:rsidRPr="0069611D">
        <w:rPr>
          <w:i/>
          <w:szCs w:val="22"/>
        </w:rPr>
        <w:t>.</w:t>
      </w:r>
      <w:r w:rsidR="009C4854" w:rsidRPr="0069611D">
        <w:rPr>
          <w:szCs w:val="22"/>
        </w:rPr>
        <w:t xml:space="preserve">  </w:t>
      </w:r>
      <w:r w:rsidRPr="0069611D">
        <w:rPr>
          <w:szCs w:val="22"/>
        </w:rPr>
        <w:t xml:space="preserve">Based on </w:t>
      </w:r>
      <w:r w:rsidR="000F265F" w:rsidRPr="0069611D">
        <w:rPr>
          <w:szCs w:val="22"/>
        </w:rPr>
        <w:t>our</w:t>
      </w:r>
      <w:r w:rsidRPr="0069611D">
        <w:rPr>
          <w:szCs w:val="22"/>
        </w:rPr>
        <w:t xml:space="preserve"> review of the record and the regulatory background, w</w:t>
      </w:r>
      <w:r w:rsidR="009C4854" w:rsidRPr="0069611D">
        <w:rPr>
          <w:szCs w:val="22"/>
        </w:rPr>
        <w:t xml:space="preserve">e find that Eger’s Petition is procedurally improper and should be dismissed </w:t>
      </w:r>
      <w:r w:rsidRPr="0069611D">
        <w:rPr>
          <w:szCs w:val="22"/>
        </w:rPr>
        <w:t>under</w:t>
      </w:r>
      <w:r w:rsidR="009C4854" w:rsidRPr="0069611D">
        <w:rPr>
          <w:szCs w:val="22"/>
        </w:rPr>
        <w:t xml:space="preserve"> Section 1.106(a)(1) of the </w:t>
      </w:r>
      <w:r w:rsidR="002F49A0" w:rsidRPr="0069611D">
        <w:rPr>
          <w:szCs w:val="22"/>
        </w:rPr>
        <w:t>Commission</w:t>
      </w:r>
      <w:r w:rsidR="009C4854" w:rsidRPr="0069611D">
        <w:rPr>
          <w:szCs w:val="22"/>
        </w:rPr>
        <w:t>’s rules</w:t>
      </w:r>
      <w:r w:rsidR="000F265F" w:rsidRPr="0069611D">
        <w:rPr>
          <w:szCs w:val="22"/>
        </w:rPr>
        <w:t xml:space="preserve"> as addressing an interlocutory action</w:t>
      </w:r>
      <w:r w:rsidRPr="0069611D">
        <w:rPr>
          <w:szCs w:val="22"/>
        </w:rPr>
        <w:t>.</w:t>
      </w:r>
      <w:r w:rsidRPr="0069611D">
        <w:rPr>
          <w:rStyle w:val="FootnoteReference"/>
          <w:szCs w:val="22"/>
        </w:rPr>
        <w:footnoteReference w:id="36"/>
      </w:r>
      <w:r w:rsidRPr="0069611D">
        <w:rPr>
          <w:szCs w:val="22"/>
        </w:rPr>
        <w:t xml:space="preserve"> </w:t>
      </w:r>
      <w:r w:rsidR="009C4854" w:rsidRPr="0069611D">
        <w:rPr>
          <w:szCs w:val="22"/>
        </w:rPr>
        <w:t xml:space="preserve"> </w:t>
      </w:r>
      <w:r w:rsidRPr="0069611D">
        <w:rPr>
          <w:szCs w:val="22"/>
        </w:rPr>
        <w:t xml:space="preserve">Section 1.106(a)(1) of the </w:t>
      </w:r>
      <w:r w:rsidR="002F49A0" w:rsidRPr="0069611D">
        <w:rPr>
          <w:szCs w:val="22"/>
        </w:rPr>
        <w:t>Commission</w:t>
      </w:r>
      <w:r w:rsidRPr="0069611D">
        <w:rPr>
          <w:szCs w:val="22"/>
        </w:rPr>
        <w:t xml:space="preserve">’s rules </w:t>
      </w:r>
      <w:r w:rsidR="009C4854" w:rsidRPr="0069611D">
        <w:rPr>
          <w:szCs w:val="22"/>
        </w:rPr>
        <w:t>generally prohibit</w:t>
      </w:r>
      <w:r w:rsidRPr="0069611D">
        <w:rPr>
          <w:szCs w:val="22"/>
        </w:rPr>
        <w:t>s</w:t>
      </w:r>
      <w:r w:rsidR="009C4854" w:rsidRPr="0069611D">
        <w:rPr>
          <w:szCs w:val="22"/>
        </w:rPr>
        <w:t xml:space="preserve"> the filing of petitions for reconsideration of interlocutory actions.</w:t>
      </w:r>
      <w:r w:rsidR="009C4854" w:rsidRPr="0069611D">
        <w:rPr>
          <w:rStyle w:val="FootnoteReference"/>
          <w:szCs w:val="22"/>
        </w:rPr>
        <w:footnoteReference w:id="37"/>
      </w:r>
      <w:r w:rsidR="009C4854" w:rsidRPr="0069611D">
        <w:rPr>
          <w:szCs w:val="22"/>
        </w:rPr>
        <w:t xml:space="preserve"> </w:t>
      </w:r>
      <w:r w:rsidRPr="0069611D">
        <w:rPr>
          <w:szCs w:val="22"/>
        </w:rPr>
        <w:t xml:space="preserve"> W</w:t>
      </w:r>
      <w:r w:rsidR="009C4854" w:rsidRPr="0069611D">
        <w:rPr>
          <w:szCs w:val="22"/>
        </w:rPr>
        <w:t>ith one exception</w:t>
      </w:r>
      <w:r w:rsidR="000F265F" w:rsidRPr="0069611D">
        <w:rPr>
          <w:szCs w:val="22"/>
        </w:rPr>
        <w:t xml:space="preserve"> that is not relevant here</w:t>
      </w:r>
      <w:r w:rsidR="009C4854" w:rsidRPr="0069611D">
        <w:rPr>
          <w:szCs w:val="22"/>
        </w:rPr>
        <w:t xml:space="preserve">, </w:t>
      </w:r>
      <w:r w:rsidRPr="0069611D">
        <w:rPr>
          <w:szCs w:val="22"/>
        </w:rPr>
        <w:t xml:space="preserve">the rule provides that </w:t>
      </w:r>
      <w:r w:rsidR="009C4854" w:rsidRPr="0069611D">
        <w:rPr>
          <w:szCs w:val="22"/>
        </w:rPr>
        <w:t xml:space="preserve">the </w:t>
      </w:r>
      <w:r w:rsidR="002F49A0" w:rsidRPr="0069611D">
        <w:rPr>
          <w:szCs w:val="22"/>
        </w:rPr>
        <w:t>Commission</w:t>
      </w:r>
      <w:r w:rsidR="009C4854" w:rsidRPr="0069611D">
        <w:rPr>
          <w:szCs w:val="22"/>
        </w:rPr>
        <w:t xml:space="preserve"> </w:t>
      </w:r>
      <w:r w:rsidR="000F265F" w:rsidRPr="0069611D">
        <w:rPr>
          <w:szCs w:val="22"/>
        </w:rPr>
        <w:t>and its staff acting under</w:t>
      </w:r>
      <w:r w:rsidR="009C4854" w:rsidRPr="0069611D">
        <w:rPr>
          <w:szCs w:val="22"/>
        </w:rPr>
        <w:t xml:space="preserve"> delegated authority will only entertain petitions requesting reconsideration of a final action.</w:t>
      </w:r>
      <w:r w:rsidR="009C4854" w:rsidRPr="0069611D">
        <w:rPr>
          <w:rStyle w:val="FootnoteReference"/>
          <w:szCs w:val="22"/>
        </w:rPr>
        <w:footnoteReference w:id="38"/>
      </w:r>
      <w:r w:rsidR="009C4854" w:rsidRPr="0069611D">
        <w:rPr>
          <w:szCs w:val="22"/>
        </w:rPr>
        <w:t xml:space="preserve">  </w:t>
      </w:r>
      <w:r w:rsidRPr="0069611D">
        <w:rPr>
          <w:szCs w:val="22"/>
        </w:rPr>
        <w:t>An interlocutory action by definition is one that is non-final in that it neither denies nor dismisses an application nor terminates an applicant’s right to participate in the proceeding.</w:t>
      </w:r>
      <w:r w:rsidRPr="0069611D">
        <w:rPr>
          <w:szCs w:val="22"/>
          <w:vertAlign w:val="superscript"/>
        </w:rPr>
        <w:footnoteReference w:id="39"/>
      </w:r>
      <w:r w:rsidRPr="0069611D">
        <w:rPr>
          <w:szCs w:val="22"/>
        </w:rPr>
        <w:t xml:space="preserve">  For an agency action to be “final,” it must mark the “consummation” of the agency’s decision-making process, and not be merely of a tentative or interlocutory nature; in addition, the action must determine rights or obligations or otherwise result in legal consequences for one or more parties.</w:t>
      </w:r>
      <w:r w:rsidRPr="0069611D">
        <w:rPr>
          <w:szCs w:val="22"/>
          <w:vertAlign w:val="superscript"/>
        </w:rPr>
        <w:footnoteReference w:id="40"/>
      </w:r>
      <w:r w:rsidR="00AE125A" w:rsidRPr="0069611D">
        <w:rPr>
          <w:szCs w:val="22"/>
        </w:rPr>
        <w:t xml:space="preserve">  </w:t>
      </w:r>
    </w:p>
    <w:p w:rsidR="00045639" w:rsidRPr="0069611D" w:rsidRDefault="0042439C" w:rsidP="005C02B5">
      <w:pPr>
        <w:pStyle w:val="ParaNum"/>
        <w:tabs>
          <w:tab w:val="clear" w:pos="1080"/>
        </w:tabs>
        <w:jc w:val="left"/>
        <w:rPr>
          <w:szCs w:val="22"/>
        </w:rPr>
      </w:pPr>
      <w:r w:rsidRPr="0069611D">
        <w:rPr>
          <w:szCs w:val="22"/>
        </w:rPr>
        <w:t xml:space="preserve">Here, the Division’s letter neither terminated </w:t>
      </w:r>
      <w:r w:rsidR="0014726F" w:rsidRPr="0069611D">
        <w:rPr>
          <w:szCs w:val="22"/>
        </w:rPr>
        <w:t>Eger’s</w:t>
      </w:r>
      <w:r w:rsidRPr="0069611D">
        <w:rPr>
          <w:szCs w:val="22"/>
        </w:rPr>
        <w:t xml:space="preserve"> right to participate in the </w:t>
      </w:r>
      <w:r w:rsidR="00C83319" w:rsidRPr="0069611D">
        <w:rPr>
          <w:szCs w:val="22"/>
        </w:rPr>
        <w:t xml:space="preserve">Section 106 review </w:t>
      </w:r>
      <w:r w:rsidRPr="0069611D">
        <w:rPr>
          <w:szCs w:val="22"/>
        </w:rPr>
        <w:t xml:space="preserve">nor finally determined whether or not the proposed </w:t>
      </w:r>
      <w:r w:rsidR="009F569A" w:rsidRPr="0069611D">
        <w:rPr>
          <w:szCs w:val="22"/>
        </w:rPr>
        <w:t>t</w:t>
      </w:r>
      <w:r w:rsidRPr="0069611D">
        <w:rPr>
          <w:szCs w:val="22"/>
        </w:rPr>
        <w:t xml:space="preserve">ower would have an adverse effect on the Olana Estate.  </w:t>
      </w:r>
      <w:r w:rsidR="0014726F" w:rsidRPr="0069611D">
        <w:rPr>
          <w:szCs w:val="22"/>
        </w:rPr>
        <w:t xml:space="preserve">Under the NHPA and the </w:t>
      </w:r>
      <w:r w:rsidR="005129B6" w:rsidRPr="0069611D">
        <w:rPr>
          <w:szCs w:val="22"/>
        </w:rPr>
        <w:t>NPA</w:t>
      </w:r>
      <w:r w:rsidR="0014726F" w:rsidRPr="0069611D">
        <w:rPr>
          <w:szCs w:val="22"/>
        </w:rPr>
        <w:t>, the Section 106 process consists of a number of steps, including initiation of the process, identification of historic properties, assessment of adverse effects, and resolution of adverse effects.</w:t>
      </w:r>
      <w:r w:rsidR="0014726F" w:rsidRPr="0069611D">
        <w:rPr>
          <w:rStyle w:val="FootnoteReference"/>
          <w:szCs w:val="22"/>
        </w:rPr>
        <w:footnoteReference w:id="41"/>
      </w:r>
      <w:r w:rsidR="0014726F" w:rsidRPr="0069611D">
        <w:rPr>
          <w:szCs w:val="22"/>
        </w:rPr>
        <w:t xml:space="preserve">  </w:t>
      </w:r>
      <w:r w:rsidR="00644A56" w:rsidRPr="0069611D">
        <w:rPr>
          <w:szCs w:val="22"/>
        </w:rPr>
        <w:t>Rather than marking the “consummation” of</w:t>
      </w:r>
      <w:r w:rsidR="0014726F" w:rsidRPr="0069611D">
        <w:rPr>
          <w:szCs w:val="22"/>
        </w:rPr>
        <w:t xml:space="preserve"> the</w:t>
      </w:r>
      <w:r w:rsidR="00644A56" w:rsidRPr="0069611D">
        <w:rPr>
          <w:szCs w:val="22"/>
        </w:rPr>
        <w:t xml:space="preserve"> Section 106 review process, </w:t>
      </w:r>
      <w:r w:rsidR="00045639" w:rsidRPr="0069611D">
        <w:rPr>
          <w:szCs w:val="22"/>
        </w:rPr>
        <w:t xml:space="preserve">the Division </w:t>
      </w:r>
      <w:r w:rsidR="0014726F" w:rsidRPr="0069611D">
        <w:rPr>
          <w:szCs w:val="22"/>
        </w:rPr>
        <w:t>L</w:t>
      </w:r>
      <w:r w:rsidR="00644A56" w:rsidRPr="0069611D">
        <w:rPr>
          <w:szCs w:val="22"/>
        </w:rPr>
        <w:t xml:space="preserve">etter </w:t>
      </w:r>
      <w:r w:rsidR="00602E09" w:rsidRPr="0069611D">
        <w:rPr>
          <w:szCs w:val="22"/>
        </w:rPr>
        <w:t xml:space="preserve">was an initial </w:t>
      </w:r>
      <w:r w:rsidR="004027E7" w:rsidRPr="0069611D">
        <w:rPr>
          <w:szCs w:val="22"/>
        </w:rPr>
        <w:t>de</w:t>
      </w:r>
      <w:r w:rsidR="009F569A" w:rsidRPr="0069611D">
        <w:rPr>
          <w:szCs w:val="22"/>
        </w:rPr>
        <w:t>termination</w:t>
      </w:r>
      <w:r w:rsidR="004027E7" w:rsidRPr="0069611D">
        <w:rPr>
          <w:szCs w:val="22"/>
        </w:rPr>
        <w:t xml:space="preserve"> under Section XI of the </w:t>
      </w:r>
      <w:r w:rsidR="005129B6" w:rsidRPr="0069611D">
        <w:rPr>
          <w:szCs w:val="22"/>
        </w:rPr>
        <w:t>NPA</w:t>
      </w:r>
      <w:r w:rsidR="004027E7" w:rsidRPr="0069611D">
        <w:rPr>
          <w:szCs w:val="22"/>
        </w:rPr>
        <w:t xml:space="preserve"> Agreement </w:t>
      </w:r>
      <w:r w:rsidR="00602E09" w:rsidRPr="0069611D">
        <w:rPr>
          <w:szCs w:val="22"/>
        </w:rPr>
        <w:t xml:space="preserve">that </w:t>
      </w:r>
      <w:r w:rsidR="004027E7" w:rsidRPr="0069611D">
        <w:rPr>
          <w:szCs w:val="22"/>
        </w:rPr>
        <w:t xml:space="preserve">the proposed </w:t>
      </w:r>
      <w:r w:rsidR="009F569A" w:rsidRPr="0069611D">
        <w:rPr>
          <w:szCs w:val="22"/>
        </w:rPr>
        <w:t>t</w:t>
      </w:r>
      <w:r w:rsidR="004027E7" w:rsidRPr="0069611D">
        <w:rPr>
          <w:szCs w:val="22"/>
        </w:rPr>
        <w:t>ower</w:t>
      </w:r>
      <w:r w:rsidR="00602E09" w:rsidRPr="0069611D">
        <w:rPr>
          <w:szCs w:val="22"/>
        </w:rPr>
        <w:t xml:space="preserve"> must complete Section 106 review </w:t>
      </w:r>
      <w:r w:rsidRPr="0069611D">
        <w:rPr>
          <w:szCs w:val="22"/>
        </w:rPr>
        <w:t xml:space="preserve">to inform the </w:t>
      </w:r>
      <w:r w:rsidR="005F2CE8" w:rsidRPr="0069611D">
        <w:rPr>
          <w:szCs w:val="22"/>
        </w:rPr>
        <w:t xml:space="preserve">final </w:t>
      </w:r>
      <w:r w:rsidR="009F569A" w:rsidRPr="0069611D">
        <w:rPr>
          <w:szCs w:val="22"/>
        </w:rPr>
        <w:t>decision</w:t>
      </w:r>
      <w:r w:rsidRPr="0069611D">
        <w:rPr>
          <w:szCs w:val="22"/>
        </w:rPr>
        <w:t xml:space="preserve"> </w:t>
      </w:r>
      <w:r w:rsidR="00C42A98" w:rsidRPr="0069611D">
        <w:rPr>
          <w:szCs w:val="22"/>
        </w:rPr>
        <w:t xml:space="preserve">as to whether </w:t>
      </w:r>
      <w:r w:rsidR="004027E7" w:rsidRPr="0069611D">
        <w:rPr>
          <w:szCs w:val="22"/>
        </w:rPr>
        <w:t>it</w:t>
      </w:r>
      <w:r w:rsidR="00C42A98" w:rsidRPr="0069611D">
        <w:rPr>
          <w:szCs w:val="22"/>
        </w:rPr>
        <w:t xml:space="preserve"> would have an adverse effect on the Olana </w:t>
      </w:r>
      <w:r w:rsidR="00DC3BD6" w:rsidRPr="0069611D">
        <w:rPr>
          <w:szCs w:val="22"/>
        </w:rPr>
        <w:t>E</w:t>
      </w:r>
      <w:r w:rsidR="00C42A98" w:rsidRPr="0069611D">
        <w:rPr>
          <w:szCs w:val="22"/>
        </w:rPr>
        <w:t>state</w:t>
      </w:r>
      <w:r w:rsidR="00E2236C" w:rsidRPr="0069611D">
        <w:rPr>
          <w:szCs w:val="22"/>
        </w:rPr>
        <w:t xml:space="preserve">, and if so, how to </w:t>
      </w:r>
      <w:r w:rsidR="00CA5654" w:rsidRPr="0069611D">
        <w:rPr>
          <w:szCs w:val="22"/>
        </w:rPr>
        <w:t xml:space="preserve">avoid, minimize or </w:t>
      </w:r>
      <w:r w:rsidR="00E2236C" w:rsidRPr="0069611D">
        <w:rPr>
          <w:szCs w:val="22"/>
        </w:rPr>
        <w:t>mitigate the adverse effect</w:t>
      </w:r>
      <w:r w:rsidRPr="0069611D">
        <w:rPr>
          <w:szCs w:val="22"/>
        </w:rPr>
        <w:t>.</w:t>
      </w:r>
      <w:r w:rsidR="00C42A98" w:rsidRPr="0069611D">
        <w:rPr>
          <w:szCs w:val="22"/>
        </w:rPr>
        <w:t xml:space="preserve"> </w:t>
      </w:r>
      <w:r w:rsidR="0014726F" w:rsidRPr="0069611D">
        <w:rPr>
          <w:szCs w:val="22"/>
        </w:rPr>
        <w:t xml:space="preserve"> </w:t>
      </w:r>
      <w:r w:rsidR="00171011" w:rsidRPr="0069611D">
        <w:rPr>
          <w:szCs w:val="22"/>
        </w:rPr>
        <w:t>Accordingly, the Division Letter</w:t>
      </w:r>
      <w:r w:rsidR="002F4114" w:rsidRPr="0069611D">
        <w:rPr>
          <w:szCs w:val="22"/>
        </w:rPr>
        <w:t xml:space="preserve"> was interlocutory as preliminary to a Section 106 review under Section 1.1307(a)(4) of the </w:t>
      </w:r>
      <w:r w:rsidR="002F49A0" w:rsidRPr="0069611D">
        <w:rPr>
          <w:szCs w:val="22"/>
        </w:rPr>
        <w:t>Commission</w:t>
      </w:r>
      <w:r w:rsidR="002F4114" w:rsidRPr="0069611D">
        <w:rPr>
          <w:szCs w:val="22"/>
        </w:rPr>
        <w:t>’s Rules.</w:t>
      </w:r>
    </w:p>
    <w:p w:rsidR="00217892" w:rsidRPr="0069611D" w:rsidRDefault="00217892" w:rsidP="00B04741">
      <w:pPr>
        <w:pStyle w:val="ParaNum"/>
        <w:tabs>
          <w:tab w:val="clear" w:pos="1080"/>
        </w:tabs>
        <w:jc w:val="left"/>
        <w:rPr>
          <w:szCs w:val="22"/>
        </w:rPr>
      </w:pPr>
      <w:r w:rsidRPr="0069611D">
        <w:rPr>
          <w:szCs w:val="22"/>
        </w:rPr>
        <w:t>For these reasons, we find that the Division</w:t>
      </w:r>
      <w:r w:rsidR="002F4114" w:rsidRPr="0069611D">
        <w:rPr>
          <w:szCs w:val="22"/>
        </w:rPr>
        <w:t xml:space="preserve"> Letter</w:t>
      </w:r>
      <w:r w:rsidR="0014726F" w:rsidRPr="0069611D">
        <w:rPr>
          <w:szCs w:val="22"/>
        </w:rPr>
        <w:t>’s</w:t>
      </w:r>
      <w:r w:rsidRPr="0069611D">
        <w:rPr>
          <w:szCs w:val="22"/>
        </w:rPr>
        <w:t xml:space="preserve"> </w:t>
      </w:r>
      <w:r w:rsidR="005E7609" w:rsidRPr="0069611D">
        <w:rPr>
          <w:szCs w:val="22"/>
        </w:rPr>
        <w:t xml:space="preserve">finding that </w:t>
      </w:r>
      <w:r w:rsidR="00874028" w:rsidRPr="0069611D">
        <w:rPr>
          <w:szCs w:val="22"/>
        </w:rPr>
        <w:t xml:space="preserve">Eger must complete </w:t>
      </w:r>
      <w:r w:rsidR="005E7609" w:rsidRPr="0069611D">
        <w:rPr>
          <w:szCs w:val="22"/>
        </w:rPr>
        <w:t>t</w:t>
      </w:r>
      <w:r w:rsidRPr="0069611D">
        <w:rPr>
          <w:szCs w:val="22"/>
        </w:rPr>
        <w:t xml:space="preserve">he Section 106 </w:t>
      </w:r>
      <w:r w:rsidR="00874028" w:rsidRPr="0069611D">
        <w:rPr>
          <w:szCs w:val="22"/>
        </w:rPr>
        <w:t>process</w:t>
      </w:r>
      <w:r w:rsidR="0014726F" w:rsidRPr="0069611D">
        <w:rPr>
          <w:szCs w:val="22"/>
        </w:rPr>
        <w:t xml:space="preserve"> for the proposed tower</w:t>
      </w:r>
      <w:r w:rsidR="00874028" w:rsidRPr="0069611D">
        <w:rPr>
          <w:szCs w:val="22"/>
        </w:rPr>
        <w:t xml:space="preserve"> pursuant to Sections IV </w:t>
      </w:r>
      <w:r w:rsidR="00641B21" w:rsidRPr="0069611D">
        <w:rPr>
          <w:szCs w:val="22"/>
        </w:rPr>
        <w:t>through</w:t>
      </w:r>
      <w:r w:rsidR="00874028" w:rsidRPr="0069611D">
        <w:rPr>
          <w:szCs w:val="22"/>
        </w:rPr>
        <w:t xml:space="preserve"> VII of the </w:t>
      </w:r>
      <w:r w:rsidR="005129B6" w:rsidRPr="0069611D">
        <w:rPr>
          <w:szCs w:val="22"/>
        </w:rPr>
        <w:t>NPA</w:t>
      </w:r>
      <w:r w:rsidR="005E7609" w:rsidRPr="0069611D">
        <w:rPr>
          <w:szCs w:val="22"/>
        </w:rPr>
        <w:t xml:space="preserve"> </w:t>
      </w:r>
      <w:r w:rsidRPr="0069611D">
        <w:rPr>
          <w:szCs w:val="22"/>
        </w:rPr>
        <w:t xml:space="preserve">was </w:t>
      </w:r>
      <w:r w:rsidR="00874028" w:rsidRPr="0069611D">
        <w:rPr>
          <w:szCs w:val="22"/>
        </w:rPr>
        <w:t xml:space="preserve">an </w:t>
      </w:r>
      <w:r w:rsidRPr="0069611D">
        <w:rPr>
          <w:szCs w:val="22"/>
        </w:rPr>
        <w:t>interlocutory</w:t>
      </w:r>
      <w:r w:rsidR="00874028" w:rsidRPr="0069611D">
        <w:rPr>
          <w:szCs w:val="22"/>
        </w:rPr>
        <w:t xml:space="preserve"> action and</w:t>
      </w:r>
      <w:r w:rsidR="002F4114" w:rsidRPr="0069611D">
        <w:rPr>
          <w:szCs w:val="22"/>
        </w:rPr>
        <w:t xml:space="preserve"> not subject to </w:t>
      </w:r>
      <w:r w:rsidR="00470708" w:rsidRPr="0069611D">
        <w:rPr>
          <w:szCs w:val="22"/>
        </w:rPr>
        <w:t>Petition for Reconsideration</w:t>
      </w:r>
      <w:r w:rsidR="00874028" w:rsidRPr="0069611D">
        <w:rPr>
          <w:szCs w:val="22"/>
        </w:rPr>
        <w:t xml:space="preserve"> under the Commission’s rules</w:t>
      </w:r>
      <w:r w:rsidR="00470708" w:rsidRPr="0069611D">
        <w:rPr>
          <w:szCs w:val="22"/>
        </w:rPr>
        <w:t xml:space="preserve">.  </w:t>
      </w:r>
      <w:r w:rsidRPr="0069611D">
        <w:rPr>
          <w:szCs w:val="22"/>
        </w:rPr>
        <w:t>Therefore, the Petition for Reconsideration must be dismissed.</w:t>
      </w:r>
      <w:r w:rsidR="00470708" w:rsidRPr="0069611D">
        <w:rPr>
          <w:szCs w:val="22"/>
        </w:rPr>
        <w:t xml:space="preserve">  As such, the Application for Leave </w:t>
      </w:r>
      <w:r w:rsidR="005E7609" w:rsidRPr="0069611D">
        <w:rPr>
          <w:szCs w:val="22"/>
        </w:rPr>
        <w:t xml:space="preserve">must </w:t>
      </w:r>
      <w:r w:rsidR="009F569A" w:rsidRPr="0069611D">
        <w:rPr>
          <w:szCs w:val="22"/>
        </w:rPr>
        <w:t xml:space="preserve">also </w:t>
      </w:r>
      <w:r w:rsidR="005E7609" w:rsidRPr="0069611D">
        <w:rPr>
          <w:szCs w:val="22"/>
        </w:rPr>
        <w:t xml:space="preserve">be </w:t>
      </w:r>
      <w:r w:rsidR="00470708" w:rsidRPr="0069611D">
        <w:rPr>
          <w:szCs w:val="22"/>
        </w:rPr>
        <w:t>dismissed as moot.</w:t>
      </w:r>
    </w:p>
    <w:p w:rsidR="00217892" w:rsidRPr="0069611D" w:rsidRDefault="00217892" w:rsidP="00B04741">
      <w:pPr>
        <w:pStyle w:val="Heading1"/>
        <w:rPr>
          <w:szCs w:val="22"/>
        </w:rPr>
      </w:pPr>
      <w:r w:rsidRPr="0069611D">
        <w:rPr>
          <w:szCs w:val="22"/>
        </w:rPr>
        <w:t>ordering clauses</w:t>
      </w:r>
    </w:p>
    <w:p w:rsidR="00470708" w:rsidRPr="0069611D" w:rsidRDefault="00217892" w:rsidP="00217892">
      <w:pPr>
        <w:pStyle w:val="ParaNum"/>
        <w:tabs>
          <w:tab w:val="clear" w:pos="1080"/>
        </w:tabs>
        <w:jc w:val="left"/>
        <w:rPr>
          <w:szCs w:val="22"/>
        </w:rPr>
      </w:pPr>
      <w:r w:rsidRPr="0069611D">
        <w:rPr>
          <w:szCs w:val="22"/>
        </w:rPr>
        <w:t xml:space="preserve">Accordingly, IT IS ORDERED that pursuant to Sections 4(i) and 405 of the Communications Act of 1934, as amended, 47 U.S.C. §§ 154(i), 405, and Section 1.106 of the </w:t>
      </w:r>
      <w:r w:rsidR="002F49A0" w:rsidRPr="0069611D">
        <w:rPr>
          <w:szCs w:val="22"/>
        </w:rPr>
        <w:t>Commission</w:t>
      </w:r>
      <w:r w:rsidRPr="0069611D">
        <w:rPr>
          <w:szCs w:val="22"/>
        </w:rPr>
        <w:t>’s rules, 47 C.F.R. § 1.106, the Petition for Reconsideration filed by Eger Communication</w:t>
      </w:r>
      <w:r w:rsidR="001C3C46" w:rsidRPr="0069611D">
        <w:rPr>
          <w:szCs w:val="22"/>
        </w:rPr>
        <w:t xml:space="preserve">s, Inc. </w:t>
      </w:r>
      <w:r w:rsidRPr="0069611D">
        <w:rPr>
          <w:szCs w:val="22"/>
        </w:rPr>
        <w:t>IS DISMISSED.</w:t>
      </w:r>
    </w:p>
    <w:p w:rsidR="00217892" w:rsidRPr="0069611D" w:rsidRDefault="00470708" w:rsidP="00217892">
      <w:pPr>
        <w:pStyle w:val="ParaNum"/>
        <w:tabs>
          <w:tab w:val="clear" w:pos="1080"/>
        </w:tabs>
        <w:jc w:val="left"/>
        <w:rPr>
          <w:szCs w:val="22"/>
        </w:rPr>
      </w:pPr>
      <w:r w:rsidRPr="0069611D">
        <w:rPr>
          <w:szCs w:val="22"/>
        </w:rPr>
        <w:t xml:space="preserve">IT IS FURTHER ORDERED that pursuant to Sections 4(i) and 405 of the Communications Act of 1934, as amended, 47 U.S.C. §§ 154(i), 405, and Section 1.106 of the </w:t>
      </w:r>
      <w:r w:rsidR="002F49A0" w:rsidRPr="0069611D">
        <w:rPr>
          <w:szCs w:val="22"/>
        </w:rPr>
        <w:t>Commission</w:t>
      </w:r>
      <w:r w:rsidRPr="0069611D">
        <w:rPr>
          <w:szCs w:val="22"/>
        </w:rPr>
        <w:t xml:space="preserve">’s rules, 47 C.F.R. § 1.106, the </w:t>
      </w:r>
      <w:r w:rsidR="00A66249" w:rsidRPr="0069611D">
        <w:rPr>
          <w:szCs w:val="22"/>
        </w:rPr>
        <w:t>Application for Leave to Amend its Petition for Reconsideration</w:t>
      </w:r>
      <w:r w:rsidR="00452533" w:rsidRPr="0069611D">
        <w:rPr>
          <w:szCs w:val="22"/>
        </w:rPr>
        <w:t>,</w:t>
      </w:r>
      <w:r w:rsidR="00A66249" w:rsidRPr="0069611D">
        <w:rPr>
          <w:szCs w:val="22"/>
        </w:rPr>
        <w:t xml:space="preserve"> </w:t>
      </w:r>
      <w:r w:rsidRPr="0069611D">
        <w:rPr>
          <w:szCs w:val="22"/>
        </w:rPr>
        <w:t>filed by Eger Communications</w:t>
      </w:r>
      <w:r w:rsidR="001C3C46" w:rsidRPr="0069611D">
        <w:rPr>
          <w:szCs w:val="22"/>
        </w:rPr>
        <w:t>, Inc. IS</w:t>
      </w:r>
      <w:r w:rsidRPr="0069611D">
        <w:rPr>
          <w:szCs w:val="22"/>
        </w:rPr>
        <w:t xml:space="preserve"> DISMISSED AS MOOT.</w:t>
      </w:r>
      <w:r w:rsidR="008B539F">
        <w:rPr>
          <w:szCs w:val="22"/>
        </w:rPr>
        <w:t xml:space="preserve">  </w:t>
      </w:r>
      <w:r w:rsidR="00217892" w:rsidRPr="0069611D">
        <w:rPr>
          <w:szCs w:val="22"/>
        </w:rPr>
        <w:t xml:space="preserve">This action is taken under delegated authority pursuant to Sections 0.131 and 0.331 of the </w:t>
      </w:r>
      <w:r w:rsidR="002F49A0" w:rsidRPr="0069611D">
        <w:rPr>
          <w:szCs w:val="22"/>
        </w:rPr>
        <w:t>Commission</w:t>
      </w:r>
      <w:r w:rsidR="00217892" w:rsidRPr="0069611D">
        <w:rPr>
          <w:szCs w:val="22"/>
        </w:rPr>
        <w:t>’s rules, 47 C.F.R. §§ 0.131, 0.331.</w:t>
      </w:r>
    </w:p>
    <w:p w:rsidR="00217892" w:rsidRPr="0069611D" w:rsidRDefault="00217892" w:rsidP="00217892">
      <w:pPr>
        <w:rPr>
          <w:szCs w:val="22"/>
        </w:rPr>
      </w:pPr>
    </w:p>
    <w:p w:rsidR="00217892" w:rsidRPr="0069611D" w:rsidRDefault="00217892" w:rsidP="00217892">
      <w:pPr>
        <w:rPr>
          <w:szCs w:val="22"/>
        </w:rPr>
      </w:pPr>
      <w:r w:rsidRPr="0069611D">
        <w:rPr>
          <w:szCs w:val="22"/>
        </w:rPr>
        <w:tab/>
      </w:r>
      <w:r w:rsidRPr="0069611D">
        <w:rPr>
          <w:szCs w:val="22"/>
        </w:rPr>
        <w:tab/>
      </w:r>
      <w:r w:rsidRPr="0069611D">
        <w:rPr>
          <w:szCs w:val="22"/>
        </w:rPr>
        <w:tab/>
      </w:r>
      <w:r w:rsidRPr="0069611D">
        <w:rPr>
          <w:szCs w:val="22"/>
        </w:rPr>
        <w:tab/>
      </w:r>
      <w:r w:rsidRPr="0069611D">
        <w:rPr>
          <w:szCs w:val="22"/>
        </w:rPr>
        <w:tab/>
        <w:t xml:space="preserve">FEDERAL COMMUNICATIONS </w:t>
      </w:r>
      <w:r w:rsidR="002F49A0" w:rsidRPr="0069611D">
        <w:rPr>
          <w:szCs w:val="22"/>
        </w:rPr>
        <w:t>COMMISSION</w:t>
      </w:r>
    </w:p>
    <w:p w:rsidR="00217892" w:rsidRPr="0069611D" w:rsidRDefault="00217892" w:rsidP="00217892">
      <w:pPr>
        <w:rPr>
          <w:szCs w:val="22"/>
        </w:rPr>
      </w:pPr>
    </w:p>
    <w:p w:rsidR="00217892" w:rsidRPr="0069611D" w:rsidRDefault="00217892" w:rsidP="00217892">
      <w:pPr>
        <w:rPr>
          <w:szCs w:val="22"/>
        </w:rPr>
      </w:pPr>
    </w:p>
    <w:p w:rsidR="00217892" w:rsidRPr="0069611D" w:rsidRDefault="00217892" w:rsidP="00217892">
      <w:pPr>
        <w:rPr>
          <w:szCs w:val="22"/>
        </w:rPr>
      </w:pPr>
    </w:p>
    <w:p w:rsidR="00217892" w:rsidRPr="0069611D" w:rsidRDefault="00217892" w:rsidP="00217892">
      <w:pPr>
        <w:rPr>
          <w:szCs w:val="22"/>
        </w:rPr>
      </w:pPr>
      <w:r w:rsidRPr="0069611D">
        <w:rPr>
          <w:szCs w:val="22"/>
        </w:rPr>
        <w:tab/>
      </w:r>
      <w:r w:rsidRPr="0069611D">
        <w:rPr>
          <w:szCs w:val="22"/>
        </w:rPr>
        <w:tab/>
      </w:r>
      <w:r w:rsidRPr="0069611D">
        <w:rPr>
          <w:szCs w:val="22"/>
        </w:rPr>
        <w:tab/>
      </w:r>
      <w:r w:rsidRPr="0069611D">
        <w:rPr>
          <w:szCs w:val="22"/>
        </w:rPr>
        <w:tab/>
      </w:r>
      <w:r w:rsidRPr="0069611D">
        <w:rPr>
          <w:szCs w:val="22"/>
        </w:rPr>
        <w:tab/>
        <w:t>Jeffrey S. Steinberg</w:t>
      </w:r>
    </w:p>
    <w:p w:rsidR="00217892" w:rsidRPr="0069611D" w:rsidRDefault="00217892" w:rsidP="00217892">
      <w:pPr>
        <w:rPr>
          <w:szCs w:val="22"/>
        </w:rPr>
      </w:pPr>
      <w:r w:rsidRPr="0069611D">
        <w:rPr>
          <w:szCs w:val="22"/>
        </w:rPr>
        <w:tab/>
      </w:r>
      <w:r w:rsidRPr="0069611D">
        <w:rPr>
          <w:szCs w:val="22"/>
        </w:rPr>
        <w:tab/>
      </w:r>
      <w:r w:rsidRPr="0069611D">
        <w:rPr>
          <w:szCs w:val="22"/>
        </w:rPr>
        <w:tab/>
      </w:r>
      <w:r w:rsidRPr="0069611D">
        <w:rPr>
          <w:szCs w:val="22"/>
        </w:rPr>
        <w:tab/>
      </w:r>
      <w:r w:rsidRPr="0069611D">
        <w:rPr>
          <w:szCs w:val="22"/>
        </w:rPr>
        <w:tab/>
        <w:t xml:space="preserve">Deputy Chief, Competition </w:t>
      </w:r>
      <w:r w:rsidR="00AA0B68" w:rsidRPr="0069611D">
        <w:rPr>
          <w:szCs w:val="22"/>
        </w:rPr>
        <w:t xml:space="preserve">and Infrastructure </w:t>
      </w:r>
      <w:r w:rsidRPr="0069611D">
        <w:rPr>
          <w:szCs w:val="22"/>
        </w:rPr>
        <w:t>Policy Division</w:t>
      </w:r>
    </w:p>
    <w:p w:rsidR="00217892" w:rsidRPr="0069611D" w:rsidRDefault="00217892" w:rsidP="00217892">
      <w:pPr>
        <w:rPr>
          <w:szCs w:val="22"/>
        </w:rPr>
      </w:pPr>
      <w:r w:rsidRPr="0069611D">
        <w:rPr>
          <w:szCs w:val="22"/>
        </w:rPr>
        <w:tab/>
      </w:r>
      <w:r w:rsidRPr="0069611D">
        <w:rPr>
          <w:szCs w:val="22"/>
        </w:rPr>
        <w:tab/>
      </w:r>
      <w:r w:rsidRPr="0069611D">
        <w:rPr>
          <w:szCs w:val="22"/>
        </w:rPr>
        <w:tab/>
      </w:r>
      <w:r w:rsidRPr="0069611D">
        <w:rPr>
          <w:szCs w:val="22"/>
        </w:rPr>
        <w:tab/>
      </w:r>
      <w:r w:rsidRPr="0069611D">
        <w:rPr>
          <w:szCs w:val="22"/>
        </w:rPr>
        <w:tab/>
        <w:t>Wireless Telecommunications Bureau</w:t>
      </w:r>
    </w:p>
    <w:p w:rsidR="00217892" w:rsidRPr="0069611D" w:rsidRDefault="00217892">
      <w:pPr>
        <w:rPr>
          <w:szCs w:val="22"/>
        </w:rPr>
      </w:pPr>
    </w:p>
    <w:sectPr w:rsidR="00217892" w:rsidRPr="0069611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B59" w:rsidRDefault="00BF5B59">
      <w:r>
        <w:separator/>
      </w:r>
    </w:p>
  </w:endnote>
  <w:endnote w:type="continuationSeparator" w:id="0">
    <w:p w:rsidR="00BF5B59" w:rsidRDefault="00BF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05E" w:rsidRDefault="009C10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BA" w:rsidRDefault="007836BA">
    <w:pPr>
      <w:pStyle w:val="Footer"/>
      <w:jc w:val="center"/>
    </w:pPr>
    <w:r>
      <w:rPr>
        <w:rStyle w:val="PageNumber"/>
      </w:rPr>
      <w:fldChar w:fldCharType="begin"/>
    </w:r>
    <w:r>
      <w:rPr>
        <w:rStyle w:val="PageNumber"/>
      </w:rPr>
      <w:instrText xml:space="preserve"> PAGE </w:instrText>
    </w:r>
    <w:r>
      <w:rPr>
        <w:rStyle w:val="PageNumber"/>
      </w:rPr>
      <w:fldChar w:fldCharType="separate"/>
    </w:r>
    <w:r w:rsidR="00482FA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05E" w:rsidRDefault="009C1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B59" w:rsidRDefault="00BF5B59">
      <w:pPr>
        <w:rPr>
          <w:sz w:val="20"/>
        </w:rPr>
      </w:pPr>
      <w:r>
        <w:rPr>
          <w:sz w:val="20"/>
        </w:rPr>
        <w:separator/>
      </w:r>
    </w:p>
  </w:footnote>
  <w:footnote w:type="continuationSeparator" w:id="0">
    <w:p w:rsidR="00BF5B59" w:rsidRDefault="00BF5B59">
      <w:pPr>
        <w:rPr>
          <w:sz w:val="20"/>
        </w:rPr>
      </w:pPr>
      <w:r>
        <w:rPr>
          <w:sz w:val="20"/>
        </w:rPr>
        <w:separator/>
      </w:r>
    </w:p>
    <w:p w:rsidR="00BF5B59" w:rsidRDefault="00BF5B59">
      <w:pPr>
        <w:rPr>
          <w:sz w:val="20"/>
        </w:rPr>
      </w:pPr>
      <w:r>
        <w:rPr>
          <w:sz w:val="20"/>
        </w:rPr>
        <w:t>(...continued from previous page)</w:t>
      </w:r>
    </w:p>
  </w:footnote>
  <w:footnote w:type="continuationNotice" w:id="1">
    <w:p w:rsidR="00BF5B59" w:rsidRDefault="00BF5B59">
      <w:pPr>
        <w:jc w:val="right"/>
        <w:rPr>
          <w:sz w:val="20"/>
        </w:rPr>
      </w:pPr>
      <w:r>
        <w:rPr>
          <w:sz w:val="20"/>
        </w:rPr>
        <w:t>(continued....)</w:t>
      </w:r>
    </w:p>
  </w:footnote>
  <w:footnote w:id="2">
    <w:p w:rsidR="00217892" w:rsidRPr="00080FF6" w:rsidRDefault="00217892" w:rsidP="00E5340B">
      <w:pPr>
        <w:pStyle w:val="FootnoteText"/>
        <w:jc w:val="left"/>
      </w:pPr>
      <w:r w:rsidRPr="00080FF6">
        <w:rPr>
          <w:rStyle w:val="FootnoteReference"/>
        </w:rPr>
        <w:footnoteRef/>
      </w:r>
      <w:r w:rsidRPr="00080FF6">
        <w:t xml:space="preserve">  </w:t>
      </w:r>
      <w:r w:rsidRPr="00080FF6">
        <w:rPr>
          <w:i/>
        </w:rPr>
        <w:t xml:space="preserve">See </w:t>
      </w:r>
      <w:r>
        <w:t xml:space="preserve">In the Matter of Eger Communications, Inc., Columbia County, New York, Petition for Reconsideration, filed August 30, 2013 (Petition); </w:t>
      </w:r>
      <w:r w:rsidRPr="00080FF6">
        <w:t xml:space="preserve">Letter from Jeffrey S. Steinberg, Esq., Deputy Chief, Spectrum </w:t>
      </w:r>
      <w:r w:rsidR="00662B0C">
        <w:t>and</w:t>
      </w:r>
      <w:r w:rsidRPr="00080FF6">
        <w:t xml:space="preserve"> Competition Policy Division</w:t>
      </w:r>
      <w:r w:rsidRPr="00080FF6">
        <w:rPr>
          <w:sz w:val="24"/>
        </w:rPr>
        <w:t xml:space="preserve"> </w:t>
      </w:r>
      <w:r w:rsidRPr="00080FF6">
        <w:t xml:space="preserve">to Jaqueline </w:t>
      </w:r>
      <w:r>
        <w:t xml:space="preserve">Phillips </w:t>
      </w:r>
      <w:r w:rsidRPr="00080FF6">
        <w:t>Murray, Esq.</w:t>
      </w:r>
      <w:r w:rsidR="00662B0C">
        <w:t>,</w:t>
      </w:r>
      <w:r w:rsidRPr="00080FF6">
        <w:t xml:space="preserve"> counsel for Eger Communications, Inc., dated August 5, 2013 (</w:t>
      </w:r>
      <w:r w:rsidR="00446D5A" w:rsidRPr="00925501">
        <w:t>Division L</w:t>
      </w:r>
      <w:r w:rsidRPr="00925501">
        <w:t>etter</w:t>
      </w:r>
      <w:r w:rsidRPr="00080FF6">
        <w:t>)</w:t>
      </w:r>
      <w:r>
        <w:t xml:space="preserve">. </w:t>
      </w:r>
      <w:r w:rsidR="000C4D75">
        <w:t xml:space="preserve">The Spectrum </w:t>
      </w:r>
      <w:r w:rsidR="00662B0C">
        <w:t>and</w:t>
      </w:r>
      <w:r w:rsidR="000C4D75">
        <w:t xml:space="preserve"> Competition Policy Division was renamed as the Competition and Infrastructure Policy Division on May 13, 2015. </w:t>
      </w:r>
    </w:p>
  </w:footnote>
  <w:footnote w:id="3">
    <w:p w:rsidR="00D368BD" w:rsidRPr="00052649" w:rsidRDefault="00D368BD" w:rsidP="00D368BD">
      <w:pPr>
        <w:pStyle w:val="FootnoteText"/>
        <w:jc w:val="left"/>
      </w:pPr>
      <w:r>
        <w:rPr>
          <w:rStyle w:val="FootnoteReference"/>
        </w:rPr>
        <w:footnoteRef/>
      </w:r>
      <w:r>
        <w:t xml:space="preserve"> </w:t>
      </w:r>
      <w:r w:rsidRPr="00692E74">
        <w:rPr>
          <w:i/>
        </w:rPr>
        <w:t xml:space="preserve">See </w:t>
      </w:r>
      <w:r>
        <w:t>Complaint Regarding Eger Communications Tower Project, Blue Hill, Town of Livingston, Columbia County, New York, Letter from John W. Caffry, Esq., counsel for Olana Partnership and Scenic Hudson, Inc. to Dan Abeyta, Assistant Chief, Spectrum and Competition Policy Division, dated April 5, 2011 (Informal Complaint).</w:t>
      </w:r>
    </w:p>
  </w:footnote>
  <w:footnote w:id="4">
    <w:p w:rsidR="00D368BD" w:rsidRPr="00662B0C" w:rsidRDefault="00D368BD" w:rsidP="00D368BD">
      <w:pPr>
        <w:pStyle w:val="FootnoteText"/>
        <w:jc w:val="left"/>
      </w:pPr>
      <w:r>
        <w:rPr>
          <w:rStyle w:val="FootnoteReference"/>
        </w:rPr>
        <w:footnoteRef/>
      </w:r>
      <w:r>
        <w:t xml:space="preserve"> </w:t>
      </w:r>
      <w:r w:rsidRPr="001A3AD0">
        <w:rPr>
          <w:i/>
        </w:rPr>
        <w:t xml:space="preserve">See </w:t>
      </w:r>
      <w:r>
        <w:t xml:space="preserve">Division Letter at 1, </w:t>
      </w:r>
      <w:r w:rsidRPr="00537B9E">
        <w:rPr>
          <w:i/>
        </w:rPr>
        <w:t>citing</w:t>
      </w:r>
      <w:r>
        <w:t xml:space="preserve"> 16 U.S.C. §</w:t>
      </w:r>
      <w:r w:rsidR="00662B0C">
        <w:t xml:space="preserve"> </w:t>
      </w:r>
      <w:r>
        <w:t>470f; 47 C.F.R. Pt. 1, App. C</w:t>
      </w:r>
      <w:r w:rsidR="00662B0C">
        <w:t xml:space="preserve">.  Section 106 of the NHPA has since been restated and reenacted as 54 U.S.C. § 306108.  </w:t>
      </w:r>
      <w:r w:rsidR="00662B0C">
        <w:rPr>
          <w:i/>
        </w:rPr>
        <w:t>See</w:t>
      </w:r>
      <w:r w:rsidR="00662B0C">
        <w:t xml:space="preserve"> Pub. L. 113-287, 128 Stat. 3094 (Dec. 19, 2014).</w:t>
      </w:r>
    </w:p>
  </w:footnote>
  <w:footnote w:id="5">
    <w:p w:rsidR="00D368BD" w:rsidRDefault="00D368BD" w:rsidP="00D368BD">
      <w:pPr>
        <w:pStyle w:val="FootnoteText"/>
        <w:spacing w:line="276" w:lineRule="auto"/>
        <w:jc w:val="left"/>
      </w:pPr>
      <w:r>
        <w:rPr>
          <w:rStyle w:val="FootnoteReference"/>
        </w:rPr>
        <w:footnoteRef/>
      </w:r>
      <w:r>
        <w:t xml:space="preserve"> Application for Leave to Amend Petition for Reconsideration, Eger Communications, Inc., dated October 24, 2014 (Eger Application for Leave).</w:t>
      </w:r>
    </w:p>
  </w:footnote>
  <w:footnote w:id="6">
    <w:p w:rsidR="00B04741" w:rsidRDefault="00B04741" w:rsidP="00CC0C64">
      <w:pPr>
        <w:pStyle w:val="FootnoteText"/>
        <w:jc w:val="left"/>
      </w:pPr>
      <w:r>
        <w:rPr>
          <w:rStyle w:val="FootnoteReference"/>
        </w:rPr>
        <w:footnoteRef/>
      </w:r>
      <w:r>
        <w:t xml:space="preserve"> 47 C.F.R. §1.106(a)(1).</w:t>
      </w:r>
    </w:p>
  </w:footnote>
  <w:footnote w:id="7">
    <w:p w:rsidR="00B42A18" w:rsidRPr="009A31E9" w:rsidRDefault="00B42A18" w:rsidP="00B42A18">
      <w:pPr>
        <w:pStyle w:val="FootnoteText"/>
        <w:jc w:val="left"/>
      </w:pPr>
      <w:r>
        <w:rPr>
          <w:rStyle w:val="FootnoteReference"/>
        </w:rPr>
        <w:footnoteRef/>
      </w:r>
      <w:r>
        <w:t xml:space="preserve"> Application for a Special Use Permit and Site Plan Approval, filed</w:t>
      </w:r>
      <w:r w:rsidR="00662B0C">
        <w:t xml:space="preserve"> by Eger Communications</w:t>
      </w:r>
      <w:r>
        <w:t xml:space="preserve"> with the Town of Livingston Planning Board, Livingston, New York, on July 2, 2010.  On November 12, 2012, Eger amended its Application.  On July 12, 2013, the Town of Livingston awarded Eger the municipal approvals necessary to install the proposed </w:t>
      </w:r>
      <w:r w:rsidR="009F569A">
        <w:t>t</w:t>
      </w:r>
      <w:r>
        <w:t>ower.</w:t>
      </w:r>
      <w:r w:rsidRPr="00937B2B">
        <w:t xml:space="preserve">  </w:t>
      </w:r>
    </w:p>
  </w:footnote>
  <w:footnote w:id="8">
    <w:p w:rsidR="00B42A18" w:rsidRPr="009A31E9" w:rsidRDefault="00B42A18" w:rsidP="00B42A18">
      <w:pPr>
        <w:pStyle w:val="FootnoteText"/>
        <w:jc w:val="left"/>
      </w:pPr>
      <w:r>
        <w:rPr>
          <w:rStyle w:val="FootnoteReference"/>
        </w:rPr>
        <w:footnoteRef/>
      </w:r>
      <w:r>
        <w:t xml:space="preserve"> </w:t>
      </w:r>
      <w:r w:rsidRPr="0010701C">
        <w:rPr>
          <w:i/>
        </w:rPr>
        <w:t>See</w:t>
      </w:r>
      <w:r w:rsidRPr="0010701C">
        <w:t xml:space="preserve"> Division Letter at 1, </w:t>
      </w:r>
      <w:r w:rsidRPr="0010701C">
        <w:rPr>
          <w:i/>
        </w:rPr>
        <w:t>citing</w:t>
      </w:r>
      <w:r w:rsidRPr="0010701C">
        <w:t xml:space="preserve"> Informal Complaint at 2.</w:t>
      </w:r>
      <w:r>
        <w:t xml:space="preserve">  </w:t>
      </w:r>
      <w:r w:rsidRPr="00937B2B">
        <w:t xml:space="preserve">  </w:t>
      </w:r>
    </w:p>
  </w:footnote>
  <w:footnote w:id="9">
    <w:p w:rsidR="00B42A18" w:rsidRDefault="00B42A18" w:rsidP="00B42A18">
      <w:pPr>
        <w:pStyle w:val="FootnoteText"/>
        <w:jc w:val="left"/>
      </w:pPr>
      <w:r>
        <w:rPr>
          <w:rStyle w:val="FootnoteReference"/>
        </w:rPr>
        <w:footnoteRef/>
      </w:r>
      <w:r>
        <w:t xml:space="preserve"> </w:t>
      </w:r>
      <w:r w:rsidRPr="00087740">
        <w:rPr>
          <w:i/>
        </w:rPr>
        <w:t>See</w:t>
      </w:r>
      <w:r>
        <w:t xml:space="preserve"> Informal Complaint at 3-5. </w:t>
      </w:r>
      <w:r w:rsidR="00CC1693">
        <w:t xml:space="preserve"> </w:t>
      </w:r>
      <w:r w:rsidRPr="009A7231">
        <w:t>The Olana Estate was designated in the National Register as</w:t>
      </w:r>
      <w:r w:rsidR="00662B0C">
        <w:t xml:space="preserve"> an</w:t>
      </w:r>
      <w:r w:rsidRPr="009A7231">
        <w:t xml:space="preserve"> NHL in 1965. The National Register nomination calls the property “The Frederic Church House” (National Register Number 66000509)</w:t>
      </w:r>
      <w:r w:rsidR="00662B0C">
        <w:t>.</w:t>
      </w:r>
      <w:r w:rsidRPr="009A7231">
        <w:rPr>
          <w:sz w:val="22"/>
        </w:rPr>
        <w:t xml:space="preserve"> </w:t>
      </w:r>
      <w:r w:rsidR="00662B0C">
        <w:rPr>
          <w:sz w:val="22"/>
        </w:rPr>
        <w:t xml:space="preserve"> </w:t>
      </w:r>
      <w:r>
        <w:t>T</w:t>
      </w:r>
      <w:r w:rsidRPr="009A7231">
        <w:t>he Olana Estate was added to the National Park Service’s Watch List of Threatened and Endangered National Historic Landmarks in 2004</w:t>
      </w:r>
      <w:r>
        <w:t>.</w:t>
      </w:r>
      <w:r w:rsidRPr="009A7231">
        <w:t xml:space="preserve"> </w:t>
      </w:r>
      <w:r>
        <w:t xml:space="preserve"> </w:t>
      </w:r>
      <w:r w:rsidRPr="009A7231">
        <w:rPr>
          <w:i/>
        </w:rPr>
        <w:t>See</w:t>
      </w:r>
      <w:r w:rsidRPr="009A7231">
        <w:t xml:space="preserve"> </w:t>
      </w:r>
      <w:hyperlink r:id="rId1" w:history="1">
        <w:r w:rsidRPr="001F7405">
          <w:rPr>
            <w:rStyle w:val="Hyperlink"/>
          </w:rPr>
          <w:t>http://tps.cr.nps.gov/nhl/detail.cfm?ResourceId=365&amp;ResourceType=Building</w:t>
        </w:r>
      </w:hyperlink>
    </w:p>
  </w:footnote>
  <w:footnote w:id="10">
    <w:p w:rsidR="00217892" w:rsidRPr="00080FF6" w:rsidRDefault="00217892" w:rsidP="00937B2B">
      <w:pPr>
        <w:pStyle w:val="FootnoteText"/>
        <w:jc w:val="left"/>
      </w:pPr>
      <w:r w:rsidRPr="00080FF6">
        <w:rPr>
          <w:rStyle w:val="FootnoteReference"/>
        </w:rPr>
        <w:footnoteRef/>
      </w:r>
      <w:r w:rsidRPr="00080FF6">
        <w:t xml:space="preserve">  </w:t>
      </w:r>
      <w:r w:rsidRPr="009F48BD">
        <w:rPr>
          <w:i/>
        </w:rPr>
        <w:t>See</w:t>
      </w:r>
      <w:r>
        <w:t xml:space="preserve"> Informal Complaint</w:t>
      </w:r>
      <w:r w:rsidR="00CC1693">
        <w:t xml:space="preserve">; </w:t>
      </w:r>
      <w:r w:rsidR="00CC1693">
        <w:rPr>
          <w:i/>
        </w:rPr>
        <w:t xml:space="preserve">see also </w:t>
      </w:r>
      <w:r w:rsidR="00CC1693">
        <w:t>Olana/Hudson Reply to Eger’s Opposition, filed Oct. 7, 2011</w:t>
      </w:r>
      <w:r w:rsidR="00186EB9">
        <w:t xml:space="preserve">.  </w:t>
      </w:r>
      <w:r w:rsidR="00186EB9" w:rsidRPr="00186EB9">
        <w:t>The New York Parks and Recreation Department (NYSHPO), as the designated New York State Historic Preservation Office under the NHPA, has also raised similar arguments</w:t>
      </w:r>
      <w:r w:rsidR="00186EB9">
        <w:t>.</w:t>
      </w:r>
      <w:r w:rsidR="00186EB9" w:rsidRPr="00186EB9">
        <w:rPr>
          <w:i/>
          <w:sz w:val="22"/>
        </w:rPr>
        <w:t xml:space="preserve"> </w:t>
      </w:r>
      <w:r w:rsidR="00186EB9" w:rsidRPr="00186EB9">
        <w:rPr>
          <w:i/>
        </w:rPr>
        <w:t>See</w:t>
      </w:r>
      <w:r w:rsidR="00186EB9" w:rsidRPr="00186EB9">
        <w:t xml:space="preserve"> E-mail from John Bonafide, New York Department of Parks and Recreation, to Stephen DelSordo, FCC Federal Historic Preservation Officer, dated April 23, 2013.</w:t>
      </w:r>
    </w:p>
  </w:footnote>
  <w:footnote w:id="11">
    <w:p w:rsidR="00AD3236" w:rsidRDefault="00217892" w:rsidP="00937B2B">
      <w:pPr>
        <w:pStyle w:val="FootnoteText"/>
        <w:jc w:val="left"/>
      </w:pPr>
      <w:r>
        <w:rPr>
          <w:rStyle w:val="FootnoteReference"/>
        </w:rPr>
        <w:footnoteRef/>
      </w:r>
      <w:r>
        <w:t xml:space="preserve"> </w:t>
      </w:r>
      <w:r w:rsidRPr="00F231C7">
        <w:rPr>
          <w:i/>
        </w:rPr>
        <w:t>See</w:t>
      </w:r>
      <w:r>
        <w:t xml:space="preserve"> Eger Opposition to </w:t>
      </w:r>
      <w:r w:rsidR="00CC1693">
        <w:t>the</w:t>
      </w:r>
      <w:r>
        <w:t xml:space="preserve"> Informal Complaint</w:t>
      </w:r>
      <w:r w:rsidR="00CC1693">
        <w:t>, filed Aug. 29, 2011</w:t>
      </w:r>
      <w:r w:rsidR="0069611D">
        <w:t xml:space="preserve"> at 1</w:t>
      </w:r>
      <w:r w:rsidR="0069611D" w:rsidRPr="0069611D">
        <w:t>-3;</w:t>
      </w:r>
      <w:r w:rsidRPr="0069611D">
        <w:t xml:space="preserve"> Eger</w:t>
      </w:r>
      <w:r>
        <w:t xml:space="preserve"> Sur-Reply to Olana</w:t>
      </w:r>
      <w:r w:rsidR="00CC1693">
        <w:t>/Hudson</w:t>
      </w:r>
      <w:r>
        <w:t>’s Reply</w:t>
      </w:r>
      <w:r w:rsidR="00CC1693">
        <w:t>, filed Oct. 23, 2011</w:t>
      </w:r>
      <w:r w:rsidR="00AD3236">
        <w:t xml:space="preserve"> at 1-2</w:t>
      </w:r>
      <w:r>
        <w:t>.</w:t>
      </w:r>
      <w:r w:rsidR="00186EB9">
        <w:t xml:space="preserve">  </w:t>
      </w:r>
      <w:r w:rsidR="00AD3236">
        <w:t>Section III.B of the NPA generally excludes from Section 106 review a replacement for an existing tower that does not substantially increase the size of the existing tower, provided certain other conditions are met.  NPA,</w:t>
      </w:r>
      <w:r w:rsidR="00AD3236" w:rsidRPr="00AD3236">
        <w:t xml:space="preserve"> §</w:t>
      </w:r>
      <w:r w:rsidR="00AD3236">
        <w:t xml:space="preserve"> III.B.  </w:t>
      </w:r>
    </w:p>
    <w:p w:rsidR="00217892" w:rsidRPr="00774B48" w:rsidRDefault="00186EB9" w:rsidP="00937B2B">
      <w:pPr>
        <w:pStyle w:val="FootnoteText"/>
        <w:jc w:val="left"/>
      </w:pPr>
      <w:r w:rsidRPr="00186EB9">
        <w:t xml:space="preserve">After the pleading cycle was complete, several public safety entities filed letters with the Division discussing their need </w:t>
      </w:r>
      <w:r w:rsidR="00CC1693">
        <w:t>to collocate antennas on</w:t>
      </w:r>
      <w:r w:rsidRPr="00186EB9">
        <w:t xml:space="preserve"> the </w:t>
      </w:r>
      <w:r w:rsidR="009F569A">
        <w:t>p</w:t>
      </w:r>
      <w:r w:rsidRPr="00186EB9">
        <w:t xml:space="preserve">roposed </w:t>
      </w:r>
      <w:r w:rsidR="009F569A">
        <w:t>t</w:t>
      </w:r>
      <w:r w:rsidRPr="00186EB9">
        <w:t>ower</w:t>
      </w:r>
      <w:r>
        <w:t xml:space="preserve">.  </w:t>
      </w:r>
      <w:r w:rsidRPr="00186EB9">
        <w:rPr>
          <w:i/>
        </w:rPr>
        <w:t>See, e.g.,</w:t>
      </w:r>
      <w:r w:rsidRPr="00186EB9">
        <w:t xml:space="preserve"> Letter from Paul Jahns, Livingston Fire District, Board of Fire Commissioners, to Daniel Abeyta, Assistant Chief, Spectrum and Competition Policy Division, FCC, dated December 27, 2011; Letter from P.J. Keeler, EMS Coordinator, County of Columbia – Emergency Medical Services, to Daniel Abeyta, Assistant Chief, Spectrum and Competition Policy Division, FCC, dated December 2, 2011; Letter from Benjamin A. Wheeler, Chief, Lebanon Valley Protective Association, Inc. to Daniel Abeyta, Assistant Chief, Spectrum and Competition Policy Division, FCC, dated December 26, 2011.</w:t>
      </w:r>
    </w:p>
  </w:footnote>
  <w:footnote w:id="12">
    <w:p w:rsidR="00186EB9" w:rsidRDefault="00186EB9" w:rsidP="00186EB9">
      <w:pPr>
        <w:pStyle w:val="FootnoteText"/>
      </w:pPr>
      <w:r>
        <w:rPr>
          <w:rStyle w:val="FootnoteReference"/>
        </w:rPr>
        <w:footnoteRef/>
      </w:r>
      <w:r>
        <w:t xml:space="preserve"> </w:t>
      </w:r>
      <w:r w:rsidRPr="00537B9E">
        <w:rPr>
          <w:i/>
        </w:rPr>
        <w:t>See</w:t>
      </w:r>
      <w:r w:rsidRPr="00537B9E">
        <w:t xml:space="preserve"> Division Letter at 3.</w:t>
      </w:r>
    </w:p>
  </w:footnote>
  <w:footnote w:id="13">
    <w:p w:rsidR="00AD3236" w:rsidRDefault="00AD3236" w:rsidP="00AD3236">
      <w:pPr>
        <w:pStyle w:val="FootnoteText"/>
        <w:jc w:val="left"/>
      </w:pPr>
      <w:r>
        <w:rPr>
          <w:rStyle w:val="FootnoteReference"/>
        </w:rPr>
        <w:footnoteRef/>
      </w:r>
      <w:r>
        <w:t xml:space="preserve"> </w:t>
      </w:r>
      <w:r w:rsidRPr="00E11AE4">
        <w:rPr>
          <w:i/>
        </w:rPr>
        <w:t>See</w:t>
      </w:r>
      <w:r w:rsidRPr="00E11AE4">
        <w:t xml:space="preserve"> </w:t>
      </w:r>
      <w:r>
        <w:rPr>
          <w:i/>
        </w:rPr>
        <w:t>id</w:t>
      </w:r>
      <w:r w:rsidRPr="00E11AE4">
        <w:t>.</w:t>
      </w:r>
    </w:p>
  </w:footnote>
  <w:footnote w:id="14">
    <w:p w:rsidR="00AD3236" w:rsidRPr="00703AF6" w:rsidRDefault="00AD3236" w:rsidP="00AD3236">
      <w:pPr>
        <w:pStyle w:val="FootnoteText"/>
        <w:jc w:val="left"/>
      </w:pPr>
      <w:r>
        <w:rPr>
          <w:rStyle w:val="FootnoteReference"/>
        </w:rPr>
        <w:footnoteRef/>
      </w:r>
      <w:r>
        <w:t xml:space="preserve"> </w:t>
      </w:r>
      <w:r w:rsidRPr="00CD3E89">
        <w:rPr>
          <w:i/>
        </w:rPr>
        <w:t>See</w:t>
      </w:r>
      <w:r>
        <w:rPr>
          <w:i/>
        </w:rPr>
        <w:t xml:space="preserve"> id</w:t>
      </w:r>
      <w:r>
        <w:t>.</w:t>
      </w:r>
    </w:p>
  </w:footnote>
  <w:footnote w:id="15">
    <w:p w:rsidR="00186EB9" w:rsidRPr="00CD3E89" w:rsidRDefault="00186EB9" w:rsidP="00186EB9">
      <w:pPr>
        <w:pStyle w:val="FootnoteText"/>
        <w:jc w:val="left"/>
      </w:pPr>
      <w:r>
        <w:rPr>
          <w:rStyle w:val="FootnoteReference"/>
        </w:rPr>
        <w:footnoteRef/>
      </w:r>
      <w:r>
        <w:t xml:space="preserve"> </w:t>
      </w:r>
      <w:r w:rsidRPr="00CD3E89">
        <w:rPr>
          <w:i/>
        </w:rPr>
        <w:t>See</w:t>
      </w:r>
      <w:r>
        <w:t xml:space="preserve"> </w:t>
      </w:r>
      <w:r w:rsidR="006E5506">
        <w:rPr>
          <w:i/>
        </w:rPr>
        <w:t>id</w:t>
      </w:r>
      <w:r>
        <w:t>.</w:t>
      </w:r>
    </w:p>
  </w:footnote>
  <w:footnote w:id="16">
    <w:p w:rsidR="00217892" w:rsidRPr="00CD3E89" w:rsidRDefault="00217892" w:rsidP="00937B2B">
      <w:pPr>
        <w:pStyle w:val="FootnoteText"/>
        <w:jc w:val="left"/>
      </w:pPr>
      <w:r>
        <w:rPr>
          <w:rStyle w:val="FootnoteReference"/>
        </w:rPr>
        <w:footnoteRef/>
      </w:r>
      <w:r>
        <w:t xml:space="preserve"> </w:t>
      </w:r>
      <w:r w:rsidRPr="00CD3E89">
        <w:rPr>
          <w:i/>
        </w:rPr>
        <w:t>See</w:t>
      </w:r>
      <w:r>
        <w:t xml:space="preserve"> </w:t>
      </w:r>
      <w:r w:rsidR="006E5506">
        <w:rPr>
          <w:i/>
        </w:rPr>
        <w:t>id</w:t>
      </w:r>
      <w:r>
        <w:t>.</w:t>
      </w:r>
    </w:p>
  </w:footnote>
  <w:footnote w:id="17">
    <w:p w:rsidR="00217892" w:rsidRPr="009F0300" w:rsidRDefault="00217892" w:rsidP="00FF666E">
      <w:pPr>
        <w:pStyle w:val="FootnoteText"/>
        <w:jc w:val="left"/>
      </w:pPr>
      <w:r>
        <w:rPr>
          <w:rStyle w:val="FootnoteReference"/>
        </w:rPr>
        <w:footnoteRef/>
      </w:r>
      <w:r>
        <w:t xml:space="preserve"> Eger Petition at 8.</w:t>
      </w:r>
    </w:p>
  </w:footnote>
  <w:footnote w:id="18">
    <w:p w:rsidR="00217892" w:rsidRPr="0045394A" w:rsidRDefault="00217892" w:rsidP="00FF666E">
      <w:pPr>
        <w:pStyle w:val="FootnoteText"/>
        <w:jc w:val="left"/>
      </w:pPr>
      <w:r>
        <w:rPr>
          <w:rStyle w:val="FootnoteReference"/>
        </w:rPr>
        <w:footnoteRef/>
      </w:r>
      <w:r>
        <w:t xml:space="preserve"> </w:t>
      </w:r>
      <w:r w:rsidR="006E5506">
        <w:rPr>
          <w:i/>
        </w:rPr>
        <w:t>Id.</w:t>
      </w:r>
      <w:r>
        <w:t xml:space="preserve"> at 11; Eger Reconsideration Reply at 3-4</w:t>
      </w:r>
      <w:r w:rsidR="0026768C">
        <w:t xml:space="preserve">; </w:t>
      </w:r>
      <w:r w:rsidR="0026768C">
        <w:rPr>
          <w:i/>
        </w:rPr>
        <w:t>see</w:t>
      </w:r>
      <w:r w:rsidR="0026768C">
        <w:t xml:space="preserve"> 47 C.F.R. § 1.106(c)(2) </w:t>
      </w:r>
      <w:r w:rsidR="006E5506">
        <w:t>(</w:t>
      </w:r>
      <w:r w:rsidR="006D1B93">
        <w:t>i</w:t>
      </w:r>
      <w:r w:rsidR="006E5506" w:rsidRPr="006E5506">
        <w:t>n the case of any order other than an order denying an application for review, a petition for reconsideration which relies on facts or arguments not previously presented to the Commission or to the designated authority may be granted if</w:t>
      </w:r>
      <w:bookmarkStart w:id="50" w:name="c_1"/>
      <w:bookmarkStart w:id="51" w:name="c_2"/>
      <w:bookmarkEnd w:id="50"/>
      <w:bookmarkEnd w:id="51"/>
      <w:r w:rsidR="006E5506" w:rsidRPr="006E5506">
        <w:t xml:space="preserve"> the Commission or the designated authority determines that consideration of the facts or arguments relied on is required in the public interest)</w:t>
      </w:r>
      <w:r w:rsidR="006E5506">
        <w:t>.</w:t>
      </w:r>
    </w:p>
  </w:footnote>
  <w:footnote w:id="19">
    <w:p w:rsidR="00C5660D" w:rsidRPr="00937B2B" w:rsidRDefault="00C5660D" w:rsidP="00C5660D">
      <w:pPr>
        <w:pStyle w:val="FootnoteText"/>
        <w:jc w:val="left"/>
      </w:pPr>
      <w:r>
        <w:rPr>
          <w:rStyle w:val="FootnoteReference"/>
        </w:rPr>
        <w:footnoteRef/>
      </w:r>
      <w:r>
        <w:t xml:space="preserve"> </w:t>
      </w:r>
      <w:r w:rsidRPr="00937B2B">
        <w:t xml:space="preserve">Eger Petition at 2.  </w:t>
      </w:r>
    </w:p>
  </w:footnote>
  <w:footnote w:id="20">
    <w:p w:rsidR="00C5660D" w:rsidRDefault="00C5660D" w:rsidP="001B65BC">
      <w:pPr>
        <w:pStyle w:val="FootnoteText"/>
        <w:jc w:val="left"/>
      </w:pPr>
      <w:r>
        <w:rPr>
          <w:rStyle w:val="FootnoteReference"/>
        </w:rPr>
        <w:footnoteRef/>
      </w:r>
      <w:r w:rsidRPr="00C5660D">
        <w:rPr>
          <w:i/>
        </w:rPr>
        <w:t xml:space="preserve">See </w:t>
      </w:r>
      <w:r w:rsidRPr="00C5660D">
        <w:t>Letter from Andrew B. Howard, Deputy County Attorney, Columbia County, to Jeffrey Steinberg, Deputy Chief, Spectrum and Competition Policy Division, FCC, dated September 19, 2013</w:t>
      </w:r>
      <w:r w:rsidR="0026768C">
        <w:t xml:space="preserve"> (Columbia County Letter) (noting that o</w:t>
      </w:r>
      <w:r w:rsidR="0026768C" w:rsidRPr="00C5660D">
        <w:t>n January 11, 2013, Columbia County’s public safety agencies and departments became co-applicants to Eger’s application for the proposed tower before the Town</w:t>
      </w:r>
      <w:r w:rsidR="0026768C">
        <w:t>)</w:t>
      </w:r>
      <w:r w:rsidRPr="00C5660D">
        <w:t>.</w:t>
      </w:r>
    </w:p>
  </w:footnote>
  <w:footnote w:id="21">
    <w:p w:rsidR="0026768C" w:rsidRDefault="0026768C" w:rsidP="0026768C">
      <w:pPr>
        <w:pStyle w:val="FootnoteText"/>
        <w:jc w:val="left"/>
      </w:pPr>
      <w:r>
        <w:rPr>
          <w:rStyle w:val="FootnoteReference"/>
        </w:rPr>
        <w:footnoteRef/>
      </w:r>
      <w:r>
        <w:t xml:space="preserve"> </w:t>
      </w:r>
      <w:r w:rsidRPr="00FF666E">
        <w:rPr>
          <w:i/>
        </w:rPr>
        <w:t>See</w:t>
      </w:r>
      <w:r w:rsidRPr="00FF666E">
        <w:t xml:space="preserve"> Olana</w:t>
      </w:r>
      <w:r>
        <w:t xml:space="preserve">/Hudson, </w:t>
      </w:r>
      <w:r w:rsidRPr="00FF666E">
        <w:t>Opposition to Petition for Reconsideration</w:t>
      </w:r>
      <w:r>
        <w:t xml:space="preserve"> </w:t>
      </w:r>
      <w:r w:rsidRPr="00FF666E">
        <w:t>(Olana</w:t>
      </w:r>
      <w:r>
        <w:t>/Hudson</w:t>
      </w:r>
      <w:r w:rsidRPr="00FF666E">
        <w:t xml:space="preserve"> Opposition</w:t>
      </w:r>
      <w:r>
        <w:t xml:space="preserve"> to Eger’s Petition</w:t>
      </w:r>
      <w:r w:rsidRPr="00FF666E">
        <w:t>)</w:t>
      </w:r>
      <w:r>
        <w:t>, filed September 12, 2013, at 3-4; 47 C.F.R. § 1.106(d), (p).</w:t>
      </w:r>
    </w:p>
  </w:footnote>
  <w:footnote w:id="22">
    <w:p w:rsidR="00217892" w:rsidRPr="007C4D8F" w:rsidRDefault="00217892" w:rsidP="00FF666E">
      <w:pPr>
        <w:pStyle w:val="FootnoteText"/>
        <w:jc w:val="left"/>
      </w:pPr>
      <w:r>
        <w:rPr>
          <w:rStyle w:val="FootnoteReference"/>
        </w:rPr>
        <w:footnoteRef/>
      </w:r>
      <w:r>
        <w:t xml:space="preserve"> Olana Opposition</w:t>
      </w:r>
      <w:r w:rsidR="004B7425">
        <w:t xml:space="preserve"> to Eger’s Petition</w:t>
      </w:r>
      <w:r>
        <w:t xml:space="preserve"> at 3-4.</w:t>
      </w:r>
    </w:p>
  </w:footnote>
  <w:footnote w:id="23">
    <w:p w:rsidR="00127C27" w:rsidRPr="009E7E0F" w:rsidRDefault="00127C27" w:rsidP="00127C27">
      <w:pPr>
        <w:pStyle w:val="FootnoteText"/>
        <w:jc w:val="left"/>
      </w:pPr>
      <w:r>
        <w:rPr>
          <w:rStyle w:val="FootnoteReference"/>
        </w:rPr>
        <w:footnoteRef/>
      </w:r>
      <w:r>
        <w:t xml:space="preserve"> </w:t>
      </w:r>
      <w:r>
        <w:rPr>
          <w:i/>
        </w:rPr>
        <w:t xml:space="preserve">See </w:t>
      </w:r>
      <w:r>
        <w:t>Eger Application for Leave;</w:t>
      </w:r>
      <w:r w:rsidRPr="00497CD8">
        <w:rPr>
          <w:i/>
        </w:rPr>
        <w:t xml:space="preserve"> </w:t>
      </w:r>
      <w:r w:rsidR="0026768C">
        <w:rPr>
          <w:i/>
        </w:rPr>
        <w:t>s</w:t>
      </w:r>
      <w:r>
        <w:rPr>
          <w:i/>
        </w:rPr>
        <w:t xml:space="preserve">ee also </w:t>
      </w:r>
      <w:r w:rsidRPr="00E94D7A">
        <w:rPr>
          <w:i/>
        </w:rPr>
        <w:t>Scenic Hudson, Inc.</w:t>
      </w:r>
      <w:r w:rsidR="0026768C">
        <w:rPr>
          <w:i/>
        </w:rPr>
        <w:t>,</w:t>
      </w:r>
      <w:r w:rsidRPr="00E94D7A">
        <w:rPr>
          <w:i/>
        </w:rPr>
        <w:t xml:space="preserve"> The Scenic Hudson Land Trust, Inc., and The Olana Partnership v. Town of Livingston Planning Board, Eger Communications, and Blue Hill Farms, Inc</w:t>
      </w:r>
      <w:r>
        <w:t>., Decision/Order, Index No. 6454-13, R.J.I. No. 10-13-0493, Supreme Court of the State of New York, County of Columbia, August 26, 2014 (</w:t>
      </w:r>
      <w:r w:rsidR="002E2795" w:rsidRPr="002E2795">
        <w:rPr>
          <w:i/>
        </w:rPr>
        <w:t>Olana v. Town of Livingston</w:t>
      </w:r>
      <w:r>
        <w:t>)</w:t>
      </w:r>
      <w:r w:rsidR="0026768C">
        <w:t xml:space="preserve"> </w:t>
      </w:r>
      <w:r>
        <w:t>(Appendix A to Eger Application for Leave)</w:t>
      </w:r>
      <w:r w:rsidR="003C6CD1">
        <w:t xml:space="preserve">. </w:t>
      </w:r>
      <w:r>
        <w:t xml:space="preserve"> On November 4, 2014, Olana filed an Opposition to Eger’s Application for Leave</w:t>
      </w:r>
      <w:r w:rsidR="003C6CD1">
        <w:t xml:space="preserve">. </w:t>
      </w:r>
      <w:r>
        <w:t xml:space="preserve"> On November 20, </w:t>
      </w:r>
      <w:r w:rsidR="003C6CD1">
        <w:t>2</w:t>
      </w:r>
      <w:r>
        <w:t>014, Eger filed a Reply to Olana’s Opposition to Application for Leave.</w:t>
      </w:r>
    </w:p>
  </w:footnote>
  <w:footnote w:id="24">
    <w:p w:rsidR="00D70D3D" w:rsidRPr="002E2795" w:rsidRDefault="00D70D3D" w:rsidP="002E2795">
      <w:pPr>
        <w:pStyle w:val="FootnoteText"/>
        <w:jc w:val="left"/>
      </w:pPr>
      <w:r>
        <w:rPr>
          <w:rStyle w:val="FootnoteReference"/>
        </w:rPr>
        <w:footnoteRef/>
      </w:r>
      <w:r>
        <w:t xml:space="preserve"> </w:t>
      </w:r>
      <w:r w:rsidRPr="00D70D3D">
        <w:rPr>
          <w:i/>
        </w:rPr>
        <w:t>See</w:t>
      </w:r>
      <w:r>
        <w:t xml:space="preserve"> </w:t>
      </w:r>
      <w:r w:rsidR="002E2795" w:rsidRPr="002E2795">
        <w:rPr>
          <w:i/>
        </w:rPr>
        <w:t>Olana v. Town of Livingston</w:t>
      </w:r>
      <w:r>
        <w:rPr>
          <w:i/>
        </w:rPr>
        <w:t>.</w:t>
      </w:r>
    </w:p>
  </w:footnote>
  <w:footnote w:id="25">
    <w:p w:rsidR="0026768C" w:rsidRDefault="0026768C" w:rsidP="00347556">
      <w:pPr>
        <w:pStyle w:val="FootnoteText"/>
        <w:jc w:val="left"/>
      </w:pPr>
      <w:r>
        <w:rPr>
          <w:rStyle w:val="FootnoteReference"/>
        </w:rPr>
        <w:footnoteRef/>
      </w:r>
      <w:r>
        <w:t xml:space="preserve"> </w:t>
      </w:r>
      <w:r w:rsidR="004A0B21" w:rsidRPr="00347556">
        <w:rPr>
          <w:i/>
        </w:rPr>
        <w:t>See</w:t>
      </w:r>
      <w:r w:rsidR="004A0B21">
        <w:t xml:space="preserve"> </w:t>
      </w:r>
      <w:r w:rsidR="00FA784A">
        <w:t>N.Y. E</w:t>
      </w:r>
      <w:r w:rsidR="004A0B21" w:rsidRPr="00347556">
        <w:rPr>
          <w:sz w:val="14"/>
        </w:rPr>
        <w:t>NVT</w:t>
      </w:r>
      <w:r w:rsidR="001D3DC1">
        <w:t>. C</w:t>
      </w:r>
      <w:r w:rsidR="004A0B21" w:rsidRPr="00347556">
        <w:rPr>
          <w:sz w:val="14"/>
        </w:rPr>
        <w:t>ONSERV</w:t>
      </w:r>
      <w:r w:rsidR="001D3DC1">
        <w:t>. L</w:t>
      </w:r>
      <w:r w:rsidR="004A0B21" w:rsidRPr="00347556">
        <w:rPr>
          <w:sz w:val="14"/>
        </w:rPr>
        <w:t>AW</w:t>
      </w:r>
      <w:r w:rsidR="001D3DC1">
        <w:t xml:space="preserve"> </w:t>
      </w:r>
      <w:r w:rsidR="00FA784A" w:rsidRPr="00FA784A">
        <w:t>§§</w:t>
      </w:r>
      <w:r w:rsidR="00D01BAA">
        <w:t xml:space="preserve"> </w:t>
      </w:r>
      <w:r w:rsidR="00FA784A">
        <w:t>8-0101 to 8-0117</w:t>
      </w:r>
      <w:r w:rsidR="001D3DC1">
        <w:t xml:space="preserve"> (McKinney 2005)</w:t>
      </w:r>
      <w:r w:rsidR="003217A9">
        <w:t>.</w:t>
      </w:r>
      <w:r w:rsidR="00FA784A">
        <w:t xml:space="preserve"> </w:t>
      </w:r>
    </w:p>
  </w:footnote>
  <w:footnote w:id="26">
    <w:p w:rsidR="002848F8" w:rsidRPr="002848F8" w:rsidRDefault="002848F8">
      <w:pPr>
        <w:pStyle w:val="FootnoteText"/>
      </w:pPr>
      <w:r>
        <w:rPr>
          <w:rStyle w:val="FootnoteReference"/>
        </w:rPr>
        <w:footnoteRef/>
      </w:r>
      <w:r>
        <w:t xml:space="preserve"> </w:t>
      </w:r>
      <w:r w:rsidRPr="002848F8">
        <w:rPr>
          <w:i/>
        </w:rPr>
        <w:t>See</w:t>
      </w:r>
      <w:r w:rsidRPr="002848F8">
        <w:t xml:space="preserve"> </w:t>
      </w:r>
      <w:r w:rsidRPr="002848F8">
        <w:rPr>
          <w:i/>
        </w:rPr>
        <w:t>Olana v. Town of Livingston</w:t>
      </w:r>
      <w:r>
        <w:t xml:space="preserve"> at 8.</w:t>
      </w:r>
    </w:p>
  </w:footnote>
  <w:footnote w:id="27">
    <w:p w:rsidR="00217892" w:rsidRPr="000909AE" w:rsidRDefault="00217892" w:rsidP="00937B2B">
      <w:pPr>
        <w:pStyle w:val="FootnoteText"/>
        <w:jc w:val="left"/>
      </w:pPr>
      <w:r>
        <w:rPr>
          <w:rStyle w:val="FootnoteReference"/>
        </w:rPr>
        <w:footnoteRef/>
      </w:r>
      <w:r>
        <w:t xml:space="preserve"> </w:t>
      </w:r>
      <w:r w:rsidRPr="000909AE">
        <w:rPr>
          <w:i/>
        </w:rPr>
        <w:t>See</w:t>
      </w:r>
      <w:r>
        <w:t xml:space="preserve"> Eger Application for Leave at 5-7; Eger Reply to Olana’s Opposition to Application for Leave at 2-3</w:t>
      </w:r>
      <w:r w:rsidR="00B86FE9">
        <w:t>; 47 C.F.R. § 1.106(f)</w:t>
      </w:r>
      <w:r w:rsidR="003943CF">
        <w:t>.</w:t>
      </w:r>
      <w:r w:rsidR="00B86FE9">
        <w:t xml:space="preserve"> </w:t>
      </w:r>
      <w:r w:rsidR="003943CF">
        <w:t xml:space="preserve"> </w:t>
      </w:r>
      <w:r w:rsidR="006D1B93">
        <w:t>Pursuant to Section 1.106(f), a</w:t>
      </w:r>
      <w:r w:rsidR="003943CF">
        <w:t xml:space="preserve"> supplement </w:t>
      </w:r>
      <w:r w:rsidR="006E5506" w:rsidRPr="006E5506">
        <w:t>or addition to a petition for reconsideration which has not been acted upon by the Commission or by the designated authority</w:t>
      </w:r>
      <w:r w:rsidR="003943CF">
        <w:t xml:space="preserve"> may be </w:t>
      </w:r>
      <w:r w:rsidR="006E5506" w:rsidRPr="006E5506">
        <w:t>filed after expiration of the 30</w:t>
      </w:r>
      <w:r w:rsidR="006D1B93">
        <w:t>-</w:t>
      </w:r>
      <w:r w:rsidR="006E5506" w:rsidRPr="006E5506">
        <w:t>day period</w:t>
      </w:r>
      <w:r w:rsidR="003943CF">
        <w:t xml:space="preserve"> in a separate pleading for leave to file, setting forth the grounds therefor.  Such a supplement or addition to a petition for reconsideration</w:t>
      </w:r>
      <w:r w:rsidR="006E5506" w:rsidRPr="006E5506">
        <w:t xml:space="preserve"> will be considered </w:t>
      </w:r>
      <w:r w:rsidR="003943CF">
        <w:t>only after the application for leave is granted by the Commission or the designated authority</w:t>
      </w:r>
      <w:r>
        <w:t>.</w:t>
      </w:r>
      <w:r w:rsidR="003943CF">
        <w:t xml:space="preserve"> </w:t>
      </w:r>
      <w:r w:rsidR="006D1B93">
        <w:t xml:space="preserve"> </w:t>
      </w:r>
      <w:r w:rsidR="003943CF">
        <w:rPr>
          <w:i/>
        </w:rPr>
        <w:t>I</w:t>
      </w:r>
      <w:r w:rsidR="003943CF" w:rsidRPr="00347556">
        <w:rPr>
          <w:i/>
        </w:rPr>
        <w:t>d.</w:t>
      </w:r>
    </w:p>
  </w:footnote>
  <w:footnote w:id="28">
    <w:p w:rsidR="00217892" w:rsidRPr="0015651A" w:rsidRDefault="00217892" w:rsidP="00937B2B">
      <w:pPr>
        <w:pStyle w:val="FootnoteText"/>
        <w:jc w:val="left"/>
      </w:pPr>
      <w:r>
        <w:rPr>
          <w:rStyle w:val="FootnoteReference"/>
        </w:rPr>
        <w:footnoteRef/>
      </w:r>
      <w:r>
        <w:t xml:space="preserve"> </w:t>
      </w:r>
      <w:r w:rsidRPr="0015651A">
        <w:rPr>
          <w:i/>
        </w:rPr>
        <w:t>See</w:t>
      </w:r>
      <w:r>
        <w:t xml:space="preserve"> Olana Opposition to Eger’s Application for Leave at 2-3.</w:t>
      </w:r>
    </w:p>
  </w:footnote>
  <w:footnote w:id="29">
    <w:p w:rsidR="00217892" w:rsidRDefault="00217892" w:rsidP="00937B2B">
      <w:pPr>
        <w:pStyle w:val="FootnoteText"/>
        <w:jc w:val="left"/>
      </w:pPr>
      <w:r>
        <w:rPr>
          <w:rStyle w:val="FootnoteReference"/>
        </w:rPr>
        <w:footnoteRef/>
      </w:r>
      <w:r>
        <w:t xml:space="preserve"> </w:t>
      </w:r>
      <w:r w:rsidRPr="0015651A">
        <w:rPr>
          <w:i/>
        </w:rPr>
        <w:t>See</w:t>
      </w:r>
      <w:r w:rsidR="00E93646">
        <w:rPr>
          <w:i/>
        </w:rPr>
        <w:t xml:space="preserve"> id.</w:t>
      </w:r>
      <w:r>
        <w:t xml:space="preserve"> at 3.</w:t>
      </w:r>
    </w:p>
  </w:footnote>
  <w:footnote w:id="30">
    <w:p w:rsidR="00217892" w:rsidRPr="00080FF6" w:rsidRDefault="00217892" w:rsidP="00116DDD">
      <w:pPr>
        <w:pStyle w:val="FootnoteText"/>
        <w:jc w:val="left"/>
        <w:rPr>
          <w:szCs w:val="22"/>
        </w:rPr>
      </w:pPr>
      <w:r w:rsidRPr="00080FF6">
        <w:rPr>
          <w:rStyle w:val="FootnoteReference"/>
        </w:rPr>
        <w:footnoteRef/>
      </w:r>
      <w:r>
        <w:t xml:space="preserve"> </w:t>
      </w:r>
      <w:r w:rsidRPr="00CD2B1C">
        <w:rPr>
          <w:i/>
        </w:rPr>
        <w:t>See</w:t>
      </w:r>
      <w:r w:rsidRPr="00080FF6">
        <w:t xml:space="preserve"> </w:t>
      </w:r>
      <w:r>
        <w:rPr>
          <w:szCs w:val="22"/>
        </w:rPr>
        <w:t>54 U.S.C</w:t>
      </w:r>
      <w:r w:rsidRPr="00080FF6">
        <w:rPr>
          <w:szCs w:val="22"/>
        </w:rPr>
        <w:t>.</w:t>
      </w:r>
      <w:r w:rsidRPr="00CD2B1C">
        <w:rPr>
          <w:szCs w:val="22"/>
        </w:rPr>
        <w:t xml:space="preserve"> </w:t>
      </w:r>
      <w:r w:rsidRPr="00080FF6">
        <w:rPr>
          <w:szCs w:val="22"/>
        </w:rPr>
        <w:t xml:space="preserve">§ </w:t>
      </w:r>
      <w:r>
        <w:rPr>
          <w:szCs w:val="22"/>
        </w:rPr>
        <w:t>306108.</w:t>
      </w:r>
      <w:r w:rsidRPr="00080FF6">
        <w:rPr>
          <w:szCs w:val="22"/>
        </w:rPr>
        <w:t xml:space="preserve"> </w:t>
      </w:r>
    </w:p>
  </w:footnote>
  <w:footnote w:id="31">
    <w:p w:rsidR="003C6CD1" w:rsidRPr="000F265F" w:rsidRDefault="003C6CD1" w:rsidP="003C6CD1">
      <w:pPr>
        <w:pStyle w:val="FootnoteText"/>
        <w:jc w:val="left"/>
      </w:pPr>
      <w:r w:rsidRPr="00FF72D1">
        <w:rPr>
          <w:rStyle w:val="FootnoteReference"/>
        </w:rPr>
        <w:footnoteRef/>
      </w:r>
      <w:r w:rsidRPr="00FF72D1">
        <w:t xml:space="preserve"> </w:t>
      </w:r>
      <w:r w:rsidRPr="00FF72D1">
        <w:rPr>
          <w:i/>
        </w:rPr>
        <w:t>See</w:t>
      </w:r>
      <w:r w:rsidRPr="00FF72D1">
        <w:t xml:space="preserve"> 47 C.F.R. § 1.1307(a)(4).</w:t>
      </w:r>
      <w:r w:rsidR="000F265F">
        <w:t xml:space="preserve">  If the proposed construction may affect historic properties, the applicant must prepare an Environmental Assessment for Commission review and processing.  </w:t>
      </w:r>
      <w:r w:rsidR="000F265F">
        <w:rPr>
          <w:i/>
        </w:rPr>
        <w:t>Id.</w:t>
      </w:r>
      <w:r w:rsidR="000F265F">
        <w:t xml:space="preserve"> §</w:t>
      </w:r>
      <w:r w:rsidR="002A07EE">
        <w:t xml:space="preserve"> </w:t>
      </w:r>
      <w:r w:rsidR="000F265F">
        <w:t>1.1307(a).</w:t>
      </w:r>
    </w:p>
  </w:footnote>
  <w:footnote w:id="32">
    <w:p w:rsidR="00D40C97" w:rsidRPr="00292FF4" w:rsidRDefault="00D40C97" w:rsidP="00F53F0A">
      <w:pPr>
        <w:pStyle w:val="FootnoteText"/>
        <w:jc w:val="left"/>
      </w:pPr>
      <w:r w:rsidRPr="00292FF4">
        <w:rPr>
          <w:rStyle w:val="FootnoteReference"/>
        </w:rPr>
        <w:footnoteRef/>
      </w:r>
      <w:r w:rsidRPr="00292FF4">
        <w:t xml:space="preserve"> </w:t>
      </w:r>
      <w:r w:rsidRPr="00292FF4">
        <w:rPr>
          <w:i/>
        </w:rPr>
        <w:t>See</w:t>
      </w:r>
      <w:r w:rsidR="003943CF">
        <w:rPr>
          <w:i/>
        </w:rPr>
        <w:t xml:space="preserve"> Id.</w:t>
      </w:r>
      <w:r>
        <w:t xml:space="preserve">  </w:t>
      </w:r>
    </w:p>
  </w:footnote>
  <w:footnote w:id="33">
    <w:p w:rsidR="009645DA" w:rsidRPr="00E8688B" w:rsidRDefault="009645DA" w:rsidP="00A7404A">
      <w:pPr>
        <w:pStyle w:val="FootnoteText"/>
        <w:jc w:val="left"/>
      </w:pPr>
      <w:r w:rsidRPr="00E8688B">
        <w:rPr>
          <w:rStyle w:val="FootnoteReference"/>
        </w:rPr>
        <w:footnoteRef/>
      </w:r>
      <w:r w:rsidRPr="00E8688B">
        <w:t xml:space="preserve"> </w:t>
      </w:r>
      <w:r w:rsidRPr="00E8688B">
        <w:rPr>
          <w:i/>
        </w:rPr>
        <w:t xml:space="preserve">See </w:t>
      </w:r>
      <w:r w:rsidR="000F265F">
        <w:t>47 C.F.R. Pt. 1, App. C, §§ IV (Participation of Indian Tribes and Native Hawaiian Organizations in Undertakings of Tribal Lands), V (Public Participation and Consulting Parties), VI (Identification, Evaluation, and Assessment of Effects), VII (Procedures)</w:t>
      </w:r>
      <w:r w:rsidR="009F569A" w:rsidRPr="009F569A">
        <w:t>.</w:t>
      </w:r>
      <w:r w:rsidR="002E60C1">
        <w:t xml:space="preserve">  </w:t>
      </w:r>
    </w:p>
  </w:footnote>
  <w:footnote w:id="34">
    <w:p w:rsidR="00386665" w:rsidRDefault="00386665" w:rsidP="00F53F0A">
      <w:pPr>
        <w:pStyle w:val="FootnoteText"/>
        <w:jc w:val="left"/>
      </w:pPr>
      <w:r>
        <w:rPr>
          <w:rStyle w:val="FootnoteReference"/>
        </w:rPr>
        <w:footnoteRef/>
      </w:r>
      <w:r>
        <w:t xml:space="preserve"> </w:t>
      </w:r>
      <w:r w:rsidRPr="00386665">
        <w:rPr>
          <w:i/>
        </w:rPr>
        <w:t>See</w:t>
      </w:r>
      <w:r w:rsidRPr="00386665">
        <w:t xml:space="preserve"> 47 C.F.R. Pt. 1, App. C. §</w:t>
      </w:r>
      <w:r>
        <w:t xml:space="preserve"> III. </w:t>
      </w:r>
    </w:p>
  </w:footnote>
  <w:footnote w:id="35">
    <w:p w:rsidR="006D000F" w:rsidRDefault="006D000F" w:rsidP="00F53F0A">
      <w:pPr>
        <w:pStyle w:val="FootnoteText"/>
        <w:jc w:val="left"/>
      </w:pPr>
      <w:r>
        <w:rPr>
          <w:rStyle w:val="FootnoteReference"/>
        </w:rPr>
        <w:footnoteRef/>
      </w:r>
      <w:r>
        <w:t xml:space="preserve"> </w:t>
      </w:r>
      <w:r w:rsidRPr="006D000F">
        <w:t>47 C.F.R. Pt. 1,</w:t>
      </w:r>
      <w:r w:rsidR="002A07EE">
        <w:t xml:space="preserve"> </w:t>
      </w:r>
      <w:r w:rsidRPr="006D000F">
        <w:t>App. C.</w:t>
      </w:r>
      <w:r w:rsidR="002A07EE">
        <w:t xml:space="preserve"> </w:t>
      </w:r>
      <w:r w:rsidRPr="006D000F">
        <w:t>§</w:t>
      </w:r>
      <w:r w:rsidR="002A07EE">
        <w:t xml:space="preserve"> </w:t>
      </w:r>
      <w:r>
        <w:t>XI.</w:t>
      </w:r>
    </w:p>
  </w:footnote>
  <w:footnote w:id="36">
    <w:p w:rsidR="00C83319" w:rsidRDefault="00C83319" w:rsidP="00F53F0A">
      <w:pPr>
        <w:pStyle w:val="FootnoteText"/>
        <w:jc w:val="left"/>
      </w:pPr>
      <w:r>
        <w:rPr>
          <w:rStyle w:val="FootnoteReference"/>
        </w:rPr>
        <w:footnoteRef/>
      </w:r>
      <w:r>
        <w:t xml:space="preserve"> </w:t>
      </w:r>
      <w:r w:rsidRPr="00C83319">
        <w:t xml:space="preserve">47 C.F.R. § 1.106(a)(1).   </w:t>
      </w:r>
    </w:p>
  </w:footnote>
  <w:footnote w:id="37">
    <w:p w:rsidR="009C4854" w:rsidRDefault="009C4854" w:rsidP="00DC3BD6">
      <w:pPr>
        <w:pStyle w:val="FootnoteText"/>
        <w:jc w:val="left"/>
      </w:pPr>
      <w:r>
        <w:rPr>
          <w:rStyle w:val="FootnoteReference"/>
        </w:rPr>
        <w:footnoteRef/>
      </w:r>
      <w:r>
        <w:t xml:space="preserve"> </w:t>
      </w:r>
      <w:r w:rsidR="003943CF">
        <w:rPr>
          <w:i/>
        </w:rPr>
        <w:t>Id.</w:t>
      </w:r>
      <w:r w:rsidRPr="009C4854">
        <w:t xml:space="preserve">  </w:t>
      </w:r>
      <w:r>
        <w:t xml:space="preserve"> </w:t>
      </w:r>
    </w:p>
  </w:footnote>
  <w:footnote w:id="38">
    <w:p w:rsidR="009C4854" w:rsidRDefault="009C4854" w:rsidP="00DC3BD6">
      <w:pPr>
        <w:pStyle w:val="FootnoteText"/>
        <w:jc w:val="left"/>
      </w:pPr>
      <w:r>
        <w:rPr>
          <w:rStyle w:val="FootnoteReference"/>
        </w:rPr>
        <w:footnoteRef/>
      </w:r>
      <w:r>
        <w:t xml:space="preserve"> </w:t>
      </w:r>
      <w:r w:rsidR="003943CF">
        <w:rPr>
          <w:i/>
        </w:rPr>
        <w:t>Id.</w:t>
      </w:r>
      <w:r w:rsidRPr="009C4854">
        <w:t xml:space="preserve">  </w:t>
      </w:r>
      <w:r>
        <w:t>The exception is that “a petition for reconsideration of an order designating a case for hearing will be entertained if, and insofar as, the petition relates to an adverse ruling with respect to petitioner’s participation in the proceeding.”</w:t>
      </w:r>
      <w:r w:rsidR="00C83319">
        <w:t xml:space="preserve">  </w:t>
      </w:r>
      <w:r w:rsidR="000F265F">
        <w:rPr>
          <w:i/>
        </w:rPr>
        <w:t>Id</w:t>
      </w:r>
      <w:r>
        <w:t>.</w:t>
      </w:r>
    </w:p>
  </w:footnote>
  <w:footnote w:id="39">
    <w:p w:rsidR="00C83319" w:rsidRPr="00FC562B" w:rsidRDefault="00C83319" w:rsidP="00C83319">
      <w:pPr>
        <w:pStyle w:val="FootnoteText"/>
        <w:jc w:val="left"/>
      </w:pPr>
      <w:r>
        <w:rPr>
          <w:rStyle w:val="FootnoteReference"/>
        </w:rPr>
        <w:footnoteRef/>
      </w:r>
      <w:r>
        <w:t xml:space="preserve"> In the Matter of Jet Fuel Broadcasting Application for a New AM Broadcast Station at Orchard Homes, Montana and Bott Communications, Inc., Application for a New AM Broadcast Station at Black Hawk, South Dakota, </w:t>
      </w:r>
      <w:r w:rsidRPr="00FC562B">
        <w:rPr>
          <w:i/>
        </w:rPr>
        <w:t>Memorandum Opinion and Order</w:t>
      </w:r>
      <w:r>
        <w:t xml:space="preserve">, 29 </w:t>
      </w:r>
      <w:r w:rsidR="00DC3BD6">
        <w:t>FCC</w:t>
      </w:r>
      <w:r>
        <w:t xml:space="preserve"> Rcd 2471, 2471-72 ¶ 2 (2014) (</w:t>
      </w:r>
      <w:r w:rsidRPr="00FC562B">
        <w:rPr>
          <w:i/>
        </w:rPr>
        <w:t>Jet Fuel Broadcasting</w:t>
      </w:r>
      <w:r>
        <w:t xml:space="preserve">) (affirming Bureau’s finding that grant of a comparative preference to a broadcast license applicant was interlocutory and that a Petition for Reconsideration of the grant was therefore subject to dismissal); </w:t>
      </w:r>
      <w:r w:rsidRPr="00FC562B">
        <w:rPr>
          <w:i/>
        </w:rPr>
        <w:t>see also</w:t>
      </w:r>
      <w:r>
        <w:t xml:space="preserve"> </w:t>
      </w:r>
      <w:r w:rsidRPr="00080FF6">
        <w:t>In the Matter of Global Tower, LLC, ASR App. No. A0785797,</w:t>
      </w:r>
      <w:r>
        <w:t xml:space="preserve"> </w:t>
      </w:r>
      <w:r w:rsidRPr="00FC562B">
        <w:rPr>
          <w:i/>
        </w:rPr>
        <w:t>Order on Reconsideration</w:t>
      </w:r>
      <w:r>
        <w:t>,</w:t>
      </w:r>
      <w:r w:rsidRPr="00080FF6">
        <w:t xml:space="preserve"> </w:t>
      </w:r>
      <w:r w:rsidR="003943CF">
        <w:t>29 FCC Rcd 8339 (</w:t>
      </w:r>
      <w:r w:rsidR="006D1B93">
        <w:t xml:space="preserve">WTB/SCPD </w:t>
      </w:r>
      <w:r w:rsidR="003943CF">
        <w:t>2014)</w:t>
      </w:r>
      <w:r>
        <w:t xml:space="preserve"> (</w:t>
      </w:r>
      <w:r w:rsidRPr="00FC562B">
        <w:rPr>
          <w:i/>
        </w:rPr>
        <w:t>Global Tower</w:t>
      </w:r>
      <w:r>
        <w:t>) (affirming Division’s decision requiring Global</w:t>
      </w:r>
      <w:r w:rsidR="000F265F">
        <w:t xml:space="preserve"> Tower</w:t>
      </w:r>
      <w:r>
        <w:t xml:space="preserve"> to submit an Environmental Assessment for a proposed new antenna tower and dismissing a Petition for Reconsideration as interlocutory)</w:t>
      </w:r>
      <w:r w:rsidRPr="00080FF6">
        <w:t>.</w:t>
      </w:r>
    </w:p>
  </w:footnote>
  <w:footnote w:id="40">
    <w:p w:rsidR="00C83319" w:rsidRPr="00080FF6" w:rsidRDefault="00C83319" w:rsidP="00C83319">
      <w:pPr>
        <w:tabs>
          <w:tab w:val="left" w:pos="5760"/>
        </w:tabs>
        <w:spacing w:after="240"/>
      </w:pPr>
      <w:r w:rsidRPr="00080FF6">
        <w:rPr>
          <w:rStyle w:val="FootnoteReference"/>
          <w:sz w:val="20"/>
        </w:rPr>
        <w:footnoteRef/>
      </w:r>
      <w:r w:rsidRPr="00080FF6">
        <w:rPr>
          <w:sz w:val="20"/>
        </w:rPr>
        <w:t xml:space="preserve">  </w:t>
      </w:r>
      <w:r w:rsidRPr="00080FF6">
        <w:rPr>
          <w:i/>
          <w:sz w:val="20"/>
        </w:rPr>
        <w:t>See</w:t>
      </w:r>
      <w:r w:rsidRPr="00080FF6">
        <w:rPr>
          <w:sz w:val="20"/>
        </w:rPr>
        <w:t xml:space="preserve"> </w:t>
      </w:r>
      <w:r w:rsidRPr="0069363A">
        <w:rPr>
          <w:i/>
          <w:sz w:val="20"/>
        </w:rPr>
        <w:t>Jet Fuel Broadcasting</w:t>
      </w:r>
      <w:r>
        <w:rPr>
          <w:sz w:val="20"/>
        </w:rPr>
        <w:t xml:space="preserve"> at 2471-72 </w:t>
      </w:r>
      <w:r w:rsidRPr="0069363A">
        <w:rPr>
          <w:sz w:val="20"/>
        </w:rPr>
        <w:t>¶ 2</w:t>
      </w:r>
      <w:r>
        <w:rPr>
          <w:sz w:val="20"/>
        </w:rPr>
        <w:t xml:space="preserve">, </w:t>
      </w:r>
      <w:r w:rsidRPr="0069363A">
        <w:rPr>
          <w:i/>
          <w:sz w:val="20"/>
        </w:rPr>
        <w:t>citing Bennett v. Spear</w:t>
      </w:r>
      <w:r>
        <w:rPr>
          <w:sz w:val="20"/>
        </w:rPr>
        <w:t xml:space="preserve">, 520 U.S. 154, 177-78, 117 S. Ct. 1154, 1168 (1997); </w:t>
      </w:r>
      <w:r w:rsidRPr="0069363A">
        <w:rPr>
          <w:i/>
          <w:sz w:val="20"/>
        </w:rPr>
        <w:t>see also</w:t>
      </w:r>
      <w:r>
        <w:rPr>
          <w:sz w:val="20"/>
        </w:rPr>
        <w:t xml:space="preserve"> </w:t>
      </w:r>
      <w:r w:rsidRPr="0069363A">
        <w:rPr>
          <w:i/>
          <w:sz w:val="20"/>
        </w:rPr>
        <w:t>Global Tower</w:t>
      </w:r>
      <w:r>
        <w:rPr>
          <w:i/>
          <w:sz w:val="20"/>
        </w:rPr>
        <w:t xml:space="preserve"> </w:t>
      </w:r>
      <w:r>
        <w:rPr>
          <w:sz w:val="20"/>
        </w:rPr>
        <w:t xml:space="preserve">at </w:t>
      </w:r>
      <w:r w:rsidR="003943CF">
        <w:rPr>
          <w:sz w:val="20"/>
        </w:rPr>
        <w:t>8341</w:t>
      </w:r>
      <w:r>
        <w:rPr>
          <w:sz w:val="20"/>
        </w:rPr>
        <w:t xml:space="preserve">, </w:t>
      </w:r>
      <w:r w:rsidRPr="0069363A">
        <w:rPr>
          <w:i/>
          <w:sz w:val="20"/>
        </w:rPr>
        <w:t>citing Jet Fuel Broadcasting</w:t>
      </w:r>
      <w:r>
        <w:rPr>
          <w:sz w:val="20"/>
        </w:rPr>
        <w:t>.</w:t>
      </w:r>
    </w:p>
  </w:footnote>
  <w:footnote w:id="41">
    <w:p w:rsidR="0014726F" w:rsidRDefault="0014726F" w:rsidP="0014726F">
      <w:pPr>
        <w:pStyle w:val="FootnoteText"/>
      </w:pPr>
      <w:r>
        <w:rPr>
          <w:rStyle w:val="FootnoteReference"/>
        </w:rPr>
        <w:footnoteRef/>
      </w:r>
      <w:r>
        <w:t xml:space="preserve"> </w:t>
      </w:r>
      <w:r w:rsidRPr="00AE125A">
        <w:rPr>
          <w:i/>
        </w:rPr>
        <w:t>See</w:t>
      </w:r>
      <w:r>
        <w:t xml:space="preserve"> 36 C.F.R. </w:t>
      </w:r>
      <w:r w:rsidRPr="00AE125A">
        <w:t>§§</w:t>
      </w:r>
      <w:r>
        <w:t xml:space="preserve"> 800.3, 800.4, 800.5, 800.6; 47 C.F.R. </w:t>
      </w:r>
      <w:r w:rsidRPr="00AE125A">
        <w:t xml:space="preserve">Pt. 1, App. C. </w:t>
      </w:r>
      <w:r>
        <w:t>§</w:t>
      </w:r>
      <w:r w:rsidRPr="00AE125A">
        <w:t>§</w:t>
      </w:r>
      <w:r>
        <w:t xml:space="preserve"> VI,</w:t>
      </w:r>
      <w:r w:rsidRPr="00AE125A">
        <w:t xml:space="preserve"> V</w:t>
      </w:r>
      <w:r>
        <w:t>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05E" w:rsidRDefault="009C10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BA" w:rsidRDefault="007836BA">
    <w:pPr>
      <w:pStyle w:val="Header"/>
      <w:tabs>
        <w:tab w:val="clear" w:pos="4320"/>
        <w:tab w:val="clear" w:pos="8640"/>
        <w:tab w:val="center" w:pos="4680"/>
        <w:tab w:val="right" w:pos="9360"/>
      </w:tabs>
      <w:rPr>
        <w:b/>
      </w:rPr>
    </w:pPr>
    <w:r>
      <w:rPr>
        <w:b/>
      </w:rPr>
      <w:tab/>
      <w:t>Federal Communications Commission</w:t>
    </w:r>
    <w:r>
      <w:rPr>
        <w:b/>
      </w:rPr>
      <w:tab/>
    </w:r>
    <w:r w:rsidR="00201F21">
      <w:rPr>
        <w:b/>
      </w:rPr>
      <w:t xml:space="preserve"> DA</w:t>
    </w:r>
    <w:r>
      <w:rPr>
        <w:b/>
      </w:rPr>
      <w:t xml:space="preserve"> 0</w:t>
    </w:r>
    <w:r w:rsidR="00201F21">
      <w:rPr>
        <w:b/>
      </w:rPr>
      <w:t>5</w:t>
    </w:r>
    <w:r>
      <w:rPr>
        <w:b/>
      </w:rPr>
      <w:t>-</w:t>
    </w:r>
    <w:r>
      <w:rPr>
        <w:b/>
      </w:rPr>
      <w:fldChar w:fldCharType="begin"/>
    </w:r>
    <w:r>
      <w:rPr>
        <w:b/>
      </w:rPr>
      <w:instrText xml:space="preserve"> MACROBUTTON NoMacro [Click to enter order number] </w:instrText>
    </w:r>
    <w:r>
      <w:rPr>
        <w:b/>
      </w:rPr>
      <w:fldChar w:fldCharType="end"/>
    </w:r>
    <w:r>
      <w:rPr>
        <w:b/>
      </w:rPr>
      <w:t xml:space="preserve"> </w:t>
    </w:r>
  </w:p>
  <w:p w:rsidR="007836BA" w:rsidRDefault="009B3E92">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196464EA" wp14:editId="3B801723">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37577F"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7836BA" w:rsidRDefault="007836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C6F" w:rsidRDefault="007836BA">
    <w:pPr>
      <w:pStyle w:val="Header"/>
      <w:tabs>
        <w:tab w:val="clear" w:pos="4320"/>
        <w:tab w:val="clear" w:pos="8640"/>
        <w:tab w:val="center" w:pos="4680"/>
        <w:tab w:val="right" w:pos="9360"/>
      </w:tabs>
      <w:rPr>
        <w:b/>
      </w:rPr>
    </w:pPr>
    <w:r>
      <w:rPr>
        <w:b/>
      </w:rPr>
      <w:tab/>
      <w:t>Federal Communications Commission</w:t>
    </w:r>
    <w:r>
      <w:rPr>
        <w:b/>
      </w:rPr>
      <w:tab/>
    </w:r>
    <w:r w:rsidR="00217892">
      <w:rPr>
        <w:b/>
      </w:rPr>
      <w:t xml:space="preserve"> DA</w:t>
    </w:r>
    <w:r>
      <w:rPr>
        <w:b/>
      </w:rPr>
      <w:t xml:space="preserve"> </w:t>
    </w:r>
    <w:r w:rsidR="00217892">
      <w:rPr>
        <w:b/>
      </w:rPr>
      <w:t>15</w:t>
    </w:r>
    <w:r>
      <w:rPr>
        <w:b/>
      </w:rPr>
      <w:t>-</w:t>
    </w:r>
    <w:r w:rsidR="008B6C6F">
      <w:rPr>
        <w:b/>
      </w:rPr>
      <w:t>862</w:t>
    </w:r>
  </w:p>
  <w:p w:rsidR="007836BA" w:rsidRDefault="008B6C6F">
    <w:pPr>
      <w:pStyle w:val="Header"/>
      <w:tabs>
        <w:tab w:val="clear" w:pos="4320"/>
        <w:tab w:val="clear" w:pos="8640"/>
        <w:tab w:val="center" w:pos="4680"/>
        <w:tab w:val="right" w:pos="9360"/>
      </w:tabs>
      <w:rPr>
        <w:b/>
      </w:rPr>
    </w:pPr>
    <w:r>
      <w:rPr>
        <w:b/>
      </w:rPr>
      <w:t xml:space="preserve"> </w:t>
    </w:r>
  </w:p>
  <w:p w:rsidR="007836BA" w:rsidRDefault="009B3E92">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3C04610C" wp14:editId="0F0BE034">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2656DC"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3">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num w:numId="1">
    <w:abstractNumId w:val="2"/>
  </w:num>
  <w:num w:numId="2">
    <w:abstractNumId w:val="3"/>
  </w:num>
  <w:num w:numId="3">
    <w:abstractNumId w:val="0"/>
  </w:num>
  <w:num w:numId="4">
    <w:abstractNumId w:val="1"/>
  </w:num>
  <w:num w:numId="5">
    <w:abstractNumId w:val="0"/>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num>
  <w:num w:numId="9">
    <w:abstractNumId w:val="0"/>
  </w:num>
  <w:num w:numId="10">
    <w:abstractNumId w:val="0"/>
    <w:lvlOverride w:ilvl="0">
      <w:startOverride w:val="1"/>
    </w:lvlOverride>
  </w:num>
  <w:num w:numId="11">
    <w:abstractNumId w:val="0"/>
  </w:num>
  <w:num w:numId="12">
    <w:abstractNumId w:val="0"/>
    <w:lvlOverride w:ilvl="0">
      <w:startOverride w:val="1"/>
    </w:lvlOverride>
  </w:num>
  <w:num w:numId="13">
    <w:abstractNumId w:val="0"/>
    <w:lvlOverride w:ilvl="0">
      <w:startOverride w:val="1"/>
    </w:lvlOverride>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92"/>
    <w:rsid w:val="000023F4"/>
    <w:rsid w:val="00010724"/>
    <w:rsid w:val="000172C2"/>
    <w:rsid w:val="000442B4"/>
    <w:rsid w:val="00045639"/>
    <w:rsid w:val="00047A64"/>
    <w:rsid w:val="000702BE"/>
    <w:rsid w:val="000713FD"/>
    <w:rsid w:val="000801B0"/>
    <w:rsid w:val="00087740"/>
    <w:rsid w:val="000B0486"/>
    <w:rsid w:val="000B77E5"/>
    <w:rsid w:val="000C4111"/>
    <w:rsid w:val="000C4D75"/>
    <w:rsid w:val="000E263F"/>
    <w:rsid w:val="000E7BF3"/>
    <w:rsid w:val="000F265F"/>
    <w:rsid w:val="000F6332"/>
    <w:rsid w:val="00105105"/>
    <w:rsid w:val="0010701C"/>
    <w:rsid w:val="00116DDD"/>
    <w:rsid w:val="00125332"/>
    <w:rsid w:val="00127C27"/>
    <w:rsid w:val="0013290F"/>
    <w:rsid w:val="00143E6D"/>
    <w:rsid w:val="0014726F"/>
    <w:rsid w:val="00171011"/>
    <w:rsid w:val="00176727"/>
    <w:rsid w:val="00186EB9"/>
    <w:rsid w:val="00190047"/>
    <w:rsid w:val="00193FD4"/>
    <w:rsid w:val="001B65BC"/>
    <w:rsid w:val="001C3A6C"/>
    <w:rsid w:val="001C3C46"/>
    <w:rsid w:val="001D3DC1"/>
    <w:rsid w:val="00201F21"/>
    <w:rsid w:val="002041D3"/>
    <w:rsid w:val="00205C4D"/>
    <w:rsid w:val="00217892"/>
    <w:rsid w:val="00232290"/>
    <w:rsid w:val="00233499"/>
    <w:rsid w:val="00236D33"/>
    <w:rsid w:val="002671B3"/>
    <w:rsid w:val="0026768C"/>
    <w:rsid w:val="00273532"/>
    <w:rsid w:val="002848F8"/>
    <w:rsid w:val="002A07EE"/>
    <w:rsid w:val="002B4922"/>
    <w:rsid w:val="002C1F7D"/>
    <w:rsid w:val="002E2795"/>
    <w:rsid w:val="002E2DB6"/>
    <w:rsid w:val="002E60C1"/>
    <w:rsid w:val="002F4114"/>
    <w:rsid w:val="002F49A0"/>
    <w:rsid w:val="002F6496"/>
    <w:rsid w:val="0032030A"/>
    <w:rsid w:val="003217A9"/>
    <w:rsid w:val="00330E93"/>
    <w:rsid w:val="00346FE6"/>
    <w:rsid w:val="00347556"/>
    <w:rsid w:val="00351814"/>
    <w:rsid w:val="003766B4"/>
    <w:rsid w:val="0038005A"/>
    <w:rsid w:val="00386665"/>
    <w:rsid w:val="003943CF"/>
    <w:rsid w:val="003B30CC"/>
    <w:rsid w:val="003B4685"/>
    <w:rsid w:val="003B6BC7"/>
    <w:rsid w:val="003C65B4"/>
    <w:rsid w:val="003C6BD6"/>
    <w:rsid w:val="003C6CD1"/>
    <w:rsid w:val="003C6E59"/>
    <w:rsid w:val="003E31C2"/>
    <w:rsid w:val="00400500"/>
    <w:rsid w:val="004027E7"/>
    <w:rsid w:val="004136CF"/>
    <w:rsid w:val="0042439C"/>
    <w:rsid w:val="00446D5A"/>
    <w:rsid w:val="00452533"/>
    <w:rsid w:val="00466273"/>
    <w:rsid w:val="00470708"/>
    <w:rsid w:val="0047430E"/>
    <w:rsid w:val="00475699"/>
    <w:rsid w:val="00482FAD"/>
    <w:rsid w:val="004853FB"/>
    <w:rsid w:val="004A0B21"/>
    <w:rsid w:val="004A60F3"/>
    <w:rsid w:val="004B7425"/>
    <w:rsid w:val="004F0697"/>
    <w:rsid w:val="004F5B97"/>
    <w:rsid w:val="005129B6"/>
    <w:rsid w:val="005142C6"/>
    <w:rsid w:val="00522612"/>
    <w:rsid w:val="00525BB3"/>
    <w:rsid w:val="00537B9E"/>
    <w:rsid w:val="00562A7F"/>
    <w:rsid w:val="00566307"/>
    <w:rsid w:val="00576F5E"/>
    <w:rsid w:val="0059269F"/>
    <w:rsid w:val="0059557F"/>
    <w:rsid w:val="005B13B5"/>
    <w:rsid w:val="005C02B5"/>
    <w:rsid w:val="005D5960"/>
    <w:rsid w:val="005E2E9A"/>
    <w:rsid w:val="005E7609"/>
    <w:rsid w:val="005F2CE8"/>
    <w:rsid w:val="00602E09"/>
    <w:rsid w:val="00605E52"/>
    <w:rsid w:val="00612D54"/>
    <w:rsid w:val="00632BF0"/>
    <w:rsid w:val="00641B21"/>
    <w:rsid w:val="00644A56"/>
    <w:rsid w:val="00662B0C"/>
    <w:rsid w:val="00663072"/>
    <w:rsid w:val="00675492"/>
    <w:rsid w:val="00690969"/>
    <w:rsid w:val="0069611D"/>
    <w:rsid w:val="006B139B"/>
    <w:rsid w:val="006B2A95"/>
    <w:rsid w:val="006C718A"/>
    <w:rsid w:val="006D000F"/>
    <w:rsid w:val="006D1B93"/>
    <w:rsid w:val="006E5506"/>
    <w:rsid w:val="006F0E0F"/>
    <w:rsid w:val="007012AB"/>
    <w:rsid w:val="00702EA1"/>
    <w:rsid w:val="00711B3A"/>
    <w:rsid w:val="00716E4B"/>
    <w:rsid w:val="007205AF"/>
    <w:rsid w:val="00727683"/>
    <w:rsid w:val="00780C21"/>
    <w:rsid w:val="007836BA"/>
    <w:rsid w:val="007D4DED"/>
    <w:rsid w:val="007E07D4"/>
    <w:rsid w:val="007F1B24"/>
    <w:rsid w:val="007F3DD6"/>
    <w:rsid w:val="007F5A62"/>
    <w:rsid w:val="00802D89"/>
    <w:rsid w:val="00810B2F"/>
    <w:rsid w:val="0081433D"/>
    <w:rsid w:val="00830A57"/>
    <w:rsid w:val="00844413"/>
    <w:rsid w:val="0084651A"/>
    <w:rsid w:val="008517A5"/>
    <w:rsid w:val="00860C1B"/>
    <w:rsid w:val="0086604A"/>
    <w:rsid w:val="00874028"/>
    <w:rsid w:val="00875FC9"/>
    <w:rsid w:val="008763EC"/>
    <w:rsid w:val="00890D99"/>
    <w:rsid w:val="008B539F"/>
    <w:rsid w:val="008B6C6F"/>
    <w:rsid w:val="008C19DD"/>
    <w:rsid w:val="008F2EA9"/>
    <w:rsid w:val="00925501"/>
    <w:rsid w:val="00931E76"/>
    <w:rsid w:val="009376F0"/>
    <w:rsid w:val="00937B2B"/>
    <w:rsid w:val="0094072E"/>
    <w:rsid w:val="00943801"/>
    <w:rsid w:val="009645DA"/>
    <w:rsid w:val="00970053"/>
    <w:rsid w:val="009803D0"/>
    <w:rsid w:val="009A7231"/>
    <w:rsid w:val="009B3E92"/>
    <w:rsid w:val="009C105E"/>
    <w:rsid w:val="009C4854"/>
    <w:rsid w:val="009F569A"/>
    <w:rsid w:val="00A200F6"/>
    <w:rsid w:val="00A379E1"/>
    <w:rsid w:val="00A5336A"/>
    <w:rsid w:val="00A66249"/>
    <w:rsid w:val="00A7404A"/>
    <w:rsid w:val="00A93B30"/>
    <w:rsid w:val="00AA0B68"/>
    <w:rsid w:val="00AC0E8C"/>
    <w:rsid w:val="00AC292C"/>
    <w:rsid w:val="00AD28C8"/>
    <w:rsid w:val="00AD3236"/>
    <w:rsid w:val="00AD4178"/>
    <w:rsid w:val="00AE125A"/>
    <w:rsid w:val="00B04741"/>
    <w:rsid w:val="00B04DC3"/>
    <w:rsid w:val="00B4252A"/>
    <w:rsid w:val="00B42A18"/>
    <w:rsid w:val="00B64C99"/>
    <w:rsid w:val="00B66C74"/>
    <w:rsid w:val="00B70A6F"/>
    <w:rsid w:val="00B86FE9"/>
    <w:rsid w:val="00B97829"/>
    <w:rsid w:val="00BA474E"/>
    <w:rsid w:val="00BB2C4E"/>
    <w:rsid w:val="00BB56F9"/>
    <w:rsid w:val="00BC08C1"/>
    <w:rsid w:val="00BC65C1"/>
    <w:rsid w:val="00BD534D"/>
    <w:rsid w:val="00BD542C"/>
    <w:rsid w:val="00BF3DF2"/>
    <w:rsid w:val="00BF5B59"/>
    <w:rsid w:val="00C01892"/>
    <w:rsid w:val="00C226B8"/>
    <w:rsid w:val="00C404EC"/>
    <w:rsid w:val="00C42A98"/>
    <w:rsid w:val="00C5660D"/>
    <w:rsid w:val="00C83319"/>
    <w:rsid w:val="00C90F33"/>
    <w:rsid w:val="00C94361"/>
    <w:rsid w:val="00CA5654"/>
    <w:rsid w:val="00CB7F58"/>
    <w:rsid w:val="00CC0C64"/>
    <w:rsid w:val="00CC1693"/>
    <w:rsid w:val="00CD7715"/>
    <w:rsid w:val="00CF4426"/>
    <w:rsid w:val="00D000C9"/>
    <w:rsid w:val="00D01BAA"/>
    <w:rsid w:val="00D040B3"/>
    <w:rsid w:val="00D0468C"/>
    <w:rsid w:val="00D04A17"/>
    <w:rsid w:val="00D368BD"/>
    <w:rsid w:val="00D40C97"/>
    <w:rsid w:val="00D70D3D"/>
    <w:rsid w:val="00D73211"/>
    <w:rsid w:val="00D87298"/>
    <w:rsid w:val="00D939A9"/>
    <w:rsid w:val="00DB0619"/>
    <w:rsid w:val="00DC3BD6"/>
    <w:rsid w:val="00DC7CD3"/>
    <w:rsid w:val="00DE3F68"/>
    <w:rsid w:val="00E11AE4"/>
    <w:rsid w:val="00E2236C"/>
    <w:rsid w:val="00E46FD7"/>
    <w:rsid w:val="00E5340B"/>
    <w:rsid w:val="00E83616"/>
    <w:rsid w:val="00E93646"/>
    <w:rsid w:val="00EB4DF9"/>
    <w:rsid w:val="00EB5A70"/>
    <w:rsid w:val="00EE476D"/>
    <w:rsid w:val="00F02076"/>
    <w:rsid w:val="00F23443"/>
    <w:rsid w:val="00F33D08"/>
    <w:rsid w:val="00F36397"/>
    <w:rsid w:val="00F40815"/>
    <w:rsid w:val="00F418D1"/>
    <w:rsid w:val="00F53F0A"/>
    <w:rsid w:val="00F57487"/>
    <w:rsid w:val="00F7180C"/>
    <w:rsid w:val="00F76AF0"/>
    <w:rsid w:val="00FA784A"/>
    <w:rsid w:val="00FE0218"/>
    <w:rsid w:val="00FF6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1"/>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1"/>
      </w:numPr>
      <w:spacing w:after="220"/>
      <w:jc w:val="both"/>
      <w:outlineLvl w:val="1"/>
    </w:pPr>
    <w:rPr>
      <w:b/>
    </w:rPr>
  </w:style>
  <w:style w:type="paragraph" w:styleId="Heading3">
    <w:name w:val="heading 3"/>
    <w:basedOn w:val="Normal"/>
    <w:next w:val="ParaNum"/>
    <w:qFormat/>
    <w:pPr>
      <w:keepNext/>
      <w:widowControl w:val="0"/>
      <w:numPr>
        <w:ilvl w:val="2"/>
        <w:numId w:val="1"/>
      </w:numPr>
      <w:spacing w:after="220"/>
      <w:jc w:val="both"/>
      <w:outlineLvl w:val="2"/>
    </w:pPr>
    <w:rPr>
      <w:b/>
    </w:rPr>
  </w:style>
  <w:style w:type="paragraph" w:styleId="Heading4">
    <w:name w:val="heading 4"/>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3"/>
      </w:numPr>
      <w:tabs>
        <w:tab w:val="left" w:pos="1440"/>
      </w:tabs>
      <w:spacing w:after="220"/>
      <w:jc w:val="both"/>
    </w:pPr>
  </w:style>
  <w:style w:type="paragraph" w:styleId="FootnoteText">
    <w:name w:val="footnote text"/>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o,fr,Style 3,Style 17,FR,Style 13,Style 6,Footnote Reference/,Style 4,Style 7"/>
    <w:uiPriority w:val="99"/>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styleId="Hyperlink">
    <w:name w:val="Hyperlink"/>
    <w:uiPriority w:val="99"/>
    <w:unhideWhenUsed/>
    <w:rsid w:val="00217892"/>
    <w:rPr>
      <w:color w:val="0000FF"/>
      <w:u w:val="single"/>
    </w:rPr>
  </w:style>
  <w:style w:type="paragraph" w:styleId="BalloonText">
    <w:name w:val="Balloon Text"/>
    <w:basedOn w:val="Normal"/>
    <w:link w:val="BalloonTextChar"/>
    <w:uiPriority w:val="99"/>
    <w:semiHidden/>
    <w:unhideWhenUsed/>
    <w:rsid w:val="00702EA1"/>
    <w:rPr>
      <w:rFonts w:ascii="Tahoma" w:hAnsi="Tahoma" w:cs="Tahoma"/>
      <w:sz w:val="16"/>
      <w:szCs w:val="16"/>
    </w:rPr>
  </w:style>
  <w:style w:type="character" w:customStyle="1" w:styleId="BalloonTextChar">
    <w:name w:val="Balloon Text Char"/>
    <w:link w:val="BalloonText"/>
    <w:uiPriority w:val="99"/>
    <w:semiHidden/>
    <w:rsid w:val="00702EA1"/>
    <w:rPr>
      <w:rFonts w:ascii="Tahoma" w:hAnsi="Tahoma" w:cs="Tahoma"/>
      <w:sz w:val="16"/>
      <w:szCs w:val="16"/>
    </w:rPr>
  </w:style>
  <w:style w:type="character" w:styleId="CommentReference">
    <w:name w:val="annotation reference"/>
    <w:uiPriority w:val="99"/>
    <w:semiHidden/>
    <w:unhideWhenUsed/>
    <w:rsid w:val="00CC1693"/>
    <w:rPr>
      <w:sz w:val="16"/>
      <w:szCs w:val="16"/>
    </w:rPr>
  </w:style>
  <w:style w:type="paragraph" w:styleId="CommentText">
    <w:name w:val="annotation text"/>
    <w:basedOn w:val="Normal"/>
    <w:link w:val="CommentTextChar"/>
    <w:uiPriority w:val="99"/>
    <w:semiHidden/>
    <w:unhideWhenUsed/>
    <w:rsid w:val="00CC1693"/>
    <w:rPr>
      <w:sz w:val="20"/>
    </w:rPr>
  </w:style>
  <w:style w:type="character" w:customStyle="1" w:styleId="CommentTextChar">
    <w:name w:val="Comment Text Char"/>
    <w:basedOn w:val="DefaultParagraphFont"/>
    <w:link w:val="CommentText"/>
    <w:uiPriority w:val="99"/>
    <w:semiHidden/>
    <w:rsid w:val="00CC1693"/>
  </w:style>
  <w:style w:type="paragraph" w:styleId="CommentSubject">
    <w:name w:val="annotation subject"/>
    <w:basedOn w:val="CommentText"/>
    <w:next w:val="CommentText"/>
    <w:link w:val="CommentSubjectChar"/>
    <w:uiPriority w:val="99"/>
    <w:semiHidden/>
    <w:unhideWhenUsed/>
    <w:rsid w:val="00CC1693"/>
    <w:rPr>
      <w:b/>
      <w:bCs/>
    </w:rPr>
  </w:style>
  <w:style w:type="character" w:customStyle="1" w:styleId="CommentSubjectChar">
    <w:name w:val="Comment Subject Char"/>
    <w:link w:val="CommentSubject"/>
    <w:uiPriority w:val="99"/>
    <w:semiHidden/>
    <w:rsid w:val="00CC1693"/>
    <w:rPr>
      <w:b/>
      <w:bCs/>
    </w:rPr>
  </w:style>
  <w:style w:type="character" w:customStyle="1" w:styleId="FootnoteTextChar">
    <w:name w:val="Footnote Text Char"/>
    <w:link w:val="FootnoteText"/>
    <w:semiHidden/>
    <w:rsid w:val="001472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1"/>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1"/>
      </w:numPr>
      <w:spacing w:after="220"/>
      <w:jc w:val="both"/>
      <w:outlineLvl w:val="1"/>
    </w:pPr>
    <w:rPr>
      <w:b/>
    </w:rPr>
  </w:style>
  <w:style w:type="paragraph" w:styleId="Heading3">
    <w:name w:val="heading 3"/>
    <w:basedOn w:val="Normal"/>
    <w:next w:val="ParaNum"/>
    <w:qFormat/>
    <w:pPr>
      <w:keepNext/>
      <w:widowControl w:val="0"/>
      <w:numPr>
        <w:ilvl w:val="2"/>
        <w:numId w:val="1"/>
      </w:numPr>
      <w:spacing w:after="220"/>
      <w:jc w:val="both"/>
      <w:outlineLvl w:val="2"/>
    </w:pPr>
    <w:rPr>
      <w:b/>
    </w:rPr>
  </w:style>
  <w:style w:type="paragraph" w:styleId="Heading4">
    <w:name w:val="heading 4"/>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3"/>
      </w:numPr>
      <w:tabs>
        <w:tab w:val="left" w:pos="1440"/>
      </w:tabs>
      <w:spacing w:after="220"/>
      <w:jc w:val="both"/>
    </w:pPr>
  </w:style>
  <w:style w:type="paragraph" w:styleId="FootnoteText">
    <w:name w:val="footnote text"/>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o,fr,Style 3,Style 17,FR,Style 13,Style 6,Footnote Reference/,Style 4,Style 7"/>
    <w:uiPriority w:val="99"/>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styleId="Hyperlink">
    <w:name w:val="Hyperlink"/>
    <w:uiPriority w:val="99"/>
    <w:unhideWhenUsed/>
    <w:rsid w:val="00217892"/>
    <w:rPr>
      <w:color w:val="0000FF"/>
      <w:u w:val="single"/>
    </w:rPr>
  </w:style>
  <w:style w:type="paragraph" w:styleId="BalloonText">
    <w:name w:val="Balloon Text"/>
    <w:basedOn w:val="Normal"/>
    <w:link w:val="BalloonTextChar"/>
    <w:uiPriority w:val="99"/>
    <w:semiHidden/>
    <w:unhideWhenUsed/>
    <w:rsid w:val="00702EA1"/>
    <w:rPr>
      <w:rFonts w:ascii="Tahoma" w:hAnsi="Tahoma" w:cs="Tahoma"/>
      <w:sz w:val="16"/>
      <w:szCs w:val="16"/>
    </w:rPr>
  </w:style>
  <w:style w:type="character" w:customStyle="1" w:styleId="BalloonTextChar">
    <w:name w:val="Balloon Text Char"/>
    <w:link w:val="BalloonText"/>
    <w:uiPriority w:val="99"/>
    <w:semiHidden/>
    <w:rsid w:val="00702EA1"/>
    <w:rPr>
      <w:rFonts w:ascii="Tahoma" w:hAnsi="Tahoma" w:cs="Tahoma"/>
      <w:sz w:val="16"/>
      <w:szCs w:val="16"/>
    </w:rPr>
  </w:style>
  <w:style w:type="character" w:styleId="CommentReference">
    <w:name w:val="annotation reference"/>
    <w:uiPriority w:val="99"/>
    <w:semiHidden/>
    <w:unhideWhenUsed/>
    <w:rsid w:val="00CC1693"/>
    <w:rPr>
      <w:sz w:val="16"/>
      <w:szCs w:val="16"/>
    </w:rPr>
  </w:style>
  <w:style w:type="paragraph" w:styleId="CommentText">
    <w:name w:val="annotation text"/>
    <w:basedOn w:val="Normal"/>
    <w:link w:val="CommentTextChar"/>
    <w:uiPriority w:val="99"/>
    <w:semiHidden/>
    <w:unhideWhenUsed/>
    <w:rsid w:val="00CC1693"/>
    <w:rPr>
      <w:sz w:val="20"/>
    </w:rPr>
  </w:style>
  <w:style w:type="character" w:customStyle="1" w:styleId="CommentTextChar">
    <w:name w:val="Comment Text Char"/>
    <w:basedOn w:val="DefaultParagraphFont"/>
    <w:link w:val="CommentText"/>
    <w:uiPriority w:val="99"/>
    <w:semiHidden/>
    <w:rsid w:val="00CC1693"/>
  </w:style>
  <w:style w:type="paragraph" w:styleId="CommentSubject">
    <w:name w:val="annotation subject"/>
    <w:basedOn w:val="CommentText"/>
    <w:next w:val="CommentText"/>
    <w:link w:val="CommentSubjectChar"/>
    <w:uiPriority w:val="99"/>
    <w:semiHidden/>
    <w:unhideWhenUsed/>
    <w:rsid w:val="00CC1693"/>
    <w:rPr>
      <w:b/>
      <w:bCs/>
    </w:rPr>
  </w:style>
  <w:style w:type="character" w:customStyle="1" w:styleId="CommentSubjectChar">
    <w:name w:val="Comment Subject Char"/>
    <w:link w:val="CommentSubject"/>
    <w:uiPriority w:val="99"/>
    <w:semiHidden/>
    <w:rsid w:val="00CC1693"/>
    <w:rPr>
      <w:b/>
      <w:bCs/>
    </w:rPr>
  </w:style>
  <w:style w:type="character" w:customStyle="1" w:styleId="FootnoteTextChar">
    <w:name w:val="Footnote Text Char"/>
    <w:link w:val="FootnoteText"/>
    <w:semiHidden/>
    <w:rsid w:val="00147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ps.cr.nps.gov/nhl/detail.cfm?ResourceId=365&amp;ResourceType=Build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FCC%20Document%20Templates\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Template>
  <TotalTime>0</TotalTime>
  <Pages>3</Pages>
  <Words>1980</Words>
  <Characters>10981</Characters>
  <Application>Microsoft Office Word</Application>
  <DocSecurity>0</DocSecurity>
  <Lines>177</Lines>
  <Paragraphs>43</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13036</CharactersWithSpaces>
  <SharedDoc>false</SharedDoc>
  <HyperlinkBase> </HyperlinkBase>
  <HLinks>
    <vt:vector size="6" baseType="variant">
      <vt:variant>
        <vt:i4>851972</vt:i4>
      </vt:variant>
      <vt:variant>
        <vt:i4>0</vt:i4>
      </vt:variant>
      <vt:variant>
        <vt:i4>0</vt:i4>
      </vt:variant>
      <vt:variant>
        <vt:i4>5</vt:i4>
      </vt:variant>
      <vt:variant>
        <vt:lpwstr>http://tps.cr.nps.gov/nhl/detail.cfm?ResourceId=365&amp;ResourceType=Building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2015-07-27T17:37:00Z</cp:lastPrinted>
  <dcterms:created xsi:type="dcterms:W3CDTF">2015-07-28T17:29:00Z</dcterms:created>
  <dcterms:modified xsi:type="dcterms:W3CDTF">2015-07-28T17:29:00Z</dcterms:modified>
  <cp:category> </cp:category>
  <cp:contentStatus> </cp:contentStatus>
</cp:coreProperties>
</file>