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15" w:rsidRDefault="00231B15" w:rsidP="00231B15">
      <w:pPr>
        <w:pStyle w:val="Title"/>
        <w:tabs>
          <w:tab w:val="left" w:pos="3060"/>
          <w:tab w:val="left" w:pos="9630"/>
        </w:tabs>
        <w:jc w:val="left"/>
        <w:rPr>
          <w:szCs w:val="22"/>
        </w:rPr>
      </w:pPr>
      <w:bookmarkStart w:id="0" w:name="_GoBack"/>
      <w:bookmarkEnd w:id="0"/>
      <w:r>
        <w:rPr>
          <w:szCs w:val="22"/>
        </w:rPr>
        <w:tab/>
        <w:t xml:space="preserve">                    Before the</w:t>
      </w:r>
    </w:p>
    <w:p w:rsidR="00231B15" w:rsidRDefault="00231B15" w:rsidP="00231B15">
      <w:pPr>
        <w:ind w:left="2160" w:firstLine="720"/>
        <w:rPr>
          <w:b/>
          <w:szCs w:val="22"/>
        </w:rPr>
      </w:pPr>
      <w:r>
        <w:rPr>
          <w:b/>
          <w:szCs w:val="22"/>
        </w:rPr>
        <w:t>Federal Communications Commission</w:t>
      </w:r>
    </w:p>
    <w:p w:rsidR="00231B15" w:rsidRDefault="00231B15" w:rsidP="00231B15">
      <w:pPr>
        <w:ind w:left="2880" w:firstLine="720"/>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ersonName">
          <w:r>
            <w:rPr>
              <w:b/>
              <w:szCs w:val="22"/>
            </w:rPr>
            <w:t>20554</w:t>
          </w:r>
        </w:smartTag>
      </w:smartTag>
    </w:p>
    <w:p w:rsidR="00231B15" w:rsidRDefault="00231B15" w:rsidP="00231B15">
      <w:pPr>
        <w:tabs>
          <w:tab w:val="left" w:pos="-720"/>
        </w:tabs>
        <w:suppressAutoHyphens/>
        <w:spacing w:line="227" w:lineRule="auto"/>
        <w:rPr>
          <w:spacing w:val="-2"/>
          <w:szCs w:val="22"/>
        </w:rPr>
      </w:pPr>
    </w:p>
    <w:tbl>
      <w:tblPr>
        <w:tblW w:w="0" w:type="auto"/>
        <w:tblInd w:w="-72" w:type="dxa"/>
        <w:tblCellMar>
          <w:left w:w="115" w:type="dxa"/>
          <w:right w:w="115" w:type="dxa"/>
        </w:tblCellMar>
        <w:tblLook w:val="0000" w:firstRow="0" w:lastRow="0" w:firstColumn="0" w:lastColumn="0" w:noHBand="0" w:noVBand="0"/>
      </w:tblPr>
      <w:tblGrid>
        <w:gridCol w:w="4770"/>
        <w:gridCol w:w="630"/>
        <w:gridCol w:w="4248"/>
      </w:tblGrid>
      <w:tr w:rsidR="00231B15" w:rsidTr="00231B15">
        <w:trPr>
          <w:trHeight w:val="2214"/>
        </w:trPr>
        <w:tc>
          <w:tcPr>
            <w:tcW w:w="4770" w:type="dxa"/>
          </w:tcPr>
          <w:p w:rsidR="00231B15" w:rsidRDefault="00231B15" w:rsidP="00955058">
            <w:pPr>
              <w:shd w:val="clear" w:color="auto" w:fill="FFFFFF"/>
              <w:tabs>
                <w:tab w:val="left" w:pos="4445"/>
              </w:tabs>
              <w:spacing w:before="235"/>
              <w:ind w:left="5"/>
              <w:rPr>
                <w:szCs w:val="22"/>
              </w:rPr>
            </w:pPr>
            <w:r>
              <w:rPr>
                <w:bCs/>
                <w:color w:val="000000"/>
                <w:spacing w:val="-6"/>
                <w:szCs w:val="22"/>
              </w:rPr>
              <w:t>In</w:t>
            </w:r>
            <w:r>
              <w:rPr>
                <w:b/>
                <w:bCs/>
                <w:color w:val="000000"/>
                <w:spacing w:val="-6"/>
                <w:szCs w:val="22"/>
              </w:rPr>
              <w:t xml:space="preserve"> </w:t>
            </w:r>
            <w:r>
              <w:rPr>
                <w:color w:val="000000"/>
                <w:spacing w:val="-6"/>
                <w:szCs w:val="22"/>
              </w:rPr>
              <w:t>re Applications of</w:t>
            </w:r>
            <w:r>
              <w:rPr>
                <w:color w:val="000000"/>
                <w:szCs w:val="22"/>
              </w:rPr>
              <w:tab/>
            </w:r>
          </w:p>
          <w:p w:rsidR="00231B15" w:rsidRDefault="00231B15" w:rsidP="00955058">
            <w:pPr>
              <w:shd w:val="clear" w:color="auto" w:fill="FFFFFF"/>
              <w:tabs>
                <w:tab w:val="left" w:pos="5078"/>
              </w:tabs>
              <w:spacing w:before="230" w:line="235" w:lineRule="exact"/>
              <w:ind w:left="10"/>
              <w:rPr>
                <w:szCs w:val="22"/>
              </w:rPr>
            </w:pPr>
            <w:smartTag w:uri="urn:schemas-microsoft-com:office:smarttags" w:element="place">
              <w:smartTag w:uri="urn:schemas-microsoft-com:office:smarttags" w:element="City">
                <w:r>
                  <w:rPr>
                    <w:b/>
                    <w:bCs/>
                    <w:color w:val="000000"/>
                    <w:spacing w:val="-8"/>
                    <w:szCs w:val="22"/>
                  </w:rPr>
                  <w:t>ATLANTIC CITY</w:t>
                </w:r>
              </w:smartTag>
            </w:smartTag>
            <w:r>
              <w:rPr>
                <w:b/>
                <w:bCs/>
                <w:color w:val="000000"/>
                <w:spacing w:val="-8"/>
                <w:szCs w:val="22"/>
              </w:rPr>
              <w:t xml:space="preserve"> BOARD OF EDUCATION</w:t>
            </w:r>
            <w:r>
              <w:rPr>
                <w:color w:val="000000"/>
                <w:szCs w:val="22"/>
              </w:rPr>
              <w:tab/>
            </w:r>
          </w:p>
          <w:p w:rsidR="00231B15" w:rsidRDefault="00231B15" w:rsidP="00955058">
            <w:pPr>
              <w:shd w:val="clear" w:color="auto" w:fill="FFFFFF"/>
              <w:tabs>
                <w:tab w:val="left" w:pos="5078"/>
              </w:tabs>
              <w:spacing w:line="235" w:lineRule="exact"/>
              <w:ind w:left="4445"/>
              <w:rPr>
                <w:szCs w:val="22"/>
              </w:rPr>
            </w:pPr>
          </w:p>
          <w:p w:rsidR="0008132B" w:rsidRDefault="0008132B" w:rsidP="00955058">
            <w:pPr>
              <w:shd w:val="clear" w:color="auto" w:fill="FFFFFF"/>
              <w:tabs>
                <w:tab w:val="left" w:pos="4445"/>
                <w:tab w:val="left" w:pos="5078"/>
              </w:tabs>
              <w:spacing w:line="235" w:lineRule="exact"/>
              <w:ind w:left="14"/>
              <w:rPr>
                <w:color w:val="000000"/>
                <w:spacing w:val="-9"/>
                <w:szCs w:val="22"/>
              </w:rPr>
            </w:pPr>
            <w:r>
              <w:rPr>
                <w:color w:val="000000"/>
                <w:spacing w:val="-9"/>
                <w:szCs w:val="22"/>
              </w:rPr>
              <w:t>For Renewal of License for Station WAJM(FM),</w:t>
            </w:r>
          </w:p>
          <w:p w:rsidR="00231B15" w:rsidRDefault="0008132B" w:rsidP="00955058">
            <w:pPr>
              <w:shd w:val="clear" w:color="auto" w:fill="FFFFFF"/>
              <w:tabs>
                <w:tab w:val="left" w:pos="4445"/>
                <w:tab w:val="left" w:pos="5078"/>
              </w:tabs>
              <w:spacing w:line="235" w:lineRule="exact"/>
              <w:ind w:left="14"/>
              <w:rPr>
                <w:szCs w:val="22"/>
              </w:rPr>
            </w:pPr>
            <w:smartTag w:uri="urn:schemas-microsoft-com:office:smarttags" w:element="place">
              <w:smartTag w:uri="urn:schemas-microsoft-com:office:smarttags" w:element="City">
                <w:r>
                  <w:rPr>
                    <w:color w:val="000000"/>
                    <w:spacing w:val="-9"/>
                    <w:szCs w:val="22"/>
                  </w:rPr>
                  <w:t>Atlantic City</w:t>
                </w:r>
              </w:smartTag>
              <w:r>
                <w:rPr>
                  <w:color w:val="000000"/>
                  <w:spacing w:val="-9"/>
                  <w:szCs w:val="22"/>
                </w:rPr>
                <w:t xml:space="preserve">, </w:t>
              </w:r>
              <w:smartTag w:uri="urn:schemas-microsoft-com:office:smarttags" w:element="State">
                <w:r>
                  <w:rPr>
                    <w:color w:val="000000"/>
                    <w:spacing w:val="-9"/>
                    <w:szCs w:val="22"/>
                  </w:rPr>
                  <w:t>New Jersey</w:t>
                </w:r>
              </w:smartTag>
            </w:smartTag>
            <w:r w:rsidR="00231B15">
              <w:rPr>
                <w:color w:val="000000"/>
                <w:szCs w:val="22"/>
              </w:rPr>
              <w:tab/>
            </w:r>
            <w:r w:rsidR="00231B15">
              <w:rPr>
                <w:color w:val="000000"/>
                <w:szCs w:val="22"/>
              </w:rPr>
              <w:tab/>
            </w:r>
          </w:p>
          <w:p w:rsidR="00231B15" w:rsidRDefault="00231B15" w:rsidP="0008132B">
            <w:pPr>
              <w:shd w:val="clear" w:color="auto" w:fill="FFFFFF"/>
              <w:tabs>
                <w:tab w:val="left" w:pos="4445"/>
                <w:tab w:val="left" w:pos="5078"/>
              </w:tabs>
              <w:spacing w:line="235" w:lineRule="exact"/>
              <w:ind w:left="5"/>
              <w:rPr>
                <w:color w:val="000000"/>
                <w:spacing w:val="-6"/>
                <w:szCs w:val="22"/>
              </w:rPr>
            </w:pPr>
          </w:p>
          <w:p w:rsidR="00443A04" w:rsidRDefault="003E64B7" w:rsidP="00955058">
            <w:pPr>
              <w:shd w:val="clear" w:color="auto" w:fill="FFFFFF"/>
              <w:tabs>
                <w:tab w:val="left" w:pos="4445"/>
              </w:tabs>
              <w:spacing w:line="235" w:lineRule="exact"/>
              <w:ind w:left="14"/>
              <w:rPr>
                <w:color w:val="000000"/>
                <w:spacing w:val="-6"/>
                <w:szCs w:val="22"/>
              </w:rPr>
            </w:pPr>
            <w:r>
              <w:rPr>
                <w:color w:val="000000"/>
                <w:spacing w:val="-6"/>
                <w:szCs w:val="22"/>
              </w:rPr>
              <w:t>a</w:t>
            </w:r>
            <w:r w:rsidR="00443A04">
              <w:rPr>
                <w:color w:val="000000"/>
                <w:spacing w:val="-6"/>
                <w:szCs w:val="22"/>
              </w:rPr>
              <w:t>nd</w:t>
            </w:r>
          </w:p>
          <w:p w:rsidR="0008132B" w:rsidRDefault="0008132B" w:rsidP="00955058">
            <w:pPr>
              <w:shd w:val="clear" w:color="auto" w:fill="FFFFFF"/>
              <w:tabs>
                <w:tab w:val="left" w:pos="4445"/>
              </w:tabs>
              <w:spacing w:line="235" w:lineRule="exact"/>
              <w:ind w:left="14"/>
              <w:rPr>
                <w:color w:val="000000"/>
                <w:spacing w:val="-6"/>
                <w:szCs w:val="22"/>
              </w:rPr>
            </w:pPr>
          </w:p>
          <w:p w:rsidR="0008132B" w:rsidRDefault="0008132B" w:rsidP="00955058">
            <w:pPr>
              <w:shd w:val="clear" w:color="auto" w:fill="FFFFFF"/>
              <w:tabs>
                <w:tab w:val="left" w:pos="4445"/>
              </w:tabs>
              <w:spacing w:line="235" w:lineRule="exact"/>
              <w:ind w:left="14"/>
              <w:rPr>
                <w:color w:val="000000"/>
                <w:spacing w:val="-6"/>
                <w:szCs w:val="22"/>
              </w:rPr>
            </w:pPr>
            <w:r>
              <w:rPr>
                <w:color w:val="000000"/>
                <w:spacing w:val="-6"/>
                <w:szCs w:val="22"/>
              </w:rPr>
              <w:t>For Minor Modification of the Licensed Facilities of Station WAJM(FM),</w:t>
            </w:r>
            <w:r w:rsidR="00ED28A6">
              <w:rPr>
                <w:color w:val="000000"/>
                <w:spacing w:val="-6"/>
                <w:szCs w:val="22"/>
              </w:rPr>
              <w:t xml:space="preserve"> </w:t>
            </w:r>
            <w:r>
              <w:rPr>
                <w:color w:val="000000"/>
                <w:spacing w:val="-6"/>
                <w:szCs w:val="22"/>
              </w:rPr>
              <w:t>Atlantic City, New Jersey</w:t>
            </w:r>
          </w:p>
          <w:p w:rsidR="0008132B" w:rsidRDefault="0008132B" w:rsidP="00955058">
            <w:pPr>
              <w:shd w:val="clear" w:color="auto" w:fill="FFFFFF"/>
              <w:tabs>
                <w:tab w:val="left" w:pos="4445"/>
              </w:tabs>
              <w:spacing w:line="235" w:lineRule="exact"/>
              <w:ind w:left="14"/>
              <w:rPr>
                <w:color w:val="000000"/>
                <w:spacing w:val="-6"/>
                <w:szCs w:val="22"/>
              </w:rPr>
            </w:pPr>
          </w:p>
          <w:p w:rsidR="0008132B" w:rsidRDefault="003E64B7" w:rsidP="00955058">
            <w:pPr>
              <w:shd w:val="clear" w:color="auto" w:fill="FFFFFF"/>
              <w:tabs>
                <w:tab w:val="left" w:pos="4445"/>
              </w:tabs>
              <w:spacing w:line="235" w:lineRule="exact"/>
              <w:ind w:left="14"/>
              <w:rPr>
                <w:color w:val="000000"/>
                <w:spacing w:val="-6"/>
                <w:szCs w:val="22"/>
              </w:rPr>
            </w:pPr>
            <w:r>
              <w:rPr>
                <w:color w:val="000000"/>
                <w:spacing w:val="-6"/>
                <w:szCs w:val="22"/>
              </w:rPr>
              <w:t>a</w:t>
            </w:r>
            <w:r w:rsidR="0008132B">
              <w:rPr>
                <w:color w:val="000000"/>
                <w:spacing w:val="-6"/>
                <w:szCs w:val="22"/>
              </w:rPr>
              <w:t>nd</w:t>
            </w:r>
          </w:p>
          <w:p w:rsidR="00443A04" w:rsidRDefault="00443A04" w:rsidP="00955058">
            <w:pPr>
              <w:shd w:val="clear" w:color="auto" w:fill="FFFFFF"/>
              <w:tabs>
                <w:tab w:val="left" w:pos="4445"/>
              </w:tabs>
              <w:spacing w:line="235" w:lineRule="exact"/>
              <w:ind w:left="14"/>
              <w:rPr>
                <w:color w:val="000000"/>
                <w:spacing w:val="-6"/>
                <w:szCs w:val="22"/>
              </w:rPr>
            </w:pPr>
          </w:p>
          <w:p w:rsidR="00443A04" w:rsidRDefault="00443A04" w:rsidP="00955058">
            <w:pPr>
              <w:shd w:val="clear" w:color="auto" w:fill="FFFFFF"/>
              <w:tabs>
                <w:tab w:val="left" w:pos="4445"/>
              </w:tabs>
              <w:spacing w:line="235" w:lineRule="exact"/>
              <w:ind w:left="14"/>
              <w:rPr>
                <w:b/>
                <w:color w:val="000000"/>
                <w:spacing w:val="-6"/>
                <w:szCs w:val="22"/>
              </w:rPr>
            </w:pPr>
            <w:r>
              <w:rPr>
                <w:b/>
                <w:color w:val="000000"/>
                <w:spacing w:val="-6"/>
                <w:szCs w:val="22"/>
              </w:rPr>
              <w:t>PRESS COMMUNICATIONS, LLC</w:t>
            </w:r>
          </w:p>
          <w:p w:rsidR="00443A04" w:rsidRDefault="00443A04" w:rsidP="00955058">
            <w:pPr>
              <w:shd w:val="clear" w:color="auto" w:fill="FFFFFF"/>
              <w:tabs>
                <w:tab w:val="left" w:pos="4445"/>
              </w:tabs>
              <w:spacing w:line="235" w:lineRule="exact"/>
              <w:ind w:left="14"/>
              <w:rPr>
                <w:b/>
                <w:color w:val="000000"/>
                <w:spacing w:val="-6"/>
                <w:szCs w:val="22"/>
              </w:rPr>
            </w:pPr>
          </w:p>
          <w:p w:rsidR="00231B15" w:rsidRDefault="00443A04" w:rsidP="00FB6FEC">
            <w:pPr>
              <w:shd w:val="clear" w:color="auto" w:fill="FFFFFF"/>
              <w:tabs>
                <w:tab w:val="left" w:pos="4445"/>
              </w:tabs>
              <w:spacing w:line="235" w:lineRule="exact"/>
              <w:ind w:left="14"/>
              <w:rPr>
                <w:color w:val="000000"/>
                <w:spacing w:val="-6"/>
                <w:szCs w:val="22"/>
              </w:rPr>
            </w:pPr>
            <w:r>
              <w:rPr>
                <w:color w:val="000000"/>
                <w:spacing w:val="-6"/>
                <w:szCs w:val="22"/>
              </w:rPr>
              <w:t xml:space="preserve">For Minor Modification of the Licensed Facilities of Station WBHX(FM), </w:t>
            </w:r>
            <w:smartTag w:uri="urn:schemas-microsoft-com:office:smarttags" w:element="place">
              <w:smartTag w:uri="urn:schemas-microsoft-com:office:smarttags" w:element="City">
                <w:r w:rsidR="001B782C">
                  <w:rPr>
                    <w:color w:val="000000"/>
                    <w:spacing w:val="-6"/>
                    <w:szCs w:val="22"/>
                  </w:rPr>
                  <w:t>Tuckerton</w:t>
                </w:r>
              </w:smartTag>
              <w:r>
                <w:rPr>
                  <w:color w:val="000000"/>
                  <w:spacing w:val="-6"/>
                  <w:szCs w:val="22"/>
                </w:rPr>
                <w:t xml:space="preserve">, </w:t>
              </w:r>
              <w:smartTag w:uri="urn:schemas-microsoft-com:office:smarttags" w:element="State">
                <w:r>
                  <w:rPr>
                    <w:color w:val="000000"/>
                    <w:spacing w:val="-6"/>
                    <w:szCs w:val="22"/>
                  </w:rPr>
                  <w:t>New Jersey</w:t>
                </w:r>
              </w:smartTag>
            </w:smartTag>
          </w:p>
        </w:tc>
        <w:tc>
          <w:tcPr>
            <w:tcW w:w="630" w:type="dxa"/>
          </w:tcPr>
          <w:p w:rsidR="00231B15" w:rsidRDefault="00231B15" w:rsidP="00955058">
            <w:pPr>
              <w:tabs>
                <w:tab w:val="center" w:pos="4680"/>
              </w:tabs>
              <w:suppressAutoHyphens/>
              <w:rPr>
                <w:b/>
                <w:spacing w:val="-2"/>
                <w:szCs w:val="22"/>
              </w:rPr>
            </w:pPr>
            <w:r>
              <w:rPr>
                <w:b/>
                <w:spacing w:val="-2"/>
                <w:szCs w:val="22"/>
              </w:rPr>
              <w:t>)</w:t>
            </w:r>
          </w:p>
          <w:p w:rsidR="00231B15" w:rsidRDefault="00231B15" w:rsidP="00955058">
            <w:pPr>
              <w:tabs>
                <w:tab w:val="center" w:pos="4680"/>
              </w:tabs>
              <w:suppressAutoHyphens/>
              <w:rPr>
                <w:b/>
                <w:spacing w:val="-2"/>
                <w:szCs w:val="22"/>
              </w:rPr>
            </w:pPr>
            <w:r>
              <w:rPr>
                <w:b/>
                <w:spacing w:val="-2"/>
                <w:szCs w:val="22"/>
              </w:rPr>
              <w:t>)</w:t>
            </w:r>
          </w:p>
          <w:p w:rsidR="00231B15" w:rsidRDefault="00231B15" w:rsidP="00955058">
            <w:pPr>
              <w:tabs>
                <w:tab w:val="center" w:pos="4680"/>
              </w:tabs>
              <w:suppressAutoHyphens/>
              <w:rPr>
                <w:b/>
                <w:spacing w:val="-2"/>
                <w:szCs w:val="22"/>
              </w:rPr>
            </w:pPr>
            <w:r>
              <w:rPr>
                <w:b/>
                <w:spacing w:val="-2"/>
                <w:szCs w:val="22"/>
              </w:rPr>
              <w:t>)</w:t>
            </w:r>
            <w:r>
              <w:rPr>
                <w:b/>
                <w:spacing w:val="-2"/>
                <w:szCs w:val="22"/>
              </w:rPr>
              <w:br/>
              <w:t>)</w:t>
            </w:r>
            <w:r>
              <w:rPr>
                <w:b/>
                <w:spacing w:val="-2"/>
                <w:szCs w:val="22"/>
              </w:rPr>
              <w:br/>
              <w:t>)</w:t>
            </w:r>
            <w:r>
              <w:rPr>
                <w:b/>
                <w:spacing w:val="-2"/>
                <w:szCs w:val="22"/>
              </w:rPr>
              <w:br/>
              <w:t>)</w:t>
            </w:r>
            <w:r>
              <w:rPr>
                <w:b/>
                <w:spacing w:val="-2"/>
                <w:szCs w:val="22"/>
              </w:rPr>
              <w:br/>
              <w:t>)</w:t>
            </w:r>
          </w:p>
          <w:p w:rsidR="00231B15" w:rsidRDefault="00231B15" w:rsidP="00955058">
            <w:pPr>
              <w:tabs>
                <w:tab w:val="center" w:pos="4680"/>
              </w:tabs>
              <w:suppressAutoHyphens/>
              <w:rPr>
                <w:b/>
                <w:spacing w:val="-2"/>
                <w:szCs w:val="22"/>
              </w:rPr>
            </w:pPr>
            <w:r>
              <w:rPr>
                <w:b/>
                <w:spacing w:val="-2"/>
                <w:szCs w:val="22"/>
              </w:rPr>
              <w:t>)</w:t>
            </w:r>
          </w:p>
          <w:p w:rsidR="00231B15" w:rsidRDefault="00231B15" w:rsidP="00955058">
            <w:pPr>
              <w:tabs>
                <w:tab w:val="center" w:pos="4680"/>
              </w:tabs>
              <w:suppressAutoHyphens/>
              <w:rPr>
                <w:b/>
                <w:spacing w:val="-2"/>
                <w:szCs w:val="22"/>
              </w:rPr>
            </w:pPr>
            <w:r>
              <w:rPr>
                <w:b/>
                <w:spacing w:val="-2"/>
                <w:szCs w:val="22"/>
              </w:rPr>
              <w:t>)</w:t>
            </w:r>
          </w:p>
          <w:p w:rsidR="00231B15" w:rsidRDefault="00231B15" w:rsidP="00955058">
            <w:pPr>
              <w:tabs>
                <w:tab w:val="center" w:pos="4680"/>
              </w:tabs>
              <w:suppressAutoHyphens/>
              <w:rPr>
                <w:b/>
                <w:spacing w:val="-2"/>
                <w:szCs w:val="22"/>
              </w:rPr>
            </w:pPr>
            <w:r>
              <w:rPr>
                <w:b/>
                <w:spacing w:val="-2"/>
                <w:szCs w:val="22"/>
              </w:rPr>
              <w:t>)</w:t>
            </w:r>
          </w:p>
          <w:p w:rsidR="00FB6FEC" w:rsidRDefault="00FB6FEC" w:rsidP="00955058">
            <w:pPr>
              <w:tabs>
                <w:tab w:val="center" w:pos="4680"/>
              </w:tabs>
              <w:suppressAutoHyphens/>
              <w:rPr>
                <w:b/>
                <w:spacing w:val="-2"/>
                <w:szCs w:val="22"/>
              </w:rPr>
            </w:pPr>
            <w:r>
              <w:rPr>
                <w:b/>
                <w:spacing w:val="-2"/>
                <w:szCs w:val="22"/>
              </w:rPr>
              <w:t>)</w:t>
            </w:r>
          </w:p>
          <w:p w:rsidR="00443A04" w:rsidRDefault="00443A04" w:rsidP="00955058">
            <w:pPr>
              <w:tabs>
                <w:tab w:val="center" w:pos="4680"/>
              </w:tabs>
              <w:suppressAutoHyphens/>
              <w:rPr>
                <w:b/>
                <w:spacing w:val="-2"/>
                <w:szCs w:val="22"/>
              </w:rPr>
            </w:pPr>
            <w:r>
              <w:rPr>
                <w:b/>
                <w:spacing w:val="-2"/>
                <w:szCs w:val="22"/>
              </w:rPr>
              <w:t>)</w:t>
            </w:r>
          </w:p>
          <w:p w:rsidR="00443A04" w:rsidRDefault="00443A04"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p w:rsidR="0008132B" w:rsidRDefault="0008132B" w:rsidP="00955058">
            <w:pPr>
              <w:tabs>
                <w:tab w:val="center" w:pos="4680"/>
              </w:tabs>
              <w:suppressAutoHyphens/>
              <w:rPr>
                <w:b/>
                <w:spacing w:val="-2"/>
                <w:szCs w:val="22"/>
              </w:rPr>
            </w:pPr>
            <w:r>
              <w:rPr>
                <w:b/>
                <w:spacing w:val="-2"/>
                <w:szCs w:val="22"/>
              </w:rPr>
              <w:t>)</w:t>
            </w:r>
          </w:p>
        </w:tc>
        <w:tc>
          <w:tcPr>
            <w:tcW w:w="4248" w:type="dxa"/>
          </w:tcPr>
          <w:p w:rsidR="00231B15" w:rsidRDefault="00231B15" w:rsidP="00955058">
            <w:pPr>
              <w:rPr>
                <w:szCs w:val="22"/>
              </w:rPr>
            </w:pPr>
          </w:p>
          <w:p w:rsidR="00231B15" w:rsidRDefault="00231B15" w:rsidP="00955058">
            <w:pPr>
              <w:shd w:val="clear" w:color="auto" w:fill="FFFFFF"/>
              <w:spacing w:line="235" w:lineRule="exact"/>
              <w:rPr>
                <w:color w:val="000000"/>
              </w:rPr>
            </w:pPr>
          </w:p>
          <w:p w:rsidR="00231B15" w:rsidRDefault="00231B15" w:rsidP="00955058">
            <w:pPr>
              <w:shd w:val="clear" w:color="auto" w:fill="FFFFFF"/>
              <w:spacing w:line="235" w:lineRule="exact"/>
              <w:rPr>
                <w:color w:val="000000"/>
              </w:rPr>
            </w:pPr>
          </w:p>
          <w:p w:rsidR="00231B15" w:rsidRDefault="00231B15" w:rsidP="00955058">
            <w:pPr>
              <w:shd w:val="clear" w:color="auto" w:fill="FFFFFF"/>
              <w:spacing w:line="235" w:lineRule="exact"/>
              <w:rPr>
                <w:color w:val="000000"/>
              </w:rPr>
            </w:pPr>
            <w:r>
              <w:rPr>
                <w:color w:val="000000"/>
              </w:rPr>
              <w:t>NAL/Acct. No. MB20</w:t>
            </w:r>
            <w:r w:rsidR="00361CCC">
              <w:rPr>
                <w:color w:val="000000"/>
              </w:rPr>
              <w:t>15</w:t>
            </w:r>
            <w:r>
              <w:rPr>
                <w:color w:val="000000"/>
              </w:rPr>
              <w:t>4141</w:t>
            </w:r>
            <w:r w:rsidR="001F4C4D">
              <w:rPr>
                <w:color w:val="000000"/>
              </w:rPr>
              <w:t>00</w:t>
            </w:r>
            <w:r w:rsidR="00361CCC">
              <w:rPr>
                <w:color w:val="000000"/>
              </w:rPr>
              <w:t>31</w:t>
            </w:r>
          </w:p>
          <w:p w:rsidR="00231B15" w:rsidRDefault="00231B15" w:rsidP="00955058">
            <w:pPr>
              <w:shd w:val="clear" w:color="auto" w:fill="FFFFFF"/>
              <w:spacing w:line="235" w:lineRule="exact"/>
              <w:rPr>
                <w:color w:val="000000"/>
              </w:rPr>
            </w:pPr>
            <w:r>
              <w:rPr>
                <w:color w:val="000000"/>
              </w:rPr>
              <w:t>FRN: 0020207858</w:t>
            </w:r>
          </w:p>
          <w:p w:rsidR="00231B15" w:rsidRDefault="00231B15" w:rsidP="00955058">
            <w:pPr>
              <w:shd w:val="clear" w:color="auto" w:fill="FFFFFF"/>
              <w:spacing w:line="235" w:lineRule="exact"/>
              <w:rPr>
                <w:color w:val="000000"/>
              </w:rPr>
            </w:pPr>
            <w:r>
              <w:rPr>
                <w:color w:val="000000"/>
              </w:rPr>
              <w:t>Facility I.D. No. 3123</w:t>
            </w:r>
          </w:p>
          <w:p w:rsidR="00231B15" w:rsidRDefault="00231B15" w:rsidP="00955058">
            <w:pPr>
              <w:shd w:val="clear" w:color="auto" w:fill="FFFFFF"/>
              <w:spacing w:line="235" w:lineRule="exact"/>
              <w:rPr>
                <w:color w:val="000000"/>
              </w:rPr>
            </w:pPr>
            <w:r>
              <w:rPr>
                <w:color w:val="000000"/>
              </w:rPr>
              <w:t>File No.</w:t>
            </w:r>
            <w:r w:rsidR="00B21D02">
              <w:rPr>
                <w:color w:val="000000"/>
              </w:rPr>
              <w:t xml:space="preserve"> </w:t>
            </w:r>
            <w:r>
              <w:rPr>
                <w:color w:val="000000"/>
              </w:rPr>
              <w:t>BRED-20100921AAN</w:t>
            </w:r>
          </w:p>
          <w:p w:rsidR="003D65C7" w:rsidRDefault="003D65C7" w:rsidP="00955058">
            <w:pPr>
              <w:shd w:val="clear" w:color="auto" w:fill="FFFFFF"/>
              <w:spacing w:line="235" w:lineRule="exact"/>
              <w:rPr>
                <w:color w:val="000000"/>
              </w:rPr>
            </w:pPr>
            <w:r>
              <w:rPr>
                <w:color w:val="000000"/>
              </w:rPr>
              <w:t>File No. BRED-20140128ABC</w:t>
            </w:r>
          </w:p>
          <w:p w:rsidR="00231B15" w:rsidRDefault="00231B15" w:rsidP="00955058">
            <w:pPr>
              <w:shd w:val="clear" w:color="auto" w:fill="FFFFFF"/>
              <w:spacing w:line="235" w:lineRule="exact"/>
              <w:rPr>
                <w:color w:val="000000"/>
              </w:rPr>
            </w:pPr>
          </w:p>
          <w:p w:rsidR="00231B15" w:rsidRDefault="00231B15" w:rsidP="00955058">
            <w:pPr>
              <w:shd w:val="clear" w:color="auto" w:fill="FFFFFF"/>
              <w:spacing w:line="235" w:lineRule="exact"/>
              <w:rPr>
                <w:color w:val="000000"/>
              </w:rPr>
            </w:pPr>
          </w:p>
          <w:p w:rsidR="0008132B" w:rsidRDefault="0008132B" w:rsidP="00955058">
            <w:pPr>
              <w:shd w:val="clear" w:color="auto" w:fill="FFFFFF"/>
              <w:spacing w:line="235" w:lineRule="exact"/>
              <w:rPr>
                <w:color w:val="000000"/>
              </w:rPr>
            </w:pPr>
            <w:r>
              <w:rPr>
                <w:color w:val="000000"/>
              </w:rPr>
              <w:t xml:space="preserve">File No. </w:t>
            </w:r>
            <w:r>
              <w:t xml:space="preserve">BPED-20120215AAW </w:t>
            </w:r>
            <w:r>
              <w:rPr>
                <w:color w:val="000000"/>
              </w:rPr>
              <w:t xml:space="preserve"> </w:t>
            </w:r>
          </w:p>
          <w:p w:rsidR="0008132B" w:rsidRDefault="0008132B" w:rsidP="00955058">
            <w:pPr>
              <w:shd w:val="clear" w:color="auto" w:fill="FFFFFF"/>
              <w:spacing w:line="235" w:lineRule="exact"/>
              <w:rPr>
                <w:color w:val="000000"/>
              </w:rPr>
            </w:pPr>
          </w:p>
          <w:p w:rsidR="0008132B" w:rsidRDefault="0008132B" w:rsidP="00955058">
            <w:pPr>
              <w:shd w:val="clear" w:color="auto" w:fill="FFFFFF"/>
              <w:spacing w:line="235" w:lineRule="exact"/>
              <w:rPr>
                <w:color w:val="000000"/>
              </w:rPr>
            </w:pPr>
          </w:p>
          <w:p w:rsidR="0008132B" w:rsidRDefault="0008132B" w:rsidP="00955058">
            <w:pPr>
              <w:shd w:val="clear" w:color="auto" w:fill="FFFFFF"/>
              <w:spacing w:line="235" w:lineRule="exact"/>
              <w:rPr>
                <w:color w:val="000000"/>
              </w:rPr>
            </w:pPr>
          </w:p>
          <w:p w:rsidR="0008132B" w:rsidRDefault="0008132B" w:rsidP="00955058">
            <w:pPr>
              <w:shd w:val="clear" w:color="auto" w:fill="FFFFFF"/>
              <w:spacing w:line="235" w:lineRule="exact"/>
              <w:rPr>
                <w:color w:val="000000"/>
              </w:rPr>
            </w:pPr>
          </w:p>
          <w:p w:rsidR="0008132B" w:rsidRDefault="0008132B" w:rsidP="00955058">
            <w:pPr>
              <w:shd w:val="clear" w:color="auto" w:fill="FFFFFF"/>
              <w:spacing w:line="235" w:lineRule="exact"/>
              <w:rPr>
                <w:color w:val="000000"/>
              </w:rPr>
            </w:pPr>
          </w:p>
          <w:p w:rsidR="00C62342" w:rsidRDefault="00C62342" w:rsidP="00955058">
            <w:pPr>
              <w:shd w:val="clear" w:color="auto" w:fill="FFFFFF"/>
              <w:spacing w:line="235" w:lineRule="exact"/>
              <w:rPr>
                <w:color w:val="000000"/>
              </w:rPr>
            </w:pPr>
          </w:p>
          <w:p w:rsidR="00231B15" w:rsidRDefault="00443A04" w:rsidP="00955058">
            <w:pPr>
              <w:shd w:val="clear" w:color="auto" w:fill="FFFFFF"/>
              <w:spacing w:line="235" w:lineRule="exact"/>
              <w:rPr>
                <w:color w:val="000000"/>
              </w:rPr>
            </w:pPr>
            <w:r>
              <w:rPr>
                <w:color w:val="000000"/>
              </w:rPr>
              <w:t>Facility ID No. 56233</w:t>
            </w:r>
          </w:p>
          <w:p w:rsidR="00443A04" w:rsidRDefault="00443A04" w:rsidP="00955058">
            <w:pPr>
              <w:shd w:val="clear" w:color="auto" w:fill="FFFFFF"/>
              <w:spacing w:line="235" w:lineRule="exact"/>
              <w:rPr>
                <w:color w:val="000000"/>
              </w:rPr>
            </w:pPr>
            <w:r>
              <w:rPr>
                <w:color w:val="000000"/>
              </w:rPr>
              <w:t>File No. BPH-20100827ABW</w:t>
            </w:r>
          </w:p>
        </w:tc>
      </w:tr>
      <w:tr w:rsidR="00231B15" w:rsidTr="00FB6FEC">
        <w:trPr>
          <w:trHeight w:val="80"/>
        </w:trPr>
        <w:tc>
          <w:tcPr>
            <w:tcW w:w="4770" w:type="dxa"/>
          </w:tcPr>
          <w:p w:rsidR="00231B15" w:rsidRPr="00DF7C6F" w:rsidRDefault="00231B15" w:rsidP="00955058">
            <w:pPr>
              <w:tabs>
                <w:tab w:val="center" w:pos="4680"/>
              </w:tabs>
              <w:suppressAutoHyphens/>
              <w:rPr>
                <w:spacing w:val="-2"/>
                <w:szCs w:val="22"/>
              </w:rPr>
            </w:pPr>
          </w:p>
        </w:tc>
        <w:tc>
          <w:tcPr>
            <w:tcW w:w="630" w:type="dxa"/>
          </w:tcPr>
          <w:p w:rsidR="00231B15" w:rsidRDefault="00231B15" w:rsidP="00955058">
            <w:pPr>
              <w:tabs>
                <w:tab w:val="center" w:pos="4680"/>
              </w:tabs>
              <w:suppressAutoHyphens/>
              <w:rPr>
                <w:b/>
                <w:spacing w:val="-2"/>
                <w:szCs w:val="22"/>
              </w:rPr>
            </w:pPr>
          </w:p>
        </w:tc>
        <w:tc>
          <w:tcPr>
            <w:tcW w:w="4248" w:type="dxa"/>
          </w:tcPr>
          <w:p w:rsidR="00231B15" w:rsidRDefault="00231B15" w:rsidP="00955058">
            <w:pPr>
              <w:tabs>
                <w:tab w:val="center" w:pos="4680"/>
              </w:tabs>
              <w:suppressAutoHyphens/>
              <w:rPr>
                <w:spacing w:val="-2"/>
                <w:szCs w:val="22"/>
              </w:rPr>
            </w:pPr>
          </w:p>
        </w:tc>
      </w:tr>
    </w:tbl>
    <w:p w:rsidR="00972A29" w:rsidRPr="00972A29" w:rsidRDefault="003F5E47" w:rsidP="00972A29">
      <w:pPr>
        <w:shd w:val="clear" w:color="auto" w:fill="FFFFFF"/>
        <w:spacing w:before="230" w:line="240" w:lineRule="exact"/>
        <w:ind w:right="14"/>
        <w:jc w:val="center"/>
        <w:rPr>
          <w:b/>
          <w:color w:val="000000"/>
        </w:rPr>
      </w:pPr>
      <w:r>
        <w:rPr>
          <w:b/>
          <w:color w:val="000000"/>
        </w:rPr>
        <w:t>ORDER</w:t>
      </w:r>
    </w:p>
    <w:p w:rsidR="00231B15" w:rsidRPr="000A6505" w:rsidRDefault="00B90DE6" w:rsidP="00231B15">
      <w:pPr>
        <w:shd w:val="clear" w:color="auto" w:fill="FFFFFF"/>
        <w:tabs>
          <w:tab w:val="left" w:pos="6269"/>
        </w:tabs>
        <w:spacing w:before="43" w:line="475" w:lineRule="exact"/>
      </w:pPr>
      <w:r>
        <w:rPr>
          <w:b/>
          <w:bCs/>
          <w:color w:val="000000"/>
        </w:rPr>
        <w:t>Adopted:  October 8, 2015</w:t>
      </w:r>
      <w:r w:rsidR="00231B15" w:rsidRPr="000A6505">
        <w:rPr>
          <w:b/>
          <w:bCs/>
          <w:color w:val="000000"/>
        </w:rPr>
        <w:t xml:space="preserve">                      </w:t>
      </w:r>
      <w:r w:rsidR="00231B15" w:rsidRPr="000A6505">
        <w:rPr>
          <w:b/>
          <w:bCs/>
          <w:color w:val="000000"/>
        </w:rPr>
        <w:tab/>
        <w:t xml:space="preserve">Released:  </w:t>
      </w:r>
      <w:r>
        <w:rPr>
          <w:b/>
          <w:bCs/>
          <w:color w:val="000000"/>
        </w:rPr>
        <w:t>October 9, 2015</w:t>
      </w:r>
    </w:p>
    <w:p w:rsidR="00231B15" w:rsidRDefault="00231B15" w:rsidP="00231B15">
      <w:pPr>
        <w:shd w:val="clear" w:color="auto" w:fill="FFFFFF"/>
        <w:rPr>
          <w:color w:val="000000"/>
        </w:rPr>
      </w:pPr>
    </w:p>
    <w:p w:rsidR="00231B15" w:rsidRDefault="00231B15" w:rsidP="00231B15">
      <w:pPr>
        <w:shd w:val="clear" w:color="auto" w:fill="FFFFFF"/>
        <w:rPr>
          <w:color w:val="000000"/>
        </w:rPr>
      </w:pPr>
      <w:r>
        <w:rPr>
          <w:color w:val="000000"/>
        </w:rPr>
        <w:t>By the Chief, Media Bureau:</w:t>
      </w:r>
    </w:p>
    <w:p w:rsidR="00231B15" w:rsidRDefault="00231B15" w:rsidP="00231B15">
      <w:pPr>
        <w:shd w:val="clear" w:color="auto" w:fill="FFFFFF"/>
      </w:pPr>
    </w:p>
    <w:p w:rsidR="00042CE3" w:rsidRDefault="00805503" w:rsidP="00042CE3">
      <w:pPr>
        <w:widowControl/>
        <w:shd w:val="clear" w:color="auto" w:fill="FFFFFF"/>
        <w:rPr>
          <w:szCs w:val="22"/>
        </w:rPr>
      </w:pPr>
      <w:r>
        <w:rPr>
          <w:color w:val="000000"/>
        </w:rPr>
        <w:tab/>
        <w:t>1.</w:t>
      </w:r>
      <w:r>
        <w:rPr>
          <w:color w:val="000000"/>
        </w:rPr>
        <w:tab/>
      </w:r>
      <w:r w:rsidR="00231B15">
        <w:rPr>
          <w:color w:val="000000"/>
        </w:rPr>
        <w:t xml:space="preserve">The </w:t>
      </w:r>
      <w:r w:rsidR="00655ACD">
        <w:rPr>
          <w:color w:val="000000"/>
        </w:rPr>
        <w:t>Media Bureau (“Bureau”)</w:t>
      </w:r>
      <w:r w:rsidR="00231B15">
        <w:rPr>
          <w:color w:val="000000"/>
        </w:rPr>
        <w:t xml:space="preserve"> has before it:  (1) the application</w:t>
      </w:r>
      <w:r w:rsidR="0037709C">
        <w:rPr>
          <w:color w:val="000000"/>
        </w:rPr>
        <w:t>s</w:t>
      </w:r>
      <w:r w:rsidR="00231B15">
        <w:rPr>
          <w:color w:val="000000"/>
        </w:rPr>
        <w:t xml:space="preserve"> (</w:t>
      </w:r>
      <w:r>
        <w:rPr>
          <w:color w:val="000000"/>
        </w:rPr>
        <w:t>“</w:t>
      </w:r>
      <w:r w:rsidR="0037709C">
        <w:rPr>
          <w:color w:val="000000"/>
        </w:rPr>
        <w:t xml:space="preserve">2010 </w:t>
      </w:r>
      <w:r w:rsidR="00231B15">
        <w:rPr>
          <w:color w:val="000000"/>
        </w:rPr>
        <w:t>Renewal Application”</w:t>
      </w:r>
      <w:r w:rsidR="0037709C">
        <w:rPr>
          <w:color w:val="000000"/>
        </w:rPr>
        <w:t xml:space="preserve"> and “2014 Renewal Application”</w:t>
      </w:r>
      <w:r w:rsidR="00231B15">
        <w:rPr>
          <w:color w:val="000000"/>
        </w:rPr>
        <w:t xml:space="preserve">) of </w:t>
      </w:r>
      <w:r w:rsidR="00B21D02">
        <w:rPr>
          <w:color w:val="000000"/>
        </w:rPr>
        <w:t>Atlantic City Board of Education</w:t>
      </w:r>
      <w:r w:rsidR="00231B15">
        <w:rPr>
          <w:color w:val="000000"/>
        </w:rPr>
        <w:t xml:space="preserve"> ("Licensee" or “</w:t>
      </w:r>
      <w:r w:rsidR="00B21D02">
        <w:rPr>
          <w:color w:val="000000"/>
        </w:rPr>
        <w:t>Board”</w:t>
      </w:r>
      <w:r w:rsidR="00231B15">
        <w:rPr>
          <w:color w:val="000000"/>
        </w:rPr>
        <w:t>) for renewal of</w:t>
      </w:r>
      <w:r w:rsidR="003E1212">
        <w:rPr>
          <w:color w:val="000000"/>
        </w:rPr>
        <w:t xml:space="preserve"> </w:t>
      </w:r>
      <w:r w:rsidR="00231B15">
        <w:rPr>
          <w:color w:val="000000"/>
        </w:rPr>
        <w:t xml:space="preserve">license </w:t>
      </w:r>
      <w:r w:rsidR="003E1212">
        <w:rPr>
          <w:color w:val="000000"/>
        </w:rPr>
        <w:t>for expired</w:t>
      </w:r>
      <w:r w:rsidR="00231B15">
        <w:rPr>
          <w:color w:val="000000"/>
        </w:rPr>
        <w:t xml:space="preserve"> Station </w:t>
      </w:r>
      <w:r w:rsidR="00B21D02">
        <w:rPr>
          <w:color w:val="000000"/>
        </w:rPr>
        <w:t>WAJM(FM)</w:t>
      </w:r>
      <w:r w:rsidR="00231B15">
        <w:rPr>
          <w:color w:val="000000"/>
        </w:rPr>
        <w:t>,</w:t>
      </w:r>
      <w:r w:rsidR="00B21D02">
        <w:rPr>
          <w:color w:val="000000"/>
        </w:rPr>
        <w:t xml:space="preserve"> Atlantic City, New Jersey </w:t>
      </w:r>
      <w:r w:rsidR="00231B15">
        <w:rPr>
          <w:color w:val="000000"/>
        </w:rPr>
        <w:t xml:space="preserve">("Station"); </w:t>
      </w:r>
      <w:r w:rsidR="00B21D02">
        <w:rPr>
          <w:color w:val="000000"/>
        </w:rPr>
        <w:t xml:space="preserve">and </w:t>
      </w:r>
      <w:r w:rsidR="00231B15">
        <w:rPr>
          <w:color w:val="000000"/>
        </w:rPr>
        <w:t xml:space="preserve">(2) </w:t>
      </w:r>
      <w:r w:rsidR="00B21D02">
        <w:rPr>
          <w:color w:val="000000"/>
        </w:rPr>
        <w:t>a</w:t>
      </w:r>
      <w:r w:rsidR="00231B15">
        <w:rPr>
          <w:color w:val="000000"/>
        </w:rPr>
        <w:t xml:space="preserve"> </w:t>
      </w:r>
      <w:r w:rsidR="00B21D02">
        <w:rPr>
          <w:color w:val="000000"/>
        </w:rPr>
        <w:t>Petition to Deny</w:t>
      </w:r>
      <w:r w:rsidR="00231B15">
        <w:rPr>
          <w:szCs w:val="22"/>
        </w:rPr>
        <w:t xml:space="preserve"> (“</w:t>
      </w:r>
      <w:r w:rsidR="00B21D02">
        <w:rPr>
          <w:szCs w:val="22"/>
        </w:rPr>
        <w:t>Petition</w:t>
      </w:r>
      <w:r w:rsidR="00231B15">
        <w:rPr>
          <w:szCs w:val="22"/>
        </w:rPr>
        <w:t>”)</w:t>
      </w:r>
      <w:r w:rsidR="00231B15">
        <w:rPr>
          <w:rStyle w:val="FootnoteReference"/>
          <w:szCs w:val="22"/>
        </w:rPr>
        <w:footnoteReference w:id="2"/>
      </w:r>
      <w:r w:rsidR="00231B15">
        <w:rPr>
          <w:szCs w:val="22"/>
        </w:rPr>
        <w:t xml:space="preserve"> the </w:t>
      </w:r>
      <w:r w:rsidR="00461E1A">
        <w:rPr>
          <w:szCs w:val="22"/>
        </w:rPr>
        <w:t xml:space="preserve">2010 </w:t>
      </w:r>
      <w:r w:rsidR="00231B15">
        <w:rPr>
          <w:szCs w:val="22"/>
        </w:rPr>
        <w:t xml:space="preserve">Renewal Application filed </w:t>
      </w:r>
      <w:r w:rsidR="00924411">
        <w:rPr>
          <w:szCs w:val="22"/>
        </w:rPr>
        <w:t xml:space="preserve">on December 22, 2010, </w:t>
      </w:r>
      <w:r w:rsidR="00231B15">
        <w:rPr>
          <w:szCs w:val="22"/>
        </w:rPr>
        <w:t xml:space="preserve">by </w:t>
      </w:r>
      <w:r w:rsidR="00B21D02">
        <w:rPr>
          <w:szCs w:val="22"/>
        </w:rPr>
        <w:t>Press Communications, LLC</w:t>
      </w:r>
      <w:r w:rsidR="00231B15">
        <w:rPr>
          <w:szCs w:val="22"/>
        </w:rPr>
        <w:t xml:space="preserve"> (“</w:t>
      </w:r>
      <w:r w:rsidR="00B21D02">
        <w:rPr>
          <w:szCs w:val="22"/>
        </w:rPr>
        <w:t>Press</w:t>
      </w:r>
      <w:r w:rsidR="00231B15">
        <w:rPr>
          <w:szCs w:val="22"/>
        </w:rPr>
        <w:t>”)</w:t>
      </w:r>
      <w:r w:rsidR="00B21D02">
        <w:rPr>
          <w:szCs w:val="22"/>
        </w:rPr>
        <w:t xml:space="preserve">.  </w:t>
      </w:r>
      <w:r w:rsidR="00436EF3">
        <w:rPr>
          <w:szCs w:val="22"/>
        </w:rPr>
        <w:t xml:space="preserve">We also have </w:t>
      </w:r>
      <w:r w:rsidR="00241FAF">
        <w:rPr>
          <w:szCs w:val="22"/>
        </w:rPr>
        <w:t xml:space="preserve">before us </w:t>
      </w:r>
      <w:r w:rsidR="00436EF3">
        <w:rPr>
          <w:szCs w:val="22"/>
        </w:rPr>
        <w:t>the application by the Board for modification of the licensed facilities of the Station (“Modification Application”)</w:t>
      </w:r>
      <w:r w:rsidR="003A644B">
        <w:rPr>
          <w:szCs w:val="22"/>
        </w:rPr>
        <w:t xml:space="preserve"> filed on February 15, 2012</w:t>
      </w:r>
      <w:r w:rsidR="00436EF3">
        <w:rPr>
          <w:szCs w:val="22"/>
        </w:rPr>
        <w:t>.  Finally, w</w:t>
      </w:r>
      <w:r w:rsidR="00326235">
        <w:rPr>
          <w:szCs w:val="22"/>
        </w:rPr>
        <w:t xml:space="preserve">e have before us </w:t>
      </w:r>
      <w:r w:rsidR="00AA134B">
        <w:rPr>
          <w:szCs w:val="22"/>
        </w:rPr>
        <w:t xml:space="preserve">the </w:t>
      </w:r>
      <w:r w:rsidR="00326235">
        <w:rPr>
          <w:szCs w:val="22"/>
        </w:rPr>
        <w:t xml:space="preserve">application by Press for modification of the licensed facilities for its Station </w:t>
      </w:r>
      <w:r w:rsidR="00D316AD">
        <w:rPr>
          <w:szCs w:val="22"/>
        </w:rPr>
        <w:t>W</w:t>
      </w:r>
      <w:r w:rsidR="00326235">
        <w:rPr>
          <w:szCs w:val="22"/>
        </w:rPr>
        <w:t xml:space="preserve">BHX(FM), </w:t>
      </w:r>
      <w:smartTag w:uri="urn:schemas-microsoft-com:office:smarttags" w:element="place">
        <w:smartTag w:uri="urn:schemas-microsoft-com:office:smarttags" w:element="City">
          <w:r w:rsidR="001B782C">
            <w:rPr>
              <w:szCs w:val="22"/>
            </w:rPr>
            <w:t>Tuckerton</w:t>
          </w:r>
        </w:smartTag>
        <w:r w:rsidR="00326235">
          <w:rPr>
            <w:szCs w:val="22"/>
          </w:rPr>
          <w:t xml:space="preserve">, </w:t>
        </w:r>
        <w:smartTag w:uri="urn:schemas-microsoft-com:office:smarttags" w:element="State">
          <w:r w:rsidR="00326235">
            <w:rPr>
              <w:szCs w:val="22"/>
            </w:rPr>
            <w:t>New Jersey</w:t>
          </w:r>
        </w:smartTag>
      </w:smartTag>
      <w:r w:rsidR="00326235">
        <w:rPr>
          <w:szCs w:val="22"/>
        </w:rPr>
        <w:t xml:space="preserve"> (“Press Application”).</w:t>
      </w:r>
      <w:r w:rsidR="00776711">
        <w:rPr>
          <w:rStyle w:val="FootnoteReference"/>
          <w:szCs w:val="22"/>
        </w:rPr>
        <w:footnoteReference w:id="3"/>
      </w:r>
      <w:r w:rsidR="0008132B">
        <w:rPr>
          <w:szCs w:val="22"/>
        </w:rPr>
        <w:t xml:space="preserve">  </w:t>
      </w:r>
    </w:p>
    <w:p w:rsidR="000B2E83" w:rsidRDefault="00042CE3" w:rsidP="00DE38B0">
      <w:pPr>
        <w:spacing w:after="240"/>
        <w:ind w:firstLine="720"/>
        <w:rPr>
          <w:szCs w:val="22"/>
        </w:rPr>
      </w:pPr>
      <w:r>
        <w:rPr>
          <w:snapToGrid/>
          <w:kern w:val="0"/>
          <w:szCs w:val="22"/>
        </w:rPr>
        <w:t>2.</w:t>
      </w:r>
      <w:r>
        <w:rPr>
          <w:snapToGrid/>
          <w:kern w:val="0"/>
          <w:szCs w:val="22"/>
        </w:rPr>
        <w:tab/>
      </w:r>
      <w:r w:rsidR="000B2E83" w:rsidRPr="000828F7">
        <w:rPr>
          <w:szCs w:val="22"/>
        </w:rPr>
        <w:t xml:space="preserve">In a </w:t>
      </w:r>
      <w:r w:rsidR="000B2E83">
        <w:rPr>
          <w:szCs w:val="22"/>
        </w:rPr>
        <w:t>2013</w:t>
      </w:r>
      <w:r w:rsidR="000B2E83" w:rsidRPr="000828F7">
        <w:rPr>
          <w:szCs w:val="22"/>
        </w:rPr>
        <w:t xml:space="preserve"> </w:t>
      </w:r>
      <w:r w:rsidR="000B2E83" w:rsidRPr="000828F7">
        <w:rPr>
          <w:i/>
          <w:szCs w:val="22"/>
        </w:rPr>
        <w:t>Policy Statement</w:t>
      </w:r>
      <w:r w:rsidR="000B2E83" w:rsidRPr="000828F7">
        <w:rPr>
          <w:rStyle w:val="FootnoteReference"/>
          <w:i/>
          <w:szCs w:val="22"/>
        </w:rPr>
        <w:t xml:space="preserve"> </w:t>
      </w:r>
      <w:r w:rsidR="00661F60">
        <w:rPr>
          <w:szCs w:val="22"/>
        </w:rPr>
        <w:t>,</w:t>
      </w:r>
      <w:r w:rsidR="000B2E83" w:rsidRPr="00E970AD">
        <w:rPr>
          <w:rStyle w:val="FootnoteReference"/>
          <w:szCs w:val="22"/>
        </w:rPr>
        <w:footnoteReference w:id="4"/>
      </w:r>
      <w:r w:rsidR="000B2E83" w:rsidRPr="000828F7">
        <w:rPr>
          <w:szCs w:val="22"/>
        </w:rPr>
        <w:t xml:space="preserve"> the Bureau announced that certain student-run NCE radio</w:t>
      </w:r>
      <w:r w:rsidR="000B2E83">
        <w:rPr>
          <w:szCs w:val="22"/>
        </w:rPr>
        <w:t xml:space="preserve"> </w:t>
      </w:r>
      <w:r w:rsidR="000B2E83">
        <w:rPr>
          <w:szCs w:val="22"/>
        </w:rPr>
        <w:lastRenderedPageBreak/>
        <w:t>s</w:t>
      </w:r>
      <w:r w:rsidR="000B2E83" w:rsidRPr="000828F7">
        <w:rPr>
          <w:szCs w:val="22"/>
        </w:rPr>
        <w:t xml:space="preserve">tations that committed first-time violations of certain documentation requirements of </w:t>
      </w:r>
      <w:r w:rsidR="000B2E83">
        <w:rPr>
          <w:szCs w:val="22"/>
        </w:rPr>
        <w:t>the</w:t>
      </w:r>
      <w:r w:rsidR="000B2E83" w:rsidRPr="000828F7">
        <w:rPr>
          <w:szCs w:val="22"/>
        </w:rPr>
        <w:t xml:space="preserve"> Rules would be afforded the opportunity to negotiate a consent decree with a reduced payment amount.</w:t>
      </w:r>
      <w:r w:rsidR="000B2E83" w:rsidRPr="000828F7">
        <w:rPr>
          <w:rStyle w:val="FootnoteReference"/>
          <w:szCs w:val="22"/>
        </w:rPr>
        <w:t xml:space="preserve"> </w:t>
      </w:r>
      <w:r w:rsidR="000B2E83">
        <w:rPr>
          <w:rStyle w:val="FootnoteReference"/>
          <w:szCs w:val="22"/>
        </w:rPr>
        <w:footnoteReference w:id="5"/>
      </w:r>
      <w:r w:rsidR="000B2E83" w:rsidRPr="000828F7">
        <w:rPr>
          <w:szCs w:val="22"/>
        </w:rPr>
        <w:t xml:space="preserve">  The </w:t>
      </w:r>
      <w:r w:rsidR="000B2E83" w:rsidRPr="000828F7">
        <w:rPr>
          <w:i/>
          <w:szCs w:val="22"/>
        </w:rPr>
        <w:t>Policy Statement</w:t>
      </w:r>
      <w:r w:rsidR="000B2E83" w:rsidRPr="000828F7">
        <w:rPr>
          <w:szCs w:val="22"/>
        </w:rPr>
        <w:t xml:space="preserve"> limited the policy to “violations of rules that require the submission of reports and other materials or public notice of information . . . .”</w:t>
      </w:r>
      <w:r w:rsidR="000B2E83">
        <w:rPr>
          <w:rStyle w:val="FootnoteReference"/>
          <w:szCs w:val="22"/>
        </w:rPr>
        <w:footnoteReference w:id="6"/>
      </w:r>
      <w:r w:rsidR="000B2E83" w:rsidRPr="000828F7">
        <w:rPr>
          <w:szCs w:val="22"/>
        </w:rPr>
        <w:t xml:space="preserve">  Additionally, it stated that all other violations of Rules were not included and would be processed under current procedures applicable to all licensees.</w:t>
      </w:r>
      <w:r w:rsidR="000B2E83">
        <w:rPr>
          <w:rStyle w:val="FootnoteReference"/>
          <w:szCs w:val="22"/>
        </w:rPr>
        <w:footnoteReference w:id="7"/>
      </w:r>
      <w:r w:rsidR="000B2E83" w:rsidRPr="000828F7">
        <w:rPr>
          <w:szCs w:val="22"/>
        </w:rPr>
        <w:t xml:space="preserve"> </w:t>
      </w:r>
    </w:p>
    <w:p w:rsidR="009A5C76" w:rsidRPr="005467C8" w:rsidRDefault="000B2E83" w:rsidP="00593A50">
      <w:pPr>
        <w:spacing w:after="240"/>
        <w:ind w:firstLine="720"/>
        <w:rPr>
          <w:b/>
          <w:szCs w:val="22"/>
        </w:rPr>
      </w:pPr>
      <w:r>
        <w:rPr>
          <w:szCs w:val="22"/>
        </w:rPr>
        <w:t>3.</w:t>
      </w:r>
      <w:r>
        <w:rPr>
          <w:szCs w:val="22"/>
        </w:rPr>
        <w:tab/>
      </w:r>
      <w:r w:rsidR="001934F1" w:rsidRPr="001934F1">
        <w:rPr>
          <w:szCs w:val="22"/>
        </w:rPr>
        <w:t xml:space="preserve">In this </w:t>
      </w:r>
      <w:r w:rsidR="001934F1" w:rsidRPr="00EE1E2F">
        <w:rPr>
          <w:szCs w:val="22"/>
        </w:rPr>
        <w:t>Order</w:t>
      </w:r>
      <w:r w:rsidR="001934F1" w:rsidRPr="001934F1">
        <w:rPr>
          <w:szCs w:val="22"/>
        </w:rPr>
        <w:t xml:space="preserve">, we adopt the attached Consent Decree </w:t>
      </w:r>
      <w:r w:rsidR="00006E8E">
        <w:rPr>
          <w:szCs w:val="22"/>
        </w:rPr>
        <w:t xml:space="preserve">and Compliance Plan </w:t>
      </w:r>
      <w:r w:rsidR="001934F1" w:rsidRPr="001934F1">
        <w:rPr>
          <w:szCs w:val="22"/>
        </w:rPr>
        <w:t>entered into by the Bureau</w:t>
      </w:r>
      <w:r w:rsidR="001934F1">
        <w:rPr>
          <w:szCs w:val="22"/>
        </w:rPr>
        <w:t xml:space="preserve"> and Licensee</w:t>
      </w:r>
      <w:r w:rsidR="001934F1" w:rsidRPr="001934F1">
        <w:rPr>
          <w:szCs w:val="22"/>
        </w:rPr>
        <w:t>.  The Consent Decree</w:t>
      </w:r>
      <w:r w:rsidR="00363D6A">
        <w:rPr>
          <w:szCs w:val="22"/>
        </w:rPr>
        <w:t xml:space="preserve"> and Compliance Plan </w:t>
      </w:r>
      <w:r w:rsidR="001934F1" w:rsidRPr="001934F1">
        <w:rPr>
          <w:szCs w:val="22"/>
        </w:rPr>
        <w:t xml:space="preserve">resolve issues </w:t>
      </w:r>
      <w:r w:rsidR="00A172E9">
        <w:rPr>
          <w:szCs w:val="22"/>
        </w:rPr>
        <w:t xml:space="preserve">relating to the tardily filed </w:t>
      </w:r>
      <w:r w:rsidR="00141C29">
        <w:rPr>
          <w:szCs w:val="22"/>
        </w:rPr>
        <w:t>2010 Renewal Application</w:t>
      </w:r>
      <w:r w:rsidR="001934F1" w:rsidRPr="001934F1">
        <w:rPr>
          <w:szCs w:val="22"/>
        </w:rPr>
        <w:t xml:space="preserve"> and </w:t>
      </w:r>
      <w:r w:rsidR="00141C29">
        <w:rPr>
          <w:szCs w:val="22"/>
        </w:rPr>
        <w:t>the</w:t>
      </w:r>
      <w:r w:rsidR="001934F1" w:rsidRPr="001934F1">
        <w:rPr>
          <w:szCs w:val="22"/>
        </w:rPr>
        <w:t xml:space="preserve"> Petition filed against th</w:t>
      </w:r>
      <w:r w:rsidR="00141C29">
        <w:rPr>
          <w:szCs w:val="22"/>
        </w:rPr>
        <w:t>at application</w:t>
      </w:r>
      <w:r w:rsidR="001934F1" w:rsidRPr="001934F1">
        <w:rPr>
          <w:szCs w:val="22"/>
        </w:rPr>
        <w:t>.</w:t>
      </w:r>
      <w:r w:rsidR="00141C29">
        <w:rPr>
          <w:szCs w:val="22"/>
        </w:rPr>
        <w:t xml:space="preserve">  </w:t>
      </w:r>
      <w:r w:rsidR="00E65581">
        <w:rPr>
          <w:szCs w:val="22"/>
        </w:rPr>
        <w:t>For this reason</w:t>
      </w:r>
      <w:r w:rsidR="001934F1" w:rsidRPr="001934F1">
        <w:rPr>
          <w:szCs w:val="22"/>
        </w:rPr>
        <w:t>,</w:t>
      </w:r>
      <w:r w:rsidR="00371F58">
        <w:rPr>
          <w:szCs w:val="22"/>
        </w:rPr>
        <w:t xml:space="preserve"> and as discussed below,</w:t>
      </w:r>
      <w:r w:rsidR="001934F1" w:rsidRPr="001934F1">
        <w:rPr>
          <w:szCs w:val="22"/>
        </w:rPr>
        <w:t xml:space="preserve"> we also d</w:t>
      </w:r>
      <w:r w:rsidR="00D42D9C">
        <w:rPr>
          <w:szCs w:val="22"/>
        </w:rPr>
        <w:t>eny</w:t>
      </w:r>
      <w:r w:rsidR="001934F1" w:rsidRPr="001934F1">
        <w:rPr>
          <w:szCs w:val="22"/>
        </w:rPr>
        <w:t xml:space="preserve"> the Petition.</w:t>
      </w:r>
      <w:r w:rsidR="001934F1" w:rsidRPr="001934F1">
        <w:rPr>
          <w:szCs w:val="22"/>
          <w:vertAlign w:val="superscript"/>
        </w:rPr>
        <w:footnoteReference w:id="8"/>
      </w:r>
      <w:r w:rsidR="001B16BF">
        <w:rPr>
          <w:szCs w:val="22"/>
        </w:rPr>
        <w:t xml:space="preserve">  </w:t>
      </w:r>
      <w:r>
        <w:rPr>
          <w:szCs w:val="22"/>
        </w:rPr>
        <w:t xml:space="preserve">The Consent Decree also requires that the Board adhere to a Compliance Plan as set forth in the Appendix to the Consent Decree and pay a specified civil penalty.  </w:t>
      </w:r>
      <w:r w:rsidR="001934F1" w:rsidRPr="001934F1">
        <w:rPr>
          <w:szCs w:val="22"/>
        </w:rPr>
        <w:t xml:space="preserve">The Consent Decree stipulates that </w:t>
      </w:r>
      <w:r w:rsidR="00141C29">
        <w:rPr>
          <w:szCs w:val="22"/>
        </w:rPr>
        <w:t>Licensee</w:t>
      </w:r>
      <w:r w:rsidR="001934F1" w:rsidRPr="001934F1">
        <w:rPr>
          <w:szCs w:val="22"/>
        </w:rPr>
        <w:t xml:space="preserve"> violated Section 73.3539 of the Commission’s Rules (“Rules”)</w:t>
      </w:r>
      <w:r w:rsidR="00C81BA5" w:rsidRPr="00C81BA5">
        <w:rPr>
          <w:szCs w:val="22"/>
        </w:rPr>
        <w:t xml:space="preserve"> by failing to file a timely renewal application for the Station</w:t>
      </w:r>
      <w:r w:rsidR="00C81BA5">
        <w:rPr>
          <w:szCs w:val="22"/>
        </w:rPr>
        <w:t>;</w:t>
      </w:r>
      <w:r w:rsidR="00141C29" w:rsidRPr="00141C29">
        <w:rPr>
          <w:szCs w:val="22"/>
        </w:rPr>
        <w:t xml:space="preserve"> Section 301 of the Communications Act of 1934, as amended (“Act”)</w:t>
      </w:r>
      <w:r w:rsidR="00C81BA5">
        <w:rPr>
          <w:szCs w:val="22"/>
        </w:rPr>
        <w:t xml:space="preserve">, </w:t>
      </w:r>
      <w:r w:rsidR="00141C29" w:rsidRPr="00141C29">
        <w:rPr>
          <w:szCs w:val="22"/>
        </w:rPr>
        <w:t>by engaging in unauthorized operation of the Station after its authorization had expired</w:t>
      </w:r>
      <w:r w:rsidR="00C81BA5">
        <w:rPr>
          <w:szCs w:val="22"/>
        </w:rPr>
        <w:t>;</w:t>
      </w:r>
      <w:r w:rsidR="00141C29" w:rsidRPr="00141C29">
        <w:rPr>
          <w:szCs w:val="22"/>
          <w:vertAlign w:val="superscript"/>
        </w:rPr>
        <w:footnoteReference w:id="9"/>
      </w:r>
      <w:r w:rsidR="00141C29">
        <w:rPr>
          <w:szCs w:val="22"/>
        </w:rPr>
        <w:t xml:space="preserve"> </w:t>
      </w:r>
      <w:r w:rsidR="00141C29" w:rsidRPr="00141C29">
        <w:rPr>
          <w:szCs w:val="22"/>
        </w:rPr>
        <w:t>Section 73.3527 of the Rules by failing to retain all required documentation in the Station’s public inspection file</w:t>
      </w:r>
      <w:r w:rsidR="00C81BA5">
        <w:rPr>
          <w:szCs w:val="22"/>
        </w:rPr>
        <w:t>;</w:t>
      </w:r>
      <w:r w:rsidR="00141C29" w:rsidRPr="00141C29">
        <w:rPr>
          <w:szCs w:val="22"/>
          <w:vertAlign w:val="superscript"/>
        </w:rPr>
        <w:footnoteReference w:id="10"/>
      </w:r>
      <w:r w:rsidR="00141C29">
        <w:rPr>
          <w:szCs w:val="22"/>
        </w:rPr>
        <w:t xml:space="preserve"> and </w:t>
      </w:r>
      <w:r w:rsidR="00141C29" w:rsidRPr="00141C29">
        <w:rPr>
          <w:szCs w:val="22"/>
        </w:rPr>
        <w:t>Section 73.1350(a) of the Rules by operating the Station with an antenna at variance with its licensed parameters.</w:t>
      </w:r>
      <w:r w:rsidR="00141C29" w:rsidRPr="00141C29">
        <w:rPr>
          <w:szCs w:val="22"/>
          <w:vertAlign w:val="superscript"/>
        </w:rPr>
        <w:footnoteReference w:id="11"/>
      </w:r>
      <w:r w:rsidR="00141C29" w:rsidRPr="00141C29">
        <w:rPr>
          <w:szCs w:val="22"/>
        </w:rPr>
        <w:t xml:space="preserve">  </w:t>
      </w:r>
      <w:r>
        <w:rPr>
          <w:szCs w:val="22"/>
        </w:rPr>
        <w:t>With respect to the late-filing and Public File Rule</w:t>
      </w:r>
      <w:r w:rsidR="003F4768">
        <w:rPr>
          <w:szCs w:val="22"/>
        </w:rPr>
        <w:t xml:space="preserve"> violation</w:t>
      </w:r>
      <w:r>
        <w:rPr>
          <w:szCs w:val="22"/>
        </w:rPr>
        <w:t xml:space="preserve">, the Board has shown that, at the time of the violations, the Station was a </w:t>
      </w:r>
      <w:r>
        <w:rPr>
          <w:szCs w:val="22"/>
        </w:rPr>
        <w:lastRenderedPageBreak/>
        <w:t>student-run</w:t>
      </w:r>
      <w:r w:rsidRPr="00EB7D81">
        <w:rPr>
          <w:szCs w:val="22"/>
        </w:rPr>
        <w:t xml:space="preserve"> </w:t>
      </w:r>
      <w:r>
        <w:rPr>
          <w:szCs w:val="22"/>
        </w:rPr>
        <w:t xml:space="preserve">NCE FM station and that the violations at the Station are first-time documentation violations within the parameters of our policy concerning violations of documentation requirements of Rules by student-run NCE radio stations.  </w:t>
      </w:r>
      <w:r w:rsidR="009A5C76">
        <w:rPr>
          <w:szCs w:val="22"/>
        </w:rPr>
        <w:t xml:space="preserve">For these violations, </w:t>
      </w:r>
      <w:r w:rsidR="005474E9">
        <w:rPr>
          <w:szCs w:val="22"/>
        </w:rPr>
        <w:t xml:space="preserve">the Board </w:t>
      </w:r>
      <w:r w:rsidR="009A5C76">
        <w:rPr>
          <w:szCs w:val="22"/>
        </w:rPr>
        <w:t xml:space="preserve">will pay a civil penalty to the United States Treasury in the amount of one thousand </w:t>
      </w:r>
      <w:r w:rsidR="004B0399">
        <w:rPr>
          <w:szCs w:val="22"/>
        </w:rPr>
        <w:t xml:space="preserve">five hundred </w:t>
      </w:r>
      <w:r w:rsidR="009A5C76">
        <w:rPr>
          <w:szCs w:val="22"/>
        </w:rPr>
        <w:t>dollars ($1,</w:t>
      </w:r>
      <w:r w:rsidR="004B0399">
        <w:rPr>
          <w:szCs w:val="22"/>
        </w:rPr>
        <w:t>5</w:t>
      </w:r>
      <w:r w:rsidR="009A5C76">
        <w:rPr>
          <w:szCs w:val="22"/>
        </w:rPr>
        <w:t xml:space="preserve">00). </w:t>
      </w:r>
      <w:r w:rsidR="005474E9">
        <w:rPr>
          <w:szCs w:val="22"/>
        </w:rPr>
        <w:t xml:space="preserve"> </w:t>
      </w:r>
      <w:r w:rsidR="009A5C76" w:rsidRPr="00223367">
        <w:rPr>
          <w:szCs w:val="22"/>
        </w:rPr>
        <w:t xml:space="preserve">Regarding the </w:t>
      </w:r>
      <w:r w:rsidR="009A5C76">
        <w:rPr>
          <w:szCs w:val="22"/>
        </w:rPr>
        <w:t xml:space="preserve">unauthorized operation and operation at variance from the Station’s authorization, </w:t>
      </w:r>
      <w:r w:rsidR="009A5C76" w:rsidRPr="00223367">
        <w:rPr>
          <w:szCs w:val="22"/>
        </w:rPr>
        <w:t xml:space="preserve">these are substantive violations that are not covered by special processing </w:t>
      </w:r>
      <w:r w:rsidR="009A5C76">
        <w:rPr>
          <w:szCs w:val="22"/>
        </w:rPr>
        <w:t xml:space="preserve">as </w:t>
      </w:r>
      <w:r w:rsidR="009A5C76" w:rsidRPr="00223367">
        <w:rPr>
          <w:szCs w:val="22"/>
        </w:rPr>
        <w:t xml:space="preserve">set forth in the </w:t>
      </w:r>
      <w:r w:rsidR="009A5C76" w:rsidRPr="006D6394">
        <w:rPr>
          <w:i/>
          <w:szCs w:val="22"/>
        </w:rPr>
        <w:t>Policy Statement</w:t>
      </w:r>
      <w:r w:rsidR="009A5C76" w:rsidRPr="00223367">
        <w:rPr>
          <w:szCs w:val="22"/>
        </w:rPr>
        <w:t>.</w:t>
      </w:r>
      <w:r w:rsidR="009A5C76">
        <w:rPr>
          <w:szCs w:val="22"/>
        </w:rPr>
        <w:t xml:space="preserve">  For these violations, </w:t>
      </w:r>
      <w:r w:rsidR="00491C6D">
        <w:rPr>
          <w:szCs w:val="22"/>
        </w:rPr>
        <w:t xml:space="preserve">the Board </w:t>
      </w:r>
      <w:r w:rsidR="009A5C76">
        <w:rPr>
          <w:szCs w:val="22"/>
        </w:rPr>
        <w:t xml:space="preserve">has agreed to pay a civil penalty to the United States Treasury in the amount of </w:t>
      </w:r>
      <w:r w:rsidR="004B0399">
        <w:rPr>
          <w:szCs w:val="22"/>
        </w:rPr>
        <w:t>four thousand seven hundred and fifty</w:t>
      </w:r>
      <w:r w:rsidR="009A5C76">
        <w:rPr>
          <w:szCs w:val="22"/>
        </w:rPr>
        <w:t xml:space="preserve"> </w:t>
      </w:r>
      <w:r w:rsidR="004B0399">
        <w:rPr>
          <w:szCs w:val="22"/>
        </w:rPr>
        <w:t xml:space="preserve">dollars </w:t>
      </w:r>
      <w:r w:rsidR="009A5C76">
        <w:rPr>
          <w:szCs w:val="22"/>
        </w:rPr>
        <w:t>($</w:t>
      </w:r>
      <w:r w:rsidR="004B0399">
        <w:rPr>
          <w:szCs w:val="22"/>
        </w:rPr>
        <w:t>4</w:t>
      </w:r>
      <w:r w:rsidR="009A5C76">
        <w:rPr>
          <w:szCs w:val="22"/>
        </w:rPr>
        <w:t>,</w:t>
      </w:r>
      <w:r w:rsidR="004B0399">
        <w:rPr>
          <w:szCs w:val="22"/>
        </w:rPr>
        <w:t>75</w:t>
      </w:r>
      <w:r w:rsidR="009A5C76">
        <w:rPr>
          <w:szCs w:val="22"/>
        </w:rPr>
        <w:t xml:space="preserve">0).  Thus, </w:t>
      </w:r>
      <w:r w:rsidR="00491C6D">
        <w:rPr>
          <w:szCs w:val="22"/>
        </w:rPr>
        <w:t>The Board ha</w:t>
      </w:r>
      <w:r w:rsidR="009A5C76">
        <w:rPr>
          <w:szCs w:val="22"/>
        </w:rPr>
        <w:t xml:space="preserve">s agreed to pay a total civil penalty of </w:t>
      </w:r>
      <w:r w:rsidR="00763D6A">
        <w:rPr>
          <w:szCs w:val="22"/>
        </w:rPr>
        <w:t>six thousand two hundred fifty d</w:t>
      </w:r>
      <w:r w:rsidR="009A5C76">
        <w:rPr>
          <w:szCs w:val="22"/>
        </w:rPr>
        <w:t>ollars ($</w:t>
      </w:r>
      <w:r w:rsidR="004B0399">
        <w:rPr>
          <w:szCs w:val="22"/>
        </w:rPr>
        <w:t>6</w:t>
      </w:r>
      <w:r w:rsidR="009A5C76">
        <w:rPr>
          <w:szCs w:val="22"/>
        </w:rPr>
        <w:t>,</w:t>
      </w:r>
      <w:r w:rsidR="004B0399">
        <w:rPr>
          <w:szCs w:val="22"/>
        </w:rPr>
        <w:t>25</w:t>
      </w:r>
      <w:r w:rsidR="009A5C76">
        <w:rPr>
          <w:szCs w:val="22"/>
        </w:rPr>
        <w:t xml:space="preserve">0).  </w:t>
      </w:r>
      <w:r w:rsidR="005474E9">
        <w:rPr>
          <w:szCs w:val="22"/>
        </w:rPr>
        <w:t>A c</w:t>
      </w:r>
      <w:r w:rsidR="009A5C76" w:rsidRPr="005467C8">
        <w:rPr>
          <w:szCs w:val="22"/>
        </w:rPr>
        <w:t>opy of the Consent Decree is attached hereto and incorporated by reference.</w:t>
      </w:r>
    </w:p>
    <w:p w:rsidR="001934F1" w:rsidRDefault="00661F60" w:rsidP="00EA12F0">
      <w:pPr>
        <w:widowControl/>
        <w:shd w:val="clear" w:color="auto" w:fill="FFFFFF"/>
        <w:ind w:firstLine="720"/>
        <w:rPr>
          <w:szCs w:val="22"/>
        </w:rPr>
      </w:pPr>
      <w:r>
        <w:rPr>
          <w:szCs w:val="22"/>
        </w:rPr>
        <w:t>4.</w:t>
      </w:r>
      <w:r>
        <w:rPr>
          <w:szCs w:val="22"/>
        </w:rPr>
        <w:tab/>
      </w:r>
      <w:r w:rsidR="00F74938" w:rsidRPr="00F74938">
        <w:rPr>
          <w:szCs w:val="22"/>
        </w:rPr>
        <w:t xml:space="preserve">Based upon our review of the record before us, we conclude that </w:t>
      </w:r>
      <w:bookmarkStart w:id="1" w:name="SR;314"/>
      <w:bookmarkEnd w:id="1"/>
      <w:r w:rsidR="00F74938" w:rsidRPr="00F74938">
        <w:rPr>
          <w:szCs w:val="22"/>
        </w:rPr>
        <w:t>the 2010 and 2014 Renewal Applications should be granted</w:t>
      </w:r>
      <w:r w:rsidR="00F4205E">
        <w:rPr>
          <w:szCs w:val="22"/>
        </w:rPr>
        <w:t>, subject to satisfaction of certain conditions set forth in the Consent Decree, but only for a term of two (2) years from the grant of the latter application.</w:t>
      </w:r>
      <w:r w:rsidR="001E35B5">
        <w:rPr>
          <w:rStyle w:val="FootnoteReference"/>
          <w:szCs w:val="22"/>
        </w:rPr>
        <w:footnoteReference w:id="12"/>
      </w:r>
      <w:r w:rsidR="00C81BA5">
        <w:rPr>
          <w:szCs w:val="22"/>
        </w:rPr>
        <w:t xml:space="preserve">  </w:t>
      </w:r>
    </w:p>
    <w:p w:rsidR="00141C29" w:rsidRDefault="00141C29" w:rsidP="001934F1">
      <w:pPr>
        <w:widowControl/>
        <w:shd w:val="clear" w:color="auto" w:fill="FFFFFF"/>
        <w:rPr>
          <w:szCs w:val="22"/>
        </w:rPr>
      </w:pPr>
    </w:p>
    <w:p w:rsidR="00EF68BD" w:rsidRDefault="0026772A" w:rsidP="00B153D6">
      <w:pPr>
        <w:widowControl/>
        <w:shd w:val="clear" w:color="auto" w:fill="FFFFFF"/>
        <w:rPr>
          <w:szCs w:val="22"/>
        </w:rPr>
      </w:pPr>
      <w:r>
        <w:rPr>
          <w:szCs w:val="22"/>
        </w:rPr>
        <w:tab/>
      </w:r>
      <w:r w:rsidR="00661F60">
        <w:rPr>
          <w:szCs w:val="22"/>
        </w:rPr>
        <w:t>5</w:t>
      </w:r>
      <w:r>
        <w:rPr>
          <w:szCs w:val="22"/>
        </w:rPr>
        <w:t>.</w:t>
      </w:r>
      <w:r>
        <w:rPr>
          <w:szCs w:val="22"/>
        </w:rPr>
        <w:tab/>
      </w:r>
      <w:r w:rsidR="008671EF" w:rsidRPr="00371F58">
        <w:rPr>
          <w:i/>
          <w:szCs w:val="22"/>
        </w:rPr>
        <w:t>Press Application</w:t>
      </w:r>
      <w:r w:rsidR="008671EF">
        <w:rPr>
          <w:szCs w:val="22"/>
        </w:rPr>
        <w:t xml:space="preserve">.  </w:t>
      </w:r>
      <w:r w:rsidRPr="008671EF">
        <w:rPr>
          <w:szCs w:val="22"/>
        </w:rPr>
        <w:t>On</w:t>
      </w:r>
      <w:r w:rsidRPr="0026772A">
        <w:rPr>
          <w:szCs w:val="22"/>
        </w:rPr>
        <w:t xml:space="preserve"> August 27, 2010, Press filed </w:t>
      </w:r>
      <w:r w:rsidR="008671EF">
        <w:rPr>
          <w:szCs w:val="22"/>
        </w:rPr>
        <w:t>its application</w:t>
      </w:r>
      <w:r w:rsidRPr="0026772A">
        <w:rPr>
          <w:szCs w:val="22"/>
        </w:rPr>
        <w:t xml:space="preserve"> to move to a new frequency</w:t>
      </w:r>
      <w:r w:rsidR="00EF68BD">
        <w:rPr>
          <w:rStyle w:val="FootnoteReference"/>
          <w:szCs w:val="22"/>
        </w:rPr>
        <w:footnoteReference w:id="13"/>
      </w:r>
      <w:r w:rsidRPr="0026772A">
        <w:rPr>
          <w:szCs w:val="22"/>
        </w:rPr>
        <w:t xml:space="preserve"> and new location for its Station WBHX(FM),</w:t>
      </w:r>
      <w:r w:rsidR="008C576A">
        <w:rPr>
          <w:szCs w:val="22"/>
        </w:rPr>
        <w:t xml:space="preserve"> </w:t>
      </w:r>
      <w:r w:rsidRPr="0026772A">
        <w:rPr>
          <w:szCs w:val="22"/>
        </w:rPr>
        <w:t>Tuckerton, New Jersey.  The Press Application’s propos</w:t>
      </w:r>
      <w:r w:rsidR="00B169EC">
        <w:rPr>
          <w:szCs w:val="22"/>
        </w:rPr>
        <w:t xml:space="preserve">ed involuntary channel substitution of </w:t>
      </w:r>
      <w:r w:rsidR="00A965D0">
        <w:rPr>
          <w:szCs w:val="22"/>
        </w:rPr>
        <w:t>Station WZBZ</w:t>
      </w:r>
      <w:r w:rsidR="0081665F">
        <w:rPr>
          <w:szCs w:val="22"/>
        </w:rPr>
        <w:t>(FM)</w:t>
      </w:r>
      <w:r w:rsidR="00A172E9">
        <w:rPr>
          <w:szCs w:val="22"/>
        </w:rPr>
        <w:t xml:space="preserve">, licensed to </w:t>
      </w:r>
      <w:r w:rsidR="00AD2EAA">
        <w:rPr>
          <w:szCs w:val="22"/>
        </w:rPr>
        <w:t>Equity</w:t>
      </w:r>
      <w:r w:rsidR="00A172E9">
        <w:rPr>
          <w:szCs w:val="22"/>
        </w:rPr>
        <w:t>,</w:t>
      </w:r>
      <w:r w:rsidR="00B169EC">
        <w:rPr>
          <w:szCs w:val="22"/>
        </w:rPr>
        <w:t xml:space="preserve"> from Channel 257A to Channel 259A</w:t>
      </w:r>
      <w:r w:rsidR="00B169EC" w:rsidRPr="0026772A">
        <w:rPr>
          <w:szCs w:val="22"/>
        </w:rPr>
        <w:t xml:space="preserve"> </w:t>
      </w:r>
      <w:r w:rsidR="00A172E9">
        <w:rPr>
          <w:szCs w:val="22"/>
        </w:rPr>
        <w:t xml:space="preserve">was not fully spaced to </w:t>
      </w:r>
      <w:r w:rsidRPr="0026772A">
        <w:rPr>
          <w:szCs w:val="22"/>
        </w:rPr>
        <w:t xml:space="preserve">the </w:t>
      </w:r>
      <w:r w:rsidR="00A172E9">
        <w:rPr>
          <w:szCs w:val="22"/>
        </w:rPr>
        <w:t xml:space="preserve">allegedly </w:t>
      </w:r>
      <w:r w:rsidRPr="0026772A">
        <w:rPr>
          <w:szCs w:val="22"/>
        </w:rPr>
        <w:t xml:space="preserve">expired Station license.  Press argues in its Petition that there is no </w:t>
      </w:r>
      <w:r w:rsidR="00A172E9">
        <w:rPr>
          <w:szCs w:val="22"/>
        </w:rPr>
        <w:t xml:space="preserve">rule violation </w:t>
      </w:r>
      <w:r w:rsidRPr="0026772A">
        <w:rPr>
          <w:szCs w:val="22"/>
        </w:rPr>
        <w:t>because “the WAJM license to broadcast . . . had already expired,” and the Board failed to timely file the 2010 Renewal Application.</w:t>
      </w:r>
      <w:r>
        <w:rPr>
          <w:rStyle w:val="FootnoteReference"/>
          <w:szCs w:val="22"/>
        </w:rPr>
        <w:footnoteReference w:id="14"/>
      </w:r>
      <w:r>
        <w:rPr>
          <w:szCs w:val="22"/>
        </w:rPr>
        <w:t xml:space="preserve">  </w:t>
      </w:r>
      <w:r w:rsidR="008671EF">
        <w:rPr>
          <w:szCs w:val="22"/>
        </w:rPr>
        <w:t>The staff evaluated the Press Application and, on June 20, 2014, sent Press a letter providing it with 30 days to cure several listed defects</w:t>
      </w:r>
      <w:r w:rsidR="00DC7DC3" w:rsidRPr="00DC7DC3">
        <w:rPr>
          <w:szCs w:val="22"/>
        </w:rPr>
        <w:t>.</w:t>
      </w:r>
      <w:r w:rsidR="008671EF">
        <w:rPr>
          <w:rStyle w:val="FootnoteReference"/>
          <w:szCs w:val="22"/>
        </w:rPr>
        <w:footnoteReference w:id="15"/>
      </w:r>
      <w:r w:rsidR="008671EF">
        <w:rPr>
          <w:szCs w:val="22"/>
        </w:rPr>
        <w:t xml:space="preserve">  Press responded </w:t>
      </w:r>
      <w:r w:rsidR="007D64B7">
        <w:rPr>
          <w:szCs w:val="22"/>
        </w:rPr>
        <w:t xml:space="preserve">to the </w:t>
      </w:r>
      <w:r w:rsidR="00CE299A">
        <w:rPr>
          <w:i/>
          <w:szCs w:val="22"/>
        </w:rPr>
        <w:t>Staff Letter</w:t>
      </w:r>
      <w:r w:rsidR="007D64B7">
        <w:rPr>
          <w:szCs w:val="22"/>
        </w:rPr>
        <w:t xml:space="preserve"> on July 18, 2014</w:t>
      </w:r>
      <w:r w:rsidR="005E14A6">
        <w:rPr>
          <w:szCs w:val="22"/>
        </w:rPr>
        <w:t>, but did not correct the identified defects.</w:t>
      </w:r>
      <w:r w:rsidR="000A1B4E">
        <w:rPr>
          <w:rStyle w:val="FootnoteReference"/>
          <w:szCs w:val="22"/>
        </w:rPr>
        <w:footnoteReference w:id="16"/>
      </w:r>
      <w:r w:rsidR="007D64B7">
        <w:rPr>
          <w:szCs w:val="22"/>
        </w:rPr>
        <w:t xml:space="preserve"> </w:t>
      </w:r>
    </w:p>
    <w:p w:rsidR="00B153D6" w:rsidRDefault="00B153D6" w:rsidP="0026772A">
      <w:pPr>
        <w:shd w:val="clear" w:color="auto" w:fill="FFFFFF"/>
        <w:rPr>
          <w:szCs w:val="22"/>
        </w:rPr>
      </w:pPr>
    </w:p>
    <w:p w:rsidR="007D7FB1" w:rsidRPr="007D7FB1" w:rsidRDefault="003050AB" w:rsidP="007D7FB1">
      <w:pPr>
        <w:shd w:val="clear" w:color="auto" w:fill="FFFFFF"/>
        <w:rPr>
          <w:szCs w:val="22"/>
        </w:rPr>
      </w:pPr>
      <w:r>
        <w:rPr>
          <w:szCs w:val="22"/>
        </w:rPr>
        <w:tab/>
      </w:r>
      <w:r w:rsidR="00661F60">
        <w:rPr>
          <w:szCs w:val="22"/>
        </w:rPr>
        <w:t>6</w:t>
      </w:r>
      <w:r>
        <w:rPr>
          <w:szCs w:val="22"/>
        </w:rPr>
        <w:t>.</w:t>
      </w:r>
      <w:r>
        <w:rPr>
          <w:szCs w:val="22"/>
        </w:rPr>
        <w:tab/>
      </w:r>
      <w:r w:rsidR="00CD2681">
        <w:rPr>
          <w:szCs w:val="22"/>
        </w:rPr>
        <w:t>W</w:t>
      </w:r>
      <w:r w:rsidR="00F40803" w:rsidRPr="0026772A">
        <w:rPr>
          <w:szCs w:val="22"/>
        </w:rPr>
        <w:t>e reject Press’ primary contention that the Station’s license cannot be renewed because it expired before the 2010 Renewal Application was filed.</w:t>
      </w:r>
      <w:r w:rsidR="00F40803">
        <w:rPr>
          <w:szCs w:val="22"/>
        </w:rPr>
        <w:t xml:space="preserve">  </w:t>
      </w:r>
      <w:r w:rsidR="00F40803" w:rsidRPr="0026772A">
        <w:rPr>
          <w:szCs w:val="22"/>
        </w:rPr>
        <w:t xml:space="preserve">The Commission </w:t>
      </w:r>
      <w:r w:rsidR="00F40803">
        <w:rPr>
          <w:szCs w:val="22"/>
        </w:rPr>
        <w:t xml:space="preserve">and the Bureau </w:t>
      </w:r>
      <w:r w:rsidR="00F40803" w:rsidRPr="0026772A">
        <w:rPr>
          <w:szCs w:val="22"/>
        </w:rPr>
        <w:t>ha</w:t>
      </w:r>
      <w:r w:rsidR="00F40803">
        <w:rPr>
          <w:szCs w:val="22"/>
        </w:rPr>
        <w:t>ve</w:t>
      </w:r>
      <w:r w:rsidR="00F40803" w:rsidRPr="0026772A">
        <w:rPr>
          <w:szCs w:val="22"/>
        </w:rPr>
        <w:t xml:space="preserve"> </w:t>
      </w:r>
      <w:r w:rsidR="00F40803" w:rsidRPr="00D11EE3">
        <w:rPr>
          <w:szCs w:val="22"/>
        </w:rPr>
        <w:t>considered and addressed this issue many times.</w:t>
      </w:r>
      <w:r w:rsidR="00F40803" w:rsidRPr="00D11EE3">
        <w:rPr>
          <w:szCs w:val="22"/>
          <w:vertAlign w:val="superscript"/>
        </w:rPr>
        <w:footnoteReference w:id="17"/>
      </w:r>
      <w:r w:rsidR="00F40803" w:rsidRPr="00D11EE3">
        <w:rPr>
          <w:szCs w:val="22"/>
        </w:rPr>
        <w:t xml:space="preserve">  Accordingly, we find that we may process the late-filed 2010 Renewal Application and timely 2014 Renewal Application.  </w:t>
      </w:r>
      <w:r w:rsidR="00510EEE" w:rsidRPr="00D11EE3">
        <w:rPr>
          <w:szCs w:val="22"/>
        </w:rPr>
        <w:t xml:space="preserve">To the extent Press argues that acceptance of the 2010 Renewal Application would constitute an unjustified waiver of the filing deadline, again, the Commission has addressed that issue and found that, in the case of late-filed license renewal applications, </w:t>
      </w:r>
      <w:r w:rsidR="00510EEE" w:rsidRPr="00D11EE3">
        <w:rPr>
          <w:color w:val="000000"/>
          <w:szCs w:val="22"/>
        </w:rPr>
        <w:t>waivers of these rules are warranted in the instant circumstances for the limited purpose of accepting and acting on the station's license renewal application</w:t>
      </w:r>
      <w:r w:rsidR="000C7B6B">
        <w:rPr>
          <w:color w:val="000000"/>
          <w:szCs w:val="22"/>
        </w:rPr>
        <w:t>.</w:t>
      </w:r>
      <w:r w:rsidR="006D5345">
        <w:rPr>
          <w:rStyle w:val="FootnoteReference"/>
          <w:szCs w:val="22"/>
        </w:rPr>
        <w:footnoteReference w:id="18"/>
      </w:r>
      <w:r w:rsidR="000C7B6B">
        <w:rPr>
          <w:color w:val="000000"/>
          <w:szCs w:val="22"/>
        </w:rPr>
        <w:t xml:space="preserve">  </w:t>
      </w:r>
      <w:r w:rsidR="00780925">
        <w:rPr>
          <w:color w:val="000000"/>
        </w:rPr>
        <w:t>B</w:t>
      </w:r>
      <w:r w:rsidR="00780925">
        <w:t>ecause longstanding and clear Commission precedent dictates that we are to process the 2010 and 2014 Renewal Applications, the technical proposal in the Press Application was required to protect the Station’s licensed facilities under Section 73.207 of the Rules</w:t>
      </w:r>
      <w:r w:rsidR="00F40803" w:rsidRPr="00D11EE3">
        <w:rPr>
          <w:szCs w:val="22"/>
        </w:rPr>
        <w:t>.</w:t>
      </w:r>
      <w:r w:rsidR="00F40803" w:rsidRPr="00D11EE3">
        <w:rPr>
          <w:szCs w:val="22"/>
          <w:vertAlign w:val="superscript"/>
        </w:rPr>
        <w:footnoteReference w:id="19"/>
      </w:r>
      <w:r w:rsidR="00F40803" w:rsidRPr="00D11EE3">
        <w:rPr>
          <w:szCs w:val="22"/>
        </w:rPr>
        <w:t xml:space="preserve">  As discussed above, the Press Application</w:t>
      </w:r>
      <w:r w:rsidR="000C7B6B">
        <w:rPr>
          <w:szCs w:val="22"/>
        </w:rPr>
        <w:t xml:space="preserve"> </w:t>
      </w:r>
      <w:r w:rsidR="00F40803" w:rsidRPr="00D11EE3">
        <w:rPr>
          <w:szCs w:val="22"/>
        </w:rPr>
        <w:t>does not do so</w:t>
      </w:r>
      <w:r w:rsidR="001C1A6F">
        <w:rPr>
          <w:szCs w:val="22"/>
        </w:rPr>
        <w:t xml:space="preserve"> with respect to the Station</w:t>
      </w:r>
      <w:r w:rsidR="00F40803" w:rsidRPr="00D11EE3">
        <w:rPr>
          <w:szCs w:val="22"/>
        </w:rPr>
        <w:t>.</w:t>
      </w:r>
      <w:r w:rsidR="00CD2681">
        <w:rPr>
          <w:szCs w:val="22"/>
        </w:rPr>
        <w:t xml:space="preserve">  The fact that Press alleges that it must relocate WBHX(FM) is not material to our application of these well-settled licensing policies.</w:t>
      </w:r>
      <w:r w:rsidR="007D7FB1">
        <w:rPr>
          <w:szCs w:val="22"/>
        </w:rPr>
        <w:t xml:space="preserve">  </w:t>
      </w:r>
      <w:r w:rsidR="007D7FB1" w:rsidRPr="007D7FB1">
        <w:rPr>
          <w:szCs w:val="22"/>
        </w:rPr>
        <w:t>Press states that it is moving because the city of Beach Haven, New Jersey, where WBHX(FM)’s transmission facilities are located on a leased tower, requested that Press move from its existing site</w:t>
      </w:r>
      <w:r w:rsidR="00306493">
        <w:rPr>
          <w:szCs w:val="22"/>
        </w:rPr>
        <w:t>.</w:t>
      </w:r>
      <w:r w:rsidR="00306493">
        <w:rPr>
          <w:rStyle w:val="FootnoteReference"/>
          <w:szCs w:val="22"/>
        </w:rPr>
        <w:footnoteReference w:id="20"/>
      </w:r>
      <w:r w:rsidR="00306493">
        <w:rPr>
          <w:szCs w:val="22"/>
        </w:rPr>
        <w:t xml:space="preserve">  Press also claims that Beach Haven </w:t>
      </w:r>
      <w:r w:rsidR="007D7FB1" w:rsidRPr="007D7FB1">
        <w:rPr>
          <w:szCs w:val="22"/>
        </w:rPr>
        <w:t xml:space="preserve">will not allow Press to construct a broadcast tower, and </w:t>
      </w:r>
      <w:r w:rsidR="00A172E9">
        <w:rPr>
          <w:szCs w:val="22"/>
        </w:rPr>
        <w:t xml:space="preserve">that distance </w:t>
      </w:r>
      <w:r w:rsidR="007D7FB1" w:rsidRPr="007D7FB1">
        <w:rPr>
          <w:szCs w:val="22"/>
        </w:rPr>
        <w:t xml:space="preserve">separation </w:t>
      </w:r>
      <w:r w:rsidR="00A172E9">
        <w:rPr>
          <w:szCs w:val="22"/>
        </w:rPr>
        <w:t>requirements substantially limit siting alternatives.</w:t>
      </w:r>
      <w:r w:rsidR="007D7FB1" w:rsidRPr="007D7FB1">
        <w:rPr>
          <w:szCs w:val="22"/>
        </w:rPr>
        <w:t>.</w:t>
      </w:r>
      <w:r w:rsidR="007D7FB1">
        <w:rPr>
          <w:rStyle w:val="FootnoteReference"/>
          <w:szCs w:val="22"/>
        </w:rPr>
        <w:footnoteReference w:id="21"/>
      </w:r>
      <w:r w:rsidR="007D7FB1" w:rsidRPr="007D7FB1">
        <w:rPr>
          <w:szCs w:val="22"/>
        </w:rPr>
        <w:t xml:space="preserve">  </w:t>
      </w:r>
      <w:r w:rsidR="00306493">
        <w:rPr>
          <w:szCs w:val="22"/>
        </w:rPr>
        <w:t>Press</w:t>
      </w:r>
      <w:r w:rsidR="007D7FB1" w:rsidRPr="007D7FB1">
        <w:rPr>
          <w:szCs w:val="22"/>
        </w:rPr>
        <w:t xml:space="preserve"> observes that moving its Station WBHX(FM) to Tuckerton, New Jersey, is its “only viable option” for relocating that station.</w:t>
      </w:r>
      <w:r w:rsidR="007D7FB1">
        <w:rPr>
          <w:rStyle w:val="FootnoteReference"/>
          <w:szCs w:val="22"/>
        </w:rPr>
        <w:footnoteReference w:id="22"/>
      </w:r>
      <w:r w:rsidR="007D7FB1" w:rsidRPr="007D7FB1">
        <w:rPr>
          <w:szCs w:val="22"/>
        </w:rPr>
        <w:t xml:space="preserve">  </w:t>
      </w:r>
    </w:p>
    <w:p w:rsidR="00F40803" w:rsidRPr="00D11EE3" w:rsidRDefault="00F40803" w:rsidP="003050AB">
      <w:pPr>
        <w:shd w:val="clear" w:color="auto" w:fill="FFFFFF"/>
        <w:rPr>
          <w:szCs w:val="22"/>
        </w:rPr>
      </w:pPr>
      <w:r w:rsidRPr="00D11EE3">
        <w:rPr>
          <w:szCs w:val="22"/>
        </w:rPr>
        <w:t xml:space="preserve">    </w:t>
      </w:r>
    </w:p>
    <w:p w:rsidR="00917911" w:rsidRDefault="00661F60" w:rsidP="00F40803">
      <w:pPr>
        <w:shd w:val="clear" w:color="auto" w:fill="FFFFFF"/>
        <w:ind w:firstLine="720"/>
        <w:rPr>
          <w:szCs w:val="22"/>
        </w:rPr>
      </w:pPr>
      <w:r>
        <w:rPr>
          <w:szCs w:val="22"/>
        </w:rPr>
        <w:t>7</w:t>
      </w:r>
      <w:r w:rsidR="00F40803">
        <w:rPr>
          <w:szCs w:val="22"/>
        </w:rPr>
        <w:t>.</w:t>
      </w:r>
      <w:r w:rsidR="00917911">
        <w:rPr>
          <w:szCs w:val="22"/>
        </w:rPr>
        <w:tab/>
      </w:r>
      <w:r w:rsidR="009840D4">
        <w:rPr>
          <w:szCs w:val="22"/>
        </w:rPr>
        <w:t xml:space="preserve">Although the short-spacing to </w:t>
      </w:r>
      <w:r w:rsidR="00A965D0">
        <w:rPr>
          <w:szCs w:val="22"/>
        </w:rPr>
        <w:t xml:space="preserve">the </w:t>
      </w:r>
      <w:r w:rsidR="009840D4">
        <w:rPr>
          <w:szCs w:val="22"/>
        </w:rPr>
        <w:t>Station</w:t>
      </w:r>
      <w:r w:rsidR="00A965D0">
        <w:rPr>
          <w:szCs w:val="22"/>
        </w:rPr>
        <w:t xml:space="preserve"> </w:t>
      </w:r>
      <w:r w:rsidR="009840D4">
        <w:rPr>
          <w:szCs w:val="22"/>
        </w:rPr>
        <w:t xml:space="preserve">renders the </w:t>
      </w:r>
      <w:r w:rsidR="00F4205E">
        <w:rPr>
          <w:szCs w:val="22"/>
        </w:rPr>
        <w:t>Press A</w:t>
      </w:r>
      <w:r w:rsidR="009840D4">
        <w:rPr>
          <w:szCs w:val="22"/>
        </w:rPr>
        <w:t>pplication unacceptable</w:t>
      </w:r>
      <w:r w:rsidR="00A2216E">
        <w:rPr>
          <w:szCs w:val="22"/>
        </w:rPr>
        <w:t xml:space="preserve">, </w:t>
      </w:r>
      <w:r w:rsidR="009840D4">
        <w:rPr>
          <w:szCs w:val="22"/>
        </w:rPr>
        <w:t xml:space="preserve">we </w:t>
      </w:r>
      <w:r w:rsidR="00A2216E">
        <w:rPr>
          <w:szCs w:val="22"/>
        </w:rPr>
        <w:t xml:space="preserve">briefly </w:t>
      </w:r>
      <w:r w:rsidR="009840D4">
        <w:rPr>
          <w:szCs w:val="22"/>
        </w:rPr>
        <w:t xml:space="preserve">address the short-spacing </w:t>
      </w:r>
      <w:r w:rsidR="00CB67BB">
        <w:rPr>
          <w:szCs w:val="22"/>
        </w:rPr>
        <w:t>to Station WJBR-FM</w:t>
      </w:r>
      <w:r w:rsidR="009840D4">
        <w:rPr>
          <w:szCs w:val="22"/>
        </w:rPr>
        <w:t>.  T</w:t>
      </w:r>
      <w:r w:rsidR="00CB67BB">
        <w:rPr>
          <w:szCs w:val="22"/>
        </w:rPr>
        <w:t xml:space="preserve">he </w:t>
      </w:r>
      <w:r w:rsidR="00CB67BB" w:rsidRPr="00CB67BB">
        <w:rPr>
          <w:i/>
          <w:szCs w:val="22"/>
        </w:rPr>
        <w:t>Staff Letter</w:t>
      </w:r>
      <w:r w:rsidR="00CB67BB">
        <w:rPr>
          <w:szCs w:val="22"/>
        </w:rPr>
        <w:t xml:space="preserve"> </w:t>
      </w:r>
      <w:r w:rsidR="006E724B">
        <w:rPr>
          <w:szCs w:val="22"/>
        </w:rPr>
        <w:t>indicated that</w:t>
      </w:r>
      <w:r w:rsidR="00A965D0">
        <w:rPr>
          <w:szCs w:val="22"/>
        </w:rPr>
        <w:t>,</w:t>
      </w:r>
      <w:r w:rsidR="006E724B">
        <w:rPr>
          <w:szCs w:val="22"/>
        </w:rPr>
        <w:t xml:space="preserve"> a</w:t>
      </w:r>
      <w:r w:rsidR="00CB67BB">
        <w:rPr>
          <w:szCs w:val="22"/>
        </w:rPr>
        <w:t>lthough WZBZ</w:t>
      </w:r>
      <w:r w:rsidR="0081665F">
        <w:rPr>
          <w:szCs w:val="22"/>
        </w:rPr>
        <w:t>(FM) has a grandfathered short-spacing to WJBR-FM</w:t>
      </w:r>
      <w:r w:rsidR="00CB67BB">
        <w:rPr>
          <w:szCs w:val="22"/>
        </w:rPr>
        <w:t xml:space="preserve"> on it</w:t>
      </w:r>
      <w:r w:rsidR="006E724B">
        <w:rPr>
          <w:szCs w:val="22"/>
        </w:rPr>
        <w:t>s</w:t>
      </w:r>
      <w:r w:rsidR="00CB67BB">
        <w:rPr>
          <w:szCs w:val="22"/>
        </w:rPr>
        <w:t xml:space="preserve"> currently licensed Channel 257 and would remain </w:t>
      </w:r>
      <w:r w:rsidR="006E724B">
        <w:rPr>
          <w:szCs w:val="22"/>
        </w:rPr>
        <w:t xml:space="preserve">equally </w:t>
      </w:r>
      <w:r w:rsidR="00CB67BB">
        <w:rPr>
          <w:szCs w:val="22"/>
        </w:rPr>
        <w:t>short-spaced on the proposed Channel 259A,</w:t>
      </w:r>
      <w:r w:rsidR="00EE1D72">
        <w:rPr>
          <w:rStyle w:val="FootnoteReference"/>
          <w:szCs w:val="22"/>
        </w:rPr>
        <w:footnoteReference w:id="23"/>
      </w:r>
      <w:r w:rsidR="00CB67BB">
        <w:rPr>
          <w:szCs w:val="22"/>
        </w:rPr>
        <w:t xml:space="preserve"> Press ha</w:t>
      </w:r>
      <w:r w:rsidR="009840D4">
        <w:rPr>
          <w:szCs w:val="22"/>
        </w:rPr>
        <w:t>d</w:t>
      </w:r>
      <w:r w:rsidR="00CB67BB">
        <w:rPr>
          <w:szCs w:val="22"/>
        </w:rPr>
        <w:t xml:space="preserve"> failed to cite any precedent for </w:t>
      </w:r>
      <w:r w:rsidR="00A172E9">
        <w:rPr>
          <w:szCs w:val="22"/>
        </w:rPr>
        <w:t>permitting the processing of an involuntary channel substitution under the grandfathering provisions of Section 73.213(c).</w:t>
      </w:r>
      <w:r w:rsidR="006E724B">
        <w:rPr>
          <w:rStyle w:val="FootnoteReference"/>
          <w:szCs w:val="22"/>
        </w:rPr>
        <w:footnoteReference w:id="24"/>
      </w:r>
      <w:r w:rsidR="009840D4">
        <w:rPr>
          <w:szCs w:val="22"/>
        </w:rPr>
        <w:t xml:space="preserve">  </w:t>
      </w:r>
      <w:r w:rsidR="000F3DEA">
        <w:rPr>
          <w:szCs w:val="22"/>
        </w:rPr>
        <w:t xml:space="preserve">In </w:t>
      </w:r>
      <w:r w:rsidR="004329E5">
        <w:rPr>
          <w:szCs w:val="22"/>
        </w:rPr>
        <w:t>its R</w:t>
      </w:r>
      <w:r w:rsidR="000F3DEA">
        <w:rPr>
          <w:szCs w:val="22"/>
        </w:rPr>
        <w:t xml:space="preserve">esponse to the </w:t>
      </w:r>
      <w:r w:rsidR="000F3DEA" w:rsidRPr="002866B6">
        <w:rPr>
          <w:i/>
          <w:szCs w:val="22"/>
        </w:rPr>
        <w:t>Staff Letter</w:t>
      </w:r>
      <w:r w:rsidR="000F3DEA">
        <w:rPr>
          <w:szCs w:val="22"/>
        </w:rPr>
        <w:t xml:space="preserve">, </w:t>
      </w:r>
      <w:r w:rsidR="00B317ED">
        <w:rPr>
          <w:szCs w:val="22"/>
        </w:rPr>
        <w:t xml:space="preserve">Press cites </w:t>
      </w:r>
      <w:r w:rsidR="004329E5">
        <w:rPr>
          <w:szCs w:val="22"/>
        </w:rPr>
        <w:t xml:space="preserve">three </w:t>
      </w:r>
      <w:r w:rsidR="000F3DEA">
        <w:rPr>
          <w:szCs w:val="22"/>
        </w:rPr>
        <w:t>allocation cases which differ significantly from the proposed situation.</w:t>
      </w:r>
      <w:r w:rsidR="00981D71">
        <w:rPr>
          <w:rStyle w:val="FootnoteReference"/>
          <w:szCs w:val="22"/>
        </w:rPr>
        <w:footnoteReference w:id="25"/>
      </w:r>
      <w:r w:rsidR="000F3DEA">
        <w:rPr>
          <w:szCs w:val="22"/>
        </w:rPr>
        <w:t xml:space="preserve">  In each case,</w:t>
      </w:r>
      <w:r w:rsidR="009840D4">
        <w:rPr>
          <w:szCs w:val="22"/>
        </w:rPr>
        <w:t xml:space="preserve"> the </w:t>
      </w:r>
      <w:r w:rsidR="004329E5">
        <w:rPr>
          <w:szCs w:val="22"/>
        </w:rPr>
        <w:t xml:space="preserve">rule making proponent </w:t>
      </w:r>
      <w:r w:rsidR="009840D4">
        <w:rPr>
          <w:szCs w:val="22"/>
        </w:rPr>
        <w:t xml:space="preserve"> </w:t>
      </w:r>
      <w:r w:rsidR="00620AF7">
        <w:rPr>
          <w:szCs w:val="22"/>
        </w:rPr>
        <w:t>proposed a short-spaced allocation and</w:t>
      </w:r>
      <w:r w:rsidR="00A2216E">
        <w:rPr>
          <w:szCs w:val="22"/>
        </w:rPr>
        <w:t>, unlike Press,</w:t>
      </w:r>
      <w:r w:rsidR="00620AF7">
        <w:rPr>
          <w:szCs w:val="22"/>
        </w:rPr>
        <w:t xml:space="preserve"> </w:t>
      </w:r>
      <w:r w:rsidR="009840D4">
        <w:rPr>
          <w:szCs w:val="22"/>
        </w:rPr>
        <w:t>requested</w:t>
      </w:r>
      <w:r w:rsidR="000F3DEA">
        <w:rPr>
          <w:szCs w:val="22"/>
        </w:rPr>
        <w:t xml:space="preserve"> a waiver of Section </w:t>
      </w:r>
      <w:r w:rsidR="00981D71">
        <w:rPr>
          <w:szCs w:val="22"/>
        </w:rPr>
        <w:t>73.</w:t>
      </w:r>
      <w:r w:rsidR="000F3DEA">
        <w:rPr>
          <w:szCs w:val="22"/>
        </w:rPr>
        <w:t>207</w:t>
      </w:r>
      <w:r w:rsidR="00981D71">
        <w:rPr>
          <w:szCs w:val="22"/>
        </w:rPr>
        <w:t xml:space="preserve"> of the Rules</w:t>
      </w:r>
      <w:r w:rsidR="009840D4">
        <w:rPr>
          <w:szCs w:val="22"/>
        </w:rPr>
        <w:t xml:space="preserve"> </w:t>
      </w:r>
      <w:r w:rsidR="00D041AB">
        <w:rPr>
          <w:szCs w:val="22"/>
        </w:rPr>
        <w:t xml:space="preserve">at that time, </w:t>
      </w:r>
      <w:r w:rsidR="00A2216E">
        <w:rPr>
          <w:szCs w:val="22"/>
        </w:rPr>
        <w:t xml:space="preserve">and provided an </w:t>
      </w:r>
      <w:r w:rsidR="004329E5">
        <w:rPr>
          <w:szCs w:val="22"/>
        </w:rPr>
        <w:t>adequate</w:t>
      </w:r>
      <w:r w:rsidR="009840D4">
        <w:rPr>
          <w:szCs w:val="22"/>
        </w:rPr>
        <w:t xml:space="preserve"> justification for the waiver.  In this instance, Press fails</w:t>
      </w:r>
      <w:r w:rsidR="00D041AB">
        <w:rPr>
          <w:szCs w:val="22"/>
        </w:rPr>
        <w:t xml:space="preserve"> even</w:t>
      </w:r>
      <w:r w:rsidR="009840D4">
        <w:rPr>
          <w:szCs w:val="22"/>
        </w:rPr>
        <w:t xml:space="preserve"> to request a waiver </w:t>
      </w:r>
      <w:r w:rsidR="00D041AB">
        <w:rPr>
          <w:szCs w:val="22"/>
        </w:rPr>
        <w:t>of the spacing rules</w:t>
      </w:r>
      <w:r w:rsidR="009840D4">
        <w:rPr>
          <w:szCs w:val="22"/>
        </w:rPr>
        <w:t xml:space="preserve">.  Thus, </w:t>
      </w:r>
      <w:r w:rsidR="006E724B">
        <w:rPr>
          <w:szCs w:val="22"/>
        </w:rPr>
        <w:t xml:space="preserve">Press has failed to cite any precedent for </w:t>
      </w:r>
      <w:r w:rsidR="006E724B" w:rsidRPr="00D041AB">
        <w:rPr>
          <w:i/>
          <w:szCs w:val="22"/>
        </w:rPr>
        <w:t>involunt</w:t>
      </w:r>
      <w:r w:rsidR="009840D4" w:rsidRPr="00D041AB">
        <w:rPr>
          <w:i/>
          <w:szCs w:val="22"/>
        </w:rPr>
        <w:t>arily</w:t>
      </w:r>
      <w:r w:rsidR="009840D4">
        <w:rPr>
          <w:szCs w:val="22"/>
        </w:rPr>
        <w:t xml:space="preserve"> changing one </w:t>
      </w:r>
      <w:r w:rsidR="006E724B">
        <w:rPr>
          <w:szCs w:val="22"/>
        </w:rPr>
        <w:t>station’s</w:t>
      </w:r>
      <w:r w:rsidR="00620AF7">
        <w:rPr>
          <w:szCs w:val="22"/>
        </w:rPr>
        <w:t xml:space="preserve"> short-spaced</w:t>
      </w:r>
      <w:r w:rsidR="006E724B">
        <w:rPr>
          <w:szCs w:val="22"/>
        </w:rPr>
        <w:t xml:space="preserve"> channel</w:t>
      </w:r>
      <w:r w:rsidR="00620AF7">
        <w:rPr>
          <w:szCs w:val="22"/>
        </w:rPr>
        <w:t xml:space="preserve"> </w:t>
      </w:r>
      <w:r w:rsidR="006E724B">
        <w:rPr>
          <w:szCs w:val="22"/>
        </w:rPr>
        <w:t>to another short-spaced channel</w:t>
      </w:r>
      <w:r w:rsidR="00D041AB">
        <w:rPr>
          <w:szCs w:val="22"/>
        </w:rPr>
        <w:t xml:space="preserve"> absent a waiver of the </w:t>
      </w:r>
      <w:r w:rsidR="0081665F">
        <w:rPr>
          <w:szCs w:val="22"/>
        </w:rPr>
        <w:t xml:space="preserve">Commission’s </w:t>
      </w:r>
      <w:r w:rsidR="00D041AB">
        <w:rPr>
          <w:szCs w:val="22"/>
        </w:rPr>
        <w:t>spacing rules</w:t>
      </w:r>
      <w:r w:rsidR="006E724B">
        <w:rPr>
          <w:szCs w:val="22"/>
        </w:rPr>
        <w:t xml:space="preserve">.  </w:t>
      </w:r>
    </w:p>
    <w:p w:rsidR="00B153D6" w:rsidRDefault="00B153D6" w:rsidP="00F40803">
      <w:pPr>
        <w:shd w:val="clear" w:color="auto" w:fill="FFFFFF"/>
        <w:ind w:firstLine="720"/>
        <w:rPr>
          <w:szCs w:val="22"/>
        </w:rPr>
      </w:pPr>
    </w:p>
    <w:p w:rsidR="003050AB" w:rsidRDefault="00661F60" w:rsidP="00893722">
      <w:pPr>
        <w:shd w:val="clear" w:color="auto" w:fill="FFFFFF"/>
        <w:ind w:firstLine="720"/>
        <w:rPr>
          <w:szCs w:val="22"/>
        </w:rPr>
      </w:pPr>
      <w:r>
        <w:rPr>
          <w:szCs w:val="22"/>
        </w:rPr>
        <w:t>8</w:t>
      </w:r>
      <w:r w:rsidR="00893722">
        <w:rPr>
          <w:szCs w:val="22"/>
        </w:rPr>
        <w:t>.</w:t>
      </w:r>
      <w:r w:rsidR="00893722">
        <w:rPr>
          <w:szCs w:val="22"/>
        </w:rPr>
        <w:tab/>
      </w:r>
      <w:r w:rsidR="003050AB" w:rsidRPr="004E169F">
        <w:rPr>
          <w:szCs w:val="22"/>
        </w:rPr>
        <w:t xml:space="preserve">The </w:t>
      </w:r>
      <w:r w:rsidR="00EA12F0">
        <w:rPr>
          <w:i/>
          <w:szCs w:val="22"/>
        </w:rPr>
        <w:t>Staff Letter</w:t>
      </w:r>
      <w:r w:rsidR="00EA12F0">
        <w:rPr>
          <w:szCs w:val="22"/>
        </w:rPr>
        <w:t xml:space="preserve"> indicated</w:t>
      </w:r>
      <w:r w:rsidR="003050AB" w:rsidRPr="004E169F">
        <w:rPr>
          <w:szCs w:val="22"/>
        </w:rPr>
        <w:t xml:space="preserve"> </w:t>
      </w:r>
      <w:r w:rsidR="003050AB">
        <w:rPr>
          <w:szCs w:val="22"/>
        </w:rPr>
        <w:t>that</w:t>
      </w:r>
      <w:r w:rsidR="004C1038">
        <w:rPr>
          <w:szCs w:val="22"/>
        </w:rPr>
        <w:t>,</w:t>
      </w:r>
      <w:r w:rsidR="003050AB">
        <w:rPr>
          <w:szCs w:val="22"/>
        </w:rPr>
        <w:t xml:space="preserve"> pursuant to Section </w:t>
      </w:r>
      <w:r w:rsidR="003050AB" w:rsidRPr="004E169F">
        <w:rPr>
          <w:szCs w:val="22"/>
        </w:rPr>
        <w:t>73.3522</w:t>
      </w:r>
      <w:r w:rsidR="00E53425">
        <w:rPr>
          <w:szCs w:val="22"/>
        </w:rPr>
        <w:t xml:space="preserve"> of the</w:t>
      </w:r>
      <w:r w:rsidR="00893722">
        <w:rPr>
          <w:szCs w:val="22"/>
        </w:rPr>
        <w:t xml:space="preserve"> </w:t>
      </w:r>
      <w:r w:rsidR="00E53425">
        <w:rPr>
          <w:szCs w:val="22"/>
        </w:rPr>
        <w:t>Rules</w:t>
      </w:r>
      <w:r w:rsidR="003050AB" w:rsidRPr="004E169F">
        <w:rPr>
          <w:szCs w:val="22"/>
        </w:rPr>
        <w:t>,</w:t>
      </w:r>
      <w:r w:rsidR="00EA12F0">
        <w:rPr>
          <w:szCs w:val="22"/>
        </w:rPr>
        <w:t xml:space="preserve"> </w:t>
      </w:r>
      <w:r w:rsidR="003050AB" w:rsidRPr="004E169F">
        <w:rPr>
          <w:szCs w:val="22"/>
        </w:rPr>
        <w:t>"</w:t>
      </w:r>
      <w:r w:rsidR="004C1038">
        <w:rPr>
          <w:szCs w:val="22"/>
        </w:rPr>
        <w:t xml:space="preserve">. . . </w:t>
      </w:r>
      <w:r w:rsidR="003050AB" w:rsidRPr="004E169F">
        <w:rPr>
          <w:szCs w:val="22"/>
        </w:rPr>
        <w:t>an applicant whose application is found to meet the minimum filing requirements but nevertheless is not complete and acceptable shall have the opportunity in the 30-day period specified in the FCC staff's deficiency letter to correct all deficiencies in the tenderability and acceptability of the underlying application, including any deficiency not specifically identified by the staff."</w:t>
      </w:r>
      <w:r w:rsidR="003050AB">
        <w:rPr>
          <w:rStyle w:val="FootnoteReference"/>
          <w:szCs w:val="22"/>
        </w:rPr>
        <w:footnoteReference w:id="26"/>
      </w:r>
      <w:r w:rsidR="003050AB">
        <w:rPr>
          <w:szCs w:val="22"/>
        </w:rPr>
        <w:t xml:space="preserve">  Additionally, Section </w:t>
      </w:r>
      <w:r w:rsidR="003050AB" w:rsidRPr="004E169F">
        <w:rPr>
          <w:szCs w:val="22"/>
        </w:rPr>
        <w:t xml:space="preserve">73.3564 </w:t>
      </w:r>
      <w:r w:rsidR="00E53425">
        <w:rPr>
          <w:szCs w:val="22"/>
        </w:rPr>
        <w:t xml:space="preserve">of the Rules </w:t>
      </w:r>
      <w:r w:rsidR="003050AB" w:rsidRPr="004E169F">
        <w:rPr>
          <w:szCs w:val="22"/>
        </w:rPr>
        <w:t>states that, "</w:t>
      </w:r>
      <w:r w:rsidR="003050AB" w:rsidRPr="004E169F">
        <w:rPr>
          <w:szCs w:val="22"/>
          <w:u w:val="single"/>
        </w:rPr>
        <w:t>[</w:t>
      </w:r>
      <w:r w:rsidR="003050AB" w:rsidRPr="004E169F">
        <w:rPr>
          <w:szCs w:val="22"/>
        </w:rPr>
        <w:t>a]pplications with uncorrected tender and/or acceptance defects remaining after the opportunity for corrective amendment will be dismissed with no further opportunity for corrective amendment."</w:t>
      </w:r>
      <w:r w:rsidR="003050AB">
        <w:rPr>
          <w:rStyle w:val="FootnoteReference"/>
          <w:szCs w:val="22"/>
        </w:rPr>
        <w:footnoteReference w:id="27"/>
      </w:r>
      <w:r w:rsidR="003050AB" w:rsidRPr="004E169F">
        <w:rPr>
          <w:szCs w:val="22"/>
        </w:rPr>
        <w:t xml:space="preserve">  </w:t>
      </w:r>
      <w:r w:rsidR="00EA12F0">
        <w:rPr>
          <w:szCs w:val="22"/>
        </w:rPr>
        <w:t>In accordance with these provisions, because the Press Application was not amended to correct all deficiencies, we will dismiss it.</w:t>
      </w:r>
    </w:p>
    <w:p w:rsidR="008671EF" w:rsidRDefault="008671EF" w:rsidP="0026772A">
      <w:pPr>
        <w:shd w:val="clear" w:color="auto" w:fill="FFFFFF"/>
        <w:rPr>
          <w:szCs w:val="22"/>
        </w:rPr>
      </w:pPr>
    </w:p>
    <w:p w:rsidR="008D416E" w:rsidRDefault="00661F60" w:rsidP="00591356">
      <w:pPr>
        <w:widowControl/>
        <w:shd w:val="clear" w:color="auto" w:fill="FFFFFF"/>
        <w:ind w:firstLine="720"/>
        <w:rPr>
          <w:szCs w:val="22"/>
        </w:rPr>
      </w:pPr>
      <w:r>
        <w:rPr>
          <w:szCs w:val="22"/>
        </w:rPr>
        <w:t>9</w:t>
      </w:r>
      <w:r w:rsidR="006928BC">
        <w:rPr>
          <w:szCs w:val="22"/>
        </w:rPr>
        <w:t>.</w:t>
      </w:r>
      <w:r w:rsidR="006928BC">
        <w:rPr>
          <w:szCs w:val="22"/>
        </w:rPr>
        <w:tab/>
      </w:r>
      <w:r w:rsidR="00371F58" w:rsidRPr="00A43B35">
        <w:rPr>
          <w:i/>
          <w:szCs w:val="22"/>
        </w:rPr>
        <w:t xml:space="preserve">Conclusion/Actions.  </w:t>
      </w:r>
      <w:r w:rsidR="00EA12F0" w:rsidRPr="00A43B35">
        <w:rPr>
          <w:szCs w:val="22"/>
        </w:rPr>
        <w:t xml:space="preserve">Based on the record before us, we conclude that nothing in that record creates a substantial or material question of fact whether Licensee possesses the basic qualifications to be a Commission licensee.  </w:t>
      </w:r>
      <w:r w:rsidR="001934F1" w:rsidRPr="00A43B35">
        <w:rPr>
          <w:szCs w:val="22"/>
        </w:rPr>
        <w:t xml:space="preserve">After reviewing the terms of the Consent Decree, we find that the public interest will be served by its approval and by terminating the Bureau’s investigation of potential violations of the Rules in connection with the </w:t>
      </w:r>
      <w:r w:rsidR="003F5E47" w:rsidRPr="00A43B35">
        <w:rPr>
          <w:szCs w:val="22"/>
        </w:rPr>
        <w:t>2010 Renewal Application</w:t>
      </w:r>
      <w:r w:rsidR="001934F1" w:rsidRPr="00A43B35">
        <w:rPr>
          <w:szCs w:val="22"/>
        </w:rPr>
        <w:t xml:space="preserve"> and granting th</w:t>
      </w:r>
      <w:r w:rsidR="00EE1E2F" w:rsidRPr="00A43B35">
        <w:rPr>
          <w:szCs w:val="22"/>
        </w:rPr>
        <w:t>e 2010 and 2014 Renewal Applications</w:t>
      </w:r>
      <w:r w:rsidR="00F4205E" w:rsidRPr="00A43B35">
        <w:rPr>
          <w:szCs w:val="22"/>
        </w:rPr>
        <w:t>, subject to the terms of the Consent Decree</w:t>
      </w:r>
      <w:r w:rsidR="001934F1" w:rsidRPr="00A43B35">
        <w:rPr>
          <w:szCs w:val="22"/>
        </w:rPr>
        <w:t>.</w:t>
      </w:r>
      <w:r w:rsidR="006928BC">
        <w:rPr>
          <w:szCs w:val="22"/>
        </w:rPr>
        <w:tab/>
      </w:r>
    </w:p>
    <w:p w:rsidR="008D416E" w:rsidRDefault="008D416E" w:rsidP="001934F1">
      <w:pPr>
        <w:widowControl/>
        <w:shd w:val="clear" w:color="auto" w:fill="FFFFFF"/>
        <w:rPr>
          <w:szCs w:val="22"/>
        </w:rPr>
      </w:pPr>
    </w:p>
    <w:p w:rsidR="001934F1" w:rsidRDefault="00661F60" w:rsidP="00591356">
      <w:pPr>
        <w:widowControl/>
        <w:shd w:val="clear" w:color="auto" w:fill="FFFFFF"/>
        <w:ind w:firstLine="720"/>
        <w:rPr>
          <w:szCs w:val="22"/>
        </w:rPr>
      </w:pPr>
      <w:r>
        <w:rPr>
          <w:szCs w:val="22"/>
        </w:rPr>
        <w:t>1</w:t>
      </w:r>
      <w:r w:rsidR="008D416E">
        <w:rPr>
          <w:szCs w:val="22"/>
        </w:rPr>
        <w:t>1</w:t>
      </w:r>
      <w:r w:rsidR="006928BC">
        <w:rPr>
          <w:szCs w:val="22"/>
        </w:rPr>
        <w:t>.</w:t>
      </w:r>
      <w:r w:rsidR="003F5E47">
        <w:rPr>
          <w:szCs w:val="22"/>
        </w:rPr>
        <w:tab/>
      </w:r>
      <w:r w:rsidR="001934F1" w:rsidRPr="001934F1">
        <w:rPr>
          <w:szCs w:val="22"/>
        </w:rPr>
        <w:t>ACCORDINGLY, IT IS ORDERED</w:t>
      </w:r>
      <w:r w:rsidR="00692FB1">
        <w:rPr>
          <w:szCs w:val="22"/>
        </w:rPr>
        <w:t>,</w:t>
      </w:r>
      <w:r w:rsidR="001934F1" w:rsidRPr="001934F1">
        <w:rPr>
          <w:szCs w:val="22"/>
        </w:rPr>
        <w:t xml:space="preserve"> that the </w:t>
      </w:r>
      <w:r w:rsidR="00692FB1">
        <w:rPr>
          <w:szCs w:val="22"/>
        </w:rPr>
        <w:t xml:space="preserve">December 22, 2010, </w:t>
      </w:r>
      <w:r w:rsidR="001934F1" w:rsidRPr="001934F1">
        <w:rPr>
          <w:szCs w:val="22"/>
        </w:rPr>
        <w:t xml:space="preserve">Petition to Deny filed by </w:t>
      </w:r>
      <w:r w:rsidR="003F5E47">
        <w:rPr>
          <w:szCs w:val="22"/>
        </w:rPr>
        <w:t>Press Communications, LLC, I</w:t>
      </w:r>
      <w:r w:rsidR="001934F1" w:rsidRPr="001934F1">
        <w:rPr>
          <w:szCs w:val="22"/>
        </w:rPr>
        <w:t xml:space="preserve">S </w:t>
      </w:r>
      <w:r w:rsidR="00D42D9C">
        <w:rPr>
          <w:szCs w:val="22"/>
        </w:rPr>
        <w:t>DENIED</w:t>
      </w:r>
      <w:r w:rsidR="001934F1" w:rsidRPr="001934F1">
        <w:rPr>
          <w:szCs w:val="22"/>
        </w:rPr>
        <w:t>.</w:t>
      </w:r>
    </w:p>
    <w:p w:rsidR="00B733DE" w:rsidRDefault="00B733DE" w:rsidP="001934F1">
      <w:pPr>
        <w:widowControl/>
        <w:shd w:val="clear" w:color="auto" w:fill="FFFFFF"/>
        <w:rPr>
          <w:szCs w:val="22"/>
        </w:rPr>
      </w:pPr>
    </w:p>
    <w:p w:rsidR="00360D8E" w:rsidRDefault="004E4FEB" w:rsidP="001934F1">
      <w:pPr>
        <w:widowControl/>
        <w:shd w:val="clear" w:color="auto" w:fill="FFFFFF"/>
        <w:rPr>
          <w:szCs w:val="22"/>
        </w:rPr>
      </w:pPr>
      <w:r>
        <w:rPr>
          <w:szCs w:val="22"/>
        </w:rPr>
        <w:tab/>
      </w:r>
      <w:r w:rsidR="000B2E83">
        <w:rPr>
          <w:szCs w:val="22"/>
        </w:rPr>
        <w:t>1</w:t>
      </w:r>
      <w:r w:rsidR="008D416E">
        <w:rPr>
          <w:szCs w:val="22"/>
        </w:rPr>
        <w:t>2</w:t>
      </w:r>
      <w:r w:rsidR="00360D8E">
        <w:rPr>
          <w:szCs w:val="22"/>
        </w:rPr>
        <w:t>.</w:t>
      </w:r>
      <w:r w:rsidR="00360D8E">
        <w:rPr>
          <w:szCs w:val="22"/>
        </w:rPr>
        <w:tab/>
      </w:r>
      <w:r w:rsidR="00ED28A6" w:rsidRPr="00ED28A6">
        <w:rPr>
          <w:szCs w:val="22"/>
        </w:rPr>
        <w:t xml:space="preserve">IT IS FURTHER </w:t>
      </w:r>
      <w:bookmarkStart w:id="2" w:name="SR;3248"/>
      <w:bookmarkStart w:id="3" w:name="SearchTerm"/>
      <w:bookmarkEnd w:id="2"/>
      <w:r w:rsidR="00ED28A6">
        <w:rPr>
          <w:szCs w:val="22"/>
        </w:rPr>
        <w:t>ORDERED</w:t>
      </w:r>
      <w:r w:rsidR="00ED28A6" w:rsidRPr="00ED28A6">
        <w:rPr>
          <w:szCs w:val="22"/>
        </w:rPr>
        <w:t xml:space="preserve"> that the </w:t>
      </w:r>
      <w:bookmarkStart w:id="4" w:name="SR;3251"/>
      <w:bookmarkEnd w:id="4"/>
      <w:r w:rsidR="00ED28A6">
        <w:rPr>
          <w:szCs w:val="22"/>
        </w:rPr>
        <w:t xml:space="preserve">Application of the Atlantic City Board of Education for minor modification of </w:t>
      </w:r>
      <w:bookmarkStart w:id="5" w:name="SR;3253"/>
      <w:bookmarkEnd w:id="3"/>
      <w:bookmarkEnd w:id="5"/>
      <w:r w:rsidR="00ED28A6" w:rsidRPr="00ED28A6">
        <w:rPr>
          <w:szCs w:val="22"/>
        </w:rPr>
        <w:t xml:space="preserve">the </w:t>
      </w:r>
      <w:r w:rsidR="00ED28A6">
        <w:rPr>
          <w:szCs w:val="22"/>
        </w:rPr>
        <w:t xml:space="preserve">facilities </w:t>
      </w:r>
      <w:r w:rsidR="00ED28A6" w:rsidRPr="00ED28A6">
        <w:rPr>
          <w:szCs w:val="22"/>
        </w:rPr>
        <w:t xml:space="preserve">of </w:t>
      </w:r>
      <w:r w:rsidR="00ED28A6">
        <w:rPr>
          <w:szCs w:val="22"/>
        </w:rPr>
        <w:t>S</w:t>
      </w:r>
      <w:r w:rsidR="00ED28A6" w:rsidRPr="00ED28A6">
        <w:rPr>
          <w:szCs w:val="22"/>
        </w:rPr>
        <w:t>tation W</w:t>
      </w:r>
      <w:r w:rsidR="00ED28A6">
        <w:rPr>
          <w:szCs w:val="22"/>
        </w:rPr>
        <w:t>AJM(FM)</w:t>
      </w:r>
      <w:r w:rsidR="00ED28A6" w:rsidRPr="00ED28A6">
        <w:rPr>
          <w:szCs w:val="22"/>
        </w:rPr>
        <w:t xml:space="preserve">, </w:t>
      </w:r>
      <w:r w:rsidR="00ED28A6">
        <w:rPr>
          <w:szCs w:val="22"/>
        </w:rPr>
        <w:t xml:space="preserve">Atlantic City, New Jersey, </w:t>
      </w:r>
      <w:r w:rsidR="00ED28A6" w:rsidRPr="00ED28A6">
        <w:rPr>
          <w:szCs w:val="22"/>
        </w:rPr>
        <w:t>(File No. B</w:t>
      </w:r>
      <w:r w:rsidR="00ED28A6">
        <w:rPr>
          <w:szCs w:val="22"/>
        </w:rPr>
        <w:t>PED-20100215AAW) IS GRANTED.</w:t>
      </w:r>
    </w:p>
    <w:p w:rsidR="00EA12F0" w:rsidRDefault="00EA12F0" w:rsidP="001934F1">
      <w:pPr>
        <w:widowControl/>
        <w:shd w:val="clear" w:color="auto" w:fill="FFFFFF"/>
        <w:rPr>
          <w:szCs w:val="22"/>
        </w:rPr>
      </w:pPr>
    </w:p>
    <w:p w:rsidR="003F5E47" w:rsidRDefault="00BD37F2" w:rsidP="001934F1">
      <w:pPr>
        <w:widowControl/>
        <w:shd w:val="clear" w:color="auto" w:fill="FFFFFF"/>
        <w:rPr>
          <w:szCs w:val="22"/>
        </w:rPr>
      </w:pPr>
      <w:r>
        <w:rPr>
          <w:szCs w:val="22"/>
        </w:rPr>
        <w:tab/>
      </w:r>
      <w:r w:rsidR="003050AB">
        <w:rPr>
          <w:szCs w:val="22"/>
        </w:rPr>
        <w:t>1</w:t>
      </w:r>
      <w:r w:rsidR="008D416E">
        <w:rPr>
          <w:szCs w:val="22"/>
        </w:rPr>
        <w:t>3</w:t>
      </w:r>
      <w:r>
        <w:rPr>
          <w:szCs w:val="22"/>
        </w:rPr>
        <w:t>.</w:t>
      </w:r>
      <w:r>
        <w:rPr>
          <w:szCs w:val="22"/>
        </w:rPr>
        <w:tab/>
      </w:r>
      <w:r w:rsidRPr="00BD37F2">
        <w:rPr>
          <w:szCs w:val="22"/>
        </w:rPr>
        <w:t xml:space="preserve">IT IS FURTHER ORDERED that the Application of Press Communications, LLC, for minor modification of the facilities of Station WBHX(FM), Tuckerton, New Jersey (File No. BPH-20100827ABW) IS DISMISSED.  IT IS FURTHER ORDERED that the September 29, 2010,  Petition to Deny filed by William Hawkes, Jr.; the October 5, 2010, Informal Objection filed by the Atlantic City Board of Education; and the October 12, 2010, Informal Objection filed by Equity Communications, L.P., ARE DISMISSED as moot.  </w:t>
      </w:r>
      <w:r w:rsidR="003F5E47">
        <w:rPr>
          <w:szCs w:val="22"/>
        </w:rPr>
        <w:tab/>
      </w:r>
    </w:p>
    <w:p w:rsidR="003F5E47" w:rsidRDefault="003F5E47" w:rsidP="001934F1">
      <w:pPr>
        <w:widowControl/>
        <w:shd w:val="clear" w:color="auto" w:fill="FFFFFF"/>
        <w:rPr>
          <w:szCs w:val="22"/>
        </w:rPr>
      </w:pPr>
    </w:p>
    <w:p w:rsidR="001934F1" w:rsidRDefault="003F5E47" w:rsidP="001934F1">
      <w:pPr>
        <w:widowControl/>
        <w:shd w:val="clear" w:color="auto" w:fill="FFFFFF"/>
        <w:rPr>
          <w:szCs w:val="22"/>
        </w:rPr>
      </w:pPr>
      <w:r>
        <w:rPr>
          <w:szCs w:val="22"/>
        </w:rPr>
        <w:tab/>
      </w:r>
      <w:r w:rsidR="003E5792">
        <w:rPr>
          <w:szCs w:val="22"/>
        </w:rPr>
        <w:t>1</w:t>
      </w:r>
      <w:r w:rsidR="008D416E">
        <w:rPr>
          <w:szCs w:val="22"/>
        </w:rPr>
        <w:t>4</w:t>
      </w:r>
      <w:r>
        <w:rPr>
          <w:szCs w:val="22"/>
        </w:rPr>
        <w:t>.</w:t>
      </w:r>
      <w:r>
        <w:rPr>
          <w:szCs w:val="22"/>
        </w:rPr>
        <w:tab/>
      </w:r>
      <w:r w:rsidR="001934F1" w:rsidRPr="001934F1">
        <w:rPr>
          <w:szCs w:val="22"/>
        </w:rPr>
        <w:t>IT IS FURTHER ORDERED that, pursuant to Section 4(i) of the Communications Act of 1934, as amended,</w:t>
      </w:r>
      <w:r w:rsidR="001934F1" w:rsidRPr="001934F1">
        <w:rPr>
          <w:szCs w:val="22"/>
          <w:vertAlign w:val="superscript"/>
        </w:rPr>
        <w:footnoteReference w:id="28"/>
      </w:r>
      <w:r w:rsidR="001934F1" w:rsidRPr="001934F1">
        <w:rPr>
          <w:szCs w:val="22"/>
        </w:rPr>
        <w:t xml:space="preserve"> and by the authority delegated by Sections 0.61 and 0.283 of the Rules,</w:t>
      </w:r>
      <w:r w:rsidR="001934F1" w:rsidRPr="001934F1">
        <w:rPr>
          <w:szCs w:val="22"/>
          <w:vertAlign w:val="superscript"/>
        </w:rPr>
        <w:footnoteReference w:id="29"/>
      </w:r>
      <w:r w:rsidR="001934F1" w:rsidRPr="001934F1">
        <w:rPr>
          <w:szCs w:val="22"/>
        </w:rPr>
        <w:t xml:space="preserve"> the Consent Decree attached hereto IS ADOPTED.</w:t>
      </w:r>
    </w:p>
    <w:p w:rsidR="00B153D6" w:rsidRDefault="00B153D6" w:rsidP="001934F1">
      <w:pPr>
        <w:widowControl/>
        <w:shd w:val="clear" w:color="auto" w:fill="FFFFFF"/>
        <w:rPr>
          <w:szCs w:val="22"/>
        </w:rPr>
      </w:pPr>
    </w:p>
    <w:p w:rsidR="003F5E47" w:rsidRDefault="003F5E47" w:rsidP="003F5E47">
      <w:pPr>
        <w:widowControl/>
        <w:shd w:val="clear" w:color="auto" w:fill="FFFFFF"/>
        <w:rPr>
          <w:szCs w:val="22"/>
        </w:rPr>
      </w:pPr>
      <w:r>
        <w:rPr>
          <w:szCs w:val="22"/>
        </w:rPr>
        <w:tab/>
      </w:r>
      <w:r w:rsidR="003E5792">
        <w:rPr>
          <w:szCs w:val="22"/>
        </w:rPr>
        <w:t>1</w:t>
      </w:r>
      <w:r w:rsidR="008D416E">
        <w:rPr>
          <w:szCs w:val="22"/>
        </w:rPr>
        <w:t>5</w:t>
      </w:r>
      <w:r>
        <w:rPr>
          <w:szCs w:val="22"/>
        </w:rPr>
        <w:t>.</w:t>
      </w:r>
      <w:r>
        <w:rPr>
          <w:szCs w:val="22"/>
        </w:rPr>
        <w:tab/>
      </w:r>
      <w:r w:rsidR="001934F1" w:rsidRPr="001934F1">
        <w:rPr>
          <w:szCs w:val="22"/>
        </w:rPr>
        <w:t>IT IS FURTHER ORDERED that the investigation by the Media Bureau of the matters noted above IS TERMINATED.</w:t>
      </w:r>
    </w:p>
    <w:p w:rsidR="00591356" w:rsidRDefault="00591356">
      <w:pPr>
        <w:widowControl/>
        <w:rPr>
          <w:szCs w:val="22"/>
        </w:rPr>
      </w:pPr>
      <w:r>
        <w:rPr>
          <w:szCs w:val="22"/>
        </w:rPr>
        <w:br w:type="page"/>
      </w:r>
    </w:p>
    <w:p w:rsidR="00B153D6" w:rsidRDefault="00B153D6" w:rsidP="003F5E47">
      <w:pPr>
        <w:widowControl/>
        <w:shd w:val="clear" w:color="auto" w:fill="FFFFFF"/>
        <w:rPr>
          <w:szCs w:val="22"/>
        </w:rPr>
      </w:pPr>
    </w:p>
    <w:p w:rsidR="00231B15" w:rsidRDefault="00D11D82" w:rsidP="00C07377">
      <w:pPr>
        <w:widowControl/>
        <w:rPr>
          <w:color w:val="000000"/>
          <w:spacing w:val="-16"/>
          <w:szCs w:val="22"/>
        </w:rPr>
      </w:pPr>
      <w:r>
        <w:rPr>
          <w:color w:val="000000"/>
          <w:spacing w:val="-5"/>
          <w:szCs w:val="22"/>
        </w:rPr>
        <w:tab/>
      </w:r>
      <w:r w:rsidR="00360D8E">
        <w:rPr>
          <w:color w:val="000000"/>
          <w:spacing w:val="-5"/>
          <w:szCs w:val="22"/>
        </w:rPr>
        <w:t>1</w:t>
      </w:r>
      <w:r w:rsidR="008D416E">
        <w:rPr>
          <w:color w:val="000000"/>
          <w:spacing w:val="-5"/>
          <w:szCs w:val="22"/>
        </w:rPr>
        <w:t>6</w:t>
      </w:r>
      <w:r w:rsidR="005C09F9">
        <w:rPr>
          <w:color w:val="000000"/>
          <w:spacing w:val="-5"/>
          <w:szCs w:val="22"/>
        </w:rPr>
        <w:t>.</w:t>
      </w:r>
      <w:r>
        <w:rPr>
          <w:color w:val="000000"/>
          <w:spacing w:val="-5"/>
          <w:szCs w:val="22"/>
        </w:rPr>
        <w:tab/>
      </w:r>
      <w:r w:rsidR="00231B15" w:rsidRPr="00CA2703">
        <w:rPr>
          <w:color w:val="000000"/>
          <w:spacing w:val="-5"/>
          <w:szCs w:val="22"/>
        </w:rPr>
        <w:t xml:space="preserve">IT IS FURTHER ORDERED, that copies of this </w:t>
      </w:r>
      <w:r w:rsidR="006F33B1">
        <w:rPr>
          <w:color w:val="000000"/>
          <w:spacing w:val="-5"/>
          <w:szCs w:val="22"/>
        </w:rPr>
        <w:t xml:space="preserve">Order </w:t>
      </w:r>
      <w:r w:rsidR="00231B15" w:rsidRPr="00CA2703">
        <w:rPr>
          <w:color w:val="000000"/>
          <w:spacing w:val="-5"/>
          <w:szCs w:val="22"/>
        </w:rPr>
        <w:t xml:space="preserve">shall be sent, by First Class and </w:t>
      </w:r>
      <w:r w:rsidR="00231B15" w:rsidRPr="00CA2703">
        <w:rPr>
          <w:color w:val="000000"/>
          <w:spacing w:val="-3"/>
          <w:szCs w:val="22"/>
        </w:rPr>
        <w:t xml:space="preserve">Certified Mail, Return Receipt Requested, to </w:t>
      </w:r>
      <w:r w:rsidR="009D1FE1">
        <w:rPr>
          <w:color w:val="000000"/>
          <w:spacing w:val="-3"/>
          <w:szCs w:val="22"/>
        </w:rPr>
        <w:t>the Atlantic City Board of Education</w:t>
      </w:r>
      <w:r w:rsidR="00231B15" w:rsidRPr="00CA2703">
        <w:rPr>
          <w:color w:val="000000"/>
          <w:szCs w:val="22"/>
        </w:rPr>
        <w:t xml:space="preserve">, </w:t>
      </w:r>
      <w:r w:rsidR="009D1FE1">
        <w:rPr>
          <w:color w:val="000000"/>
          <w:szCs w:val="22"/>
        </w:rPr>
        <w:t>1300 Atlantic Ave., Fifth Floor, Atlantic City, N</w:t>
      </w:r>
      <w:r w:rsidR="00655ACD">
        <w:rPr>
          <w:color w:val="000000"/>
          <w:szCs w:val="22"/>
        </w:rPr>
        <w:t>J</w:t>
      </w:r>
      <w:r w:rsidR="009D1FE1">
        <w:rPr>
          <w:color w:val="000000"/>
          <w:szCs w:val="22"/>
        </w:rPr>
        <w:t xml:space="preserve"> 08401, and to its counsel</w:t>
      </w:r>
      <w:r w:rsidR="00DC34E8">
        <w:rPr>
          <w:color w:val="000000"/>
          <w:szCs w:val="22"/>
        </w:rPr>
        <w:t>,</w:t>
      </w:r>
      <w:r w:rsidR="009D1FE1">
        <w:rPr>
          <w:color w:val="000000"/>
          <w:szCs w:val="22"/>
        </w:rPr>
        <w:t xml:space="preserve"> </w:t>
      </w:r>
      <w:r w:rsidR="00C07377">
        <w:rPr>
          <w:color w:val="000000"/>
          <w:szCs w:val="22"/>
        </w:rPr>
        <w:t>Matthew Murchison</w:t>
      </w:r>
      <w:r w:rsidR="009D1FE1">
        <w:rPr>
          <w:color w:val="000000"/>
          <w:szCs w:val="22"/>
        </w:rPr>
        <w:t>, Esq., Latham &amp; Watkins, LLP, 555 11</w:t>
      </w:r>
      <w:r w:rsidR="009D1FE1" w:rsidRPr="009D1FE1">
        <w:rPr>
          <w:color w:val="000000"/>
          <w:szCs w:val="22"/>
          <w:vertAlign w:val="superscript"/>
        </w:rPr>
        <w:t>th</w:t>
      </w:r>
      <w:r w:rsidR="009D1FE1">
        <w:rPr>
          <w:color w:val="000000"/>
          <w:szCs w:val="22"/>
        </w:rPr>
        <w:t xml:space="preserve"> St., N.W., Suite 1000, Washington, DC 20004</w:t>
      </w:r>
      <w:r w:rsidR="00231B15">
        <w:rPr>
          <w:color w:val="000000"/>
        </w:rPr>
        <w:t xml:space="preserve">, and to </w:t>
      </w:r>
      <w:r w:rsidR="009D1FE1">
        <w:rPr>
          <w:color w:val="000000"/>
        </w:rPr>
        <w:t>Press Communications, LLC, 1329 Campus</w:t>
      </w:r>
      <w:r w:rsidR="00C07377">
        <w:rPr>
          <w:color w:val="000000"/>
        </w:rPr>
        <w:t xml:space="preserve"> </w:t>
      </w:r>
      <w:r w:rsidR="009D1FE1">
        <w:rPr>
          <w:color w:val="000000"/>
        </w:rPr>
        <w:t>Parkway, Neptune, NJ 07753, and to its counsel, Michelle A. McClure, Esq., Fletcher, Heald &amp; Hildreth, PLC, 1300 N. 17</w:t>
      </w:r>
      <w:r w:rsidR="009D1FE1" w:rsidRPr="009D1FE1">
        <w:rPr>
          <w:color w:val="000000"/>
          <w:vertAlign w:val="superscript"/>
        </w:rPr>
        <w:t>th</w:t>
      </w:r>
      <w:r w:rsidR="009D1FE1">
        <w:rPr>
          <w:color w:val="000000"/>
        </w:rPr>
        <w:t xml:space="preserve"> St., 11</w:t>
      </w:r>
      <w:r w:rsidR="009D1FE1" w:rsidRPr="009D1FE1">
        <w:rPr>
          <w:color w:val="000000"/>
          <w:vertAlign w:val="superscript"/>
        </w:rPr>
        <w:t>th</w:t>
      </w:r>
      <w:r w:rsidR="009D1FE1">
        <w:rPr>
          <w:color w:val="000000"/>
        </w:rPr>
        <w:t xml:space="preserve"> Floor, Arlington, V</w:t>
      </w:r>
      <w:r w:rsidR="00655ACD">
        <w:rPr>
          <w:color w:val="000000"/>
        </w:rPr>
        <w:t>A 2</w:t>
      </w:r>
      <w:r w:rsidR="009D1FE1">
        <w:rPr>
          <w:color w:val="000000"/>
        </w:rPr>
        <w:t xml:space="preserve">2209.  </w:t>
      </w:r>
    </w:p>
    <w:p w:rsidR="00231B15" w:rsidRDefault="00231B15" w:rsidP="00231B15">
      <w:pPr>
        <w:shd w:val="clear" w:color="auto" w:fill="FFFFFF"/>
        <w:ind w:firstLine="720"/>
        <w:rPr>
          <w:color w:val="000000"/>
          <w:spacing w:val="-8"/>
          <w:szCs w:val="22"/>
        </w:rPr>
      </w:pPr>
    </w:p>
    <w:p w:rsidR="00231B15" w:rsidRDefault="00231B15" w:rsidP="00231B15">
      <w:pPr>
        <w:shd w:val="clear" w:color="auto" w:fill="FFFFFF"/>
        <w:rPr>
          <w:color w:val="000000"/>
          <w:spacing w:val="-8"/>
          <w:szCs w:val="22"/>
        </w:rPr>
      </w:pPr>
      <w:r>
        <w:rPr>
          <w:color w:val="000000"/>
          <w:spacing w:val="-8"/>
          <w:szCs w:val="22"/>
        </w:rPr>
        <w:tab/>
      </w:r>
      <w:r>
        <w:rPr>
          <w:color w:val="000000"/>
          <w:spacing w:val="-8"/>
          <w:szCs w:val="22"/>
        </w:rPr>
        <w:tab/>
      </w:r>
      <w:r>
        <w:rPr>
          <w:color w:val="000000"/>
          <w:spacing w:val="-8"/>
          <w:szCs w:val="22"/>
        </w:rPr>
        <w:tab/>
      </w:r>
      <w:r>
        <w:rPr>
          <w:color w:val="000000"/>
          <w:spacing w:val="-8"/>
          <w:szCs w:val="22"/>
        </w:rPr>
        <w:tab/>
      </w:r>
      <w:r>
        <w:rPr>
          <w:color w:val="000000"/>
          <w:spacing w:val="-8"/>
          <w:szCs w:val="22"/>
        </w:rPr>
        <w:tab/>
      </w:r>
      <w:r>
        <w:rPr>
          <w:color w:val="000000"/>
          <w:spacing w:val="-8"/>
          <w:szCs w:val="22"/>
        </w:rPr>
        <w:tab/>
        <w:t>FEDERAL COMMUNICATIONS COMMISSION</w:t>
      </w:r>
    </w:p>
    <w:p w:rsidR="00231B15" w:rsidRDefault="00231B15" w:rsidP="00231B15">
      <w:pPr>
        <w:shd w:val="clear" w:color="auto" w:fill="FFFFFF"/>
      </w:pPr>
    </w:p>
    <w:p w:rsidR="007726A5" w:rsidRDefault="007726A5" w:rsidP="00231B15">
      <w:pPr>
        <w:shd w:val="clear" w:color="auto" w:fill="FFFFFF"/>
      </w:pPr>
    </w:p>
    <w:p w:rsidR="00231B15" w:rsidRDefault="00231B15" w:rsidP="00231B15">
      <w:pPr>
        <w:shd w:val="clear" w:color="auto" w:fill="FFFFFF"/>
      </w:pPr>
    </w:p>
    <w:p w:rsidR="00231B15" w:rsidRDefault="00231B15" w:rsidP="00231B15">
      <w:pPr>
        <w:shd w:val="clear" w:color="auto" w:fill="FFFFFF"/>
      </w:pPr>
      <w:r>
        <w:tab/>
      </w:r>
      <w:r>
        <w:tab/>
      </w:r>
      <w:r>
        <w:tab/>
      </w:r>
      <w:r>
        <w:tab/>
      </w:r>
      <w:r>
        <w:tab/>
      </w:r>
      <w:r>
        <w:tab/>
      </w:r>
      <w:r w:rsidR="007670F9">
        <w:t>William T. Lake</w:t>
      </w:r>
    </w:p>
    <w:p w:rsidR="00C93533" w:rsidRDefault="00231B15" w:rsidP="009A51EB">
      <w:pPr>
        <w:shd w:val="clear" w:color="auto" w:fill="FFFFFF"/>
      </w:pPr>
      <w:r>
        <w:tab/>
        <w:t xml:space="preserve">                    </w:t>
      </w:r>
      <w:r>
        <w:tab/>
      </w:r>
      <w:r>
        <w:tab/>
        <w:t xml:space="preserve">             </w:t>
      </w:r>
      <w:r>
        <w:tab/>
      </w:r>
      <w:r w:rsidR="00943828">
        <w:tab/>
      </w:r>
      <w:r>
        <w:t>Chief, Media Bureau</w:t>
      </w:r>
    </w:p>
    <w:p w:rsidR="00C93533" w:rsidRDefault="00C93533">
      <w:pPr>
        <w:widowControl/>
      </w:pPr>
      <w:r>
        <w:br w:type="page"/>
      </w:r>
    </w:p>
    <w:p w:rsidR="00C93533" w:rsidRPr="00EE5485" w:rsidRDefault="00C93533" w:rsidP="00C93533">
      <w:pPr>
        <w:tabs>
          <w:tab w:val="left" w:pos="2340"/>
        </w:tabs>
        <w:jc w:val="center"/>
        <w:rPr>
          <w:b/>
          <w:szCs w:val="22"/>
          <w:u w:val="single"/>
        </w:rPr>
      </w:pPr>
      <w:r w:rsidRPr="00EE5485">
        <w:rPr>
          <w:b/>
          <w:szCs w:val="22"/>
          <w:u w:val="single"/>
        </w:rPr>
        <w:t>CONSENT DECREE</w:t>
      </w:r>
    </w:p>
    <w:p w:rsidR="00C93533" w:rsidRPr="00EE5485" w:rsidRDefault="00C93533" w:rsidP="00C93533">
      <w:pPr>
        <w:jc w:val="center"/>
        <w:rPr>
          <w:b/>
          <w:szCs w:val="22"/>
        </w:rPr>
      </w:pPr>
    </w:p>
    <w:p w:rsidR="00C93533" w:rsidRPr="00EE5485" w:rsidRDefault="00C93533" w:rsidP="00C93533">
      <w:pPr>
        <w:jc w:val="both"/>
        <w:rPr>
          <w:szCs w:val="22"/>
        </w:rPr>
      </w:pPr>
      <w:r w:rsidRPr="00EE5485">
        <w:rPr>
          <w:b/>
          <w:szCs w:val="22"/>
        </w:rPr>
        <w:t>I.</w:t>
      </w:r>
      <w:r w:rsidRPr="00EE5485">
        <w:rPr>
          <w:b/>
          <w:szCs w:val="22"/>
        </w:rPr>
        <w:tab/>
        <w:t>Introduction</w:t>
      </w:r>
    </w:p>
    <w:p w:rsidR="00C93533" w:rsidRPr="00EE5485" w:rsidRDefault="00C93533" w:rsidP="00C93533">
      <w:pPr>
        <w:jc w:val="both"/>
        <w:rPr>
          <w:szCs w:val="22"/>
        </w:rPr>
      </w:pPr>
    </w:p>
    <w:p w:rsidR="00C93533" w:rsidRPr="00126033" w:rsidRDefault="00C93533" w:rsidP="00C93533">
      <w:pPr>
        <w:rPr>
          <w:szCs w:val="22"/>
        </w:rPr>
      </w:pPr>
      <w:r>
        <w:rPr>
          <w:szCs w:val="22"/>
        </w:rPr>
        <w:tab/>
        <w:t>1.</w:t>
      </w:r>
      <w:r w:rsidRPr="00EE5485">
        <w:rPr>
          <w:szCs w:val="22"/>
        </w:rPr>
        <w:tab/>
      </w:r>
      <w:r w:rsidRPr="00126033">
        <w:rPr>
          <w:szCs w:val="22"/>
        </w:rPr>
        <w:t xml:space="preserve">This Consent Decree is entered into by </w:t>
      </w:r>
      <w:r w:rsidRPr="00000E3C">
        <w:rPr>
          <w:szCs w:val="22"/>
        </w:rPr>
        <w:t xml:space="preserve">and between </w:t>
      </w:r>
      <w:r w:rsidRPr="00126033">
        <w:rPr>
          <w:szCs w:val="22"/>
        </w:rPr>
        <w:t xml:space="preserve">the Media Bureau of the Federal Communications Commission and </w:t>
      </w:r>
      <w:r>
        <w:rPr>
          <w:szCs w:val="22"/>
        </w:rPr>
        <w:t>the Atlantic City Board of Education</w:t>
      </w:r>
      <w:r>
        <w:t xml:space="preserve">, </w:t>
      </w:r>
      <w:r>
        <w:rPr>
          <w:szCs w:val="22"/>
        </w:rPr>
        <w:t>by their respective authorized representatives, for the purpose of resolving certain issues regarding an inspection of the Station by the Commission’s Enforcement Bureau staff as well as compliance with the Filing Date Rule, Public File Rule, Ownership Report Rule, Transmission System Operation Rule, and Unauthorized Operation Rule, as defined below, with regard to noncommercial educational s</w:t>
      </w:r>
      <w:r w:rsidRPr="00000E3C">
        <w:rPr>
          <w:szCs w:val="22"/>
        </w:rPr>
        <w:t xml:space="preserve">tation </w:t>
      </w:r>
      <w:r>
        <w:rPr>
          <w:szCs w:val="22"/>
        </w:rPr>
        <w:t>WAJM(FM), Atlantic City, New Jersey.</w:t>
      </w:r>
      <w:r w:rsidRPr="00126033">
        <w:rPr>
          <w:szCs w:val="22"/>
        </w:rPr>
        <w:t xml:space="preserve"> </w:t>
      </w:r>
    </w:p>
    <w:p w:rsidR="00C93533" w:rsidRPr="00EE5485" w:rsidRDefault="00C93533" w:rsidP="00C93533">
      <w:pPr>
        <w:jc w:val="both"/>
        <w:rPr>
          <w:szCs w:val="22"/>
        </w:rPr>
      </w:pPr>
    </w:p>
    <w:p w:rsidR="00C93533" w:rsidRPr="00EE5485" w:rsidRDefault="00C93533" w:rsidP="00C93533">
      <w:pPr>
        <w:jc w:val="both"/>
        <w:rPr>
          <w:b/>
          <w:szCs w:val="22"/>
        </w:rPr>
      </w:pPr>
      <w:r w:rsidRPr="00EE5485">
        <w:rPr>
          <w:b/>
          <w:szCs w:val="22"/>
        </w:rPr>
        <w:t>II.</w:t>
      </w:r>
      <w:r w:rsidRPr="00EE5485">
        <w:rPr>
          <w:b/>
          <w:szCs w:val="22"/>
        </w:rPr>
        <w:tab/>
        <w:t>Definitions</w:t>
      </w:r>
    </w:p>
    <w:p w:rsidR="00C93533" w:rsidRPr="00EE5485" w:rsidRDefault="00C93533" w:rsidP="00C93533">
      <w:pPr>
        <w:jc w:val="both"/>
        <w:rPr>
          <w:szCs w:val="22"/>
        </w:rPr>
      </w:pPr>
      <w:r w:rsidRPr="00EE5485">
        <w:rPr>
          <w:szCs w:val="22"/>
        </w:rPr>
        <w:tab/>
      </w:r>
    </w:p>
    <w:p w:rsidR="00C93533" w:rsidRPr="00EE5485" w:rsidRDefault="00C93533" w:rsidP="00C93533">
      <w:pPr>
        <w:rPr>
          <w:szCs w:val="22"/>
        </w:rPr>
      </w:pPr>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C93533" w:rsidRPr="00EE5485" w:rsidRDefault="00C93533" w:rsidP="00C93533">
      <w:pPr>
        <w:rPr>
          <w:szCs w:val="22"/>
        </w:rPr>
      </w:pPr>
      <w:r w:rsidRPr="00EE5485">
        <w:rPr>
          <w:szCs w:val="22"/>
        </w:rPr>
        <w:tab/>
      </w:r>
      <w:r w:rsidRPr="00EE5485">
        <w:rPr>
          <w:szCs w:val="22"/>
        </w:rPr>
        <w:tab/>
      </w:r>
    </w:p>
    <w:p w:rsidR="00C93533" w:rsidRDefault="00C93533" w:rsidP="00C93533">
      <w:pPr>
        <w:rPr>
          <w:szCs w:val="22"/>
        </w:rPr>
      </w:pPr>
      <w:r w:rsidRPr="00EE5485">
        <w:rPr>
          <w:szCs w:val="22"/>
        </w:rPr>
        <w:tab/>
      </w:r>
      <w:r w:rsidRPr="00EE5485">
        <w:rPr>
          <w:szCs w:val="22"/>
        </w:rPr>
        <w:tab/>
      </w:r>
      <w:r>
        <w:rPr>
          <w:szCs w:val="22"/>
        </w:rPr>
        <w:t>(</w:t>
      </w:r>
      <w:r w:rsidRPr="00EE5485">
        <w:rPr>
          <w:szCs w:val="22"/>
        </w:rPr>
        <w:t xml:space="preserve">a)  </w:t>
      </w:r>
      <w:r w:rsidRPr="00F760B4">
        <w:rPr>
          <w:szCs w:val="22"/>
        </w:rPr>
        <w:t xml:space="preserve">“2010 Application” and “2014 Application” mean the pending applications for the </w:t>
      </w:r>
      <w:r>
        <w:rPr>
          <w:szCs w:val="22"/>
        </w:rPr>
        <w:tab/>
      </w:r>
      <w:r>
        <w:rPr>
          <w:szCs w:val="22"/>
        </w:rPr>
        <w:tab/>
      </w:r>
      <w:r>
        <w:rPr>
          <w:szCs w:val="22"/>
        </w:rPr>
        <w:tab/>
        <w:t xml:space="preserve">       </w:t>
      </w:r>
      <w:r w:rsidRPr="00F760B4">
        <w:rPr>
          <w:szCs w:val="22"/>
        </w:rPr>
        <w:t xml:space="preserve">renewal of the license for Station WAJM(FM), Atlantic City, New Jersey (File Nos. </w:t>
      </w:r>
      <w:r>
        <w:rPr>
          <w:szCs w:val="22"/>
        </w:rPr>
        <w:tab/>
      </w:r>
      <w:r>
        <w:rPr>
          <w:szCs w:val="22"/>
        </w:rPr>
        <w:tab/>
      </w:r>
      <w:r>
        <w:rPr>
          <w:szCs w:val="22"/>
        </w:rPr>
        <w:tab/>
        <w:t xml:space="preserve">       </w:t>
      </w:r>
      <w:r w:rsidRPr="00F760B4">
        <w:rPr>
          <w:szCs w:val="22"/>
        </w:rPr>
        <w:t>BRED-20100921AAN and BRED-20140128ABC, respectively);</w:t>
      </w:r>
    </w:p>
    <w:p w:rsidR="00C93533" w:rsidRPr="00F760B4" w:rsidRDefault="00C93533" w:rsidP="00C93533">
      <w:pPr>
        <w:rPr>
          <w:szCs w:val="22"/>
        </w:rPr>
      </w:pPr>
    </w:p>
    <w:p w:rsidR="00C93533" w:rsidRPr="00000E3C" w:rsidRDefault="00C93533" w:rsidP="00C935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800" w:hanging="2160"/>
        <w:rPr>
          <w:szCs w:val="22"/>
        </w:rPr>
      </w:pPr>
      <w:r w:rsidRPr="00EE5485">
        <w:rPr>
          <w:szCs w:val="22"/>
        </w:rPr>
        <w:tab/>
      </w:r>
      <w:r w:rsidRPr="00EE5485">
        <w:rPr>
          <w:szCs w:val="22"/>
        </w:rPr>
        <w:tab/>
      </w:r>
      <w:r>
        <w:rPr>
          <w:szCs w:val="22"/>
        </w:rPr>
        <w:tab/>
        <w:t>(</w:t>
      </w:r>
      <w:r w:rsidRPr="00EE5485">
        <w:rPr>
          <w:szCs w:val="22"/>
        </w:rPr>
        <w:t>b)</w:t>
      </w:r>
      <w:r>
        <w:rPr>
          <w:szCs w:val="22"/>
        </w:rPr>
        <w:t xml:space="preserve"> </w:t>
      </w:r>
      <w:r w:rsidRPr="00EE5485">
        <w:rPr>
          <w:szCs w:val="22"/>
        </w:rPr>
        <w:t xml:space="preserve">  </w:t>
      </w:r>
      <w:r>
        <w:rPr>
          <w:szCs w:val="22"/>
        </w:rPr>
        <w:t>“</w:t>
      </w:r>
      <w:r w:rsidRPr="00F760B4">
        <w:rPr>
          <w:szCs w:val="22"/>
        </w:rPr>
        <w:t xml:space="preserve">Act” means the Communications Act of 1934, as amended, 47 U.S.C. §151 </w:t>
      </w:r>
      <w:r w:rsidRPr="00F760B4">
        <w:rPr>
          <w:i/>
          <w:szCs w:val="22"/>
        </w:rPr>
        <w:t>et. seq.</w:t>
      </w:r>
      <w:r w:rsidRPr="00F760B4">
        <w:rPr>
          <w:szCs w:val="22"/>
        </w:rPr>
        <w:t>;</w:t>
      </w:r>
    </w:p>
    <w:p w:rsidR="00C93533" w:rsidRDefault="00C93533" w:rsidP="00C93533">
      <w:pPr>
        <w:rPr>
          <w:szCs w:val="22"/>
        </w:rPr>
      </w:pPr>
    </w:p>
    <w:p w:rsidR="00C93533" w:rsidRPr="00EE5485" w:rsidRDefault="00C93533" w:rsidP="00C93533">
      <w:pPr>
        <w:rPr>
          <w:szCs w:val="22"/>
        </w:rPr>
      </w:pPr>
      <w:r>
        <w:rPr>
          <w:szCs w:val="22"/>
        </w:rPr>
        <w:tab/>
      </w:r>
      <w:r>
        <w:rPr>
          <w:szCs w:val="22"/>
        </w:rPr>
        <w:tab/>
        <w:t xml:space="preserve">(c)  </w:t>
      </w:r>
      <w:r w:rsidRPr="00EE5485">
        <w:rPr>
          <w:szCs w:val="22"/>
        </w:rPr>
        <w:t>“Bureau” means the Media Bureau of the Federal Communications Commission;</w:t>
      </w:r>
    </w:p>
    <w:p w:rsidR="00C93533" w:rsidRPr="00EE5485" w:rsidRDefault="00C93533" w:rsidP="00C93533">
      <w:pPr>
        <w:rPr>
          <w:szCs w:val="22"/>
        </w:rPr>
      </w:pPr>
    </w:p>
    <w:p w:rsidR="00C93533" w:rsidRPr="00EE5485" w:rsidRDefault="00C93533" w:rsidP="00C93533">
      <w:pPr>
        <w:rPr>
          <w:szCs w:val="22"/>
        </w:rPr>
      </w:pPr>
      <w:r w:rsidRPr="00EE5485">
        <w:rPr>
          <w:szCs w:val="22"/>
        </w:rPr>
        <w:tab/>
      </w:r>
      <w:r w:rsidRPr="00EE5485">
        <w:rPr>
          <w:szCs w:val="22"/>
        </w:rPr>
        <w:tab/>
      </w:r>
      <w:r>
        <w:rPr>
          <w:szCs w:val="22"/>
        </w:rPr>
        <w:t>(d</w:t>
      </w:r>
      <w:r w:rsidRPr="00EE5485">
        <w:rPr>
          <w:szCs w:val="22"/>
        </w:rPr>
        <w:t xml:space="preserve">)  “Commission” or </w:t>
      </w:r>
      <w:r>
        <w:rPr>
          <w:szCs w:val="22"/>
        </w:rPr>
        <w:t>“</w:t>
      </w:r>
      <w:r w:rsidRPr="00EE5485">
        <w:rPr>
          <w:szCs w:val="22"/>
        </w:rPr>
        <w:t>FCC</w:t>
      </w:r>
      <w:r>
        <w:rPr>
          <w:szCs w:val="22"/>
        </w:rPr>
        <w:t>”</w:t>
      </w:r>
      <w:r w:rsidRPr="00EE5485">
        <w:rPr>
          <w:szCs w:val="22"/>
        </w:rPr>
        <w:t xml:space="preserve"> means the Federal Communications Commission;</w:t>
      </w:r>
    </w:p>
    <w:p w:rsidR="00C93533" w:rsidRPr="00EE5485" w:rsidRDefault="00C93533" w:rsidP="00C93533">
      <w:pPr>
        <w:rPr>
          <w:szCs w:val="22"/>
        </w:rPr>
      </w:pPr>
    </w:p>
    <w:p w:rsidR="00C93533" w:rsidRDefault="00C93533" w:rsidP="00C93533">
      <w:pPr>
        <w:rPr>
          <w:szCs w:val="22"/>
        </w:rPr>
      </w:pPr>
      <w:r w:rsidRPr="00EE5485">
        <w:rPr>
          <w:szCs w:val="22"/>
        </w:rPr>
        <w:tab/>
      </w:r>
      <w:r w:rsidRPr="00EE5485">
        <w:rPr>
          <w:szCs w:val="22"/>
        </w:rPr>
        <w:tab/>
      </w:r>
      <w:r>
        <w:rPr>
          <w:szCs w:val="22"/>
        </w:rPr>
        <w:t>(e</w:t>
      </w:r>
      <w:r w:rsidRPr="00EE5485">
        <w:rPr>
          <w:szCs w:val="22"/>
        </w:rPr>
        <w:t xml:space="preserve">)  “Compliance Plan” means the processes and procedures developed by </w:t>
      </w:r>
      <w:r>
        <w:rPr>
          <w:szCs w:val="22"/>
        </w:rPr>
        <w:t>the Licensee</w:t>
      </w:r>
    </w:p>
    <w:p w:rsidR="00C93533" w:rsidRPr="00EE5485" w:rsidRDefault="00C93533" w:rsidP="00C93533">
      <w:pPr>
        <w:rPr>
          <w:szCs w:val="22"/>
        </w:rPr>
      </w:pPr>
      <w:r>
        <w:rPr>
          <w:szCs w:val="22"/>
        </w:rPr>
        <w:t xml:space="preserve">                                 </w:t>
      </w:r>
      <w:r w:rsidRPr="00EE5485">
        <w:rPr>
          <w:szCs w:val="22"/>
        </w:rPr>
        <w:t>in</w:t>
      </w:r>
      <w:r>
        <w:rPr>
          <w:szCs w:val="22"/>
        </w:rPr>
        <w:t xml:space="preserve"> </w:t>
      </w:r>
      <w:r w:rsidRPr="00EE5485">
        <w:rPr>
          <w:szCs w:val="22"/>
        </w:rPr>
        <w:t xml:space="preserve">an effort to ensure compliance with the </w:t>
      </w:r>
      <w:r>
        <w:rPr>
          <w:szCs w:val="22"/>
        </w:rPr>
        <w:t xml:space="preserve">Filing Date Rule, Public File Rule, </w:t>
      </w:r>
      <w:r>
        <w:rPr>
          <w:szCs w:val="22"/>
        </w:rPr>
        <w:tab/>
      </w:r>
      <w:r>
        <w:rPr>
          <w:szCs w:val="22"/>
        </w:rPr>
        <w:tab/>
      </w:r>
      <w:r>
        <w:rPr>
          <w:szCs w:val="22"/>
        </w:rPr>
        <w:tab/>
        <w:t xml:space="preserve">       </w:t>
      </w:r>
      <w:r w:rsidRPr="00E366A4">
        <w:rPr>
          <w:szCs w:val="22"/>
        </w:rPr>
        <w:t>Ownership Report Rule,</w:t>
      </w:r>
      <w:r>
        <w:rPr>
          <w:szCs w:val="22"/>
        </w:rPr>
        <w:t xml:space="preserve"> T</w:t>
      </w:r>
      <w:r w:rsidRPr="00E366A4">
        <w:rPr>
          <w:szCs w:val="22"/>
        </w:rPr>
        <w:t xml:space="preserve">ransmission System Operation Rule, and Unauthorized </w:t>
      </w:r>
      <w:r>
        <w:rPr>
          <w:szCs w:val="22"/>
        </w:rPr>
        <w:tab/>
      </w:r>
      <w:r>
        <w:rPr>
          <w:szCs w:val="22"/>
        </w:rPr>
        <w:tab/>
      </w:r>
      <w:r>
        <w:rPr>
          <w:szCs w:val="22"/>
        </w:rPr>
        <w:tab/>
        <w:t xml:space="preserve">       </w:t>
      </w:r>
      <w:r w:rsidRPr="00E366A4">
        <w:rPr>
          <w:szCs w:val="22"/>
        </w:rPr>
        <w:t>Operation Rule</w:t>
      </w:r>
      <w:r>
        <w:rPr>
          <w:szCs w:val="22"/>
        </w:rPr>
        <w:t xml:space="preserve"> at the Station, as summarized in the Appendix hereto;</w:t>
      </w:r>
    </w:p>
    <w:p w:rsidR="00C93533" w:rsidRPr="00EE5485" w:rsidRDefault="00C93533" w:rsidP="00C93533">
      <w:pPr>
        <w:rPr>
          <w:szCs w:val="22"/>
        </w:rPr>
      </w:pPr>
    </w:p>
    <w:p w:rsidR="00C93533" w:rsidRPr="00EE5485" w:rsidRDefault="00C93533" w:rsidP="00C93533">
      <w:pPr>
        <w:rPr>
          <w:szCs w:val="22"/>
        </w:rPr>
      </w:pPr>
      <w:r w:rsidRPr="00EE5485">
        <w:rPr>
          <w:szCs w:val="22"/>
        </w:rPr>
        <w:tab/>
      </w:r>
      <w:r w:rsidRPr="00EE5485">
        <w:rPr>
          <w:szCs w:val="22"/>
        </w:rPr>
        <w:tab/>
      </w:r>
      <w:r>
        <w:rPr>
          <w:szCs w:val="22"/>
        </w:rPr>
        <w:t>(f</w:t>
      </w:r>
      <w:r w:rsidRPr="00EE5485">
        <w:rPr>
          <w:szCs w:val="22"/>
        </w:rPr>
        <w:t xml:space="preserve">)  “Effective Date” means the date on which the </w:t>
      </w:r>
      <w:r>
        <w:rPr>
          <w:szCs w:val="22"/>
        </w:rPr>
        <w:t>Bureau</w:t>
      </w:r>
      <w:r w:rsidRPr="00EE5485">
        <w:rPr>
          <w:szCs w:val="22"/>
        </w:rPr>
        <w:t xml:space="preserve"> releases the Order;</w:t>
      </w:r>
    </w:p>
    <w:p w:rsidR="00C93533" w:rsidRPr="00EE5485" w:rsidRDefault="00C93533" w:rsidP="00C93533">
      <w:pPr>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sidRPr="00EE5485">
        <w:rPr>
          <w:szCs w:val="22"/>
        </w:rPr>
        <w:tab/>
      </w:r>
      <w:r w:rsidRPr="00EE5485">
        <w:rPr>
          <w:szCs w:val="22"/>
        </w:rPr>
        <w:tab/>
      </w:r>
      <w:r>
        <w:rPr>
          <w:szCs w:val="22"/>
        </w:rPr>
        <w:t xml:space="preserve">(g)  </w:t>
      </w:r>
      <w:r w:rsidRPr="00000E3C">
        <w:rPr>
          <w:szCs w:val="22"/>
        </w:rPr>
        <w:t>“Execution Date” means the date on which this Co</w:t>
      </w:r>
      <w:r>
        <w:rPr>
          <w:szCs w:val="22"/>
        </w:rPr>
        <w:t xml:space="preserve">nsent Decree is executed by the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 xml:space="preserve">                                 last of the </w:t>
      </w:r>
      <w:r w:rsidRPr="00000E3C">
        <w:rPr>
          <w:szCs w:val="22"/>
        </w:rPr>
        <w:t>Parties</w:t>
      </w:r>
      <w:r>
        <w:rPr>
          <w:szCs w:val="22"/>
        </w:rPr>
        <w:t xml:space="preserve"> to do so</w:t>
      </w:r>
      <w:r w:rsidRPr="00000E3C">
        <w:rPr>
          <w:szCs w:val="22"/>
        </w:rPr>
        <w:t>;</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r>
        <w:rPr>
          <w:szCs w:val="22"/>
        </w:rPr>
        <w:t xml:space="preserve">                          </w:t>
      </w:r>
    </w:p>
    <w:p w:rsidR="00C93533" w:rsidRDefault="00C93533" w:rsidP="00C93533">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B6A49">
        <w:rPr>
          <w:szCs w:val="22"/>
        </w:rPr>
        <w:t xml:space="preserve">“Filing Date Rule” means </w:t>
      </w:r>
      <w:hyperlink r:id="rId8" w:tgtFrame="_top" w:history="1">
        <w:r w:rsidRPr="00DB6A49">
          <w:rPr>
            <w:rStyle w:val="Hyperlink"/>
            <w:szCs w:val="22"/>
          </w:rPr>
          <w:t>Section 73.3539</w:t>
        </w:r>
      </w:hyperlink>
      <w:r w:rsidRPr="00DB6A49">
        <w:rPr>
          <w:szCs w:val="22"/>
        </w:rPr>
        <w:t xml:space="preserve"> of the Commission's Rules, </w:t>
      </w:r>
      <w:hyperlink r:id="rId9" w:tgtFrame="_top" w:history="1">
        <w:r w:rsidRPr="00DB6A49">
          <w:rPr>
            <w:rStyle w:val="Hyperlink"/>
            <w:szCs w:val="22"/>
          </w:rPr>
          <w:t xml:space="preserve">47 C.F.R. § </w:t>
        </w:r>
        <w:r w:rsidRPr="00DB6A49">
          <w:rPr>
            <w:rStyle w:val="Hyperlink"/>
            <w:szCs w:val="22"/>
          </w:rPr>
          <w:tab/>
          <w:t xml:space="preserve">           </w:t>
        </w:r>
        <w:r w:rsidRPr="00DB6A49">
          <w:rPr>
            <w:rStyle w:val="Hyperlink"/>
            <w:szCs w:val="22"/>
          </w:rPr>
          <w:tab/>
          <w:t xml:space="preserve">       73.3539</w:t>
        </w:r>
      </w:hyperlink>
      <w:r w:rsidRPr="00DB6A49">
        <w:rPr>
          <w:szCs w:val="22"/>
        </w:rPr>
        <w:t xml:space="preserv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2"/>
        </w:rPr>
      </w:pPr>
    </w:p>
    <w:p w:rsidR="00C93533" w:rsidRPr="00DB6A49"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2"/>
        </w:rPr>
      </w:pPr>
      <w:r>
        <w:rPr>
          <w:szCs w:val="22"/>
        </w:rPr>
        <w:t xml:space="preserve"> (i)  </w:t>
      </w:r>
      <w:r w:rsidRPr="00DB6A49">
        <w:rPr>
          <w:szCs w:val="22"/>
        </w:rPr>
        <w:t xml:space="preserve">“Licensee” or “Board” </w:t>
      </w:r>
      <w:r>
        <w:rPr>
          <w:szCs w:val="22"/>
        </w:rPr>
        <w:t>means</w:t>
      </w:r>
      <w:r w:rsidRPr="00DB6A49">
        <w:rPr>
          <w:szCs w:val="22"/>
        </w:rPr>
        <w:t xml:space="preserve"> the Atlantic City Board of Education;</w:t>
      </w:r>
    </w:p>
    <w:p w:rsidR="00C93533" w:rsidRPr="00DB6A49"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Pr="007F1D8B" w:rsidRDefault="00C93533" w:rsidP="00C9353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Cs w:val="22"/>
        </w:rPr>
      </w:pPr>
      <w:r>
        <w:rPr>
          <w:szCs w:val="22"/>
        </w:rPr>
        <w:t xml:space="preserve"> (j)  “Modification Application” is the application, File No. BPH-20100827ABW, filed   </w:t>
      </w:r>
      <w:r>
        <w:rPr>
          <w:szCs w:val="22"/>
        </w:rPr>
        <w:tab/>
        <w:t>by the Board to correct the Station’s authorized operating parameters;</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2"/>
        </w:rPr>
      </w:pPr>
    </w:p>
    <w:p w:rsidR="00C93533" w:rsidRDefault="00C93533" w:rsidP="00C93533">
      <w:pPr>
        <w:rPr>
          <w:szCs w:val="22"/>
        </w:rPr>
      </w:pPr>
      <w:r w:rsidRPr="0071518D">
        <w:rPr>
          <w:szCs w:val="22"/>
        </w:rPr>
        <w:t xml:space="preserve">  </w:t>
      </w:r>
      <w:r>
        <w:rPr>
          <w:szCs w:val="22"/>
        </w:rPr>
        <w:t xml:space="preserve">                         (k)  </w:t>
      </w:r>
      <w:r w:rsidRPr="00DB6A49">
        <w:rPr>
          <w:szCs w:val="22"/>
        </w:rPr>
        <w:t>“</w:t>
      </w:r>
      <w:r w:rsidRPr="00802777">
        <w:rPr>
          <w:i/>
        </w:rPr>
        <w:t>NOV</w:t>
      </w:r>
      <w:r w:rsidRPr="00DB6A49">
        <w:rPr>
          <w:szCs w:val="22"/>
        </w:rPr>
        <w:t xml:space="preserve">” means the Enforcement Bureau’s Official Notice of Violation citing the </w:t>
      </w:r>
      <w:r w:rsidRPr="00DB6A49">
        <w:rPr>
          <w:szCs w:val="22"/>
        </w:rPr>
        <w:tab/>
      </w:r>
      <w:r w:rsidRPr="00DB6A49">
        <w:rPr>
          <w:szCs w:val="22"/>
        </w:rPr>
        <w:tab/>
      </w:r>
      <w:r w:rsidRPr="00DB6A49">
        <w:rPr>
          <w:szCs w:val="22"/>
        </w:rPr>
        <w:tab/>
        <w:t xml:space="preserve">       Board’s violation of Sections 73.1870(c)(3)(logging requirements); </w:t>
      </w:r>
      <w:r w:rsidRPr="00DB6A49">
        <w:rPr>
          <w:szCs w:val="22"/>
        </w:rPr>
        <w:tab/>
      </w:r>
      <w:r w:rsidRPr="00DB6A49">
        <w:rPr>
          <w:szCs w:val="22"/>
        </w:rPr>
        <w:tab/>
      </w:r>
      <w:r w:rsidRPr="00DB6A49">
        <w:rPr>
          <w:szCs w:val="22"/>
        </w:rPr>
        <w:tab/>
      </w:r>
      <w:r w:rsidRPr="00DB6A49">
        <w:rPr>
          <w:szCs w:val="22"/>
        </w:rPr>
        <w:tab/>
        <w:t xml:space="preserve">       </w:t>
      </w:r>
      <w:r>
        <w:rPr>
          <w:szCs w:val="22"/>
        </w:rPr>
        <w:tab/>
        <w:t xml:space="preserve">       </w:t>
      </w:r>
      <w:r w:rsidRPr="00DB6A49">
        <w:rPr>
          <w:szCs w:val="22"/>
        </w:rPr>
        <w:t xml:space="preserve">73.3527(e)(3)-(4)-(7)-(8) (contour map; ownership report; “The Public and </w:t>
      </w:r>
      <w:r w:rsidRPr="00DB6A49">
        <w:rPr>
          <w:szCs w:val="22"/>
        </w:rPr>
        <w:tab/>
      </w:r>
      <w:r w:rsidRPr="00DB6A49">
        <w:rPr>
          <w:szCs w:val="22"/>
        </w:rPr>
        <w:tab/>
      </w:r>
      <w:r w:rsidRPr="00DB6A49">
        <w:rPr>
          <w:szCs w:val="22"/>
        </w:rPr>
        <w:tab/>
      </w:r>
      <w:r w:rsidRPr="00DB6A49">
        <w:rPr>
          <w:szCs w:val="22"/>
        </w:rPr>
        <w:tab/>
        <w:t xml:space="preserve">       Broadcasting” manual; and quarterly issues/programs lists requirements, </w:t>
      </w:r>
      <w:r w:rsidRPr="00DB6A49">
        <w:rPr>
          <w:szCs w:val="22"/>
        </w:rPr>
        <w:tab/>
      </w:r>
      <w:r w:rsidRPr="00DB6A49">
        <w:rPr>
          <w:szCs w:val="22"/>
        </w:rPr>
        <w:tab/>
      </w:r>
      <w:r w:rsidRPr="00DB6A49">
        <w:rPr>
          <w:szCs w:val="22"/>
        </w:rPr>
        <w:tab/>
      </w:r>
      <w:r w:rsidRPr="00DB6A49">
        <w:rPr>
          <w:szCs w:val="22"/>
        </w:rPr>
        <w:tab/>
        <w:t xml:space="preserve">       respectively); 11.52(d); 11.61(a)(1)(v) (EAS requirements); 11.35 (operational </w:t>
      </w:r>
      <w:r w:rsidRPr="00DB6A49">
        <w:rPr>
          <w:szCs w:val="22"/>
        </w:rPr>
        <w:tab/>
      </w:r>
      <w:r w:rsidRPr="00DB6A49">
        <w:rPr>
          <w:szCs w:val="22"/>
        </w:rPr>
        <w:tab/>
      </w:r>
      <w:r w:rsidRPr="00DB6A49">
        <w:rPr>
          <w:szCs w:val="22"/>
        </w:rPr>
        <w:tab/>
        <w:t xml:space="preserve">       readiness testing); 73.267(c)(3) (transmitter efficiency factor); 73.1225(a) and (e) </w:t>
      </w:r>
      <w:r w:rsidRPr="00DB6A49">
        <w:rPr>
          <w:szCs w:val="22"/>
        </w:rPr>
        <w:tab/>
      </w:r>
      <w:r w:rsidRPr="00DB6A49">
        <w:rPr>
          <w:szCs w:val="22"/>
        </w:rPr>
        <w:tab/>
      </w:r>
      <w:r w:rsidRPr="00DB6A49">
        <w:rPr>
          <w:szCs w:val="22"/>
        </w:rPr>
        <w:tab/>
        <w:t xml:space="preserve">       (transmitter inspection availability and provision of local phone number, </w:t>
      </w:r>
      <w:r w:rsidRPr="00DB6A49">
        <w:rPr>
          <w:szCs w:val="22"/>
        </w:rPr>
        <w:tab/>
      </w:r>
      <w:r w:rsidRPr="00DB6A49">
        <w:rPr>
          <w:szCs w:val="22"/>
        </w:rPr>
        <w:tab/>
      </w:r>
      <w:r w:rsidRPr="00DB6A49">
        <w:rPr>
          <w:szCs w:val="22"/>
        </w:rPr>
        <w:tab/>
      </w:r>
      <w:r w:rsidRPr="00DB6A49">
        <w:rPr>
          <w:szCs w:val="22"/>
        </w:rPr>
        <w:tab/>
        <w:t xml:space="preserve">       respectively); 73.1840(a) (retention of station logs); 73.1590(d) (equipment </w:t>
      </w:r>
      <w:r w:rsidRPr="00DB6A49">
        <w:rPr>
          <w:szCs w:val="22"/>
        </w:rPr>
        <w:tab/>
      </w:r>
      <w:r w:rsidRPr="00DB6A49">
        <w:rPr>
          <w:szCs w:val="22"/>
        </w:rPr>
        <w:tab/>
      </w:r>
      <w:r w:rsidRPr="00DB6A49">
        <w:rPr>
          <w:szCs w:val="22"/>
        </w:rPr>
        <w:tab/>
      </w:r>
      <w:r w:rsidRPr="00DB6A49">
        <w:rPr>
          <w:szCs w:val="22"/>
        </w:rPr>
        <w:tab/>
        <w:t xml:space="preserve">       performance measurements); and 73.1350(c)(2) (calibration of monitoring </w:t>
      </w:r>
      <w:r w:rsidRPr="00DB6A49">
        <w:rPr>
          <w:szCs w:val="22"/>
        </w:rPr>
        <w:tab/>
      </w:r>
      <w:r w:rsidRPr="00DB6A49">
        <w:rPr>
          <w:szCs w:val="22"/>
        </w:rPr>
        <w:tab/>
      </w:r>
      <w:r w:rsidRPr="00DB6A49">
        <w:rPr>
          <w:szCs w:val="22"/>
        </w:rPr>
        <w:tab/>
      </w:r>
      <w:r w:rsidRPr="00DB6A49">
        <w:rPr>
          <w:szCs w:val="22"/>
        </w:rPr>
        <w:tab/>
        <w:t xml:space="preserve">       equipment) of the Rules.  </w:t>
      </w:r>
      <w:r w:rsidRPr="00DB6A49">
        <w:rPr>
          <w:i/>
          <w:szCs w:val="22"/>
        </w:rPr>
        <w:t xml:space="preserve">See </w:t>
      </w:r>
      <w:r w:rsidRPr="00DB6A49">
        <w:rPr>
          <w:szCs w:val="22"/>
        </w:rPr>
        <w:t xml:space="preserve">Official Notice of Violation, Ref. EB-01-PA-115 </w:t>
      </w:r>
      <w:r w:rsidRPr="00DB6A49">
        <w:rPr>
          <w:szCs w:val="22"/>
        </w:rPr>
        <w:tab/>
      </w:r>
      <w:r w:rsidRPr="00DB6A49">
        <w:rPr>
          <w:szCs w:val="22"/>
        </w:rPr>
        <w:tab/>
      </w:r>
      <w:r w:rsidRPr="00DB6A49">
        <w:rPr>
          <w:szCs w:val="22"/>
        </w:rPr>
        <w:tab/>
        <w:t xml:space="preserve">       (EB rel. May 11, 2001);</w:t>
      </w:r>
    </w:p>
    <w:p w:rsidR="00C93533" w:rsidRDefault="00C93533" w:rsidP="00C93533">
      <w:pPr>
        <w:pStyle w:val="ListParagraph"/>
        <w:ind w:left="0"/>
        <w:rPr>
          <w:szCs w:val="22"/>
        </w:rPr>
      </w:pPr>
    </w:p>
    <w:p w:rsidR="00C93533" w:rsidRDefault="00C93533" w:rsidP="00C93533">
      <w:pPr>
        <w:rPr>
          <w:szCs w:val="22"/>
        </w:rPr>
      </w:pPr>
      <w:r>
        <w:rPr>
          <w:szCs w:val="22"/>
        </w:rPr>
        <w:tab/>
      </w:r>
      <w:r>
        <w:rPr>
          <w:szCs w:val="22"/>
        </w:rPr>
        <w:tab/>
        <w:t xml:space="preserve"> (l)  </w:t>
      </w:r>
      <w:r w:rsidRPr="00DB6A49">
        <w:rPr>
          <w:szCs w:val="22"/>
        </w:rPr>
        <w:t>“Order” means the Order of the Bureau adopting this Consent Decree;</w:t>
      </w:r>
      <w:r>
        <w:rPr>
          <w:szCs w:val="22"/>
        </w:rPr>
        <w:t xml:space="preserve"> </w:t>
      </w:r>
    </w:p>
    <w:p w:rsidR="00C93533" w:rsidRDefault="00C93533" w:rsidP="00C93533">
      <w:pPr>
        <w:rPr>
          <w:szCs w:val="22"/>
        </w:rPr>
      </w:pPr>
    </w:p>
    <w:p w:rsidR="00C93533" w:rsidRPr="0056644D" w:rsidRDefault="00C93533" w:rsidP="00C93533">
      <w:pPr>
        <w:rPr>
          <w:szCs w:val="22"/>
        </w:rPr>
      </w:pPr>
      <w:r w:rsidRPr="00EE5485">
        <w:rPr>
          <w:szCs w:val="22"/>
        </w:rPr>
        <w:t xml:space="preserve"> </w:t>
      </w:r>
      <w:r>
        <w:rPr>
          <w:szCs w:val="22"/>
        </w:rPr>
        <w:tab/>
      </w:r>
      <w:r>
        <w:rPr>
          <w:szCs w:val="22"/>
        </w:rPr>
        <w:tab/>
        <w:t xml:space="preserve">(m)  </w:t>
      </w:r>
      <w:r w:rsidRPr="0056644D">
        <w:rPr>
          <w:szCs w:val="22"/>
        </w:rPr>
        <w:t xml:space="preserve">“Ownership Report Rule” means </w:t>
      </w:r>
      <w:hyperlink r:id="rId10" w:tgtFrame="_top" w:history="1">
        <w:r w:rsidRPr="0056644D">
          <w:rPr>
            <w:rStyle w:val="Hyperlink"/>
            <w:szCs w:val="22"/>
          </w:rPr>
          <w:t>Section 73.3615</w:t>
        </w:r>
      </w:hyperlink>
      <w:r w:rsidRPr="0056644D">
        <w:rPr>
          <w:szCs w:val="22"/>
        </w:rPr>
        <w:t xml:space="preserve"> of the Commission's Rules, </w:t>
      </w:r>
      <w:hyperlink r:id="rId11" w:tgtFrame="_top" w:history="1">
        <w:r w:rsidRPr="0056644D">
          <w:rPr>
            <w:rStyle w:val="Hyperlink"/>
            <w:szCs w:val="22"/>
          </w:rPr>
          <w:t xml:space="preserve">47 </w:t>
        </w:r>
        <w:r w:rsidRPr="0056644D">
          <w:rPr>
            <w:rStyle w:val="Hyperlink"/>
            <w:szCs w:val="22"/>
          </w:rPr>
          <w:tab/>
        </w:r>
        <w:r w:rsidRPr="0056644D">
          <w:rPr>
            <w:rStyle w:val="Hyperlink"/>
            <w:szCs w:val="22"/>
          </w:rPr>
          <w:tab/>
          <w:t xml:space="preserve">        </w:t>
        </w:r>
        <w:r>
          <w:rPr>
            <w:rStyle w:val="Hyperlink"/>
            <w:szCs w:val="22"/>
          </w:rPr>
          <w:tab/>
          <w:t xml:space="preserve">        </w:t>
        </w:r>
        <w:r w:rsidRPr="0056644D">
          <w:rPr>
            <w:rStyle w:val="Hyperlink"/>
            <w:szCs w:val="22"/>
          </w:rPr>
          <w:t>C.F.R. Section 73.3615</w:t>
        </w:r>
      </w:hyperlink>
      <w:r w:rsidRPr="0056644D">
        <w:rPr>
          <w:szCs w:val="22"/>
        </w:rPr>
        <w:t xml:space="preserve">; </w:t>
      </w:r>
    </w:p>
    <w:p w:rsidR="00C93533" w:rsidRPr="00EE5485" w:rsidRDefault="00C93533" w:rsidP="00C93533">
      <w:pPr>
        <w:rPr>
          <w:szCs w:val="22"/>
        </w:rPr>
      </w:pPr>
    </w:p>
    <w:p w:rsidR="00C93533" w:rsidRPr="00EE5485" w:rsidRDefault="00C93533" w:rsidP="00C93533">
      <w:pPr>
        <w:rPr>
          <w:szCs w:val="22"/>
        </w:rPr>
      </w:pPr>
      <w:r w:rsidRPr="00EE5485">
        <w:rPr>
          <w:szCs w:val="22"/>
        </w:rPr>
        <w:tab/>
      </w:r>
      <w:r w:rsidRPr="00EE5485">
        <w:rPr>
          <w:szCs w:val="22"/>
        </w:rPr>
        <w:tab/>
      </w:r>
      <w:r>
        <w:rPr>
          <w:szCs w:val="22"/>
        </w:rPr>
        <w:t>(n</w:t>
      </w:r>
      <w:r w:rsidRPr="00EE5485">
        <w:rPr>
          <w:szCs w:val="22"/>
        </w:rPr>
        <w:t xml:space="preserve">)  </w:t>
      </w:r>
      <w:r w:rsidRPr="0056644D">
        <w:rPr>
          <w:szCs w:val="22"/>
        </w:rPr>
        <w:t>“Parties” means the Bureau and the Licensee;</w:t>
      </w:r>
      <w:r>
        <w:rPr>
          <w:szCs w:val="22"/>
        </w:rPr>
        <w:t xml:space="preserve">“ </w:t>
      </w:r>
    </w:p>
    <w:p w:rsidR="00C93533" w:rsidRPr="00EE5485" w:rsidRDefault="00C93533" w:rsidP="00C93533">
      <w:pPr>
        <w:rPr>
          <w:szCs w:val="22"/>
        </w:rPr>
      </w:pPr>
    </w:p>
    <w:p w:rsidR="00C93533" w:rsidRDefault="00C93533" w:rsidP="00C9353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800" w:hanging="2160"/>
        <w:rPr>
          <w:szCs w:val="22"/>
        </w:rPr>
      </w:pPr>
      <w:r w:rsidRPr="00EE5485">
        <w:rPr>
          <w:szCs w:val="22"/>
        </w:rPr>
        <w:tab/>
      </w:r>
      <w:r w:rsidRPr="00EE5485">
        <w:rPr>
          <w:szCs w:val="22"/>
        </w:rPr>
        <w:tab/>
      </w:r>
      <w:r>
        <w:rPr>
          <w:szCs w:val="22"/>
        </w:rPr>
        <w:tab/>
        <w:t xml:space="preserve">(o)  </w:t>
      </w:r>
      <w:r w:rsidRPr="0056644D">
        <w:rPr>
          <w:szCs w:val="22"/>
        </w:rPr>
        <w:t xml:space="preserve">“Petition” means the Petition to Deny filed by Press Communications, LLC, on </w:t>
      </w:r>
      <w:r w:rsidRPr="0056644D">
        <w:rPr>
          <w:szCs w:val="22"/>
        </w:rPr>
        <w:tab/>
        <w:t xml:space="preserve">       December 22, 2010, alleging one or more violations of the Act and/or the Rules by </w:t>
      </w:r>
      <w:r w:rsidRPr="0056644D">
        <w:rPr>
          <w:szCs w:val="22"/>
        </w:rPr>
        <w:tab/>
        <w:t xml:space="preserve">    the Board;   </w:t>
      </w:r>
    </w:p>
    <w:p w:rsidR="00C93533" w:rsidRDefault="00C93533" w:rsidP="00C93533">
      <w:pPr>
        <w:rPr>
          <w:szCs w:val="22"/>
        </w:rPr>
      </w:pPr>
    </w:p>
    <w:p w:rsidR="00C93533" w:rsidRPr="0056644D" w:rsidRDefault="00C93533" w:rsidP="00C93533">
      <w:pPr>
        <w:ind w:left="720" w:firstLine="720"/>
        <w:rPr>
          <w:szCs w:val="22"/>
        </w:rPr>
      </w:pPr>
      <w:r>
        <w:rPr>
          <w:szCs w:val="22"/>
        </w:rPr>
        <w:t>(p)  “</w:t>
      </w:r>
      <w:r w:rsidRPr="0056644D">
        <w:rPr>
          <w:szCs w:val="22"/>
        </w:rPr>
        <w:t xml:space="preserve">Public File Rule” means Section 73.3527 of the Commission’s Rules, 47 C.F.R. </w:t>
      </w:r>
    </w:p>
    <w:p w:rsidR="00C93533" w:rsidRPr="0056644D" w:rsidRDefault="00C93533" w:rsidP="00C93533">
      <w:pPr>
        <w:ind w:left="720" w:firstLine="720"/>
        <w:rPr>
          <w:szCs w:val="22"/>
        </w:rPr>
      </w:pPr>
      <w:r w:rsidRPr="0056644D">
        <w:rPr>
          <w:szCs w:val="22"/>
        </w:rPr>
        <w:t xml:space="preserve">       § 73.3527; </w:t>
      </w:r>
    </w:p>
    <w:p w:rsidR="00C93533" w:rsidRPr="00A41427" w:rsidRDefault="00C93533" w:rsidP="00C93533">
      <w:pPr>
        <w:ind w:left="720" w:firstLine="720"/>
        <w:rPr>
          <w:szCs w:val="22"/>
        </w:rPr>
      </w:pPr>
    </w:p>
    <w:p w:rsidR="00C93533" w:rsidRPr="00A41427" w:rsidRDefault="00C93533" w:rsidP="00C93533">
      <w:pPr>
        <w:ind w:left="720" w:firstLine="720"/>
        <w:rPr>
          <w:szCs w:val="22"/>
        </w:rPr>
      </w:pPr>
      <w:r w:rsidRPr="00D43611">
        <w:rPr>
          <w:szCs w:val="22"/>
        </w:rPr>
        <w:t>(</w:t>
      </w:r>
      <w:r>
        <w:rPr>
          <w:szCs w:val="22"/>
        </w:rPr>
        <w:t>q</w:t>
      </w:r>
      <w:r w:rsidRPr="00D43611">
        <w:rPr>
          <w:szCs w:val="22"/>
        </w:rPr>
        <w:t>)</w:t>
      </w:r>
      <w:r>
        <w:rPr>
          <w:szCs w:val="22"/>
        </w:rPr>
        <w:t xml:space="preserve">  “</w:t>
      </w:r>
      <w:r w:rsidRPr="0056644D">
        <w:rPr>
          <w:szCs w:val="22"/>
        </w:rPr>
        <w:t xml:space="preserve">Rules” means the Commission’s Rules, found in Title 47 of the Code of Federal </w:t>
      </w:r>
      <w:r w:rsidRPr="0056644D">
        <w:rPr>
          <w:szCs w:val="22"/>
        </w:rPr>
        <w:tab/>
        <w:t xml:space="preserve">                    </w:t>
      </w:r>
      <w:r>
        <w:rPr>
          <w:szCs w:val="22"/>
        </w:rPr>
        <w:tab/>
        <w:t xml:space="preserve">       </w:t>
      </w:r>
      <w:r w:rsidRPr="0056644D">
        <w:rPr>
          <w:szCs w:val="22"/>
        </w:rPr>
        <w:t>Regulations;</w:t>
      </w:r>
      <w:r>
        <w:rPr>
          <w:szCs w:val="22"/>
        </w:rPr>
        <w:t xml:space="preserve">   </w:t>
      </w:r>
    </w:p>
    <w:p w:rsidR="00C93533" w:rsidRPr="00A41427" w:rsidRDefault="00C93533" w:rsidP="00C93533">
      <w:pPr>
        <w:ind w:left="720" w:firstLine="720"/>
        <w:rPr>
          <w:szCs w:val="22"/>
        </w:rPr>
      </w:pPr>
    </w:p>
    <w:p w:rsidR="00C93533" w:rsidRDefault="00C93533" w:rsidP="00C93533">
      <w:pPr>
        <w:ind w:left="720" w:firstLine="720"/>
        <w:rPr>
          <w:szCs w:val="22"/>
        </w:rPr>
      </w:pPr>
      <w:r>
        <w:rPr>
          <w:szCs w:val="22"/>
        </w:rPr>
        <w:t xml:space="preserve">(r)  </w:t>
      </w:r>
      <w:r w:rsidRPr="004B7776">
        <w:rPr>
          <w:szCs w:val="22"/>
        </w:rPr>
        <w:t xml:space="preserve">“STA” </w:t>
      </w:r>
      <w:r>
        <w:rPr>
          <w:szCs w:val="22"/>
        </w:rPr>
        <w:t>is</w:t>
      </w:r>
      <w:r w:rsidRPr="004B7776">
        <w:rPr>
          <w:szCs w:val="22"/>
        </w:rPr>
        <w:t xml:space="preserve"> the request for Special Temporary Authorization to continue Station </w:t>
      </w:r>
      <w:r w:rsidRPr="004B7776">
        <w:rPr>
          <w:szCs w:val="22"/>
        </w:rPr>
        <w:tab/>
        <w:t xml:space="preserve">  </w:t>
      </w:r>
      <w:r w:rsidRPr="004B7776">
        <w:rPr>
          <w:szCs w:val="22"/>
        </w:rPr>
        <w:tab/>
        <w:t xml:space="preserve">      operations pending consideration of the untimely WAJM(FM) 2010 Renewal </w:t>
      </w:r>
      <w:r w:rsidRPr="004B7776">
        <w:rPr>
          <w:szCs w:val="22"/>
        </w:rPr>
        <w:tab/>
        <w:t xml:space="preserve">   </w:t>
      </w:r>
      <w:r w:rsidRPr="004B7776">
        <w:rPr>
          <w:szCs w:val="22"/>
        </w:rPr>
        <w:tab/>
        <w:t xml:space="preserve">       </w:t>
      </w:r>
      <w:r w:rsidRPr="004B7776">
        <w:rPr>
          <w:szCs w:val="22"/>
        </w:rPr>
        <w:tab/>
        <w:t xml:space="preserve">      Application, File No. BLSTA-20100921AAP, granted by the staff on September 29, </w:t>
      </w:r>
      <w:r w:rsidRPr="004B7776">
        <w:rPr>
          <w:szCs w:val="22"/>
        </w:rPr>
        <w:tab/>
        <w:t xml:space="preserve"> </w:t>
      </w:r>
      <w:r w:rsidRPr="004B7776">
        <w:rPr>
          <w:szCs w:val="22"/>
        </w:rPr>
        <w:tab/>
        <w:t xml:space="preserve">      2010;</w:t>
      </w:r>
    </w:p>
    <w:p w:rsidR="00C93533" w:rsidRPr="004B7776" w:rsidRDefault="00C93533" w:rsidP="00C93533">
      <w:pPr>
        <w:ind w:left="720" w:firstLine="720"/>
        <w:rPr>
          <w:szCs w:val="22"/>
        </w:rPr>
      </w:pPr>
    </w:p>
    <w:p w:rsidR="00C93533" w:rsidRDefault="00C93533" w:rsidP="00C93533">
      <w:pPr>
        <w:ind w:left="720" w:firstLine="720"/>
        <w:rPr>
          <w:szCs w:val="22"/>
        </w:rPr>
      </w:pPr>
      <w:r>
        <w:rPr>
          <w:szCs w:val="22"/>
        </w:rPr>
        <w:t>(s)  “</w:t>
      </w:r>
      <w:r w:rsidRPr="00A41427">
        <w:rPr>
          <w:szCs w:val="22"/>
        </w:rPr>
        <w:t xml:space="preserve">Station” means Station WAJM(FM), Atlantic City, New Jersey (Facility ID No. </w:t>
      </w:r>
      <w:r w:rsidRPr="00A41427">
        <w:rPr>
          <w:szCs w:val="22"/>
        </w:rPr>
        <w:tab/>
      </w:r>
      <w:r w:rsidRPr="00A41427">
        <w:rPr>
          <w:szCs w:val="22"/>
        </w:rPr>
        <w:tab/>
        <w:t xml:space="preserve">   </w:t>
      </w:r>
      <w:r>
        <w:rPr>
          <w:szCs w:val="22"/>
        </w:rPr>
        <w:t xml:space="preserve"> </w:t>
      </w:r>
      <w:r w:rsidRPr="00A41427">
        <w:rPr>
          <w:szCs w:val="22"/>
        </w:rPr>
        <w:t xml:space="preserve">  3123);</w:t>
      </w:r>
    </w:p>
    <w:p w:rsidR="00C93533" w:rsidRPr="00A41427" w:rsidRDefault="00C93533" w:rsidP="00C93533">
      <w:pPr>
        <w:ind w:left="720" w:firstLine="720"/>
        <w:rPr>
          <w:szCs w:val="22"/>
        </w:rPr>
      </w:pPr>
    </w:p>
    <w:p w:rsidR="00C93533" w:rsidRPr="004B7776" w:rsidRDefault="00C93533" w:rsidP="00C93533">
      <w:pPr>
        <w:ind w:left="1800" w:hanging="360"/>
        <w:rPr>
          <w:szCs w:val="22"/>
        </w:rPr>
      </w:pPr>
      <w:r>
        <w:rPr>
          <w:szCs w:val="22"/>
        </w:rPr>
        <w:t>(t)  “</w:t>
      </w:r>
      <w:r w:rsidRPr="004B7776">
        <w:rPr>
          <w:szCs w:val="22"/>
        </w:rPr>
        <w:t xml:space="preserve">Transmission System Operation Rule” means Section 73.1350(a) of the </w:t>
      </w:r>
      <w:r w:rsidRPr="004B7776">
        <w:rPr>
          <w:szCs w:val="22"/>
        </w:rPr>
        <w:tab/>
        <w:t xml:space="preserve">   </w:t>
      </w:r>
      <w:r w:rsidRPr="004B7776">
        <w:rPr>
          <w:szCs w:val="22"/>
        </w:rPr>
        <w:tab/>
        <w:t xml:space="preserve">         Commission’s Rules, 47 C.F.R. § 73.1350(a);  </w:t>
      </w:r>
    </w:p>
    <w:p w:rsidR="00C93533" w:rsidRDefault="00C93533" w:rsidP="00C93533">
      <w:pPr>
        <w:ind w:left="720" w:firstLine="720"/>
        <w:rPr>
          <w:szCs w:val="22"/>
        </w:rPr>
      </w:pPr>
    </w:p>
    <w:p w:rsidR="00C93533" w:rsidRPr="004B7776" w:rsidRDefault="00C93533" w:rsidP="00C93533">
      <w:pPr>
        <w:ind w:left="720" w:firstLine="720"/>
        <w:rPr>
          <w:szCs w:val="22"/>
        </w:rPr>
      </w:pPr>
      <w:r>
        <w:rPr>
          <w:szCs w:val="22"/>
        </w:rPr>
        <w:t xml:space="preserve">(u)  </w:t>
      </w:r>
      <w:r w:rsidRPr="004B7776">
        <w:rPr>
          <w:szCs w:val="22"/>
        </w:rPr>
        <w:t xml:space="preserve">“Unauthorized Operation Rule” means Section 301 of the Communications Act of                                      </w:t>
      </w:r>
      <w:r>
        <w:rPr>
          <w:szCs w:val="22"/>
        </w:rPr>
        <w:tab/>
        <w:t xml:space="preserve">       </w:t>
      </w:r>
      <w:r w:rsidRPr="004B7776">
        <w:rPr>
          <w:szCs w:val="22"/>
        </w:rPr>
        <w:t>1934, as amended (“Act”), 47 U.S.C. § 301;</w:t>
      </w:r>
    </w:p>
    <w:p w:rsidR="00C93533" w:rsidRPr="00E366A4" w:rsidRDefault="00C93533" w:rsidP="00C93533">
      <w:pPr>
        <w:ind w:left="720" w:firstLine="720"/>
        <w:rPr>
          <w:szCs w:val="22"/>
        </w:rPr>
      </w:pPr>
      <w:r>
        <w:rPr>
          <w:szCs w:val="22"/>
        </w:rPr>
        <w:t xml:space="preserve">    </w:t>
      </w:r>
    </w:p>
    <w:p w:rsidR="00C93533" w:rsidRDefault="00C93533" w:rsidP="00C93533">
      <w:pPr>
        <w:rPr>
          <w:szCs w:val="22"/>
        </w:rPr>
      </w:pPr>
      <w:r>
        <w:rPr>
          <w:szCs w:val="22"/>
        </w:rPr>
        <w:t xml:space="preserve">                                and</w:t>
      </w:r>
    </w:p>
    <w:p w:rsidR="00C93533" w:rsidRDefault="00C93533" w:rsidP="00C93533">
      <w:pPr>
        <w:rPr>
          <w:szCs w:val="22"/>
        </w:rPr>
      </w:pPr>
    </w:p>
    <w:p w:rsidR="00C93533" w:rsidRPr="00CE2F8B" w:rsidRDefault="00C93533" w:rsidP="00C93533">
      <w:pPr>
        <w:rPr>
          <w:b/>
          <w:szCs w:val="22"/>
        </w:rPr>
      </w:pPr>
      <w:r>
        <w:rPr>
          <w:szCs w:val="22"/>
        </w:rPr>
        <w:tab/>
      </w:r>
      <w:r>
        <w:rPr>
          <w:szCs w:val="22"/>
        </w:rPr>
        <w:tab/>
        <w:t xml:space="preserve">(v)  “Violations” means the violations of the Filing Date Rule, Public File Rule, </w:t>
      </w:r>
      <w:r>
        <w:rPr>
          <w:szCs w:val="22"/>
        </w:rPr>
        <w:tab/>
        <w:t xml:space="preserve">  </w:t>
      </w:r>
      <w:r>
        <w:rPr>
          <w:szCs w:val="22"/>
        </w:rPr>
        <w:tab/>
        <w:t xml:space="preserve"> </w:t>
      </w:r>
      <w:r>
        <w:rPr>
          <w:szCs w:val="22"/>
        </w:rPr>
        <w:tab/>
      </w:r>
      <w:r>
        <w:rPr>
          <w:szCs w:val="22"/>
        </w:rPr>
        <w:tab/>
        <w:t xml:space="preserve">       Ownership Report Rule, Transmission System Operation Rule, and Unauthorized </w:t>
      </w:r>
      <w:r>
        <w:rPr>
          <w:szCs w:val="22"/>
        </w:rPr>
        <w:tab/>
      </w:r>
      <w:r>
        <w:rPr>
          <w:szCs w:val="22"/>
        </w:rPr>
        <w:tab/>
      </w:r>
      <w:r>
        <w:rPr>
          <w:szCs w:val="22"/>
        </w:rPr>
        <w:tab/>
        <w:t xml:space="preserve">       Operation Rule.</w:t>
      </w:r>
      <w:r w:rsidRPr="00CE2F8B">
        <w:rPr>
          <w:szCs w:val="22"/>
        </w:rPr>
        <w:t xml:space="preserve"> </w:t>
      </w:r>
    </w:p>
    <w:p w:rsidR="00C93533" w:rsidRDefault="00C93533" w:rsidP="00C93533">
      <w:pPr>
        <w:ind w:left="1440"/>
        <w:rPr>
          <w:b/>
          <w:szCs w:val="22"/>
        </w:rPr>
      </w:pPr>
      <w:r>
        <w:rPr>
          <w:szCs w:val="22"/>
        </w:rPr>
        <w:t xml:space="preserve">                              </w:t>
      </w:r>
    </w:p>
    <w:p w:rsidR="00C93533" w:rsidRPr="00EE5485" w:rsidRDefault="00C93533" w:rsidP="00C93533">
      <w:pPr>
        <w:rPr>
          <w:b/>
          <w:szCs w:val="22"/>
        </w:rPr>
      </w:pPr>
      <w:r w:rsidRPr="00EE5485">
        <w:rPr>
          <w:b/>
          <w:szCs w:val="22"/>
        </w:rPr>
        <w:t>III.</w:t>
      </w:r>
      <w:r w:rsidRPr="00EE5485">
        <w:rPr>
          <w:b/>
          <w:szCs w:val="22"/>
        </w:rPr>
        <w:tab/>
        <w:t>Background</w:t>
      </w:r>
      <w:r w:rsidRPr="00EE5485">
        <w:rPr>
          <w:b/>
          <w:szCs w:val="22"/>
        </w:rPr>
        <w:tab/>
      </w:r>
    </w:p>
    <w:p w:rsidR="00C93533" w:rsidRPr="00EE5485" w:rsidRDefault="00C93533" w:rsidP="00C93533">
      <w:pPr>
        <w:jc w:val="both"/>
        <w:rPr>
          <w:b/>
          <w:szCs w:val="22"/>
        </w:rPr>
      </w:pPr>
      <w:r w:rsidRPr="00EE5485">
        <w:rPr>
          <w:b/>
          <w:szCs w:val="22"/>
        </w:rPr>
        <w:tab/>
      </w:r>
    </w:p>
    <w:p w:rsidR="00C93533" w:rsidRDefault="00C93533" w:rsidP="00C93533">
      <w:pPr>
        <w:shd w:val="clear" w:color="auto" w:fill="FFFFFF"/>
        <w:tabs>
          <w:tab w:val="left" w:pos="540"/>
        </w:tabs>
        <w:rPr>
          <w:szCs w:val="22"/>
        </w:rPr>
      </w:pPr>
      <w:r w:rsidRPr="00EE5485">
        <w:rPr>
          <w:b/>
        </w:rPr>
        <w:tab/>
      </w:r>
      <w:r w:rsidRPr="00126033">
        <w:rPr>
          <w:szCs w:val="22"/>
        </w:rPr>
        <w:t>3</w:t>
      </w:r>
      <w:r>
        <w:rPr>
          <w:szCs w:val="22"/>
        </w:rPr>
        <w:t>.</w:t>
      </w:r>
      <w:r>
        <w:rPr>
          <w:szCs w:val="22"/>
        </w:rPr>
        <w:tab/>
      </w:r>
      <w:r>
        <w:rPr>
          <w:szCs w:val="22"/>
        </w:rPr>
        <w:tab/>
      </w:r>
      <w:r w:rsidRPr="00BC3027">
        <w:rPr>
          <w:szCs w:val="22"/>
        </w:rPr>
        <w:t xml:space="preserve">On </w:t>
      </w:r>
      <w:r>
        <w:rPr>
          <w:szCs w:val="22"/>
        </w:rPr>
        <w:t>September 21, 2010</w:t>
      </w:r>
      <w:r w:rsidRPr="00BC3027">
        <w:rPr>
          <w:szCs w:val="22"/>
        </w:rPr>
        <w:t xml:space="preserve">, Licensee filed the </w:t>
      </w:r>
      <w:r>
        <w:rPr>
          <w:szCs w:val="22"/>
        </w:rPr>
        <w:t xml:space="preserve">2010 Renewal Application for the </w:t>
      </w:r>
      <w:r w:rsidRPr="00BC3027">
        <w:rPr>
          <w:szCs w:val="22"/>
        </w:rPr>
        <w:t>Station</w:t>
      </w:r>
      <w:r>
        <w:rPr>
          <w:szCs w:val="22"/>
        </w:rPr>
        <w:t>, more than four years after the filing deadline,</w:t>
      </w:r>
      <w:r w:rsidRPr="00BC3027">
        <w:rPr>
          <w:szCs w:val="22"/>
        </w:rPr>
        <w:t xml:space="preserve"> in violation of the Filing Date Rule.</w:t>
      </w:r>
      <w:bookmarkStart w:id="6" w:name="FN[FN1]"/>
      <w:bookmarkEnd w:id="6"/>
      <w:r>
        <w:rPr>
          <w:rStyle w:val="FootnoteReference"/>
          <w:szCs w:val="22"/>
        </w:rPr>
        <w:footnoteReference w:id="30"/>
      </w:r>
      <w:r>
        <w:rPr>
          <w:szCs w:val="22"/>
        </w:rPr>
        <w:t xml:space="preserve">  </w:t>
      </w:r>
      <w:r w:rsidRPr="00BC3027">
        <w:rPr>
          <w:szCs w:val="22"/>
        </w:rPr>
        <w:t xml:space="preserve">In addition, </w:t>
      </w:r>
      <w:r>
        <w:rPr>
          <w:szCs w:val="22"/>
        </w:rPr>
        <w:t>Licensee</w:t>
      </w:r>
      <w:r w:rsidRPr="00BC3027">
        <w:rPr>
          <w:szCs w:val="22"/>
        </w:rPr>
        <w:t xml:space="preserve"> continued to operate the Station after the Station's license had expired in violation of </w:t>
      </w:r>
      <w:hyperlink r:id="rId12" w:tgtFrame="_top" w:history="1">
        <w:r w:rsidRPr="00BC3027">
          <w:rPr>
            <w:rStyle w:val="Hyperlink"/>
            <w:szCs w:val="22"/>
          </w:rPr>
          <w:t>Section 301</w:t>
        </w:r>
      </w:hyperlink>
      <w:r w:rsidRPr="00BC3027">
        <w:rPr>
          <w:szCs w:val="22"/>
        </w:rPr>
        <w:t xml:space="preserve"> of the Act.</w:t>
      </w:r>
      <w:bookmarkStart w:id="7" w:name="FN[FN2]"/>
      <w:bookmarkEnd w:id="7"/>
      <w:r>
        <w:rPr>
          <w:rStyle w:val="FootnoteReference"/>
          <w:szCs w:val="22"/>
        </w:rPr>
        <w:footnoteReference w:id="31"/>
      </w:r>
      <w:r>
        <w:rPr>
          <w:szCs w:val="22"/>
        </w:rPr>
        <w:t xml:space="preserve">  </w:t>
      </w:r>
      <w:r w:rsidRPr="00BC3027">
        <w:rPr>
          <w:szCs w:val="22"/>
        </w:rPr>
        <w:t xml:space="preserve">Moreover, in the </w:t>
      </w:r>
      <w:r>
        <w:rPr>
          <w:szCs w:val="22"/>
        </w:rPr>
        <w:t>2010 Renewal Application</w:t>
      </w:r>
      <w:r w:rsidRPr="00BC3027">
        <w:rPr>
          <w:szCs w:val="22"/>
        </w:rPr>
        <w:t xml:space="preserve">, Licensee </w:t>
      </w:r>
      <w:r>
        <w:rPr>
          <w:szCs w:val="22"/>
        </w:rPr>
        <w:t xml:space="preserve">disclosed violations of </w:t>
      </w:r>
      <w:r w:rsidRPr="00BC3027">
        <w:rPr>
          <w:szCs w:val="22"/>
        </w:rPr>
        <w:t>the Public File Rule and the Ownership Report Rule.</w:t>
      </w:r>
      <w:r>
        <w:rPr>
          <w:szCs w:val="22"/>
        </w:rPr>
        <w:t xml:space="preserve">  The 2010 Renewal Application also disclosed: (1) </w:t>
      </w:r>
      <w:r w:rsidRPr="00CB09FC">
        <w:rPr>
          <w:szCs w:val="22"/>
        </w:rPr>
        <w:t xml:space="preserve">that issues/programs lists </w:t>
      </w:r>
      <w:r w:rsidRPr="00E64E70">
        <w:rPr>
          <w:szCs w:val="22"/>
        </w:rPr>
        <w:t xml:space="preserve">during the eight-year period from the grant of the previous renewal application in </w:t>
      </w:r>
      <w:r>
        <w:rPr>
          <w:szCs w:val="22"/>
        </w:rPr>
        <w:t>September 1998</w:t>
      </w:r>
      <w:r w:rsidRPr="00E64E70">
        <w:rPr>
          <w:szCs w:val="22"/>
        </w:rPr>
        <w:t xml:space="preserve"> until the filing of the 2010 Renewal Application</w:t>
      </w:r>
      <w:r>
        <w:rPr>
          <w:szCs w:val="22"/>
        </w:rPr>
        <w:t xml:space="preserve"> </w:t>
      </w:r>
      <w:r w:rsidRPr="00CB09FC">
        <w:rPr>
          <w:szCs w:val="22"/>
        </w:rPr>
        <w:t>were missing from the Station's local public file</w:t>
      </w:r>
      <w:r>
        <w:rPr>
          <w:szCs w:val="22"/>
        </w:rPr>
        <w:t>, in violation of the Public File Rule;</w:t>
      </w:r>
      <w:bookmarkStart w:id="8" w:name="FN[FN6]"/>
      <w:bookmarkEnd w:id="8"/>
      <w:r>
        <w:rPr>
          <w:rStyle w:val="FootnoteReference"/>
          <w:szCs w:val="22"/>
        </w:rPr>
        <w:footnoteReference w:id="32"/>
      </w:r>
      <w:r>
        <w:rPr>
          <w:szCs w:val="22"/>
        </w:rPr>
        <w:t xml:space="preserve"> and (2) </w:t>
      </w:r>
      <w:r w:rsidRPr="00CB09FC">
        <w:rPr>
          <w:szCs w:val="22"/>
        </w:rPr>
        <w:t xml:space="preserve">Licensee also indicates that it failed to file </w:t>
      </w:r>
      <w:r>
        <w:rPr>
          <w:szCs w:val="22"/>
        </w:rPr>
        <w:t>any</w:t>
      </w:r>
      <w:r w:rsidRPr="00CB09FC">
        <w:rPr>
          <w:szCs w:val="22"/>
        </w:rPr>
        <w:t xml:space="preserve"> biennial ownership reports</w:t>
      </w:r>
      <w:r>
        <w:rPr>
          <w:szCs w:val="22"/>
        </w:rPr>
        <w:t xml:space="preserve"> with the Commission since the Station’s last license renewal on September 23, 1998,</w:t>
      </w:r>
      <w:r w:rsidRPr="00585625">
        <w:rPr>
          <w:rStyle w:val="FootnoteReference"/>
          <w:szCs w:val="22"/>
        </w:rPr>
        <w:footnoteReference w:id="33"/>
      </w:r>
      <w:r>
        <w:rPr>
          <w:szCs w:val="22"/>
        </w:rPr>
        <w:t xml:space="preserve"> in violation of the Ownership Report Rule.</w:t>
      </w:r>
    </w:p>
    <w:p w:rsidR="00C93533" w:rsidRDefault="00C93533" w:rsidP="00C93533">
      <w:pPr>
        <w:shd w:val="clear" w:color="auto" w:fill="FFFFFF"/>
        <w:tabs>
          <w:tab w:val="left" w:pos="540"/>
        </w:tabs>
        <w:rPr>
          <w:szCs w:val="22"/>
        </w:rPr>
      </w:pPr>
    </w:p>
    <w:p w:rsidR="00C93533" w:rsidRDefault="00C93533" w:rsidP="00C93533">
      <w:pPr>
        <w:ind w:firstLine="720"/>
        <w:rPr>
          <w:szCs w:val="22"/>
        </w:rPr>
      </w:pPr>
      <w:r>
        <w:rPr>
          <w:szCs w:val="22"/>
        </w:rPr>
        <w:t>4.</w:t>
      </w:r>
      <w:r>
        <w:rPr>
          <w:szCs w:val="22"/>
        </w:rPr>
        <w:tab/>
        <w:t xml:space="preserve">Finally, in connection with a Petition to Deny the 2010 Renewal Application filed by Press Communications, LLC: (1) </w:t>
      </w:r>
      <w:r w:rsidRPr="005E3E3E">
        <w:rPr>
          <w:szCs w:val="22"/>
        </w:rPr>
        <w:t xml:space="preserve">the Board </w:t>
      </w:r>
      <w:r>
        <w:rPr>
          <w:szCs w:val="22"/>
        </w:rPr>
        <w:t>disclosed</w:t>
      </w:r>
      <w:r w:rsidRPr="005E3E3E">
        <w:rPr>
          <w:szCs w:val="22"/>
        </w:rPr>
        <w:t xml:space="preserve"> that it ha</w:t>
      </w:r>
      <w:r>
        <w:rPr>
          <w:szCs w:val="22"/>
        </w:rPr>
        <w:t>d</w:t>
      </w:r>
      <w:r w:rsidRPr="005E3E3E">
        <w:rPr>
          <w:szCs w:val="22"/>
        </w:rPr>
        <w:t xml:space="preserve"> discovered that not all of the violations </w:t>
      </w:r>
      <w:r>
        <w:rPr>
          <w:szCs w:val="22"/>
        </w:rPr>
        <w:t xml:space="preserve">identified in the </w:t>
      </w:r>
      <w:r w:rsidRPr="00802777">
        <w:rPr>
          <w:i/>
        </w:rPr>
        <w:t>NOV</w:t>
      </w:r>
      <w:r>
        <w:rPr>
          <w:szCs w:val="22"/>
        </w:rPr>
        <w:t xml:space="preserve"> were c</w:t>
      </w:r>
      <w:r w:rsidRPr="005E3E3E">
        <w:rPr>
          <w:szCs w:val="22"/>
        </w:rPr>
        <w:t>orrected</w:t>
      </w:r>
      <w:r>
        <w:rPr>
          <w:szCs w:val="22"/>
        </w:rPr>
        <w:t xml:space="preserve">; and (2)  the Board acknowledged that </w:t>
      </w:r>
      <w:r w:rsidRPr="00C44315">
        <w:rPr>
          <w:szCs w:val="22"/>
        </w:rPr>
        <w:t xml:space="preserve">the Station’s antenna may </w:t>
      </w:r>
      <w:r>
        <w:rPr>
          <w:szCs w:val="22"/>
        </w:rPr>
        <w:t xml:space="preserve">have </w:t>
      </w:r>
      <w:r w:rsidRPr="00C44315">
        <w:rPr>
          <w:szCs w:val="22"/>
        </w:rPr>
        <w:t>be</w:t>
      </w:r>
      <w:r>
        <w:rPr>
          <w:szCs w:val="22"/>
        </w:rPr>
        <w:t>en</w:t>
      </w:r>
      <w:r w:rsidRPr="00C44315">
        <w:rPr>
          <w:szCs w:val="22"/>
        </w:rPr>
        <w:t xml:space="preserve"> mounted as much as 5 meters lower than authorized and may have been rotated as</w:t>
      </w:r>
      <w:r>
        <w:rPr>
          <w:szCs w:val="22"/>
        </w:rPr>
        <w:t xml:space="preserve"> much as 3.5 degrees in azimuth, in violation of the </w:t>
      </w:r>
      <w:r w:rsidRPr="004B7776">
        <w:rPr>
          <w:szCs w:val="22"/>
        </w:rPr>
        <w:t>Transmission System Operation Rule</w:t>
      </w:r>
      <w:r>
        <w:rPr>
          <w:szCs w:val="22"/>
        </w:rPr>
        <w:t>.</w:t>
      </w:r>
      <w:r>
        <w:rPr>
          <w:rStyle w:val="FootnoteReference"/>
          <w:szCs w:val="22"/>
        </w:rPr>
        <w:footnoteReference w:id="34"/>
      </w:r>
      <w:r>
        <w:rPr>
          <w:szCs w:val="22"/>
        </w:rPr>
        <w:t xml:space="preserve">   It subsequently filed the Modification Application to </w:t>
      </w:r>
      <w:r>
        <w:t>Application to correct the height of its transmitting antenna by 2.3 meters.</w:t>
      </w:r>
      <w:r>
        <w:rPr>
          <w:rStyle w:val="FootnoteReference"/>
        </w:rPr>
        <w:footnoteReference w:id="35"/>
      </w:r>
      <w:r>
        <w:t xml:space="preserve"> </w:t>
      </w:r>
      <w:r w:rsidRPr="005E3E3E">
        <w:rPr>
          <w:szCs w:val="22"/>
        </w:rPr>
        <w:t xml:space="preserve"> </w:t>
      </w:r>
    </w:p>
    <w:p w:rsidR="00C93533" w:rsidRDefault="00C93533" w:rsidP="00C93533">
      <w:pPr>
        <w:rPr>
          <w:szCs w:val="22"/>
        </w:rPr>
      </w:pPr>
    </w:p>
    <w:p w:rsidR="00C93533" w:rsidRDefault="00C93533" w:rsidP="00C93533">
      <w:pPr>
        <w:ind w:firstLine="720"/>
        <w:rPr>
          <w:szCs w:val="22"/>
        </w:rPr>
      </w:pPr>
      <w:r>
        <w:rPr>
          <w:szCs w:val="22"/>
        </w:rPr>
        <w:t>5.</w:t>
      </w:r>
      <w:r>
        <w:rPr>
          <w:szCs w:val="22"/>
        </w:rPr>
        <w:tab/>
        <w:t>In light of</w:t>
      </w:r>
      <w:r w:rsidRPr="00BC3027">
        <w:rPr>
          <w:szCs w:val="22"/>
        </w:rPr>
        <w:t xml:space="preserve"> the </w:t>
      </w:r>
      <w:r>
        <w:rPr>
          <w:szCs w:val="22"/>
        </w:rPr>
        <w:t xml:space="preserve">compliance issues raised in the 2010 Renewal Application, the </w:t>
      </w:r>
      <w:r w:rsidRPr="00802777">
        <w:rPr>
          <w:i/>
        </w:rPr>
        <w:t>NOV</w:t>
      </w:r>
      <w:r>
        <w:rPr>
          <w:szCs w:val="22"/>
        </w:rPr>
        <w:t xml:space="preserve">, and various pleadings in this proceeding regarding the </w:t>
      </w:r>
      <w:r w:rsidRPr="00BC3027">
        <w:rPr>
          <w:szCs w:val="22"/>
        </w:rPr>
        <w:t>late filing of the license renewal application, the unauthorized Station operation</w:t>
      </w:r>
      <w:r>
        <w:rPr>
          <w:szCs w:val="22"/>
        </w:rPr>
        <w:t>s</w:t>
      </w:r>
      <w:r w:rsidRPr="00BC3027">
        <w:rPr>
          <w:szCs w:val="22"/>
        </w:rPr>
        <w:t xml:space="preserve">, </w:t>
      </w:r>
      <w:r>
        <w:rPr>
          <w:szCs w:val="22"/>
        </w:rPr>
        <w:t xml:space="preserve">and deficiencies in </w:t>
      </w:r>
      <w:r w:rsidRPr="00BC3027">
        <w:rPr>
          <w:szCs w:val="22"/>
        </w:rPr>
        <w:t xml:space="preserve">the </w:t>
      </w:r>
      <w:r>
        <w:rPr>
          <w:szCs w:val="22"/>
        </w:rPr>
        <w:t>p</w:t>
      </w:r>
      <w:r w:rsidRPr="00BC3027">
        <w:rPr>
          <w:szCs w:val="22"/>
        </w:rPr>
        <w:t xml:space="preserve">ublic </w:t>
      </w:r>
      <w:r>
        <w:rPr>
          <w:szCs w:val="22"/>
        </w:rPr>
        <w:t>f</w:t>
      </w:r>
      <w:r w:rsidRPr="00BC3027">
        <w:rPr>
          <w:szCs w:val="22"/>
        </w:rPr>
        <w:t>ile</w:t>
      </w:r>
      <w:r>
        <w:rPr>
          <w:szCs w:val="22"/>
        </w:rPr>
        <w:t xml:space="preserve"> related to issues/programs lists and ownership reports, </w:t>
      </w:r>
      <w:r w:rsidRPr="00BC3027">
        <w:rPr>
          <w:szCs w:val="22"/>
        </w:rPr>
        <w:t>the Parties have</w:t>
      </w:r>
      <w:r>
        <w:rPr>
          <w:szCs w:val="22"/>
        </w:rPr>
        <w:t xml:space="preserve"> </w:t>
      </w:r>
      <w:r w:rsidRPr="00BC3027">
        <w:rPr>
          <w:szCs w:val="22"/>
        </w:rPr>
        <w:t>agreed to enter into this Consent Decree by which both Licensee and the Bureau intend to be legally bound.</w:t>
      </w:r>
      <w:r w:rsidRPr="00BC3027">
        <w:rPr>
          <w:szCs w:val="22"/>
        </w:rPr>
        <w:br/>
      </w:r>
    </w:p>
    <w:p w:rsidR="00C93533" w:rsidRDefault="00C93533" w:rsidP="00C93533">
      <w:pPr>
        <w:rPr>
          <w:szCs w:val="22"/>
        </w:rPr>
      </w:pPr>
      <w:r w:rsidRPr="00A37A7D">
        <w:rPr>
          <w:b/>
          <w:bCs/>
          <w:szCs w:val="22"/>
        </w:rPr>
        <w:t>IV.</w:t>
      </w:r>
      <w:r w:rsidRPr="00A37A7D">
        <w:rPr>
          <w:b/>
          <w:bCs/>
          <w:szCs w:val="22"/>
        </w:rPr>
        <w:tab/>
        <w:t>Agreement</w:t>
      </w:r>
      <w:r>
        <w:rPr>
          <w:szCs w:val="22"/>
        </w:rPr>
        <w:tab/>
      </w:r>
    </w:p>
    <w:p w:rsidR="00C93533" w:rsidRDefault="00C93533" w:rsidP="00C93533">
      <w:pPr>
        <w:rPr>
          <w:szCs w:val="22"/>
        </w:rPr>
      </w:pPr>
    </w:p>
    <w:p w:rsidR="00C93533" w:rsidRDefault="00C93533" w:rsidP="00C93533">
      <w:pPr>
        <w:rPr>
          <w:b/>
          <w:szCs w:val="22"/>
        </w:rPr>
      </w:pPr>
      <w:r>
        <w:rPr>
          <w:szCs w:val="22"/>
        </w:rPr>
        <w:tab/>
        <w:t>6.</w:t>
      </w:r>
      <w:r>
        <w:rPr>
          <w:szCs w:val="22"/>
        </w:rPr>
        <w:tab/>
      </w:r>
      <w:r w:rsidRPr="004E55A3">
        <w:rPr>
          <w:szCs w:val="22"/>
        </w:rPr>
        <w:t xml:space="preserve">The Parties acknowledge that any proceeding that might result from the </w:t>
      </w:r>
      <w:r>
        <w:rPr>
          <w:szCs w:val="22"/>
        </w:rPr>
        <w:t xml:space="preserve">Enforcement Bureau’s Official Notice of Violation as well as the </w:t>
      </w:r>
      <w:r w:rsidRPr="004E55A3">
        <w:rPr>
          <w:szCs w:val="22"/>
        </w:rPr>
        <w:t xml:space="preserve">Licensee's </w:t>
      </w:r>
      <w:r>
        <w:rPr>
          <w:szCs w:val="22"/>
        </w:rPr>
        <w:t xml:space="preserve">compliance with </w:t>
      </w:r>
      <w:r w:rsidRPr="004E55A3">
        <w:rPr>
          <w:szCs w:val="22"/>
        </w:rPr>
        <w:t xml:space="preserve">the Ownership Report Rule, the Filing Date Rule, </w:t>
      </w:r>
      <w:hyperlink r:id="rId13" w:tgtFrame="_top" w:history="1">
        <w:r w:rsidRPr="004E55A3">
          <w:rPr>
            <w:rStyle w:val="Hyperlink"/>
            <w:szCs w:val="22"/>
          </w:rPr>
          <w:t>Section 301</w:t>
        </w:r>
      </w:hyperlink>
      <w:r w:rsidRPr="004E55A3">
        <w:rPr>
          <w:szCs w:val="22"/>
        </w:rPr>
        <w:t xml:space="preserve"> of the Act, the Public File Rule, </w:t>
      </w:r>
      <w:r>
        <w:rPr>
          <w:szCs w:val="22"/>
        </w:rPr>
        <w:t xml:space="preserve">and the Transmission System Operation Rule </w:t>
      </w:r>
      <w:r w:rsidRPr="004E55A3">
        <w:rPr>
          <w:szCs w:val="22"/>
        </w:rPr>
        <w:t xml:space="preserve"> could be time-consuming and require substantial expenditure of public and private resources.</w:t>
      </w:r>
      <w:r>
        <w:rPr>
          <w:szCs w:val="22"/>
        </w:rPr>
        <w:t xml:space="preserve">  </w:t>
      </w:r>
      <w:r w:rsidRPr="004E55A3">
        <w:rPr>
          <w:szCs w:val="22"/>
        </w:rPr>
        <w:t xml:space="preserve">In order to conserve such resources, to resolve the matter, and to promote the Licensee's compliance with </w:t>
      </w:r>
      <w:r>
        <w:rPr>
          <w:szCs w:val="22"/>
        </w:rPr>
        <w:t xml:space="preserve">all pertinent Commission Rules, </w:t>
      </w:r>
      <w:r w:rsidRPr="004E55A3">
        <w:rPr>
          <w:szCs w:val="22"/>
        </w:rPr>
        <w:t>the Parties are entering into this Consent Decree, in consideration of the mutual commitments made herein.</w:t>
      </w:r>
      <w:r w:rsidRPr="004E55A3">
        <w:rPr>
          <w:szCs w:val="22"/>
        </w:rPr>
        <w:br/>
      </w:r>
      <w:r w:rsidRPr="004E55A3">
        <w:rPr>
          <w:szCs w:val="22"/>
        </w:rPr>
        <w:br/>
      </w:r>
      <w:r>
        <w:rPr>
          <w:szCs w:val="22"/>
        </w:rPr>
        <w:tab/>
        <w:t>7.</w:t>
      </w:r>
      <w:r>
        <w:rPr>
          <w:szCs w:val="22"/>
        </w:rPr>
        <w:tab/>
      </w:r>
      <w:r w:rsidRPr="004E55A3">
        <w:rPr>
          <w:szCs w:val="22"/>
        </w:rPr>
        <w:t>The Parties agree to be legally bound by the terms and conditions of this Consent Decree. Both Licensee and the Bureau each represent and warrant that its signatory is duly authorized to enter into this Consent Decree on its behalf.</w:t>
      </w:r>
      <w:r>
        <w:rPr>
          <w:szCs w:val="22"/>
        </w:rPr>
        <w:t xml:space="preserve">  </w:t>
      </w:r>
      <w:r w:rsidRPr="004E55A3">
        <w:rPr>
          <w:szCs w:val="22"/>
        </w:rPr>
        <w:t>Licensee agrees that the Bureau has jurisdiction over the matters contained in this Consent Decree.</w:t>
      </w:r>
      <w:r w:rsidRPr="00EA3E93">
        <w:rPr>
          <w:b/>
          <w:szCs w:val="22"/>
        </w:rPr>
        <w:t xml:space="preserve">  </w:t>
      </w:r>
    </w:p>
    <w:p w:rsidR="00C93533" w:rsidRDefault="00C93533" w:rsidP="00C93533">
      <w:pPr>
        <w:rPr>
          <w:szCs w:val="22"/>
        </w:rPr>
      </w:pPr>
    </w:p>
    <w:p w:rsidR="00C93533" w:rsidRPr="00EE5485" w:rsidRDefault="00C93533" w:rsidP="00C93533">
      <w:pPr>
        <w:rPr>
          <w:szCs w:val="22"/>
        </w:rPr>
      </w:pPr>
      <w:r>
        <w:rPr>
          <w:szCs w:val="22"/>
        </w:rPr>
        <w:tab/>
        <w:t>8.</w:t>
      </w:r>
      <w:r w:rsidRPr="00EE5485">
        <w:rPr>
          <w:szCs w:val="22"/>
        </w:rPr>
        <w:tab/>
        <w:t xml:space="preserve">The </w:t>
      </w:r>
      <w:r>
        <w:rPr>
          <w:szCs w:val="22"/>
        </w:rPr>
        <w:t>P</w:t>
      </w:r>
      <w:r w:rsidRPr="00EE5485">
        <w:rPr>
          <w:szCs w:val="22"/>
        </w:rPr>
        <w:t xml:space="preserve">arties agree and acknowledge that this Consent Decree </w:t>
      </w:r>
      <w:r>
        <w:rPr>
          <w:szCs w:val="22"/>
        </w:rPr>
        <w:t>shall constitute a final settlement between the Licensee and the Bureau concerning the Licensee’s Violations at the Station, as discussed herein.</w:t>
      </w:r>
    </w:p>
    <w:p w:rsidR="00C93533" w:rsidRPr="00EE5485" w:rsidRDefault="00C93533" w:rsidP="00C93533">
      <w:pPr>
        <w:rPr>
          <w:szCs w:val="22"/>
        </w:rPr>
      </w:pPr>
      <w:r w:rsidRPr="00EE5485">
        <w:rPr>
          <w:szCs w:val="22"/>
        </w:rPr>
        <w:t xml:space="preserv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9.</w:t>
      </w:r>
      <w:r w:rsidRPr="00EE5485">
        <w:rPr>
          <w:szCs w:val="22"/>
        </w:rPr>
        <w:tab/>
      </w:r>
      <w:r w:rsidRPr="00000E3C">
        <w:rPr>
          <w:szCs w:val="22"/>
        </w:rPr>
        <w:t>In express reliance on the covenants and representations in this Consent Decree, the Bureau agrees that it will not use the Violation</w:t>
      </w:r>
      <w:r>
        <w:rPr>
          <w:szCs w:val="22"/>
        </w:rPr>
        <w:t>s</w:t>
      </w:r>
      <w:r w:rsidRPr="00000E3C">
        <w:rPr>
          <w:szCs w:val="22"/>
        </w:rPr>
        <w:t xml:space="preserve"> in any action against the Licensee, provided that the Licensee 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the L</w:t>
      </w:r>
      <w:r w:rsidRPr="00000E3C">
        <w:rPr>
          <w:szCs w:val="22"/>
        </w:rPr>
        <w:t>icensee 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10.</w:t>
      </w:r>
      <w:r>
        <w:rPr>
          <w:szCs w:val="22"/>
        </w:rPr>
        <w:tab/>
        <w:t xml:space="preserve">Licensee acknowledges that, since at least 2001, it has failed to operate the station with the diligence and attention required of Commission licensees.  Licensee further acknowledges that it has both committed serious, and in some cases, repeated, violations at the Station and failed to correct those violations upon their discovery, even when admonished to do so by the Commission’s Enforcement Bureau.  Licensee further acknowledges that during this period it has demonstrated a reckless disregard of its responsibilities as a Commission licensee by failing to ensure that Station operations complied with Commission Rules, failing to correct known violations and failing to timely file required forms, lists and reports.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 xml:space="preserve">11.  Specifically, Licensee hereby stipulates that, at least as of January 2011, the Board had not corrected all of the violations identified in the </w:t>
      </w:r>
      <w:r w:rsidRPr="00802777">
        <w:rPr>
          <w:i/>
        </w:rPr>
        <w:t>NOV</w:t>
      </w:r>
      <w:r>
        <w:rPr>
          <w:szCs w:val="22"/>
        </w:rPr>
        <w:t>.</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12.</w:t>
      </w:r>
      <w:r>
        <w:rPr>
          <w:szCs w:val="22"/>
        </w:rPr>
        <w:tab/>
      </w:r>
      <w:r w:rsidRPr="00951A90">
        <w:rPr>
          <w:szCs w:val="22"/>
        </w:rPr>
        <w:t xml:space="preserve">Licensee </w:t>
      </w:r>
      <w:r>
        <w:rPr>
          <w:szCs w:val="22"/>
        </w:rPr>
        <w:t>also</w:t>
      </w:r>
      <w:r w:rsidRPr="00951A90">
        <w:rPr>
          <w:szCs w:val="22"/>
        </w:rPr>
        <w:t xml:space="preserve"> hereby stipulates that it violated the Filing Date Rule by failing to file a license renewal application for the Station on or before </w:t>
      </w:r>
      <w:r>
        <w:rPr>
          <w:szCs w:val="22"/>
        </w:rPr>
        <w:t>February 1</w:t>
      </w:r>
      <w:r w:rsidRPr="00951A90">
        <w:rPr>
          <w:szCs w:val="22"/>
        </w:rPr>
        <w:t>, 200</w:t>
      </w:r>
      <w:r>
        <w:rPr>
          <w:szCs w:val="22"/>
        </w:rPr>
        <w:t>6</w:t>
      </w:r>
      <w:r w:rsidRPr="00951A90">
        <w:rPr>
          <w:szCs w:val="22"/>
        </w:rPr>
        <w:t xml:space="preserve">, and that it violated </w:t>
      </w:r>
      <w:hyperlink r:id="rId14" w:tgtFrame="_top" w:history="1">
        <w:r w:rsidRPr="00951A90">
          <w:rPr>
            <w:rStyle w:val="Hyperlink"/>
            <w:szCs w:val="22"/>
          </w:rPr>
          <w:t>Section 301</w:t>
        </w:r>
      </w:hyperlink>
      <w:r w:rsidRPr="00951A90">
        <w:rPr>
          <w:szCs w:val="22"/>
        </w:rPr>
        <w:t xml:space="preserve"> of the Act by continuing Station operations after the Station's license had expired.</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rPr>
          <w:szCs w:val="22"/>
        </w:rPr>
      </w:pPr>
      <w:r w:rsidRPr="00EE5485">
        <w:rPr>
          <w:szCs w:val="22"/>
        </w:rPr>
        <w:tab/>
      </w:r>
      <w:r>
        <w:rPr>
          <w:szCs w:val="22"/>
        </w:rPr>
        <w:t>13.</w:t>
      </w:r>
      <w:r w:rsidRPr="00EE5485">
        <w:rPr>
          <w:szCs w:val="22"/>
        </w:rPr>
        <w:tab/>
      </w:r>
      <w:r>
        <w:rPr>
          <w:szCs w:val="22"/>
        </w:rPr>
        <w:t>Licensee also hereby stipulates that the Station violated the Public File and Ownership Report Rules in the maintenance of the Station’s public file during the entire 1998-2006 license term.</w:t>
      </w:r>
    </w:p>
    <w:p w:rsidR="00C93533" w:rsidRDefault="00C93533" w:rsidP="00C93533">
      <w:pPr>
        <w:rPr>
          <w:szCs w:val="22"/>
        </w:rPr>
      </w:pPr>
    </w:p>
    <w:p w:rsidR="00C93533" w:rsidRDefault="00C93533" w:rsidP="00C93533">
      <w:pPr>
        <w:rPr>
          <w:szCs w:val="22"/>
        </w:rPr>
      </w:pPr>
      <w:r>
        <w:rPr>
          <w:szCs w:val="22"/>
        </w:rPr>
        <w:tab/>
        <w:t>14.</w:t>
      </w:r>
      <w:r>
        <w:rPr>
          <w:szCs w:val="22"/>
        </w:rPr>
        <w:tab/>
      </w:r>
      <w:r w:rsidRPr="00951A90">
        <w:rPr>
          <w:szCs w:val="22"/>
        </w:rPr>
        <w:t xml:space="preserve">Licensee </w:t>
      </w:r>
      <w:r>
        <w:rPr>
          <w:szCs w:val="22"/>
        </w:rPr>
        <w:t>also</w:t>
      </w:r>
      <w:r w:rsidRPr="00951A90">
        <w:rPr>
          <w:szCs w:val="22"/>
        </w:rPr>
        <w:t xml:space="preserve"> hereby stipulates that the Station violated the </w:t>
      </w:r>
      <w:r>
        <w:rPr>
          <w:szCs w:val="22"/>
        </w:rPr>
        <w:t xml:space="preserve">Transmission System Operation Rule by </w:t>
      </w:r>
      <w:r w:rsidRPr="00951A90">
        <w:rPr>
          <w:szCs w:val="22"/>
        </w:rPr>
        <w:t>operating the Station with an antenna at variance with its licensed parameters</w:t>
      </w:r>
      <w:r>
        <w:rPr>
          <w:szCs w:val="22"/>
        </w:rPr>
        <w:t>, necessitating Licensee’s filing, on February 15, 2012, of an application for minor modification of licensed facilities to correct the problem.</w:t>
      </w:r>
      <w:r>
        <w:rPr>
          <w:szCs w:val="22"/>
        </w:rPr>
        <w:tab/>
      </w:r>
    </w:p>
    <w:p w:rsidR="00C93533" w:rsidRDefault="00C93533" w:rsidP="00C93533">
      <w:pPr>
        <w:rPr>
          <w:szCs w:val="22"/>
        </w:rPr>
      </w:pPr>
    </w:p>
    <w:p w:rsidR="00C93533" w:rsidRDefault="00C93533" w:rsidP="00C93533">
      <w:pPr>
        <w:rPr>
          <w:szCs w:val="22"/>
        </w:rPr>
      </w:pPr>
      <w:r>
        <w:rPr>
          <w:szCs w:val="22"/>
        </w:rPr>
        <w:tab/>
        <w:t>15.</w:t>
      </w:r>
      <w:r>
        <w:rPr>
          <w:szCs w:val="22"/>
        </w:rPr>
        <w:tab/>
      </w:r>
      <w:r w:rsidRPr="00E366A4">
        <w:rPr>
          <w:szCs w:val="22"/>
        </w:rPr>
        <w:t xml:space="preserve">As part of the </w:t>
      </w:r>
      <w:r w:rsidRPr="009271D3">
        <w:rPr>
          <w:szCs w:val="22"/>
        </w:rPr>
        <w:t>Order</w:t>
      </w:r>
      <w:r w:rsidRPr="00E366A4">
        <w:rPr>
          <w:szCs w:val="22"/>
        </w:rPr>
        <w:t xml:space="preserve">, the Bureau shall terminate </w:t>
      </w:r>
      <w:r>
        <w:rPr>
          <w:szCs w:val="22"/>
        </w:rPr>
        <w:t xml:space="preserve">its investigation of the Violations and grant </w:t>
      </w:r>
      <w:r w:rsidRPr="00E366A4">
        <w:rPr>
          <w:szCs w:val="22"/>
        </w:rPr>
        <w:t>the Petition</w:t>
      </w:r>
      <w:r>
        <w:rPr>
          <w:szCs w:val="22"/>
        </w:rPr>
        <w:t xml:space="preserve"> in part and deny it in all other respects</w:t>
      </w:r>
      <w:r w:rsidRPr="00E366A4">
        <w:rPr>
          <w:szCs w:val="22"/>
        </w:rPr>
        <w:t>.</w:t>
      </w:r>
      <w:r>
        <w:rPr>
          <w:szCs w:val="22"/>
        </w:rPr>
        <w:t xml:space="preserve"> </w:t>
      </w:r>
    </w:p>
    <w:p w:rsidR="00C93533" w:rsidRPr="00E366A4" w:rsidRDefault="00C93533" w:rsidP="00C93533">
      <w:pPr>
        <w:rPr>
          <w:szCs w:val="22"/>
        </w:rPr>
      </w:pPr>
    </w:p>
    <w:p w:rsidR="00C93533" w:rsidRPr="00B66B55"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16.</w:t>
      </w:r>
      <w:r w:rsidRPr="00EE5485">
        <w:rPr>
          <w:szCs w:val="22"/>
        </w:rPr>
        <w:tab/>
      </w:r>
      <w:r>
        <w:rPr>
          <w:szCs w:val="22"/>
        </w:rPr>
        <w:t xml:space="preserve">In light of its significant Rule violations during the subject license term,  </w:t>
      </w:r>
      <w:r w:rsidRPr="008A73BE">
        <w:rPr>
          <w:szCs w:val="22"/>
        </w:rPr>
        <w:t xml:space="preserve">Licensee agrees to </w:t>
      </w:r>
      <w:r>
        <w:rPr>
          <w:szCs w:val="22"/>
        </w:rPr>
        <w:t>pay a civil penalty</w:t>
      </w:r>
      <w:r w:rsidRPr="008A73BE">
        <w:rPr>
          <w:szCs w:val="22"/>
        </w:rPr>
        <w:t xml:space="preserve"> to the United States Treasury in the amount of</w:t>
      </w:r>
      <w:r>
        <w:rPr>
          <w:szCs w:val="22"/>
        </w:rPr>
        <w:t xml:space="preserve"> Six Thousand Two Hundred and Fifty </w:t>
      </w:r>
      <w:r w:rsidRPr="008A73BE">
        <w:rPr>
          <w:szCs w:val="22"/>
        </w:rPr>
        <w:t>Dollars ($</w:t>
      </w:r>
      <w:r>
        <w:rPr>
          <w:szCs w:val="22"/>
        </w:rPr>
        <w:t>6</w:t>
      </w:r>
      <w:r w:rsidRPr="008A73BE">
        <w:rPr>
          <w:szCs w:val="22"/>
        </w:rPr>
        <w:t>,</w:t>
      </w:r>
      <w:r>
        <w:rPr>
          <w:szCs w:val="22"/>
        </w:rPr>
        <w:t>25</w:t>
      </w:r>
      <w:r w:rsidRPr="008A73BE">
        <w:rPr>
          <w:szCs w:val="22"/>
        </w:rPr>
        <w:t>0).  Such contribution will be made, without further protest or recourse to a</w:t>
      </w:r>
      <w:r>
        <w:rPr>
          <w:szCs w:val="22"/>
        </w:rPr>
        <w:t xml:space="preserve"> </w:t>
      </w:r>
      <w:r w:rsidRPr="008A73BE">
        <w:rPr>
          <w:i/>
          <w:iCs/>
          <w:szCs w:val="22"/>
        </w:rPr>
        <w:t xml:space="preserve">trial de novo, </w:t>
      </w:r>
      <w:r w:rsidRPr="008A73BE">
        <w:rPr>
          <w:szCs w:val="22"/>
        </w:rPr>
        <w:t>by a check or similar instrument, wire transfer or money order payable to the order of the Federal Communications Commission</w:t>
      </w:r>
      <w:r>
        <w:rPr>
          <w:szCs w:val="22"/>
        </w:rPr>
        <w:t xml:space="preserve">.  </w:t>
      </w:r>
      <w:r w:rsidRPr="00B66B55">
        <w:rPr>
          <w:szCs w:val="22"/>
        </w:rPr>
        <w:t xml:space="preserve">Payment by check or money order may be mailed to Federal Communications Commission, at </w:t>
      </w:r>
      <w:smartTag w:uri="urn:schemas-microsoft-com:office:smarttags" w:element="address">
        <w:smartTag w:uri="urn:schemas-microsoft-com:office:smarttags" w:element="Street">
          <w:r w:rsidRPr="00B66B55">
            <w:rPr>
              <w:szCs w:val="22"/>
            </w:rPr>
            <w:t>P.O. Box 979088</w:t>
          </w:r>
        </w:smartTag>
        <w:r w:rsidRPr="00B66B55">
          <w:rPr>
            <w:szCs w:val="22"/>
          </w:rPr>
          <w:t xml:space="preserve">, </w:t>
        </w:r>
        <w:smartTag w:uri="urn:schemas-microsoft-com:office:smarttags" w:element="City">
          <w:r w:rsidRPr="00B66B55">
            <w:rPr>
              <w:szCs w:val="22"/>
            </w:rPr>
            <w:t>St. Louis</w:t>
          </w:r>
        </w:smartTag>
        <w:r w:rsidRPr="00B66B55">
          <w:rPr>
            <w:szCs w:val="22"/>
          </w:rPr>
          <w:t xml:space="preserve">, </w:t>
        </w:r>
        <w:smartTag w:uri="urn:schemas-microsoft-com:office:smarttags" w:element="State">
          <w:r w:rsidRPr="00B66B55">
            <w:rPr>
              <w:szCs w:val="22"/>
            </w:rPr>
            <w:t>MO</w:t>
          </w:r>
        </w:smartTag>
        <w:r w:rsidRPr="00B66B55">
          <w:rPr>
            <w:szCs w:val="22"/>
          </w:rPr>
          <w:t xml:space="preserve">  </w:t>
        </w:r>
        <w:smartTag w:uri="urn:schemas-microsoft-com:office:smarttags" w:element="PostalCode">
          <w:r w:rsidRPr="00B66B55">
            <w:rPr>
              <w:szCs w:val="22"/>
            </w:rPr>
            <w:t>63197-9000</w:t>
          </w:r>
        </w:smartTag>
      </w:smartTag>
      <w:r w:rsidRPr="00B66B55">
        <w:rPr>
          <w:szCs w:val="22"/>
        </w:rPr>
        <w:t>.  Payment by overnight mail may be sent to U.S. Bank</w:t>
      </w:r>
      <w:r>
        <w:rPr>
          <w:szCs w:val="22"/>
        </w:rPr>
        <w:t xml:space="preserve"> -- G</w:t>
      </w:r>
      <w:r w:rsidRPr="00B66B55">
        <w:rPr>
          <w:szCs w:val="22"/>
        </w:rPr>
        <w:t xml:space="preserve">overnment Lockbox #979088, SL-MO-C2-GL, 1005 </w:t>
      </w:r>
      <w:smartTag w:uri="urn:schemas-microsoft-com:office:smarttags" w:element="PlaceName">
        <w:r w:rsidRPr="00B66B55">
          <w:rPr>
            <w:szCs w:val="22"/>
          </w:rPr>
          <w:t>Convention</w:t>
        </w:r>
      </w:smartTag>
      <w:r w:rsidRPr="00B66B55">
        <w:rPr>
          <w:szCs w:val="22"/>
        </w:rPr>
        <w:t xml:space="preserve"> </w:t>
      </w:r>
      <w:smartTag w:uri="urn:schemas-microsoft-com:office:smarttags" w:element="PlaceType">
        <w:r w:rsidRPr="00B66B55">
          <w:rPr>
            <w:szCs w:val="22"/>
          </w:rPr>
          <w:t>Plaza</w:t>
        </w:r>
      </w:smartTag>
      <w:r w:rsidRPr="00B66B55">
        <w:rPr>
          <w:szCs w:val="22"/>
        </w:rPr>
        <w:t xml:space="preserve">, </w:t>
      </w:r>
      <w:smartTag w:uri="urn:schemas-microsoft-com:office:smarttags" w:element="place">
        <w:smartTag w:uri="urn:schemas-microsoft-com:office:smarttags" w:element="City">
          <w:r w:rsidRPr="00B66B55">
            <w:rPr>
              <w:szCs w:val="22"/>
            </w:rPr>
            <w:t>St. Louis</w:t>
          </w:r>
        </w:smartTag>
        <w:r w:rsidRPr="00B66B55">
          <w:rPr>
            <w:szCs w:val="22"/>
          </w:rPr>
          <w:t xml:space="preserve">, </w:t>
        </w:r>
        <w:smartTag w:uri="urn:schemas-microsoft-com:office:smarttags" w:element="State">
          <w:r w:rsidRPr="00B66B55">
            <w:rPr>
              <w:szCs w:val="22"/>
            </w:rPr>
            <w:t>MO</w:t>
          </w:r>
        </w:smartTag>
        <w:r w:rsidRPr="00B66B55">
          <w:rPr>
            <w:szCs w:val="22"/>
          </w:rPr>
          <w:t xml:space="preserve">  </w:t>
        </w:r>
        <w:smartTag w:uri="urn:schemas-microsoft-com:office:smarttags" w:element="PostalCode">
          <w:r w:rsidRPr="00B66B55">
            <w:rPr>
              <w:szCs w:val="22"/>
            </w:rPr>
            <w:t>63101</w:t>
          </w:r>
        </w:smartTag>
      </w:smartTag>
      <w:r w:rsidRPr="00B66B55">
        <w:rPr>
          <w:szCs w:val="22"/>
        </w:rPr>
        <w:t>.  Payment by wire transfer may be made to ABA Number 021030004, receiving bank:</w:t>
      </w:r>
      <w:r>
        <w:rPr>
          <w:szCs w:val="22"/>
        </w:rPr>
        <w:t xml:space="preserve">  </w:t>
      </w:r>
      <w:r w:rsidRPr="00B66B55">
        <w:rPr>
          <w:szCs w:val="22"/>
        </w:rPr>
        <w:t>TREAS NYC, BNF: FCC/ACV--27000001 and account number as expressed on the remittance instrument.  If completing the FCC Form 159, enter the NAL/Account number in block number 23A (call sign/other ID), and enter the letters “FORF” in block number 24A (payment type code).</w:t>
      </w:r>
      <w:r>
        <w:rPr>
          <w:szCs w:val="22"/>
        </w:rPr>
        <w:t xml:space="preserve">  </w:t>
      </w:r>
      <w:r w:rsidRPr="008A73BE">
        <w:rPr>
          <w:szCs w:val="22"/>
        </w:rPr>
        <w:t xml:space="preserve">Licensee will also send electronic notification on the date said payment is made to </w:t>
      </w:r>
      <w:r>
        <w:rPr>
          <w:szCs w:val="22"/>
        </w:rPr>
        <w:t>Stephen.Svab</w:t>
      </w:r>
      <w:r w:rsidRPr="008A73BE">
        <w:rPr>
          <w:szCs w:val="22"/>
        </w:rPr>
        <w:t>@fcc.gov</w:t>
      </w:r>
      <w:r>
        <w:rPr>
          <w:szCs w:val="22"/>
        </w:rPr>
        <w:t>.</w:t>
      </w:r>
    </w:p>
    <w:p w:rsidR="00C93533" w:rsidRDefault="00C93533" w:rsidP="00C93533">
      <w:pPr>
        <w:pStyle w:val="BodyText"/>
        <w:tabs>
          <w:tab w:val="left" w:pos="1430"/>
        </w:tabs>
        <w:jc w:val="left"/>
        <w:rPr>
          <w:szCs w:val="22"/>
        </w:rPr>
      </w:pPr>
    </w:p>
    <w:p w:rsidR="00C93533" w:rsidRPr="00557CAC" w:rsidRDefault="00C93533" w:rsidP="00C93533">
      <w:pPr>
        <w:pStyle w:val="BodyText"/>
        <w:tabs>
          <w:tab w:val="left" w:pos="1430"/>
        </w:tabs>
        <w:jc w:val="left"/>
        <w:rPr>
          <w:szCs w:val="22"/>
        </w:rPr>
      </w:pPr>
      <w:r>
        <w:rPr>
          <w:szCs w:val="22"/>
        </w:rPr>
        <w:tab/>
        <w:t xml:space="preserve">17.  </w:t>
      </w:r>
      <w:r>
        <w:rPr>
          <w:szCs w:val="22"/>
        </w:rPr>
        <w:tab/>
      </w:r>
      <w:r w:rsidRPr="008A73BE">
        <w:rPr>
          <w:szCs w:val="22"/>
        </w:rPr>
        <w:t xml:space="preserve">Because the Violations continued over the entire license term, the Bureau agrees to grant </w:t>
      </w:r>
      <w:r>
        <w:rPr>
          <w:szCs w:val="22"/>
        </w:rPr>
        <w:t xml:space="preserve">the 2010 and 2014 </w:t>
      </w:r>
      <w:r w:rsidRPr="008A73BE">
        <w:rPr>
          <w:szCs w:val="22"/>
        </w:rPr>
        <w:t>Renewal Application</w:t>
      </w:r>
      <w:r>
        <w:rPr>
          <w:szCs w:val="22"/>
        </w:rPr>
        <w:t>s</w:t>
      </w:r>
      <w:r w:rsidRPr="008A73BE">
        <w:rPr>
          <w:szCs w:val="22"/>
        </w:rPr>
        <w:t xml:space="preserve">, after the Effective Date, </w:t>
      </w:r>
      <w:r>
        <w:rPr>
          <w:szCs w:val="22"/>
        </w:rPr>
        <w:t xml:space="preserve">provided that the following conditions have been met:  (1) the Licensee has fully and timely satisfied its obligation to pay the civil penalty referenced in paragraph 15 of this Decree; and (2) there are no issues other than the Violations that would preclude grant of the renewal application.  The forthcoming license term granted by such action will expire two (2) years after the grant of the 2014 Renewal Application. </w:t>
      </w:r>
    </w:p>
    <w:p w:rsidR="00C93533" w:rsidRPr="00EE5485" w:rsidRDefault="00C93533" w:rsidP="00C93533">
      <w:pPr>
        <w:rPr>
          <w:szCs w:val="22"/>
        </w:rPr>
      </w:pPr>
    </w:p>
    <w:p w:rsidR="00C93533" w:rsidRDefault="00C93533" w:rsidP="00C93533">
      <w:pPr>
        <w:rPr>
          <w:color w:val="000000"/>
          <w:w w:val="0"/>
          <w:szCs w:val="22"/>
        </w:rPr>
      </w:pPr>
      <w:r>
        <w:rPr>
          <w:szCs w:val="22"/>
        </w:rPr>
        <w:tab/>
        <w:t>18.</w:t>
      </w:r>
      <w:r w:rsidRPr="00EE5485">
        <w:rPr>
          <w:szCs w:val="22"/>
        </w:rPr>
        <w:tab/>
      </w:r>
      <w:r>
        <w:rPr>
          <w:szCs w:val="22"/>
        </w:rPr>
        <w:t>The Licensee represents</w:t>
      </w:r>
      <w:r w:rsidRPr="00EE5485">
        <w:rPr>
          <w:szCs w:val="22"/>
        </w:rPr>
        <w:t xml:space="preserve"> that, </w:t>
      </w:r>
      <w:r>
        <w:rPr>
          <w:color w:val="000000"/>
          <w:w w:val="0"/>
          <w:szCs w:val="22"/>
        </w:rPr>
        <w:t>in addition to its existing policies and procedures, it has</w:t>
      </w:r>
      <w:r w:rsidRPr="00D95673">
        <w:rPr>
          <w:color w:val="000000"/>
          <w:w w:val="0"/>
          <w:szCs w:val="22"/>
        </w:rPr>
        <w:t xml:space="preserve"> adopted, </w:t>
      </w:r>
      <w:r>
        <w:rPr>
          <w:color w:val="000000"/>
          <w:w w:val="0"/>
          <w:szCs w:val="22"/>
        </w:rPr>
        <w:t xml:space="preserve">is </w:t>
      </w:r>
      <w:r w:rsidRPr="00D95673">
        <w:rPr>
          <w:color w:val="000000"/>
          <w:w w:val="0"/>
          <w:szCs w:val="22"/>
        </w:rPr>
        <w:t>currently in the process of implementing, and agree</w:t>
      </w:r>
      <w:r>
        <w:rPr>
          <w:color w:val="000000"/>
          <w:w w:val="0"/>
          <w:szCs w:val="22"/>
        </w:rPr>
        <w:t>s</w:t>
      </w:r>
      <w:r w:rsidRPr="00D95673">
        <w:rPr>
          <w:color w:val="000000"/>
          <w:w w:val="0"/>
          <w:szCs w:val="22"/>
        </w:rPr>
        <w:t xml:space="preserve"> to abide by </w:t>
      </w:r>
      <w:r>
        <w:rPr>
          <w:color w:val="000000"/>
          <w:w w:val="0"/>
          <w:szCs w:val="22"/>
        </w:rPr>
        <w:t xml:space="preserve">the Compliance Plan for the purpose of ensuring compliance with the Commission’s Rules.  The Licensee </w:t>
      </w:r>
      <w:r w:rsidRPr="00D95673">
        <w:rPr>
          <w:color w:val="000000"/>
          <w:w w:val="0"/>
          <w:szCs w:val="22"/>
        </w:rPr>
        <w:t>agree</w:t>
      </w:r>
      <w:r>
        <w:rPr>
          <w:color w:val="000000"/>
          <w:w w:val="0"/>
          <w:szCs w:val="22"/>
        </w:rPr>
        <w:t>s</w:t>
      </w:r>
      <w:r w:rsidRPr="00D95673">
        <w:rPr>
          <w:color w:val="000000"/>
          <w:w w:val="0"/>
          <w:szCs w:val="22"/>
        </w:rPr>
        <w:t xml:space="preserve">, to the extent </w:t>
      </w:r>
      <w:r>
        <w:rPr>
          <w:color w:val="000000"/>
          <w:w w:val="0"/>
          <w:szCs w:val="22"/>
        </w:rPr>
        <w:t xml:space="preserve">that it has </w:t>
      </w:r>
      <w:r w:rsidRPr="00D95673">
        <w:rPr>
          <w:color w:val="000000"/>
          <w:w w:val="0"/>
          <w:szCs w:val="22"/>
        </w:rPr>
        <w:t xml:space="preserve">not already done so, to implement this Compliance Plan </w:t>
      </w:r>
      <w:r>
        <w:rPr>
          <w:color w:val="000000"/>
          <w:w w:val="0"/>
          <w:szCs w:val="22"/>
        </w:rPr>
        <w:t xml:space="preserve">at the Station </w:t>
      </w:r>
      <w:r w:rsidRPr="00D95673">
        <w:rPr>
          <w:color w:val="000000"/>
          <w:w w:val="0"/>
          <w:szCs w:val="22"/>
        </w:rPr>
        <w:t>no later than thirty (30) days after the Effective Date and to keep such Compliance Plan in e</w:t>
      </w:r>
      <w:r>
        <w:rPr>
          <w:color w:val="000000"/>
          <w:w w:val="0"/>
          <w:szCs w:val="22"/>
        </w:rPr>
        <w:t>ffect for two (2</w:t>
      </w:r>
      <w:r w:rsidRPr="00D95673">
        <w:rPr>
          <w:color w:val="000000"/>
          <w:w w:val="0"/>
          <w:szCs w:val="22"/>
        </w:rPr>
        <w:t>) years after the Effective Date.</w:t>
      </w:r>
    </w:p>
    <w:p w:rsidR="00C93533" w:rsidRDefault="00C93533" w:rsidP="00C93533">
      <w:pPr>
        <w:rPr>
          <w:color w:val="000000"/>
          <w:w w:val="0"/>
          <w:szCs w:val="22"/>
        </w:rPr>
      </w:pPr>
    </w:p>
    <w:p w:rsidR="00C93533" w:rsidRDefault="00C93533" w:rsidP="00C93533">
      <w:pPr>
        <w:rPr>
          <w:szCs w:val="22"/>
        </w:rPr>
      </w:pPr>
      <w:r>
        <w:rPr>
          <w:color w:val="000000"/>
          <w:w w:val="0"/>
          <w:szCs w:val="22"/>
        </w:rPr>
        <w:tab/>
        <w:t>19.</w:t>
      </w:r>
      <w:r>
        <w:rPr>
          <w:color w:val="000000"/>
          <w:w w:val="0"/>
          <w:szCs w:val="22"/>
        </w:rPr>
        <w:tab/>
      </w:r>
      <w:r w:rsidRPr="00000E3C">
        <w:rPr>
          <w:szCs w:val="22"/>
        </w:rPr>
        <w:t xml:space="preserve">The Licensee </w:t>
      </w:r>
      <w:r>
        <w:rPr>
          <w:szCs w:val="22"/>
        </w:rPr>
        <w:t>represents</w:t>
      </w:r>
      <w:r w:rsidRPr="00000E3C">
        <w:rPr>
          <w:szCs w:val="22"/>
        </w:rPr>
        <w:t xml:space="preserve"> that, as of the </w:t>
      </w:r>
      <w:r>
        <w:rPr>
          <w:szCs w:val="22"/>
        </w:rPr>
        <w:t xml:space="preserve">Execution Date </w:t>
      </w:r>
      <w:r w:rsidRPr="00000E3C">
        <w:rPr>
          <w:szCs w:val="22"/>
        </w:rPr>
        <w:t>of this Consent Decree, the Station</w:t>
      </w:r>
      <w:r>
        <w:rPr>
          <w:szCs w:val="22"/>
        </w:rPr>
        <w:t>’s</w:t>
      </w:r>
      <w:r w:rsidRPr="00000E3C">
        <w:rPr>
          <w:szCs w:val="22"/>
        </w:rPr>
        <w:t xml:space="preserve"> public file fully comp</w:t>
      </w:r>
      <w:r>
        <w:rPr>
          <w:szCs w:val="22"/>
        </w:rPr>
        <w:t xml:space="preserve">lies </w:t>
      </w:r>
      <w:r w:rsidRPr="00000E3C">
        <w:rPr>
          <w:szCs w:val="22"/>
        </w:rPr>
        <w:t xml:space="preserve">with </w:t>
      </w:r>
      <w:r>
        <w:rPr>
          <w:szCs w:val="22"/>
        </w:rPr>
        <w:t>the Public File Rule and Ownership Report Rule and that, with the grant of the Modification Application, the Station also fully complies with the Transmission System Operation Rule.  Licensee also represents that it is in full compliance with the Commission’s EAS requirements.</w:t>
      </w:r>
      <w:r w:rsidRPr="00D95673">
        <w:rPr>
          <w:color w:val="000000"/>
          <w:w w:val="0"/>
          <w:szCs w:val="22"/>
        </w:rPr>
        <w:t xml:space="preserve">  </w:t>
      </w:r>
    </w:p>
    <w:p w:rsidR="00C93533" w:rsidRPr="00EE5485" w:rsidRDefault="00C93533" w:rsidP="00C93533">
      <w:pPr>
        <w:rPr>
          <w:szCs w:val="22"/>
        </w:rPr>
      </w:pPr>
    </w:p>
    <w:p w:rsidR="00C93533" w:rsidRDefault="00C93533" w:rsidP="00C93533">
      <w:pPr>
        <w:rPr>
          <w:szCs w:val="22"/>
        </w:rPr>
      </w:pPr>
      <w:r w:rsidRPr="00EE5485">
        <w:rPr>
          <w:szCs w:val="22"/>
        </w:rPr>
        <w:tab/>
      </w:r>
      <w:r>
        <w:rPr>
          <w:szCs w:val="22"/>
        </w:rPr>
        <w:t>20.</w:t>
      </w:r>
      <w:r w:rsidRPr="00EE5485">
        <w:rPr>
          <w:szCs w:val="22"/>
        </w:rPr>
        <w:tab/>
      </w:r>
      <w:r>
        <w:rPr>
          <w:szCs w:val="22"/>
        </w:rPr>
        <w:t xml:space="preserve">The Licensee </w:t>
      </w:r>
      <w:r w:rsidRPr="00EE5485">
        <w:rPr>
          <w:szCs w:val="22"/>
        </w:rPr>
        <w:t>agrees that it is required to comply with each individual condition of this Consent Decree</w:t>
      </w:r>
      <w:r>
        <w:rPr>
          <w:szCs w:val="22"/>
        </w:rPr>
        <w:t>.</w:t>
      </w:r>
      <w:r w:rsidRPr="00EE5485">
        <w:rPr>
          <w:szCs w:val="22"/>
        </w:rPr>
        <w:t xml:space="preserve">  Each specific condition is a separate condition of the Consent Decree as approved</w:t>
      </w:r>
      <w:r>
        <w:rPr>
          <w:szCs w:val="22"/>
        </w:rPr>
        <w:t xml:space="preserve">.  </w:t>
      </w:r>
      <w:r w:rsidRPr="00EE5485">
        <w:rPr>
          <w:szCs w:val="22"/>
        </w:rPr>
        <w:t xml:space="preserve">To the extent that </w:t>
      </w:r>
      <w:r>
        <w:rPr>
          <w:szCs w:val="22"/>
        </w:rPr>
        <w:t xml:space="preserve">the Licensee </w:t>
      </w:r>
      <w:r w:rsidRPr="00EE5485">
        <w:rPr>
          <w:szCs w:val="22"/>
        </w:rPr>
        <w:t xml:space="preserve">fails to satisfy any condition or </w:t>
      </w:r>
      <w:r>
        <w:rPr>
          <w:szCs w:val="22"/>
        </w:rPr>
        <w:t>Commission R</w:t>
      </w:r>
      <w:r w:rsidRPr="00EE5485">
        <w:rPr>
          <w:szCs w:val="22"/>
        </w:rPr>
        <w:t xml:space="preserve">ule, in the absence of Commission alteration of the condition or </w:t>
      </w:r>
      <w:r>
        <w:rPr>
          <w:szCs w:val="22"/>
        </w:rPr>
        <w:t>R</w:t>
      </w:r>
      <w:r w:rsidRPr="00EE5485">
        <w:rPr>
          <w:szCs w:val="22"/>
        </w:rPr>
        <w:t xml:space="preserve">ule, it will be deemed noncompliant and may be subject to possible enforcement action, including, but not limited to, revocation of </w:t>
      </w:r>
      <w:r>
        <w:rPr>
          <w:szCs w:val="22"/>
        </w:rPr>
        <w:t>this Consent Decree</w:t>
      </w:r>
      <w:r w:rsidRPr="00EE5485">
        <w:rPr>
          <w:szCs w:val="22"/>
        </w:rPr>
        <w:t xml:space="preserve">, designation of the matter for hearing, letters of </w:t>
      </w:r>
      <w:r>
        <w:rPr>
          <w:szCs w:val="22"/>
        </w:rPr>
        <w:t>admonishment and/or forfeitures.</w:t>
      </w:r>
    </w:p>
    <w:p w:rsidR="00C93533" w:rsidRDefault="00C93533" w:rsidP="00C93533">
      <w:pPr>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21.</w:t>
      </w:r>
      <w:r>
        <w:rPr>
          <w:szCs w:val="22"/>
        </w:rPr>
        <w:tab/>
      </w:r>
      <w:r w:rsidRPr="00000E3C">
        <w:rPr>
          <w:szCs w:val="22"/>
        </w:rPr>
        <w:t>The Consent Decree will be binding on the Licensee</w:t>
      </w:r>
      <w:r>
        <w:rPr>
          <w:szCs w:val="22"/>
        </w:rPr>
        <w:t>’</w:t>
      </w:r>
      <w:r w:rsidRPr="00000E3C">
        <w:rPr>
          <w:szCs w:val="22"/>
        </w:rPr>
        <w:t>s successors</w:t>
      </w:r>
      <w:r>
        <w:rPr>
          <w:szCs w:val="22"/>
        </w:rPr>
        <w:t>-in-interest</w:t>
      </w:r>
      <w:r w:rsidRPr="00000E3C">
        <w:rPr>
          <w:szCs w:val="22"/>
        </w:rPr>
        <w:t xml:space="preserve"> and assigns.  </w:t>
      </w:r>
      <w:r>
        <w:rPr>
          <w:szCs w:val="22"/>
        </w:rPr>
        <w:t>T</w:t>
      </w:r>
      <w:r w:rsidRPr="00000E3C">
        <w:rPr>
          <w:szCs w:val="22"/>
        </w:rPr>
        <w:t>he Licensee agree</w:t>
      </w:r>
      <w:r>
        <w:rPr>
          <w:szCs w:val="22"/>
        </w:rPr>
        <w:t>s</w:t>
      </w:r>
      <w:r w:rsidRPr="00000E3C">
        <w:rPr>
          <w:szCs w:val="22"/>
        </w:rPr>
        <w:t xml:space="preserve"> that any future application to assign </w:t>
      </w:r>
      <w:r>
        <w:rPr>
          <w:szCs w:val="22"/>
        </w:rPr>
        <w:t xml:space="preserve">or transfer control of the Station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C93533" w:rsidRPr="00EE5485"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Pr="00EE5485" w:rsidRDefault="00C93533" w:rsidP="00C93533">
      <w:pPr>
        <w:rPr>
          <w:szCs w:val="22"/>
        </w:rPr>
      </w:pPr>
      <w:r w:rsidRPr="00EE5485">
        <w:rPr>
          <w:szCs w:val="22"/>
        </w:rPr>
        <w:tab/>
      </w:r>
      <w:r>
        <w:rPr>
          <w:szCs w:val="22"/>
        </w:rPr>
        <w:t>22.</w:t>
      </w:r>
      <w:r w:rsidRPr="00EE5485">
        <w:rPr>
          <w:szCs w:val="22"/>
        </w:rPr>
        <w:tab/>
      </w:r>
      <w:r>
        <w:rPr>
          <w:szCs w:val="22"/>
        </w:rPr>
        <w:t xml:space="preserve">The Licensee </w:t>
      </w:r>
      <w:r w:rsidRPr="00EE5485">
        <w:rPr>
          <w:szCs w:val="22"/>
        </w:rPr>
        <w:t xml:space="preserve">waives any and all rights it may have to seek administrative or judicial reconsideration, review, appeal, or stay, or to otherwise challenge the validity of this Consent Decree and the </w:t>
      </w:r>
      <w:r w:rsidRPr="004B7776">
        <w:rPr>
          <w:i/>
          <w:szCs w:val="22"/>
        </w:rPr>
        <w:t>Order,</w:t>
      </w:r>
      <w:r w:rsidRPr="00EE5485">
        <w:rPr>
          <w:szCs w:val="22"/>
        </w:rPr>
        <w:t xml:space="preserve"> provided the </w:t>
      </w:r>
      <w:r w:rsidRPr="004B7776">
        <w:rPr>
          <w:i/>
          <w:szCs w:val="22"/>
        </w:rPr>
        <w:t>Order</w:t>
      </w:r>
      <w:r w:rsidRPr="00EE5485">
        <w:rPr>
          <w:szCs w:val="22"/>
        </w:rPr>
        <w:t xml:space="preserve"> adopts the Consent Decree without change, addition or modification</w:t>
      </w:r>
      <w:smartTag w:uri="urn:schemas-microsoft-com:office:smarttags" w:element="PersonName">
        <w:r w:rsidRPr="00EE5485">
          <w:rPr>
            <w:szCs w:val="22"/>
          </w:rPr>
          <w:t>.</w:t>
        </w:r>
      </w:smartTag>
    </w:p>
    <w:p w:rsidR="00C93533" w:rsidRPr="00EE5485" w:rsidRDefault="00C93533" w:rsidP="00C93533">
      <w:pPr>
        <w:rPr>
          <w:szCs w:val="22"/>
        </w:rPr>
      </w:pPr>
    </w:p>
    <w:p w:rsidR="00C93533" w:rsidRDefault="00C93533" w:rsidP="00C93533">
      <w:pPr>
        <w:rPr>
          <w:szCs w:val="22"/>
        </w:rPr>
      </w:pPr>
      <w:r w:rsidRPr="00EE5485">
        <w:rPr>
          <w:szCs w:val="22"/>
        </w:rPr>
        <w:tab/>
      </w:r>
      <w:r>
        <w:rPr>
          <w:szCs w:val="22"/>
        </w:rPr>
        <w:t>23.</w:t>
      </w:r>
      <w:r w:rsidRPr="00EE5485">
        <w:rPr>
          <w:szCs w:val="22"/>
        </w:rPr>
        <w:tab/>
      </w:r>
      <w:r>
        <w:rPr>
          <w:szCs w:val="22"/>
        </w:rPr>
        <w:t xml:space="preserve">The Licensee </w:t>
      </w:r>
      <w:r w:rsidRPr="00EE5485">
        <w:rPr>
          <w:szCs w:val="22"/>
        </w:rPr>
        <w:t>agrees to waive any claims it may otherwise have under the Equal Access to Justice Act, 5 U</w:t>
      </w:r>
      <w:smartTag w:uri="urn:schemas-microsoft-com:office:smarttags" w:element="PersonName">
        <w:r w:rsidRPr="00EE5485">
          <w:rPr>
            <w:szCs w:val="22"/>
          </w:rPr>
          <w:t>.</w:t>
        </w:r>
      </w:smartTag>
      <w:r w:rsidRPr="00EE5485">
        <w:rPr>
          <w:szCs w:val="22"/>
        </w:rPr>
        <w:t>S</w:t>
      </w:r>
      <w:smartTag w:uri="urn:schemas-microsoft-com:office:smarttags" w:element="PersonName">
        <w:r w:rsidRPr="00EE5485">
          <w:rPr>
            <w:szCs w:val="22"/>
          </w:rPr>
          <w:t>.</w:t>
        </w:r>
      </w:smartTag>
      <w:r w:rsidRPr="00EE5485">
        <w:rPr>
          <w:szCs w:val="22"/>
        </w:rPr>
        <w:t>C</w:t>
      </w:r>
      <w:smartTag w:uri="urn:schemas-microsoft-com:office:smarttags" w:element="PersonName">
        <w:r w:rsidRPr="00EE5485">
          <w:rPr>
            <w:szCs w:val="22"/>
          </w:rPr>
          <w:t>.</w:t>
        </w:r>
      </w:smartTag>
      <w:r w:rsidRPr="00EE5485">
        <w:rPr>
          <w:szCs w:val="22"/>
        </w:rPr>
        <w:t xml:space="preserve"> Section 504 and 47 C</w:t>
      </w:r>
      <w:smartTag w:uri="urn:schemas-microsoft-com:office:smarttags" w:element="PersonName">
        <w:r w:rsidRPr="00EE5485">
          <w:rPr>
            <w:szCs w:val="22"/>
          </w:rPr>
          <w:t>.</w:t>
        </w:r>
      </w:smartTag>
      <w:r w:rsidRPr="00EE5485">
        <w:rPr>
          <w:szCs w:val="22"/>
        </w:rPr>
        <w:t>F</w:t>
      </w:r>
      <w:smartTag w:uri="urn:schemas-microsoft-com:office:smarttags" w:element="PersonName">
        <w:r w:rsidRPr="00EE5485">
          <w:rPr>
            <w:szCs w:val="22"/>
          </w:rPr>
          <w:t>.</w:t>
        </w:r>
      </w:smartTag>
      <w:r w:rsidRPr="00EE5485">
        <w:rPr>
          <w:szCs w:val="22"/>
        </w:rPr>
        <w:t>R</w:t>
      </w:r>
      <w:smartTag w:uri="urn:schemas-microsoft-com:office:smarttags" w:element="PersonName">
        <w:r w:rsidRPr="00EE5485">
          <w:rPr>
            <w:szCs w:val="22"/>
          </w:rPr>
          <w:t>.</w:t>
        </w:r>
      </w:smartTag>
      <w:r w:rsidRPr="00EE5485">
        <w:rPr>
          <w:szCs w:val="22"/>
        </w:rPr>
        <w:t xml:space="preserve"> Section 1</w:t>
      </w:r>
      <w:smartTag w:uri="urn:schemas-microsoft-com:office:smarttags" w:element="PersonName">
        <w:r w:rsidRPr="00EE5485">
          <w:rPr>
            <w:szCs w:val="22"/>
          </w:rPr>
          <w:t>.</w:t>
        </w:r>
      </w:smartTag>
      <w:r w:rsidRPr="00EE5485">
        <w:rPr>
          <w:szCs w:val="22"/>
        </w:rPr>
        <w:t xml:space="preserve">1501 </w:t>
      </w:r>
      <w:r w:rsidRPr="00EE5485">
        <w:rPr>
          <w:i/>
          <w:szCs w:val="22"/>
        </w:rPr>
        <w:t>et seq</w:t>
      </w:r>
      <w:smartTag w:uri="urn:schemas-microsoft-com:office:smarttags" w:element="PersonName">
        <w:r w:rsidRPr="00EE5485">
          <w:rPr>
            <w:i/>
            <w:szCs w:val="22"/>
          </w:rPr>
          <w:t>.</w:t>
        </w:r>
      </w:smartTag>
      <w:r w:rsidRPr="00EE5485">
        <w:rPr>
          <w:szCs w:val="22"/>
        </w:rPr>
        <w:t>, relating to the matters discussed in this Consent Decree</w:t>
      </w:r>
      <w:r>
        <w:rPr>
          <w:szCs w:val="22"/>
        </w:rPr>
        <w:t>.</w:t>
      </w:r>
    </w:p>
    <w:p w:rsidR="00C93533" w:rsidRPr="00EE5485" w:rsidRDefault="00C93533" w:rsidP="00C93533">
      <w:pPr>
        <w:rPr>
          <w:szCs w:val="22"/>
        </w:rPr>
      </w:pPr>
    </w:p>
    <w:p w:rsidR="00C93533" w:rsidRDefault="00C93533" w:rsidP="00C93533">
      <w:pPr>
        <w:rPr>
          <w:szCs w:val="22"/>
        </w:rPr>
      </w:pPr>
      <w:r w:rsidRPr="00EE5485">
        <w:rPr>
          <w:szCs w:val="22"/>
        </w:rPr>
        <w:tab/>
      </w:r>
      <w:r>
        <w:rPr>
          <w:szCs w:val="22"/>
        </w:rPr>
        <w:t>24.</w:t>
      </w:r>
      <w:r w:rsidRPr="00EE5485">
        <w:rPr>
          <w:szCs w:val="22"/>
        </w:rPr>
        <w:tab/>
      </w:r>
      <w:r>
        <w:rPr>
          <w:szCs w:val="22"/>
        </w:rPr>
        <w:t xml:space="preserve">The Licensee </w:t>
      </w:r>
      <w:r w:rsidRPr="00EE5485">
        <w:rPr>
          <w:szCs w:val="22"/>
        </w:rPr>
        <w:t xml:space="preserve">and the Bureau agree that the effectiveness of this Consent Decree is expressly contingent upon issuance of the </w:t>
      </w:r>
      <w:r w:rsidRPr="009271D3">
        <w:rPr>
          <w:szCs w:val="22"/>
        </w:rPr>
        <w:t>Order</w:t>
      </w:r>
      <w:r w:rsidRPr="00EE5485">
        <w:rPr>
          <w:szCs w:val="22"/>
        </w:rPr>
        <w:t xml:space="preserve">, provided the </w:t>
      </w:r>
      <w:r w:rsidRPr="009271D3">
        <w:rPr>
          <w:szCs w:val="22"/>
        </w:rPr>
        <w:t>Order</w:t>
      </w:r>
      <w:r w:rsidRPr="00EE5485">
        <w:rPr>
          <w:szCs w:val="22"/>
        </w:rPr>
        <w:t xml:space="preserve"> adopts the Consent Decree without change, addition or modification</w:t>
      </w:r>
      <w:r>
        <w:rPr>
          <w:szCs w:val="22"/>
        </w:rPr>
        <w:t>.</w:t>
      </w:r>
    </w:p>
    <w:p w:rsidR="00C93533" w:rsidRPr="00EE5485" w:rsidRDefault="00C93533" w:rsidP="00C93533">
      <w:pPr>
        <w:rPr>
          <w:szCs w:val="22"/>
        </w:rPr>
      </w:pPr>
    </w:p>
    <w:p w:rsidR="00C93533" w:rsidRPr="009271D3" w:rsidRDefault="00C93533" w:rsidP="00C93533">
      <w:pPr>
        <w:rPr>
          <w:szCs w:val="22"/>
        </w:rPr>
      </w:pPr>
      <w:r w:rsidRPr="00EE5485">
        <w:rPr>
          <w:szCs w:val="22"/>
        </w:rPr>
        <w:tab/>
      </w:r>
      <w:r>
        <w:rPr>
          <w:szCs w:val="22"/>
        </w:rPr>
        <w:t>25.</w:t>
      </w:r>
      <w:r w:rsidRPr="00EE5485">
        <w:rPr>
          <w:szCs w:val="22"/>
        </w:rPr>
        <w:tab/>
      </w:r>
      <w:r w:rsidRPr="009271D3">
        <w:rPr>
          <w:szCs w:val="22"/>
        </w:rPr>
        <w:t>The Licensee and the Bureau agree that if the Licensee, the Commission or the United States on behalf of the Commission, brings a judicial action to enforce the terms of the Order adopting this Consent Decree, neither the Licensee nor the Commission will contest the validity of the Consent Decree or Order, and the Licensee and the Commission will waive any statutory right to a trial de novo with respect to any matter upon which the Order is based (provided in each case that the Order is limited to adopting the Consent Decree without change, addition, or modification), and will consent to a judgment incorporating the terms of this Consent Decree.</w:t>
      </w:r>
    </w:p>
    <w:p w:rsidR="00C93533" w:rsidRPr="00EE5485" w:rsidRDefault="00C93533" w:rsidP="00C93533">
      <w:pPr>
        <w:rPr>
          <w:szCs w:val="22"/>
        </w:rPr>
      </w:pPr>
    </w:p>
    <w:p w:rsidR="00C93533" w:rsidRDefault="00C93533" w:rsidP="00C93533">
      <w:pPr>
        <w:rPr>
          <w:szCs w:val="22"/>
        </w:rPr>
      </w:pPr>
      <w:r w:rsidRPr="00EE5485">
        <w:rPr>
          <w:szCs w:val="22"/>
        </w:rPr>
        <w:tab/>
      </w:r>
      <w:r>
        <w:rPr>
          <w:szCs w:val="22"/>
        </w:rPr>
        <w:t>26.</w:t>
      </w:r>
      <w:r w:rsidRPr="00EE5485">
        <w:rPr>
          <w:szCs w:val="22"/>
        </w:rPr>
        <w:tab/>
      </w:r>
      <w:r>
        <w:rPr>
          <w:szCs w:val="22"/>
        </w:rPr>
        <w:t xml:space="preserve">The Licensee </w:t>
      </w:r>
      <w:r w:rsidRPr="00EE5485">
        <w:rPr>
          <w:szCs w:val="22"/>
        </w:rPr>
        <w:t>and the Bureau agree that, in the event that this Consent Decree is rendered invalid by any court of competent jurisdiction, it will become null and void and may not be used in any manner in any legal proceeding.</w:t>
      </w:r>
    </w:p>
    <w:p w:rsidR="00C93533" w:rsidRDefault="00C93533" w:rsidP="00C93533">
      <w:pPr>
        <w:rPr>
          <w:szCs w:val="22"/>
        </w:rPr>
      </w:pPr>
    </w:p>
    <w:p w:rsidR="00C93533" w:rsidRPr="00EE5485" w:rsidRDefault="00C93533" w:rsidP="00C93533">
      <w:pPr>
        <w:rPr>
          <w:szCs w:val="22"/>
        </w:rPr>
      </w:pPr>
      <w:r w:rsidRPr="00EE5485">
        <w:rPr>
          <w:szCs w:val="22"/>
        </w:rPr>
        <w:tab/>
      </w:r>
      <w:r>
        <w:rPr>
          <w:szCs w:val="22"/>
        </w:rPr>
        <w:t>27.</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C93533" w:rsidRPr="00EE5485" w:rsidRDefault="00C93533" w:rsidP="00C93533">
      <w:pPr>
        <w:rPr>
          <w:szCs w:val="22"/>
        </w:rPr>
      </w:pPr>
    </w:p>
    <w:p w:rsidR="00C93533" w:rsidRPr="00EE5485" w:rsidRDefault="00C93533" w:rsidP="00C93533">
      <w:pPr>
        <w:rPr>
          <w:szCs w:val="22"/>
        </w:rPr>
      </w:pPr>
    </w:p>
    <w:p w:rsidR="00C93533" w:rsidRPr="00EE5485" w:rsidRDefault="00C93533" w:rsidP="00C93533">
      <w:pPr>
        <w:jc w:val="both"/>
        <w:rPr>
          <w:szCs w:val="22"/>
        </w:rPr>
      </w:pPr>
    </w:p>
    <w:p w:rsidR="00C93533" w:rsidRPr="00EE5485" w:rsidRDefault="00C93533" w:rsidP="00C93533">
      <w:pPr>
        <w:jc w:val="both"/>
        <w:rPr>
          <w:szCs w:val="22"/>
        </w:rPr>
      </w:pPr>
    </w:p>
    <w:p w:rsidR="00C93533" w:rsidRPr="00C1664A" w:rsidRDefault="00C93533" w:rsidP="00C93533">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C93533" w:rsidRPr="00C1664A" w:rsidRDefault="00C93533" w:rsidP="00C93533">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C93533" w:rsidRDefault="00C93533" w:rsidP="00C93533">
      <w:pPr>
        <w:jc w:val="both"/>
        <w:rPr>
          <w:szCs w:val="22"/>
        </w:rPr>
      </w:pPr>
    </w:p>
    <w:p w:rsidR="00C93533" w:rsidRPr="00EE5485" w:rsidRDefault="00C93533" w:rsidP="00C93533">
      <w:pPr>
        <w:jc w:val="both"/>
        <w:rPr>
          <w:szCs w:val="22"/>
        </w:rPr>
      </w:pPr>
    </w:p>
    <w:p w:rsidR="00C93533" w:rsidRPr="00EE5485" w:rsidRDefault="00C93533" w:rsidP="00C93533">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C93533" w:rsidRDefault="00C93533" w:rsidP="00C93533">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C93533" w:rsidRDefault="00C93533" w:rsidP="00C93533">
      <w:pPr>
        <w:jc w:val="both"/>
        <w:rPr>
          <w:szCs w:val="22"/>
        </w:rPr>
      </w:pPr>
      <w:r>
        <w:rPr>
          <w:szCs w:val="22"/>
        </w:rPr>
        <w:tab/>
      </w:r>
    </w:p>
    <w:p w:rsidR="00C93533" w:rsidRDefault="00C93533" w:rsidP="00C93533">
      <w:pPr>
        <w:jc w:val="both"/>
        <w:rPr>
          <w:szCs w:val="22"/>
        </w:rPr>
      </w:pPr>
    </w:p>
    <w:p w:rsidR="00C93533" w:rsidRDefault="00C93533" w:rsidP="00C93533">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C93533" w:rsidRDefault="00C93533" w:rsidP="00C93533">
      <w:pPr>
        <w:jc w:val="both"/>
        <w:rPr>
          <w:szCs w:val="22"/>
        </w:rPr>
      </w:pPr>
    </w:p>
    <w:p w:rsidR="00C93533" w:rsidRDefault="00C93533" w:rsidP="00C93533">
      <w:pPr>
        <w:jc w:val="both"/>
        <w:rPr>
          <w:szCs w:val="22"/>
        </w:rPr>
      </w:pPr>
    </w:p>
    <w:p w:rsidR="00C93533" w:rsidRDefault="00C93533" w:rsidP="00C93533">
      <w:pPr>
        <w:ind w:left="4320"/>
      </w:pPr>
      <w:r>
        <w:rPr>
          <w:b/>
        </w:rPr>
        <w:t>ATLANTIC CITY BOARD OF EDUCATION</w:t>
      </w:r>
    </w:p>
    <w:p w:rsidR="00C93533" w:rsidRPr="00C1664A" w:rsidRDefault="00C93533" w:rsidP="00C93533">
      <w:pPr>
        <w:jc w:val="both"/>
        <w:rPr>
          <w:b/>
          <w:szCs w:val="22"/>
        </w:rPr>
      </w:pPr>
    </w:p>
    <w:p w:rsidR="00C93533" w:rsidRPr="00EE5485" w:rsidRDefault="00C93533" w:rsidP="00C93533">
      <w:pPr>
        <w:jc w:val="both"/>
        <w:rPr>
          <w:szCs w:val="22"/>
        </w:rPr>
      </w:pPr>
    </w:p>
    <w:p w:rsidR="00C93533" w:rsidRPr="00EE5485" w:rsidRDefault="00C93533" w:rsidP="00C93533">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w:t>
      </w:r>
    </w:p>
    <w:p w:rsidR="00C93533" w:rsidRDefault="00C93533" w:rsidP="00C93533">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Donna Haye, Superintendent</w:t>
      </w:r>
    </w:p>
    <w:p w:rsidR="00C93533" w:rsidRDefault="00C93533" w:rsidP="00C93533">
      <w:pPr>
        <w:jc w:val="both"/>
      </w:pPr>
    </w:p>
    <w:p w:rsidR="00C93533" w:rsidRDefault="00C93533" w:rsidP="00C93533">
      <w:pPr>
        <w:jc w:val="both"/>
      </w:pPr>
    </w:p>
    <w:p w:rsidR="00C93533" w:rsidRPr="00EE5485" w:rsidRDefault="00C93533" w:rsidP="00C93533">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C93533" w:rsidRPr="00EE5485" w:rsidRDefault="00C93533" w:rsidP="00C93533">
      <w:pPr>
        <w:jc w:val="center"/>
        <w:rPr>
          <w:b/>
          <w:szCs w:val="22"/>
          <w:u w:val="single"/>
        </w:rPr>
      </w:pPr>
      <w:r w:rsidRPr="00EE5485">
        <w:rPr>
          <w:szCs w:val="22"/>
        </w:rPr>
        <w:br w:type="page"/>
      </w:r>
      <w:r w:rsidRPr="00EE5485">
        <w:rPr>
          <w:b/>
          <w:szCs w:val="22"/>
          <w:u w:val="single"/>
        </w:rPr>
        <w:t>APPENDIX</w:t>
      </w:r>
    </w:p>
    <w:p w:rsidR="00C93533" w:rsidRPr="00EE5485" w:rsidRDefault="00C93533" w:rsidP="00C93533">
      <w:pPr>
        <w:jc w:val="center"/>
        <w:rPr>
          <w:szCs w:val="22"/>
        </w:rPr>
      </w:pPr>
    </w:p>
    <w:p w:rsidR="00C93533" w:rsidRPr="00EE5485" w:rsidRDefault="00C93533" w:rsidP="00C93533">
      <w:pPr>
        <w:jc w:val="center"/>
        <w:rPr>
          <w:szCs w:val="22"/>
        </w:rPr>
      </w:pPr>
      <w:r w:rsidRPr="00957A22">
        <w:rPr>
          <w:b/>
          <w:szCs w:val="22"/>
        </w:rPr>
        <w:t xml:space="preserve">COMPLIANCE PLAN </w:t>
      </w:r>
      <w:r>
        <w:rPr>
          <w:b/>
          <w:szCs w:val="22"/>
        </w:rPr>
        <w:t>FOR STATION WAJM(FM)</w:t>
      </w:r>
    </w:p>
    <w:p w:rsidR="00C93533" w:rsidRPr="00EE5485" w:rsidRDefault="00C93533" w:rsidP="00C93533">
      <w:pPr>
        <w:jc w:val="center"/>
        <w:rPr>
          <w:szCs w:val="22"/>
        </w:rPr>
      </w:pPr>
    </w:p>
    <w:p w:rsidR="00C93533" w:rsidRPr="00000E3C" w:rsidRDefault="00C93533" w:rsidP="00C93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Cs w:val="22"/>
        </w:rPr>
      </w:pPr>
      <w:r w:rsidRPr="00EE5485">
        <w:rPr>
          <w:szCs w:val="22"/>
        </w:rPr>
        <w:tab/>
      </w:r>
      <w:r>
        <w:rPr>
          <w:szCs w:val="22"/>
        </w:rPr>
        <w:t>The Atlantic City Board of Education</w:t>
      </w:r>
      <w:r w:rsidRPr="00557CAC">
        <w:rPr>
          <w:szCs w:val="22"/>
        </w:rPr>
        <w:t>,</w:t>
      </w:r>
      <w:r w:rsidRPr="00EE5485">
        <w:rPr>
          <w:szCs w:val="22"/>
        </w:rPr>
        <w:t xml:space="preserve"> </w:t>
      </w:r>
      <w:r>
        <w:rPr>
          <w:szCs w:val="22"/>
        </w:rPr>
        <w:t xml:space="preserve">or its successor-in-interest, as appropriate will </w:t>
      </w:r>
      <w:r w:rsidRPr="00EE5485">
        <w:rPr>
          <w:szCs w:val="22"/>
        </w:rPr>
        <w:t>institute the following procedures</w:t>
      </w:r>
      <w:r>
        <w:rPr>
          <w:szCs w:val="22"/>
        </w:rPr>
        <w:t xml:space="preserve"> to ensure compliance with the Commission’s Rules.  Unless otherwise provided, all terms defined in the Consent Decree apply to this Compliance Plan.</w:t>
      </w:r>
      <w:r>
        <w:rPr>
          <w:szCs w:val="22"/>
        </w:rPr>
        <w:tab/>
      </w:r>
    </w:p>
    <w:p w:rsidR="00C93533" w:rsidRDefault="00C93533" w:rsidP="00C93533">
      <w:pPr>
        <w:jc w:val="both"/>
        <w:rPr>
          <w:szCs w:val="22"/>
        </w:rPr>
      </w:pPr>
    </w:p>
    <w:p w:rsidR="00C93533" w:rsidRDefault="00C93533" w:rsidP="00C93533">
      <w:pPr>
        <w:widowControl/>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Board agrees to correct all violations identified in the </w:t>
      </w:r>
      <w:r w:rsidRPr="00802777">
        <w:rPr>
          <w:i/>
        </w:rPr>
        <w:t xml:space="preserve">NOV </w:t>
      </w:r>
      <w:r>
        <w:rPr>
          <w:szCs w:val="22"/>
        </w:rPr>
        <w:t>that can be retroactively corrected (</w:t>
      </w:r>
      <w:r w:rsidRPr="002D2686">
        <w:rPr>
          <w:szCs w:val="22"/>
        </w:rPr>
        <w:t>Section</w:t>
      </w:r>
      <w:r>
        <w:rPr>
          <w:szCs w:val="22"/>
        </w:rPr>
        <w:t>s</w:t>
      </w:r>
      <w:r w:rsidRPr="002D2686">
        <w:rPr>
          <w:szCs w:val="22"/>
        </w:rPr>
        <w:t xml:space="preserve"> 73.3527(e)(3)-(4)-(7)-(8) (contour map; ownership report; “The Public and </w:t>
      </w:r>
      <w:r w:rsidRPr="002D2686">
        <w:rPr>
          <w:szCs w:val="22"/>
        </w:rPr>
        <w:tab/>
        <w:t xml:space="preserve">      Broadcasting” manual; and quarterly issues/programs lists requirements,</w:t>
      </w:r>
      <w:r>
        <w:rPr>
          <w:szCs w:val="22"/>
        </w:rPr>
        <w:t xml:space="preserve"> </w:t>
      </w:r>
      <w:r w:rsidRPr="002D2686">
        <w:rPr>
          <w:szCs w:val="22"/>
        </w:rPr>
        <w:t>respectively); 11.52(d); 11.61(a)(1)(v) (EAS requirements); 11.35 (operational</w:t>
      </w:r>
      <w:r>
        <w:rPr>
          <w:szCs w:val="22"/>
        </w:rPr>
        <w:t xml:space="preserve"> </w:t>
      </w:r>
      <w:r w:rsidRPr="002D2686">
        <w:rPr>
          <w:szCs w:val="22"/>
        </w:rPr>
        <w:t>readiness testing); 73.267(c)(3) (transmitter efficiency factor); 73.1225(a) and (e)</w:t>
      </w:r>
      <w:r>
        <w:rPr>
          <w:szCs w:val="22"/>
        </w:rPr>
        <w:t xml:space="preserve"> </w:t>
      </w:r>
      <w:r w:rsidRPr="002D2686">
        <w:rPr>
          <w:szCs w:val="22"/>
        </w:rPr>
        <w:t>(transmitter inspection availability and provision of local phone number, respectively); 73.1840(a) (retention of station logs); and 73.1350(c)(2) (calibration of monitoring</w:t>
      </w:r>
      <w:r>
        <w:rPr>
          <w:szCs w:val="22"/>
        </w:rPr>
        <w:t xml:space="preserve"> </w:t>
      </w:r>
      <w:r w:rsidRPr="002D2686">
        <w:rPr>
          <w:szCs w:val="22"/>
        </w:rPr>
        <w:t>equipment)</w:t>
      </w:r>
      <w:r>
        <w:rPr>
          <w:szCs w:val="22"/>
        </w:rPr>
        <w:t xml:space="preserve"> immediately and in any event prior to the submission of the first quarterly report under Item IV, below.  </w:t>
      </w:r>
      <w:r>
        <w:rPr>
          <w:szCs w:val="22"/>
        </w:rPr>
        <w:tab/>
      </w:r>
    </w:p>
    <w:p w:rsidR="00C93533" w:rsidRDefault="00C93533" w:rsidP="00C935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80"/>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II.</w:t>
      </w:r>
      <w:r>
        <w:rPr>
          <w:szCs w:val="22"/>
        </w:rPr>
        <w:tab/>
      </w:r>
      <w:r w:rsidRPr="00000E3C">
        <w:rPr>
          <w:szCs w:val="22"/>
        </w:rPr>
        <w:t>A.</w:t>
      </w:r>
      <w:r w:rsidRPr="00000E3C">
        <w:rPr>
          <w:szCs w:val="22"/>
        </w:rPr>
        <w:tab/>
      </w:r>
      <w:r>
        <w:rPr>
          <w:szCs w:val="22"/>
        </w:rPr>
        <w:t>The Board will conduct in-house</w:t>
      </w:r>
      <w:r w:rsidRPr="00F77255">
        <w:rPr>
          <w:szCs w:val="22"/>
        </w:rPr>
        <w:t xml:space="preserve"> training for all Station employees </w:t>
      </w:r>
      <w:r>
        <w:rPr>
          <w:szCs w:val="22"/>
        </w:rPr>
        <w:t xml:space="preserve">and management </w:t>
      </w:r>
      <w:r w:rsidRPr="00F77255">
        <w:rPr>
          <w:szCs w:val="22"/>
        </w:rPr>
        <w:t>on compliance with FCC Rules applicable to station operations</w:t>
      </w:r>
      <w:r>
        <w:rPr>
          <w:szCs w:val="22"/>
        </w:rPr>
        <w:t xml:space="preserve">, particularly those related to the Station’s public inspection file, operation and maintenance of the Station’s Emergency Alert System, and monitoring that the Station is operating with its authorized facilities.  This training will be completed within 30 days of the Effective Date.  Licensee will designate a management-level employee as Compliance Officer responsible for responding to Station employees’ questions and to consult with outside counsel familiar with Communications Law regarding compliance matters.  </w:t>
      </w:r>
      <w:r w:rsidRPr="00F77255">
        <w:rPr>
          <w:szCs w:val="22"/>
        </w:rPr>
        <w:t>To augment this training, outside counsel, or other comparable professionals, will conduct a live workshop for all Station employees</w:t>
      </w:r>
      <w:r>
        <w:rPr>
          <w:szCs w:val="22"/>
        </w:rPr>
        <w:t xml:space="preserve"> and management, also within 30 days of the Effective Date</w:t>
      </w:r>
      <w:r w:rsidRPr="00F77255">
        <w:rPr>
          <w:szCs w:val="22"/>
        </w:rPr>
        <w:t>.</w:t>
      </w:r>
      <w:r>
        <w:rPr>
          <w:szCs w:val="22"/>
        </w:rPr>
        <w:t xml:space="preserve"> </w:t>
      </w:r>
      <w:r w:rsidRPr="00F77255">
        <w:rPr>
          <w:szCs w:val="22"/>
        </w:rPr>
        <w:t xml:space="preserve"> </w:t>
      </w:r>
      <w:r>
        <w:rPr>
          <w:szCs w:val="22"/>
        </w:rPr>
        <w:t>The Board</w:t>
      </w:r>
      <w:r w:rsidRPr="00F77255">
        <w:rPr>
          <w:szCs w:val="22"/>
        </w:rPr>
        <w:t xml:space="preserve"> will </w:t>
      </w:r>
      <w:r>
        <w:rPr>
          <w:szCs w:val="22"/>
        </w:rPr>
        <w:t>repeat</w:t>
      </w:r>
      <w:r w:rsidRPr="00F77255">
        <w:rPr>
          <w:szCs w:val="22"/>
        </w:rPr>
        <w:t xml:space="preserve"> this workshop and use it as refresher training for staff and management at least every twelve (12) months</w:t>
      </w:r>
      <w:r>
        <w:rPr>
          <w:szCs w:val="22"/>
        </w:rPr>
        <w:t xml:space="preserve">.  The Board also will videotape this workshop and use it </w:t>
      </w:r>
      <w:r w:rsidRPr="00F77255">
        <w:rPr>
          <w:szCs w:val="22"/>
        </w:rPr>
        <w:t xml:space="preserve"> to train any new Station employee within five (5) days of commencement of his or her duties at the Station.</w:t>
      </w:r>
      <w:r w:rsidRPr="00F77255">
        <w:rPr>
          <w:szCs w:val="22"/>
        </w:rPr>
        <w:br/>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r>
      <w:r>
        <w:rPr>
          <w:szCs w:val="22"/>
        </w:rPr>
        <w:t>The Board</w:t>
      </w:r>
      <w:r w:rsidRPr="00005ED9">
        <w:rPr>
          <w:szCs w:val="22"/>
        </w:rPr>
        <w:t xml:space="preserve"> shall engage FCC counsel on </w:t>
      </w:r>
      <w:r>
        <w:rPr>
          <w:szCs w:val="22"/>
        </w:rPr>
        <w:t xml:space="preserve">an ongoing </w:t>
      </w:r>
      <w:r w:rsidRPr="00005ED9">
        <w:rPr>
          <w:szCs w:val="22"/>
        </w:rPr>
        <w:t xml:space="preserve">basis to provide guidance to </w:t>
      </w:r>
      <w:r>
        <w:rPr>
          <w:szCs w:val="22"/>
        </w:rPr>
        <w:t>the Board</w:t>
      </w:r>
      <w:r w:rsidRPr="00005ED9">
        <w:rPr>
          <w:szCs w:val="22"/>
        </w:rPr>
        <w:t xml:space="preserve"> on FCC compliance issues, to provide regular updates and notices on developments in communications law applicable to </w:t>
      </w:r>
      <w:r>
        <w:rPr>
          <w:szCs w:val="22"/>
        </w:rPr>
        <w:t>the Board</w:t>
      </w:r>
      <w:r w:rsidRPr="00005ED9">
        <w:rPr>
          <w:szCs w:val="22"/>
        </w:rPr>
        <w:t xml:space="preserve">, and to review </w:t>
      </w:r>
      <w:r>
        <w:rPr>
          <w:szCs w:val="22"/>
        </w:rPr>
        <w:t>all of Licensee’s</w:t>
      </w:r>
      <w:r w:rsidRPr="00005ED9">
        <w:rPr>
          <w:szCs w:val="22"/>
        </w:rPr>
        <w:t xml:space="preserve"> applications and reports prior to filing with the FCC.</w:t>
      </w:r>
      <w:r>
        <w:rPr>
          <w:szCs w:val="22"/>
        </w:rPr>
        <w:t xml:space="preserve">  </w:t>
      </w:r>
      <w:r w:rsidRPr="00005ED9">
        <w:rPr>
          <w:szCs w:val="22"/>
        </w:rPr>
        <w:t xml:space="preserve">In regard to the last matter, </w:t>
      </w:r>
      <w:r>
        <w:rPr>
          <w:szCs w:val="22"/>
        </w:rPr>
        <w:t>Licensee</w:t>
      </w:r>
      <w:r w:rsidRPr="00005ED9">
        <w:rPr>
          <w:szCs w:val="22"/>
        </w:rPr>
        <w:t xml:space="preserve"> recognizes and acknowledges that any and all information provided to the FCC must completely and candidly set forth all relevant facts and circumstances, regardless of whether such a submission may disclose a violation of the Act or the Rules.</w:t>
      </w:r>
      <w:r>
        <w:rPr>
          <w:szCs w:val="22"/>
        </w:rPr>
        <w:t xml:space="preserv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C.</w:t>
      </w:r>
      <w:r>
        <w:rPr>
          <w:szCs w:val="22"/>
        </w:rPr>
        <w:tab/>
      </w:r>
      <w:r w:rsidRPr="00005ED9">
        <w:rPr>
          <w:szCs w:val="22"/>
        </w:rPr>
        <w:t xml:space="preserve">The Station Manager and other appropriate staff of the Station will </w:t>
      </w:r>
      <w:r>
        <w:rPr>
          <w:szCs w:val="22"/>
        </w:rPr>
        <w:t>compile a daily log of</w:t>
      </w:r>
      <w:r w:rsidRPr="00005ED9">
        <w:rPr>
          <w:szCs w:val="22"/>
        </w:rPr>
        <w:t xml:space="preserve"> all public affairs and public service programming broadcast by the Station.  The</w:t>
      </w:r>
      <w:r>
        <w:rPr>
          <w:szCs w:val="22"/>
        </w:rPr>
        <w:t>se daily</w:t>
      </w:r>
      <w:r w:rsidRPr="00005ED9">
        <w:rPr>
          <w:szCs w:val="22"/>
        </w:rPr>
        <w:t xml:space="preserve"> logs of public affairs and other public service programming will be</w:t>
      </w:r>
      <w:r>
        <w:rPr>
          <w:szCs w:val="22"/>
        </w:rPr>
        <w:t xml:space="preserve"> retained until the Station’s next license renewal application has been granted,</w:t>
      </w:r>
      <w:r w:rsidRPr="00005ED9">
        <w:rPr>
          <w:szCs w:val="22"/>
        </w:rPr>
        <w:t xml:space="preserve"> compiled into quarterly issues/programs lists and will be timely placed in the public file of the Station.</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t>D.</w:t>
      </w:r>
      <w:r>
        <w:rPr>
          <w:szCs w:val="22"/>
        </w:rPr>
        <w:tab/>
      </w:r>
      <w:r w:rsidRPr="00005ED9">
        <w:rPr>
          <w:szCs w:val="22"/>
        </w:rPr>
        <w:t xml:space="preserve">All </w:t>
      </w:r>
      <w:r>
        <w:rPr>
          <w:szCs w:val="22"/>
        </w:rPr>
        <w:t>requisite</w:t>
      </w:r>
      <w:r w:rsidRPr="00005ED9">
        <w:rPr>
          <w:szCs w:val="22"/>
        </w:rPr>
        <w:t xml:space="preserve"> quarterly issues/programs lists will be signed and dated by their preparer </w:t>
      </w:r>
      <w:r>
        <w:rPr>
          <w:szCs w:val="22"/>
        </w:rPr>
        <w:t>and by the Station Manager</w:t>
      </w:r>
      <w:r w:rsidRPr="00005ED9">
        <w:rPr>
          <w:szCs w:val="22"/>
        </w:rPr>
        <w:t xml:space="preserve"> before they are placed in the public file.</w:t>
      </w:r>
      <w:r w:rsidRPr="00005ED9">
        <w:rPr>
          <w:szCs w:val="22"/>
        </w:rPr>
        <w:br/>
      </w:r>
    </w:p>
    <w:p w:rsidR="00C93533" w:rsidRPr="00000E3C" w:rsidRDefault="00C93533" w:rsidP="00C93533">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r>
      <w:r>
        <w:rPr>
          <w:szCs w:val="22"/>
        </w:rPr>
        <w:t>E</w:t>
      </w:r>
      <w:r w:rsidRPr="00000E3C">
        <w:rPr>
          <w:szCs w:val="22"/>
        </w:rPr>
        <w:t>.</w:t>
      </w:r>
      <w:r w:rsidRPr="00000E3C">
        <w:rPr>
          <w:szCs w:val="22"/>
        </w:rPr>
        <w:tab/>
      </w:r>
      <w:r>
        <w:rPr>
          <w:szCs w:val="22"/>
        </w:rPr>
        <w:t>L</w:t>
      </w:r>
      <w:r w:rsidRPr="00000E3C">
        <w:rPr>
          <w:szCs w:val="22"/>
        </w:rPr>
        <w:t xml:space="preserve">ate-filed </w:t>
      </w:r>
      <w:r>
        <w:rPr>
          <w:szCs w:val="22"/>
        </w:rPr>
        <w:t xml:space="preserve">public file documents </w:t>
      </w:r>
      <w:r w:rsidRPr="00000E3C">
        <w:rPr>
          <w:szCs w:val="22"/>
        </w:rPr>
        <w:t xml:space="preserve"> will be </w:t>
      </w:r>
      <w:r>
        <w:rPr>
          <w:szCs w:val="22"/>
        </w:rPr>
        <w:t xml:space="preserve">reviewed and </w:t>
      </w:r>
      <w:r w:rsidRPr="00000E3C">
        <w:rPr>
          <w:szCs w:val="22"/>
        </w:rPr>
        <w:t xml:space="preserve">signed by the Station </w:t>
      </w:r>
      <w:r>
        <w:rPr>
          <w:szCs w:val="22"/>
        </w:rPr>
        <w:t>Manager</w:t>
      </w:r>
      <w:r w:rsidRPr="00000E3C">
        <w:rPr>
          <w:szCs w:val="22"/>
        </w:rPr>
        <w:t xml:space="preserve">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C93533" w:rsidRDefault="00C93533" w:rsidP="00C9353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r>
        <w:rPr>
          <w:szCs w:val="22"/>
        </w:rPr>
        <w:t>F</w:t>
      </w:r>
      <w:r w:rsidRPr="00000E3C">
        <w:rPr>
          <w:szCs w:val="22"/>
        </w:rPr>
        <w:t>.</w:t>
      </w:r>
      <w:r w:rsidRPr="00000E3C">
        <w:rPr>
          <w:szCs w:val="22"/>
        </w:rPr>
        <w:tab/>
      </w:r>
      <w:r>
        <w:rPr>
          <w:szCs w:val="22"/>
        </w:rPr>
        <w:t>The Station’s m</w:t>
      </w:r>
      <w:r w:rsidRPr="00000E3C">
        <w:rPr>
          <w:szCs w:val="22"/>
        </w:rPr>
        <w:t xml:space="preserve">anagement will </w:t>
      </w:r>
      <w:r>
        <w:rPr>
          <w:szCs w:val="22"/>
        </w:rPr>
        <w:t xml:space="preserve">train </w:t>
      </w:r>
      <w:r w:rsidRPr="00000E3C">
        <w:rPr>
          <w:szCs w:val="22"/>
        </w:rPr>
        <w:t>all employees</w:t>
      </w:r>
      <w:r>
        <w:rPr>
          <w:szCs w:val="22"/>
        </w:rPr>
        <w:t xml:space="preserve">, </w:t>
      </w:r>
      <w:r w:rsidRPr="00F77255">
        <w:rPr>
          <w:szCs w:val="22"/>
        </w:rPr>
        <w:t>within five (5) days of commencement of his or her duties at the Station</w:t>
      </w:r>
      <w:r>
        <w:rPr>
          <w:szCs w:val="22"/>
        </w:rPr>
        <w:t>,</w:t>
      </w:r>
      <w:r w:rsidRPr="00000E3C">
        <w:rPr>
          <w:szCs w:val="22"/>
        </w:rPr>
        <w:t xml:space="preserve"> </w:t>
      </w:r>
      <w:r>
        <w:rPr>
          <w:szCs w:val="22"/>
        </w:rPr>
        <w:t xml:space="preserve">concerning </w:t>
      </w:r>
      <w:r w:rsidRPr="00000E3C">
        <w:rPr>
          <w:szCs w:val="22"/>
        </w:rPr>
        <w:t>the absolute requirement to follow all Commission rules, regulations, and policies</w:t>
      </w:r>
      <w:r>
        <w:rPr>
          <w:szCs w:val="22"/>
        </w:rPr>
        <w:t xml:space="preserve">, specifically, </w:t>
      </w:r>
      <w:r w:rsidRPr="00000E3C">
        <w:rPr>
          <w:szCs w:val="22"/>
        </w:rPr>
        <w:t>fully explain</w:t>
      </w:r>
      <w:r>
        <w:rPr>
          <w:szCs w:val="22"/>
        </w:rPr>
        <w:t>ing</w:t>
      </w:r>
      <w:r w:rsidRPr="00000E3C">
        <w:rPr>
          <w:szCs w:val="22"/>
        </w:rPr>
        <w:t xml:space="preserve"> the obligations imposed by </w:t>
      </w:r>
      <w:r>
        <w:rPr>
          <w:szCs w:val="22"/>
        </w:rPr>
        <w:t>the Public File Rule</w:t>
      </w:r>
      <w:r w:rsidRPr="00000E3C">
        <w:rPr>
          <w:szCs w:val="22"/>
        </w:rPr>
        <w:t xml:space="preserve"> to </w:t>
      </w:r>
      <w:r>
        <w:rPr>
          <w:szCs w:val="22"/>
        </w:rPr>
        <w:t>each</w:t>
      </w:r>
      <w:r w:rsidRPr="00000E3C">
        <w:rPr>
          <w:szCs w:val="22"/>
        </w:rPr>
        <w:t xml:space="preserve"> employee charged with maintenance of the Station</w:t>
      </w:r>
      <w:r>
        <w:rPr>
          <w:szCs w:val="22"/>
        </w:rPr>
        <w:t>’s</w:t>
      </w:r>
      <w:r w:rsidRPr="00000E3C">
        <w:rPr>
          <w:szCs w:val="22"/>
        </w:rPr>
        <w:t xml:space="preserve"> public file. Should the </w:t>
      </w:r>
      <w:r>
        <w:rPr>
          <w:szCs w:val="22"/>
        </w:rPr>
        <w:t xml:space="preserve">Licensee </w:t>
      </w:r>
      <w:r w:rsidRPr="00000E3C">
        <w:rPr>
          <w:szCs w:val="22"/>
        </w:rPr>
        <w:t xml:space="preserve">or </w:t>
      </w:r>
      <w:r>
        <w:rPr>
          <w:szCs w:val="22"/>
        </w:rPr>
        <w:t xml:space="preserve">the Station’s </w:t>
      </w:r>
      <w:r w:rsidRPr="00000E3C">
        <w:rPr>
          <w:szCs w:val="22"/>
        </w:rPr>
        <w:t xml:space="preserve">management learn that </w:t>
      </w:r>
      <w:r>
        <w:rPr>
          <w:szCs w:val="22"/>
        </w:rPr>
        <w:t>the Public File Rule</w:t>
      </w:r>
      <w:r w:rsidRPr="00000E3C">
        <w:rPr>
          <w:szCs w:val="22"/>
        </w:rPr>
        <w:t xml:space="preserve"> has been violated, </w:t>
      </w:r>
      <w:r>
        <w:rPr>
          <w:szCs w:val="22"/>
        </w:rPr>
        <w:t xml:space="preserve">any </w:t>
      </w:r>
      <w:r w:rsidRPr="00000E3C">
        <w:rPr>
          <w:szCs w:val="22"/>
        </w:rPr>
        <w:t>employee responsible will be subject to appropriate disciplinary action</w:t>
      </w:r>
      <w:r>
        <w:rPr>
          <w:szCs w:val="22"/>
        </w:rPr>
        <w:t>,</w:t>
      </w:r>
      <w:r w:rsidRPr="00000E3C">
        <w:rPr>
          <w:szCs w:val="22"/>
        </w:rPr>
        <w:t xml:space="preserve"> </w:t>
      </w:r>
      <w:r>
        <w:rPr>
          <w:szCs w:val="22"/>
        </w:rPr>
        <w:t xml:space="preserve">which may include </w:t>
      </w:r>
      <w:r w:rsidRPr="00000E3C">
        <w:rPr>
          <w:szCs w:val="22"/>
        </w:rPr>
        <w:t xml:space="preserve">suspension without pay </w:t>
      </w:r>
      <w:r>
        <w:rPr>
          <w:szCs w:val="22"/>
        </w:rPr>
        <w:t>or</w:t>
      </w:r>
      <w:r w:rsidRPr="00000E3C">
        <w:rPr>
          <w:szCs w:val="22"/>
        </w:rPr>
        <w:t xml:space="preserve"> termination.</w:t>
      </w:r>
    </w:p>
    <w:p w:rsidR="00C93533" w:rsidRPr="00000E3C" w:rsidRDefault="00C93533" w:rsidP="00C9353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w:t>
      </w:r>
      <w:r>
        <w:rPr>
          <w:szCs w:val="22"/>
        </w:rPr>
        <w:t>I</w:t>
      </w:r>
      <w:r w:rsidRPr="00000E3C">
        <w:rPr>
          <w:szCs w:val="22"/>
        </w:rPr>
        <w:t>I.</w:t>
      </w:r>
      <w:r w:rsidRPr="00000E3C">
        <w:rPr>
          <w:szCs w:val="22"/>
        </w:rPr>
        <w:tab/>
        <w:t>For a period of t</w:t>
      </w:r>
      <w:r>
        <w:rPr>
          <w:szCs w:val="22"/>
        </w:rPr>
        <w:t>wo</w:t>
      </w:r>
      <w:r w:rsidRPr="00000E3C">
        <w:rPr>
          <w:szCs w:val="22"/>
        </w:rPr>
        <w:t xml:space="preserve"> years from the </w:t>
      </w:r>
      <w:r>
        <w:rPr>
          <w:szCs w:val="22"/>
        </w:rPr>
        <w:t xml:space="preserve">Effective Date, </w:t>
      </w:r>
      <w:r w:rsidRPr="00000E3C">
        <w:rPr>
          <w:szCs w:val="22"/>
        </w:rPr>
        <w:t xml:space="preserve">the Licensee </w:t>
      </w:r>
      <w:r>
        <w:rPr>
          <w:szCs w:val="22"/>
        </w:rPr>
        <w:t>and/</w:t>
      </w:r>
      <w:r w:rsidRPr="00000E3C">
        <w:rPr>
          <w:szCs w:val="22"/>
        </w:rPr>
        <w:t xml:space="preserve">or </w:t>
      </w:r>
      <w:r>
        <w:rPr>
          <w:szCs w:val="22"/>
        </w:rPr>
        <w:t xml:space="preserve">any </w:t>
      </w:r>
      <w:r w:rsidRPr="00000E3C">
        <w:rPr>
          <w:szCs w:val="22"/>
        </w:rPr>
        <w:t>successor licensee, as appropriate, will conduct audits of the Station</w:t>
      </w:r>
      <w:r>
        <w:rPr>
          <w:szCs w:val="22"/>
        </w:rPr>
        <w:t>’s</w:t>
      </w:r>
      <w:r w:rsidRPr="00000E3C">
        <w:rPr>
          <w:szCs w:val="22"/>
        </w:rPr>
        <w:t xml:space="preserve"> public file</w:t>
      </w:r>
      <w:r>
        <w:rPr>
          <w:szCs w:val="22"/>
        </w:rPr>
        <w:t>s</w:t>
      </w:r>
      <w:r w:rsidRPr="00000E3C">
        <w:rPr>
          <w:szCs w:val="22"/>
        </w:rPr>
        <w:t xml:space="preserve"> as detailed below. The t</w:t>
      </w:r>
      <w:r>
        <w:rPr>
          <w:szCs w:val="22"/>
        </w:rPr>
        <w:t>wo</w:t>
      </w:r>
      <w:r w:rsidRPr="00000E3C">
        <w:rPr>
          <w:szCs w:val="22"/>
        </w:rPr>
        <w:t xml:space="preserve">-year period will terminate on the successful completion of the </w:t>
      </w:r>
      <w:r>
        <w:rPr>
          <w:szCs w:val="22"/>
        </w:rPr>
        <w:t>second</w:t>
      </w:r>
      <w:r w:rsidRPr="00000E3C">
        <w:rPr>
          <w:szCs w:val="22"/>
        </w:rPr>
        <w:t xml:space="preserve"> annual public file audit pursuant to Item II(C).  The second audit pursuant to Item II(C) will be due on the anniversary of the first audit.  The audits of the public file</w:t>
      </w:r>
      <w:r>
        <w:rPr>
          <w:szCs w:val="22"/>
        </w:rPr>
        <w:t>s</w:t>
      </w:r>
      <w:r w:rsidRPr="00000E3C">
        <w:rPr>
          <w:szCs w:val="22"/>
        </w:rPr>
        <w:t xml:space="preserve"> shall be performed as follows:</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A.</w:t>
      </w:r>
      <w:r w:rsidRPr="00000E3C">
        <w:rPr>
          <w:szCs w:val="22"/>
        </w:rPr>
        <w:tab/>
      </w:r>
      <w:r>
        <w:rPr>
          <w:szCs w:val="22"/>
        </w:rPr>
        <w:t xml:space="preserve">quarterly </w:t>
      </w:r>
      <w:r w:rsidRPr="00000E3C">
        <w:rPr>
          <w:szCs w:val="22"/>
        </w:rPr>
        <w:t xml:space="preserve"> audits</w:t>
      </w:r>
      <w:r>
        <w:rPr>
          <w:szCs w:val="22"/>
        </w:rPr>
        <w:t xml:space="preserve"> of the Station’s public file</w:t>
      </w:r>
      <w:r w:rsidRPr="00000E3C">
        <w:rPr>
          <w:szCs w:val="22"/>
        </w:rPr>
        <w:t xml:space="preserve">, by telephone or facsimile, will be conducted by </w:t>
      </w:r>
      <w:r>
        <w:rPr>
          <w:szCs w:val="22"/>
        </w:rPr>
        <w:t xml:space="preserve">Licensee’s </w:t>
      </w:r>
      <w:r w:rsidRPr="00000E3C">
        <w:rPr>
          <w:szCs w:val="22"/>
        </w:rPr>
        <w:t>FCC counsel or</w:t>
      </w:r>
      <w:r>
        <w:rPr>
          <w:szCs w:val="22"/>
        </w:rPr>
        <w:t xml:space="preserve"> an authorized representative of </w:t>
      </w:r>
      <w:r w:rsidRPr="00000E3C">
        <w:rPr>
          <w:szCs w:val="22"/>
        </w:rPr>
        <w:t xml:space="preserve">the </w:t>
      </w:r>
      <w:r>
        <w:rPr>
          <w:szCs w:val="22"/>
        </w:rPr>
        <w:t>New Jersey A</w:t>
      </w:r>
      <w:r w:rsidRPr="00000E3C">
        <w:rPr>
          <w:szCs w:val="22"/>
        </w:rPr>
        <w:t>ssociation</w:t>
      </w:r>
      <w:r>
        <w:rPr>
          <w:szCs w:val="22"/>
        </w:rPr>
        <w:t xml:space="preserve"> of Broadcasters</w:t>
      </w:r>
      <w:r w:rsidRPr="00000E3C">
        <w:rPr>
          <w:szCs w:val="22"/>
        </w:rPr>
        <w:t xml:space="preserve"> </w:t>
      </w:r>
      <w:r>
        <w:rPr>
          <w:szCs w:val="22"/>
        </w:rPr>
        <w:t>under the A</w:t>
      </w:r>
      <w:r w:rsidRPr="00000E3C">
        <w:rPr>
          <w:szCs w:val="22"/>
        </w:rPr>
        <w:t xml:space="preserve">lternative Broadcast Inspection Program; </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 </w:t>
      </w:r>
      <w:r>
        <w:rPr>
          <w:szCs w:val="22"/>
        </w:rPr>
        <w:t>semi-annual</w:t>
      </w:r>
      <w:r w:rsidRPr="00000E3C">
        <w:rPr>
          <w:szCs w:val="22"/>
        </w:rPr>
        <w:t xml:space="preserve"> review </w:t>
      </w:r>
      <w:r>
        <w:rPr>
          <w:szCs w:val="22"/>
        </w:rPr>
        <w:t xml:space="preserve">of the Station’s public file </w:t>
      </w:r>
      <w:r w:rsidRPr="00000E3C">
        <w:rPr>
          <w:szCs w:val="22"/>
        </w:rPr>
        <w:t>will be conducted by the Station</w:t>
      </w:r>
      <w:r>
        <w:rPr>
          <w:szCs w:val="22"/>
        </w:rPr>
        <w:t>’s</w:t>
      </w:r>
      <w:r w:rsidRPr="00000E3C">
        <w:rPr>
          <w:szCs w:val="22"/>
        </w:rPr>
        <w:t xml:space="preserve"> management; and</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Pr>
          <w:szCs w:val="22"/>
        </w:rPr>
        <w:tab/>
      </w:r>
      <w:r w:rsidRPr="00000E3C">
        <w:rPr>
          <w:szCs w:val="22"/>
        </w:rPr>
        <w:t>C.</w:t>
      </w:r>
      <w:r w:rsidRPr="00000E3C">
        <w:rPr>
          <w:szCs w:val="22"/>
        </w:rPr>
        <w:tab/>
        <w:t>annual, in-person</w:t>
      </w:r>
      <w:r>
        <w:rPr>
          <w:szCs w:val="22"/>
        </w:rPr>
        <w:t xml:space="preserve"> or video conference</w:t>
      </w:r>
      <w:r w:rsidRPr="00000E3C">
        <w:rPr>
          <w:szCs w:val="22"/>
        </w:rPr>
        <w:t>, audits of the Station</w:t>
      </w:r>
      <w:r>
        <w:rPr>
          <w:szCs w:val="22"/>
        </w:rPr>
        <w:t>’s public files</w:t>
      </w:r>
      <w:r w:rsidRPr="00000E3C">
        <w:rPr>
          <w:szCs w:val="22"/>
        </w:rPr>
        <w:t xml:space="preserve"> will be conducted by </w:t>
      </w:r>
      <w:r>
        <w:rPr>
          <w:szCs w:val="22"/>
        </w:rPr>
        <w:t xml:space="preserve">an authorized representative of </w:t>
      </w:r>
      <w:r w:rsidRPr="00000E3C">
        <w:rPr>
          <w:szCs w:val="22"/>
        </w:rPr>
        <w:t xml:space="preserve">the </w:t>
      </w:r>
      <w:r>
        <w:rPr>
          <w:szCs w:val="22"/>
        </w:rPr>
        <w:t>New Jersey</w:t>
      </w:r>
      <w:r w:rsidRPr="00000E3C">
        <w:rPr>
          <w:szCs w:val="22"/>
        </w:rPr>
        <w:t xml:space="preserve"> Association</w:t>
      </w:r>
      <w:r>
        <w:rPr>
          <w:szCs w:val="22"/>
        </w:rPr>
        <w:t xml:space="preserve"> of Broadcasters</w:t>
      </w:r>
      <w:r w:rsidRPr="00000E3C">
        <w:rPr>
          <w:szCs w:val="22"/>
        </w:rPr>
        <w:t xml:space="preserve"> under the </w:t>
      </w:r>
      <w:r>
        <w:rPr>
          <w:szCs w:val="22"/>
        </w:rPr>
        <w:t>A</w:t>
      </w:r>
      <w:r w:rsidRPr="00000E3C">
        <w:rPr>
          <w:szCs w:val="22"/>
        </w:rPr>
        <w:t>lternative Broadcast Inspection Program.</w:t>
      </w:r>
      <w:r>
        <w:rPr>
          <w:szCs w:val="22"/>
        </w:rPr>
        <w:t xml:space="preserve"> </w:t>
      </w:r>
      <w:r w:rsidRPr="00000E3C">
        <w:rPr>
          <w:szCs w:val="22"/>
        </w:rPr>
        <w:t xml:space="preserve">The first </w:t>
      </w:r>
      <w:r>
        <w:rPr>
          <w:szCs w:val="22"/>
        </w:rPr>
        <w:t>such</w:t>
      </w:r>
      <w:r w:rsidRPr="00000E3C">
        <w:rPr>
          <w:szCs w:val="22"/>
        </w:rPr>
        <w:t xml:space="preserve"> audit shall be completed not less than six</w:t>
      </w:r>
      <w:r>
        <w:rPr>
          <w:szCs w:val="22"/>
        </w:rPr>
        <w:t xml:space="preserve"> (6)</w:t>
      </w:r>
      <w:r w:rsidRPr="00000E3C">
        <w:rPr>
          <w:szCs w:val="22"/>
        </w:rPr>
        <w:t xml:space="preserve"> months </w:t>
      </w:r>
      <w:r>
        <w:rPr>
          <w:szCs w:val="22"/>
        </w:rPr>
        <w:t>following the Effective Date.</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w:t>
      </w:r>
      <w:r>
        <w:rPr>
          <w:szCs w:val="22"/>
        </w:rPr>
        <w:t>V</w:t>
      </w:r>
      <w:r w:rsidRPr="00000E3C">
        <w:rPr>
          <w:szCs w:val="22"/>
        </w:rPr>
        <w:t>.</w:t>
      </w:r>
      <w:r w:rsidRPr="00000E3C">
        <w:rPr>
          <w:szCs w:val="22"/>
        </w:rPr>
        <w:tab/>
      </w:r>
      <w:r>
        <w:rPr>
          <w:szCs w:val="22"/>
        </w:rPr>
        <w:t xml:space="preserve">The Licensee shall submit reports to the FCC on a quarterly basis during the two-year term of this Compliance Plan.  The reports shall include an affidavit or declaration to the Bureaucertifying that since the commencement of the Compliance Plan or the filing of the last such report, the Station is in compliance with the Rules and is in compliance with the Consent Decree.  The reports shall specifically address the Station’s compliance with the Public File Rule  and whether Licensee is operating with authorized facilities and is in full compliance with the Commission’s record-keeping requirements for its technical facilities.  The reports shall also include a summary of all actions related to operation and maintenance of the Station’s Emergency Alert System.  </w:t>
      </w:r>
      <w:r w:rsidRPr="00000E3C">
        <w:rPr>
          <w:szCs w:val="22"/>
        </w:rPr>
        <w:t xml:space="preserv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p>
    <w:p w:rsidR="00C93533" w:rsidRDefault="00C93533" w:rsidP="00C93533">
      <w:pPr>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reports shall be signed by: (1)  the person supervising the Licensee’s execution of the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Cs w:val="22"/>
        </w:rPr>
      </w:pPr>
      <w:r>
        <w:rPr>
          <w:szCs w:val="22"/>
        </w:rPr>
        <w:t xml:space="preserve">       Compliance Plan (see VI, below); (2) the Station’s Chief Engineer; and (3) the Station’s </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2"/>
        </w:rPr>
      </w:pPr>
      <w:r>
        <w:rPr>
          <w:szCs w:val="22"/>
        </w:rPr>
        <w:t>FCC counsel, and shall contain the certification of each signatory that the representations in the Report are true.</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ab/>
        <w:t>B.</w:t>
      </w:r>
      <w:r>
        <w:rPr>
          <w:szCs w:val="22"/>
        </w:rPr>
        <w:tab/>
      </w:r>
      <w:r w:rsidRPr="00000E3C">
        <w:rPr>
          <w:szCs w:val="22"/>
        </w:rPr>
        <w:t xml:space="preserve">If </w:t>
      </w:r>
      <w:r>
        <w:rPr>
          <w:szCs w:val="22"/>
        </w:rPr>
        <w:t>the Licensee</w:t>
      </w:r>
      <w:r w:rsidRPr="00000E3C">
        <w:rPr>
          <w:szCs w:val="22"/>
        </w:rPr>
        <w:t xml:space="preserve"> cannot truthfully make </w:t>
      </w:r>
      <w:r>
        <w:rPr>
          <w:szCs w:val="22"/>
        </w:rPr>
        <w:t xml:space="preserve">any of these </w:t>
      </w:r>
      <w:r w:rsidRPr="00000E3C">
        <w:rPr>
          <w:szCs w:val="22"/>
        </w:rPr>
        <w:t>certification</w:t>
      </w:r>
      <w:r>
        <w:rPr>
          <w:szCs w:val="22"/>
        </w:rPr>
        <w:t>s</w:t>
      </w:r>
      <w:r w:rsidRPr="00000E3C">
        <w:rPr>
          <w:szCs w:val="22"/>
        </w:rPr>
        <w:t xml:space="preserve">, </w:t>
      </w:r>
      <w:r>
        <w:rPr>
          <w:szCs w:val="22"/>
        </w:rPr>
        <w:t>it</w:t>
      </w:r>
      <w:r w:rsidRPr="00000E3C">
        <w:rPr>
          <w:szCs w:val="22"/>
        </w:rPr>
        <w:t xml:space="preserve"> shall set forth in </w:t>
      </w:r>
      <w:r>
        <w:rPr>
          <w:szCs w:val="22"/>
        </w:rPr>
        <w:tab/>
      </w:r>
      <w:r w:rsidRPr="00000E3C">
        <w:rPr>
          <w:szCs w:val="22"/>
        </w:rPr>
        <w:t xml:space="preserve">detail any public file deficiencies and </w:t>
      </w:r>
      <w:r>
        <w:rPr>
          <w:szCs w:val="22"/>
        </w:rPr>
        <w:t>describe</w:t>
      </w:r>
      <w:r w:rsidRPr="00000E3C">
        <w:rPr>
          <w:szCs w:val="22"/>
        </w:rPr>
        <w:t xml:space="preserve"> any correct</w:t>
      </w:r>
      <w:r>
        <w:rPr>
          <w:szCs w:val="22"/>
        </w:rPr>
        <w:t>ive</w:t>
      </w:r>
      <w:r w:rsidRPr="00000E3C">
        <w:rPr>
          <w:szCs w:val="22"/>
        </w:rPr>
        <w:t xml:space="preserve"> measures taken.</w:t>
      </w:r>
      <w:r>
        <w:rPr>
          <w:szCs w:val="22"/>
        </w:rPr>
        <w:t xml:space="preserve">  In regard </w:t>
      </w:r>
      <w:r>
        <w:rPr>
          <w:szCs w:val="22"/>
        </w:rPr>
        <w:tab/>
        <w:t xml:space="preserve">to this last matter, Licensee recognizes and acknowledges that any and all information </w:t>
      </w:r>
      <w:r>
        <w:rPr>
          <w:szCs w:val="22"/>
        </w:rPr>
        <w:tab/>
        <w:t xml:space="preserve">provided to the FCC must completely and candidly set forth all relevant facts and </w:t>
      </w:r>
      <w:r>
        <w:rPr>
          <w:szCs w:val="22"/>
        </w:rPr>
        <w:tab/>
        <w:t xml:space="preserve">circumstances, regardless of whether such submission may disclose a violation of the </w:t>
      </w:r>
      <w:r>
        <w:rPr>
          <w:szCs w:val="22"/>
        </w:rPr>
        <w:tab/>
        <w:t>Rules.</w:t>
      </w:r>
      <w:r w:rsidRPr="00000E3C">
        <w:rPr>
          <w:szCs w:val="22"/>
        </w:rPr>
        <w:t xml:space="preserve">  </w:t>
      </w:r>
      <w:r>
        <w:rPr>
          <w:szCs w:val="22"/>
        </w:rPr>
        <w:t>A copy of t</w:t>
      </w:r>
      <w:r w:rsidRPr="00000E3C">
        <w:rPr>
          <w:szCs w:val="22"/>
        </w:rPr>
        <w:t>h</w:t>
      </w:r>
      <w:r>
        <w:rPr>
          <w:szCs w:val="22"/>
        </w:rPr>
        <w:t>ese</w:t>
      </w:r>
      <w:r w:rsidRPr="00000E3C">
        <w:rPr>
          <w:szCs w:val="22"/>
        </w:rPr>
        <w:t xml:space="preserve"> report</w:t>
      </w:r>
      <w:r>
        <w:rPr>
          <w:szCs w:val="22"/>
        </w:rPr>
        <w:t>s</w:t>
      </w:r>
      <w:r w:rsidRPr="00000E3C">
        <w:rPr>
          <w:szCs w:val="22"/>
        </w:rPr>
        <w:t xml:space="preserve"> shall be </w:t>
      </w:r>
      <w:r w:rsidRPr="00EF54B6">
        <w:rPr>
          <w:szCs w:val="22"/>
        </w:rPr>
        <w:t xml:space="preserve">served on </w:t>
      </w:r>
      <w:r>
        <w:rPr>
          <w:szCs w:val="22"/>
        </w:rPr>
        <w:t xml:space="preserve">Peter H. Doyle, Chief, </w:t>
      </w:r>
      <w:r w:rsidRPr="00EF54B6">
        <w:rPr>
          <w:szCs w:val="22"/>
        </w:rPr>
        <w:t xml:space="preserve">Audio Division, </w:t>
      </w:r>
      <w:r>
        <w:rPr>
          <w:szCs w:val="22"/>
        </w:rPr>
        <w:tab/>
      </w:r>
      <w:r w:rsidRPr="00EF54B6">
        <w:rPr>
          <w:szCs w:val="22"/>
        </w:rPr>
        <w:t xml:space="preserve">Media Bureau, Federal Communications Commission and e-mailed to him </w:t>
      </w:r>
      <w:r w:rsidRPr="00E65D95">
        <w:rPr>
          <w:szCs w:val="22"/>
        </w:rPr>
        <w:t xml:space="preserve">at </w:t>
      </w:r>
      <w:r>
        <w:rPr>
          <w:szCs w:val="22"/>
        </w:rPr>
        <w:tab/>
      </w:r>
      <w:hyperlink r:id="rId15" w:history="1">
        <w:r w:rsidRPr="00E65D95">
          <w:rPr>
            <w:rStyle w:val="Hyperlink"/>
            <w:szCs w:val="22"/>
          </w:rPr>
          <w:t>peter.doyle@fcc.gov</w:t>
        </w:r>
      </w:hyperlink>
      <w:r>
        <w:rPr>
          <w:szCs w:val="22"/>
        </w:rPr>
        <w:t>.</w:t>
      </w:r>
    </w:p>
    <w:p w:rsidR="00C93533"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szCs w:val="22"/>
        </w:rPr>
        <w:t>V.</w:t>
      </w:r>
      <w:r>
        <w:rPr>
          <w:szCs w:val="22"/>
        </w:rPr>
        <w:tab/>
        <w:t>Licensee agrees to submit to a full inspection by the Enforcement Bureau field staff subsequent to the filing of its next license renewal application.</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VI.</w:t>
      </w:r>
      <w:r>
        <w:rPr>
          <w:szCs w:val="22"/>
        </w:rPr>
        <w:tab/>
      </w:r>
      <w:r w:rsidRPr="00000E3C">
        <w:rPr>
          <w:szCs w:val="22"/>
        </w:rPr>
        <w:t xml:space="preserve">The Compliance Plan, set forth above, will be under the direct supervision of </w:t>
      </w:r>
      <w:r>
        <w:rPr>
          <w:szCs w:val="22"/>
        </w:rPr>
        <w:t xml:space="preserve">the Atlantic City </w:t>
      </w:r>
      <w:r>
        <w:rPr>
          <w:szCs w:val="22"/>
        </w:rPr>
        <w:tab/>
        <w:t xml:space="preserve">Board of Education’s Superintendent Donna Haye, or by any member of the Atlantic City </w:t>
      </w:r>
      <w:r>
        <w:rPr>
          <w:szCs w:val="22"/>
        </w:rPr>
        <w:tab/>
        <w:t xml:space="preserve">Board of Education designated by Ms. Haye, or in the event Ms. Haye is no longer with the </w:t>
      </w:r>
      <w:r>
        <w:rPr>
          <w:szCs w:val="22"/>
        </w:rPr>
        <w:tab/>
        <w:t xml:space="preserve">Atlantic City Board of Education </w:t>
      </w:r>
      <w:r>
        <w:t xml:space="preserve">or if the license has been assigned, by her successor or her </w:t>
      </w:r>
      <w:r>
        <w:tab/>
        <w:t>successor’s designee at the Atlantic City Board of Education or successor Licensee’s Board.</w:t>
      </w: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C93533" w:rsidRPr="00000E3C" w:rsidRDefault="00C93533" w:rsidP="00C93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231B15" w:rsidRDefault="00231B15" w:rsidP="009A51EB">
      <w:pPr>
        <w:shd w:val="clear" w:color="auto" w:fill="FFFFFF"/>
      </w:pPr>
    </w:p>
    <w:sectPr w:rsidR="00231B1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7B" w:rsidRDefault="00950B7B">
      <w:r>
        <w:separator/>
      </w:r>
    </w:p>
  </w:endnote>
  <w:endnote w:type="continuationSeparator" w:id="0">
    <w:p w:rsidR="00950B7B" w:rsidRDefault="0095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E" w:rsidRDefault="001E5D8E">
    <w:pPr>
      <w:pStyle w:val="Footer"/>
      <w:framePr w:wrap="around" w:vAnchor="text" w:hAnchor="margin" w:xAlign="center" w:y="1"/>
    </w:pPr>
    <w:r>
      <w:fldChar w:fldCharType="begin"/>
    </w:r>
    <w:r>
      <w:instrText xml:space="preserve">PAGE  </w:instrText>
    </w:r>
    <w:r>
      <w:fldChar w:fldCharType="end"/>
    </w:r>
  </w:p>
  <w:p w:rsidR="001E5D8E" w:rsidRDefault="001E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E" w:rsidRDefault="001E5D8E">
    <w:pPr>
      <w:pStyle w:val="Footer"/>
      <w:framePr w:wrap="around" w:vAnchor="text" w:hAnchor="margin" w:xAlign="center" w:y="1"/>
    </w:pPr>
    <w:r>
      <w:fldChar w:fldCharType="begin"/>
    </w:r>
    <w:r>
      <w:instrText xml:space="preserve">PAGE  </w:instrText>
    </w:r>
    <w:r>
      <w:fldChar w:fldCharType="separate"/>
    </w:r>
    <w:r w:rsidR="00862AEF">
      <w:rPr>
        <w:noProof/>
      </w:rPr>
      <w:t>2</w:t>
    </w:r>
    <w:r>
      <w:fldChar w:fldCharType="end"/>
    </w:r>
  </w:p>
  <w:p w:rsidR="001E5D8E" w:rsidRDefault="001E5D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E" w:rsidRDefault="001E5D8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7B" w:rsidRDefault="00950B7B">
      <w:r>
        <w:separator/>
      </w:r>
    </w:p>
  </w:footnote>
  <w:footnote w:type="continuationSeparator" w:id="0">
    <w:p w:rsidR="00950B7B" w:rsidRDefault="00950B7B">
      <w:r>
        <w:continuationSeparator/>
      </w:r>
    </w:p>
    <w:p w:rsidR="00950B7B" w:rsidRPr="000A30C5" w:rsidRDefault="00950B7B">
      <w:pPr>
        <w:rPr>
          <w:sz w:val="20"/>
        </w:rPr>
      </w:pPr>
      <w:r w:rsidRPr="000A30C5">
        <w:rPr>
          <w:sz w:val="20"/>
        </w:rPr>
        <w:t>(Continued from previous page)</w:t>
      </w:r>
    </w:p>
  </w:footnote>
  <w:footnote w:type="continuationNotice" w:id="1">
    <w:p w:rsidR="00950B7B" w:rsidRPr="000A30C5" w:rsidRDefault="00950B7B">
      <w:pPr>
        <w:rPr>
          <w:sz w:val="20"/>
        </w:rPr>
      </w:pPr>
      <w:r w:rsidRPr="000A30C5">
        <w:rPr>
          <w:sz w:val="20"/>
        </w:rPr>
        <w:t>(continued . . .)</w:t>
      </w:r>
    </w:p>
  </w:footnote>
  <w:footnote w:id="2">
    <w:p w:rsidR="001E5D8E" w:rsidRPr="00776711" w:rsidRDefault="001E5D8E" w:rsidP="001F17F4">
      <w:pPr>
        <w:pStyle w:val="Footer"/>
        <w:spacing w:after="120"/>
        <w:rPr>
          <w:sz w:val="20"/>
        </w:rPr>
      </w:pPr>
      <w:r w:rsidRPr="00776711">
        <w:rPr>
          <w:rStyle w:val="FootnoteReference"/>
          <w:sz w:val="20"/>
        </w:rPr>
        <w:footnoteRef/>
      </w:r>
      <w:r w:rsidRPr="00776711">
        <w:rPr>
          <w:sz w:val="20"/>
        </w:rPr>
        <w:t xml:space="preserve"> On January 28, 2011, the Board filed an Opposition, to which Press replied on February 17, 2011.</w:t>
      </w:r>
    </w:p>
  </w:footnote>
  <w:footnote w:id="3">
    <w:p w:rsidR="001E5D8E" w:rsidRPr="00805503" w:rsidRDefault="001E5D8E" w:rsidP="001F17F4">
      <w:pPr>
        <w:pStyle w:val="Footer"/>
        <w:spacing w:after="120"/>
        <w:rPr>
          <w:sz w:val="20"/>
        </w:rPr>
      </w:pPr>
      <w:r w:rsidRPr="00776711">
        <w:rPr>
          <w:rStyle w:val="FootnoteReference"/>
          <w:sz w:val="20"/>
        </w:rPr>
        <w:footnoteRef/>
      </w:r>
      <w:r>
        <w:rPr>
          <w:sz w:val="20"/>
        </w:rPr>
        <w:t xml:space="preserve"> On September 29, 2010, William Hawkes, Jr., filed a Petition to Deny the Press Application, which Press opposed on October 18, 2010.  On October 5, 2010, the Board filed an Informal Objection to the Press Application, which Press opposed on October 27, 2010; the Board replied on November 8, 2010.  On October 12, 2010, Equity Communications, L.P. (“Equity”), filed an Informal Objection to the Press Application, which Press opposed on October 27, 2010; Equity replied on November 8, 2010.  Because we are dismissing the Press Application in this action, we need not consider these pleadings.   </w:t>
      </w:r>
      <w:r w:rsidRPr="00776711">
        <w:rPr>
          <w:sz w:val="20"/>
        </w:rPr>
        <w:t xml:space="preserve"> </w:t>
      </w:r>
    </w:p>
  </w:footnote>
  <w:footnote w:id="4">
    <w:p w:rsidR="000B2E83" w:rsidRDefault="000B2E83" w:rsidP="000B2E83">
      <w:pPr>
        <w:pStyle w:val="FootnoteText"/>
      </w:pPr>
      <w:r>
        <w:rPr>
          <w:rStyle w:val="FootnoteReference"/>
        </w:rPr>
        <w:footnoteRef/>
      </w:r>
      <w:r>
        <w:t xml:space="preserve"> </w:t>
      </w:r>
      <w:r>
        <w:rPr>
          <w:i/>
        </w:rPr>
        <w:t>See William Penn University</w:t>
      </w:r>
      <w:r>
        <w:t>, Policy Statement and Order, 28 FCC Rcd 6932 (MB 2013) (“</w:t>
      </w:r>
      <w:r w:rsidRPr="00127909">
        <w:rPr>
          <w:i/>
        </w:rPr>
        <w:t>Policy Statement</w:t>
      </w:r>
      <w:r>
        <w:t>”)</w:t>
      </w:r>
      <w:r w:rsidR="009F1A2A">
        <w:t>.</w:t>
      </w:r>
      <w:r>
        <w:t xml:space="preserve">  </w:t>
      </w:r>
    </w:p>
  </w:footnote>
  <w:footnote w:id="5">
    <w:p w:rsidR="000B2E83" w:rsidRPr="00375CF9" w:rsidRDefault="000B2E83" w:rsidP="000B2E83">
      <w:pPr>
        <w:pStyle w:val="FootnoteText"/>
      </w:pPr>
      <w:r>
        <w:rPr>
          <w:rStyle w:val="FootnoteReference"/>
        </w:rPr>
        <w:footnoteRef/>
      </w:r>
      <w:r>
        <w:t xml:space="preserve">  </w:t>
      </w:r>
      <w:r>
        <w:rPr>
          <w:i/>
        </w:rPr>
        <w:t>Id.</w:t>
      </w:r>
      <w:r>
        <w:t xml:space="preserve">, 28 FCC Rcd at 6932 ¶ 2 (in cases of “first-time violations of certain documentation requirements of our Rules by student-run NCE radio stations,” instead of issuing a Notice of Apparent Liability (NAL), the Bureau will first afford the licensee an opportunity to negotiate a consent decree in which the licensee will pay a reduced civil penalty and agree to a compliance plan.  </w:t>
      </w:r>
      <w:r>
        <w:rPr>
          <w:szCs w:val="22"/>
        </w:rPr>
        <w:t>In negotiating the</w:t>
      </w:r>
      <w:r w:rsidRPr="00EB7D81">
        <w:rPr>
          <w:szCs w:val="22"/>
        </w:rPr>
        <w:t xml:space="preserve"> amount</w:t>
      </w:r>
      <w:r>
        <w:rPr>
          <w:szCs w:val="22"/>
        </w:rPr>
        <w:t>, the Bureau will consider “the totality of circumstances, including giving appropriate consideration to the station’s finances with respect to reducing the base forfeiture amount significantly.</w:t>
      </w:r>
      <w:r>
        <w:t>”).</w:t>
      </w:r>
    </w:p>
  </w:footnote>
  <w:footnote w:id="6">
    <w:p w:rsidR="000B2E83" w:rsidRPr="00415C97" w:rsidRDefault="000B2E83" w:rsidP="000B2E83">
      <w:pPr>
        <w:pStyle w:val="FootnoteText"/>
      </w:pPr>
      <w:r>
        <w:rPr>
          <w:rStyle w:val="FootnoteReference"/>
        </w:rPr>
        <w:footnoteRef/>
      </w:r>
      <w:r>
        <w:t xml:space="preserve"> </w:t>
      </w:r>
      <w:r w:rsidRPr="00415C97">
        <w:rPr>
          <w:i/>
        </w:rPr>
        <w:t>Id.</w:t>
      </w:r>
      <w:r>
        <w:t>, 28 FCC Rcd at 6936 - 6937 ¶11.  C</w:t>
      </w:r>
      <w:r>
        <w:rPr>
          <w:szCs w:val="22"/>
        </w:rPr>
        <w:t xml:space="preserve">overed violations include the failure to “(a) file the required materials with the Commission, such as the Ownership Reporting Rule, (b) place the required materials in a file, such as in the station’s public inspection file pursuant to the Public File Rule, or (c) publish a notice in a local newspaper or broadcast as an announcement on the station pursuant to Section 73.3580 of the Rules.” </w:t>
      </w:r>
    </w:p>
  </w:footnote>
  <w:footnote w:id="7">
    <w:p w:rsidR="000B2E83" w:rsidRPr="006A1F77" w:rsidRDefault="000B2E83" w:rsidP="000B2E83">
      <w:pPr>
        <w:pStyle w:val="FootnoteText"/>
      </w:pPr>
      <w:r>
        <w:rPr>
          <w:rStyle w:val="FootnoteReference"/>
        </w:rPr>
        <w:footnoteRef/>
      </w:r>
      <w:r>
        <w:t xml:space="preserve"> </w:t>
      </w:r>
      <w:r>
        <w:rPr>
          <w:i/>
        </w:rPr>
        <w:t>Id.,</w:t>
      </w:r>
      <w:r>
        <w:t xml:space="preserve"> 28 FCC Rcd at 6937 ¶ 11.  Specifically, the </w:t>
      </w:r>
      <w:r w:rsidRPr="006A1F77">
        <w:rPr>
          <w:i/>
        </w:rPr>
        <w:t>Policy Statement</w:t>
      </w:r>
      <w:r>
        <w:t xml:space="preserve"> noted “that </w:t>
      </w:r>
      <w:r w:rsidRPr="000358DE">
        <w:rPr>
          <w:szCs w:val="22"/>
        </w:rPr>
        <w:t xml:space="preserve">substantive operational violations, </w:t>
      </w:r>
      <w:r w:rsidRPr="000358DE">
        <w:rPr>
          <w:i/>
          <w:szCs w:val="22"/>
        </w:rPr>
        <w:t>e.g.</w:t>
      </w:r>
      <w:r w:rsidRPr="000358DE">
        <w:rPr>
          <w:szCs w:val="22"/>
        </w:rPr>
        <w:t xml:space="preserve"> broadcast of indecent/obscene/profane material, commercial announcements, illegal contests, underwriting, news distortion and other programming-related violations, violations of the Commission’s technical, public safety, tower/transmitter site construction and maintenance rules, etc., as well as recurring  or subsequent violations of any kind will continue to be handled under current procedures, with no reduction or relief for student-run stations, apart from those potentially available to all licensees under current procedures in appropriate circumstances</w:t>
      </w:r>
      <w:r>
        <w:rPr>
          <w:szCs w:val="22"/>
        </w:rPr>
        <w:t xml:space="preserve">.” </w:t>
      </w:r>
    </w:p>
  </w:footnote>
  <w:footnote w:id="8">
    <w:p w:rsidR="001E5D8E" w:rsidRDefault="001E5D8E" w:rsidP="001934F1">
      <w:pPr>
        <w:pStyle w:val="FootnoteText"/>
      </w:pPr>
      <w:r>
        <w:rPr>
          <w:rStyle w:val="FootnoteReference"/>
        </w:rPr>
        <w:footnoteRef/>
      </w:r>
      <w:r>
        <w:t xml:space="preserve"> The Petition also references the Enforcement Bureau’s </w:t>
      </w:r>
      <w:r w:rsidRPr="006A0CAB">
        <w:t>Official Notice of Violation, Ref. EB-01-PA-115 (rel. EB May 11, 2001) (“NOV”).</w:t>
      </w:r>
      <w:r>
        <w:t xml:space="preserve">  </w:t>
      </w:r>
      <w:r>
        <w:rPr>
          <w:i/>
        </w:rPr>
        <w:t xml:space="preserve">See id. </w:t>
      </w:r>
      <w:r>
        <w:t xml:space="preserve">at 6.  </w:t>
      </w:r>
      <w:r w:rsidRPr="006A0CAB">
        <w:t xml:space="preserve">The NOV found that the Board had violated Sections 73.1870(c)(3)(logging requirements); 73.3527(e)(3)-(4)-(7)-(8) (contour map; ownership report; “The Public and Broadcasting” manual; and quarterly issues/programs lists requirements, respectively); 11.52(d); 11.61(a)(1)(v) (EAS requirements); 11.35 (operational readiness testing); 73.267(c)(3) (transmitter efficiency factor); 73.1225(a) and (e) (transmitter inspection availability and provision of local phone number, respectively); 73.1840(a) (retention of station logs); 73.1590(d) (equipment performance measurements); and 73.1350(c)(2) (calibration of monitoring equipment) of the Rules.  On June 25, 2001, the Board filed a response addressing its progress in correcting each of the rule violations cited in the NOV.  </w:t>
      </w:r>
      <w:r w:rsidRPr="006A0CAB">
        <w:rPr>
          <w:i/>
        </w:rPr>
        <w:t xml:space="preserve">See Letter to John E. Rahtes, District Director, FCC Enforcement Bureau, from </w:t>
      </w:r>
      <w:smartTag w:uri="urn:schemas-microsoft-com:office:smarttags" w:element="place">
        <w:smartTag w:uri="urn:schemas-microsoft-com:office:smarttags" w:element="City">
          <w:r w:rsidRPr="006A0CAB">
            <w:rPr>
              <w:i/>
            </w:rPr>
            <w:t>Cary</w:t>
          </w:r>
        </w:smartTag>
      </w:smartTag>
      <w:r w:rsidRPr="006A0CAB">
        <w:rPr>
          <w:i/>
        </w:rPr>
        <w:t xml:space="preserve"> Tepper, Esq</w:t>
      </w:r>
      <w:r w:rsidRPr="006A0CAB">
        <w:t>., filed June 25, 2001 (“</w:t>
      </w:r>
      <w:r w:rsidRPr="006A0CAB">
        <w:rPr>
          <w:i/>
        </w:rPr>
        <w:t>Licensee Response</w:t>
      </w:r>
      <w:r w:rsidRPr="006A0CAB">
        <w:t xml:space="preserve">”) at Attachment (“Declaration of Al Horner, Engineer for WAJM(FM)”).  </w:t>
      </w:r>
      <w:r w:rsidR="00B153D6">
        <w:t xml:space="preserve">Upon receipt of the </w:t>
      </w:r>
      <w:r w:rsidR="00B153D6">
        <w:rPr>
          <w:i/>
        </w:rPr>
        <w:t>Licens</w:t>
      </w:r>
      <w:r w:rsidR="00923292">
        <w:rPr>
          <w:i/>
        </w:rPr>
        <w:t>e</w:t>
      </w:r>
      <w:r w:rsidR="00B153D6">
        <w:rPr>
          <w:i/>
        </w:rPr>
        <w:t xml:space="preserve">e Response, </w:t>
      </w:r>
      <w:r w:rsidR="00B153D6">
        <w:t xml:space="preserve">the </w:t>
      </w:r>
      <w:r w:rsidR="00923292">
        <w:t>Enforcement Bureau closed its investigation</w:t>
      </w:r>
      <w:r w:rsidR="00B153D6">
        <w:t>.</w:t>
      </w:r>
      <w:r w:rsidRPr="006A0CAB">
        <w:t xml:space="preserve">  </w:t>
      </w:r>
    </w:p>
  </w:footnote>
  <w:footnote w:id="9">
    <w:p w:rsidR="001E5D8E" w:rsidRPr="00DD4A10" w:rsidRDefault="001E5D8E" w:rsidP="00141C29">
      <w:pPr>
        <w:pStyle w:val="Footer"/>
        <w:spacing w:after="120"/>
        <w:rPr>
          <w:sz w:val="20"/>
        </w:rPr>
      </w:pPr>
      <w:r w:rsidRPr="00776711">
        <w:rPr>
          <w:rStyle w:val="FootnoteReference"/>
          <w:sz w:val="20"/>
        </w:rPr>
        <w:footnoteRef/>
      </w:r>
      <w:r w:rsidRPr="00776711">
        <w:rPr>
          <w:sz w:val="20"/>
        </w:rPr>
        <w:t xml:space="preserve"> </w:t>
      </w:r>
      <w:r w:rsidRPr="00776711">
        <w:rPr>
          <w:i/>
          <w:iCs/>
          <w:sz w:val="20"/>
        </w:rPr>
        <w:t xml:space="preserve">See </w:t>
      </w:r>
      <w:r w:rsidRPr="00776711">
        <w:rPr>
          <w:sz w:val="20"/>
        </w:rPr>
        <w:t>47 C.F.R. § 73.3539</w:t>
      </w:r>
      <w:r>
        <w:rPr>
          <w:sz w:val="20"/>
        </w:rPr>
        <w:t xml:space="preserve"> and </w:t>
      </w:r>
      <w:r w:rsidRPr="00CB09FC">
        <w:rPr>
          <w:sz w:val="20"/>
        </w:rPr>
        <w:t>47 U.S.C. § 301</w:t>
      </w:r>
      <w:r w:rsidRPr="00776711">
        <w:rPr>
          <w:sz w:val="20"/>
        </w:rPr>
        <w:t>.</w:t>
      </w:r>
    </w:p>
  </w:footnote>
  <w:footnote w:id="10">
    <w:p w:rsidR="001E5D8E" w:rsidRPr="00D62C47" w:rsidRDefault="001E5D8E" w:rsidP="00141C29">
      <w:pPr>
        <w:pStyle w:val="Footer"/>
        <w:spacing w:after="120"/>
        <w:rPr>
          <w:sz w:val="20"/>
        </w:rPr>
      </w:pPr>
      <w:r w:rsidRPr="00D62C47">
        <w:rPr>
          <w:rStyle w:val="FootnoteReference"/>
          <w:sz w:val="20"/>
        </w:rPr>
        <w:footnoteRef/>
      </w:r>
      <w:r w:rsidRPr="00D62C47">
        <w:rPr>
          <w:sz w:val="20"/>
        </w:rPr>
        <w:t xml:space="preserve"> 47 C.F.R. § 73.3527. </w:t>
      </w:r>
    </w:p>
  </w:footnote>
  <w:footnote w:id="11">
    <w:p w:rsidR="001E5D8E" w:rsidRPr="001E35B5" w:rsidRDefault="001E5D8E" w:rsidP="00141C29">
      <w:pPr>
        <w:pStyle w:val="Footer"/>
        <w:spacing w:after="120"/>
        <w:rPr>
          <w:sz w:val="20"/>
        </w:rPr>
      </w:pPr>
      <w:r w:rsidRPr="00D62C47">
        <w:rPr>
          <w:rStyle w:val="FootnoteReference"/>
          <w:sz w:val="20"/>
        </w:rPr>
        <w:footnoteRef/>
      </w:r>
      <w:r w:rsidRPr="00D62C47">
        <w:rPr>
          <w:sz w:val="20"/>
        </w:rPr>
        <w:t xml:space="preserve"> </w:t>
      </w:r>
      <w:r w:rsidRPr="001E35B5">
        <w:rPr>
          <w:sz w:val="20"/>
        </w:rPr>
        <w:t>47 C.F.R. § 73.1350(a).</w:t>
      </w:r>
    </w:p>
  </w:footnote>
  <w:footnote w:id="12">
    <w:p w:rsidR="001E5D8E" w:rsidRPr="001E35B5" w:rsidRDefault="001E5D8E">
      <w:pPr>
        <w:pStyle w:val="FootnoteText"/>
      </w:pPr>
      <w:r w:rsidRPr="001E35B5">
        <w:rPr>
          <w:rStyle w:val="FootnoteReference"/>
          <w:sz w:val="20"/>
        </w:rPr>
        <w:footnoteRef/>
      </w:r>
      <w:r w:rsidRPr="001E35B5">
        <w:t xml:space="preserve"> </w:t>
      </w:r>
      <w:r w:rsidR="00CD2681">
        <w:rPr>
          <w:i/>
        </w:rPr>
        <w:t xml:space="preserve">See </w:t>
      </w:r>
      <w:r w:rsidRPr="001E35B5">
        <w:t xml:space="preserve">47 U.S.C. § 309(k) </w:t>
      </w:r>
      <w:r w:rsidR="00CD2681">
        <w:t xml:space="preserve">(permitting the Commission to </w:t>
      </w:r>
      <w:r w:rsidRPr="001E35B5">
        <w:t>grant the application “on terms and conditions that are appropriate, including a renewal for a term less than the maximum otherwise permitted”</w:t>
      </w:r>
      <w:r w:rsidR="00CD2681">
        <w:t>).</w:t>
      </w:r>
    </w:p>
  </w:footnote>
  <w:footnote w:id="13">
    <w:p w:rsidR="001E5D8E" w:rsidRPr="001E35B5" w:rsidRDefault="001E5D8E">
      <w:pPr>
        <w:pStyle w:val="FootnoteText"/>
      </w:pPr>
      <w:r w:rsidRPr="001E35B5">
        <w:rPr>
          <w:rStyle w:val="FootnoteReference"/>
          <w:sz w:val="20"/>
        </w:rPr>
        <w:footnoteRef/>
      </w:r>
      <w:r w:rsidRPr="001E35B5">
        <w:t xml:space="preserve"> WBHX(FM) currently operates on Channel 259A (99.7</w:t>
      </w:r>
      <w:r>
        <w:t xml:space="preserve"> </w:t>
      </w:r>
      <w:r w:rsidRPr="001E35B5">
        <w:t>MHz).  It proposes to “swap” frequencies with Station WZBZ(FM), Pleasantville, New Jersey, which currently operates on Channel 257A (99.3 MHz).</w:t>
      </w:r>
    </w:p>
  </w:footnote>
  <w:footnote w:id="14">
    <w:p w:rsidR="001E5D8E" w:rsidRPr="008671EF" w:rsidRDefault="001E5D8E" w:rsidP="008671EF">
      <w:pPr>
        <w:pStyle w:val="Footer"/>
        <w:spacing w:after="120"/>
        <w:rPr>
          <w:sz w:val="20"/>
        </w:rPr>
      </w:pPr>
      <w:r w:rsidRPr="001E35B5">
        <w:rPr>
          <w:rStyle w:val="FootnoteReference"/>
          <w:sz w:val="20"/>
        </w:rPr>
        <w:footnoteRef/>
      </w:r>
      <w:r w:rsidRPr="001E35B5">
        <w:rPr>
          <w:sz w:val="20"/>
        </w:rPr>
        <w:t xml:space="preserve"> </w:t>
      </w:r>
      <w:r w:rsidRPr="001E35B5">
        <w:rPr>
          <w:i/>
          <w:sz w:val="20"/>
        </w:rPr>
        <w:t xml:space="preserve">See </w:t>
      </w:r>
      <w:r w:rsidRPr="001E35B5">
        <w:rPr>
          <w:sz w:val="20"/>
        </w:rPr>
        <w:t xml:space="preserve">Petition at 3; Press Application at Exhibit 29.  </w:t>
      </w:r>
    </w:p>
  </w:footnote>
  <w:footnote w:id="15">
    <w:p w:rsidR="001E5D8E" w:rsidRPr="008671EF" w:rsidRDefault="001E5D8E">
      <w:pPr>
        <w:pStyle w:val="FootnoteText"/>
      </w:pPr>
      <w:r>
        <w:rPr>
          <w:rStyle w:val="FootnoteReference"/>
        </w:rPr>
        <w:footnoteRef/>
      </w:r>
      <w:r>
        <w:t xml:space="preserve"> </w:t>
      </w:r>
      <w:r>
        <w:rPr>
          <w:i/>
        </w:rPr>
        <w:t>See Letter to Press Communications, LLC</w:t>
      </w:r>
      <w:r>
        <w:t>, Ref. 1800B3 (MB rel. Jun. 20, 2014) (“</w:t>
      </w:r>
      <w:r>
        <w:rPr>
          <w:i/>
        </w:rPr>
        <w:t>Staff Letter</w:t>
      </w:r>
      <w:r>
        <w:t>”).</w:t>
      </w:r>
    </w:p>
  </w:footnote>
  <w:footnote w:id="16">
    <w:p w:rsidR="001E5D8E" w:rsidRPr="000A1B4E" w:rsidRDefault="001E5D8E">
      <w:pPr>
        <w:pStyle w:val="FootnoteText"/>
      </w:pPr>
      <w:r>
        <w:rPr>
          <w:rStyle w:val="FootnoteReference"/>
        </w:rPr>
        <w:footnoteRef/>
      </w:r>
      <w:r>
        <w:t xml:space="preserve"> </w:t>
      </w:r>
      <w:r>
        <w:rPr>
          <w:i/>
        </w:rPr>
        <w:t xml:space="preserve">See </w:t>
      </w:r>
      <w:r>
        <w:t>Press “Response to June 20, 2014, Letter,” filed on July 18, 2014</w:t>
      </w:r>
      <w:r w:rsidR="00912E36">
        <w:t xml:space="preserve">, </w:t>
      </w:r>
      <w:r w:rsidR="00920E12" w:rsidRPr="00920E12">
        <w:t xml:space="preserve">to which the Board </w:t>
      </w:r>
      <w:r w:rsidR="00920E12">
        <w:t xml:space="preserve">and Equity jointly </w:t>
      </w:r>
      <w:r w:rsidR="00920E12" w:rsidRPr="00920E12">
        <w:t>responded by letter on August 11, 2014.</w:t>
      </w:r>
      <w:r w:rsidR="00B733DE">
        <w:t xml:space="preserve">  </w:t>
      </w:r>
      <w:r w:rsidR="00B733DE" w:rsidRPr="00B733DE">
        <w:t xml:space="preserve">Press responded to the joint Board and Equity </w:t>
      </w:r>
      <w:r w:rsidR="00B056C2">
        <w:t>August 11, 2014</w:t>
      </w:r>
      <w:r w:rsidR="00B733DE" w:rsidRPr="00B733DE">
        <w:t xml:space="preserve">, letter on August 21, 2014.  </w:t>
      </w:r>
    </w:p>
  </w:footnote>
  <w:footnote w:id="17">
    <w:p w:rsidR="001E5D8E" w:rsidRPr="008C4884" w:rsidRDefault="001E5D8E" w:rsidP="00F40803">
      <w:pPr>
        <w:spacing w:after="120"/>
        <w:rPr>
          <w:sz w:val="20"/>
        </w:rPr>
      </w:pPr>
      <w:r w:rsidRPr="005C7109">
        <w:rPr>
          <w:rStyle w:val="FootnoteReference"/>
          <w:sz w:val="20"/>
        </w:rPr>
        <w:footnoteRef/>
      </w:r>
      <w:r w:rsidRPr="005C7109">
        <w:rPr>
          <w:sz w:val="20"/>
        </w:rPr>
        <w:t xml:space="preserve"> </w:t>
      </w:r>
      <w:r w:rsidRPr="005C7109">
        <w:rPr>
          <w:i/>
          <w:sz w:val="20"/>
        </w:rPr>
        <w:t>S</w:t>
      </w:r>
      <w:r w:rsidRPr="005C7109">
        <w:rPr>
          <w:i/>
          <w:snapToGrid/>
          <w:kern w:val="0"/>
          <w:sz w:val="20"/>
        </w:rPr>
        <w:t xml:space="preserve">ee, e.g., </w:t>
      </w:r>
      <w:r w:rsidRPr="008C4884">
        <w:rPr>
          <w:i/>
          <w:iCs/>
          <w:snapToGrid/>
          <w:kern w:val="0"/>
          <w:sz w:val="20"/>
        </w:rPr>
        <w:t>Discussion Radio Incorporated</w:t>
      </w:r>
      <w:r w:rsidRPr="008C4884">
        <w:rPr>
          <w:snapToGrid/>
          <w:kern w:val="0"/>
          <w:sz w:val="20"/>
        </w:rPr>
        <w:t xml:space="preserve">, </w:t>
      </w:r>
      <w:r>
        <w:rPr>
          <w:sz w:val="20"/>
        </w:rPr>
        <w:t xml:space="preserve">Memorandum Opinion and Order </w:t>
      </w:r>
      <w:r w:rsidRPr="00C939D0">
        <w:rPr>
          <w:sz w:val="20"/>
        </w:rPr>
        <w:t>and N</w:t>
      </w:r>
      <w:r>
        <w:rPr>
          <w:sz w:val="20"/>
        </w:rPr>
        <w:t>otice of Apparent Liability for Forfeiture</w:t>
      </w:r>
      <w:r w:rsidRPr="008C4884">
        <w:rPr>
          <w:snapToGrid/>
          <w:kern w:val="0"/>
          <w:sz w:val="20"/>
        </w:rPr>
        <w:t xml:space="preserve">, </w:t>
      </w:r>
      <w:hyperlink r:id="rId1" w:history="1">
        <w:r w:rsidRPr="008C4884">
          <w:rPr>
            <w:snapToGrid/>
            <w:kern w:val="0"/>
            <w:sz w:val="20"/>
          </w:rPr>
          <w:t>19 FCC Rcd 7433, 7438 (2004)</w:t>
        </w:r>
      </w:hyperlink>
      <w:r w:rsidRPr="008C4884">
        <w:rPr>
          <w:snapToGrid/>
          <w:kern w:val="0"/>
          <w:sz w:val="20"/>
        </w:rPr>
        <w:t xml:space="preserve"> (licensee sanctioned for untimely renewal filing and unauthorized operation</w:t>
      </w:r>
      <w:r>
        <w:rPr>
          <w:snapToGrid/>
          <w:kern w:val="0"/>
          <w:sz w:val="20"/>
        </w:rPr>
        <w:t xml:space="preserve">, </w:t>
      </w:r>
      <w:r w:rsidRPr="0075730C">
        <w:rPr>
          <w:snapToGrid/>
          <w:kern w:val="0"/>
          <w:sz w:val="20"/>
        </w:rPr>
        <w:t>renewal application granted)</w:t>
      </w:r>
      <w:r>
        <w:rPr>
          <w:snapToGrid/>
          <w:kern w:val="0"/>
          <w:sz w:val="20"/>
        </w:rPr>
        <w:t xml:space="preserve"> (“</w:t>
      </w:r>
      <w:r>
        <w:rPr>
          <w:i/>
          <w:snapToGrid/>
          <w:kern w:val="0"/>
          <w:sz w:val="20"/>
        </w:rPr>
        <w:t>Discussion Radio</w:t>
      </w:r>
      <w:r>
        <w:rPr>
          <w:snapToGrid/>
          <w:kern w:val="0"/>
          <w:sz w:val="20"/>
        </w:rPr>
        <w:t>”)</w:t>
      </w:r>
      <w:r w:rsidRPr="0075730C">
        <w:rPr>
          <w:snapToGrid/>
          <w:kern w:val="0"/>
          <w:sz w:val="20"/>
        </w:rPr>
        <w:t xml:space="preserve">; </w:t>
      </w:r>
      <w:r w:rsidR="005E14A6" w:rsidRPr="005E14A6">
        <w:rPr>
          <w:i/>
          <w:snapToGrid/>
          <w:kern w:val="0"/>
          <w:sz w:val="20"/>
        </w:rPr>
        <w:t>Superior Communications,</w:t>
      </w:r>
      <w:r w:rsidR="005E14A6" w:rsidRPr="005E14A6">
        <w:rPr>
          <w:snapToGrid/>
          <w:kern w:val="0"/>
          <w:sz w:val="20"/>
        </w:rPr>
        <w:t xml:space="preserve"> Letter, 22 FCC Rcd 16634, 16635-6 (MB 2007) (rejecting argument that late-filed renewal application should be put in a queue behind objector’s application and finding that, although a license term may not exceed eight years, the Act does not forbid the Commission from accepting a renewal application filed after the station's license has expired). </w:t>
      </w:r>
      <w:r w:rsidRPr="008C4884">
        <w:rPr>
          <w:snapToGrid/>
          <w:kern w:val="0"/>
          <w:sz w:val="20"/>
        </w:rPr>
        <w:t xml:space="preserve"> </w:t>
      </w:r>
    </w:p>
  </w:footnote>
  <w:footnote w:id="18">
    <w:p w:rsidR="001E5D8E" w:rsidRPr="006D5345" w:rsidRDefault="001E5D8E">
      <w:pPr>
        <w:pStyle w:val="FootnoteText"/>
      </w:pPr>
      <w:r>
        <w:rPr>
          <w:rStyle w:val="FootnoteReference"/>
        </w:rPr>
        <w:footnoteRef/>
      </w:r>
      <w:r>
        <w:t xml:space="preserve"> </w:t>
      </w:r>
      <w:r>
        <w:rPr>
          <w:i/>
        </w:rPr>
        <w:t xml:space="preserve">See Discussion Radio, supra, </w:t>
      </w:r>
      <w:r>
        <w:t>19 FCC Rcd at 7437.</w:t>
      </w:r>
    </w:p>
  </w:footnote>
  <w:footnote w:id="19">
    <w:p w:rsidR="001E5D8E" w:rsidRPr="00E9329C" w:rsidRDefault="001E5D8E" w:rsidP="00F40803">
      <w:pPr>
        <w:pStyle w:val="Footer"/>
        <w:spacing w:after="120"/>
        <w:rPr>
          <w:sz w:val="20"/>
        </w:rPr>
      </w:pPr>
      <w:r w:rsidRPr="00E9329C">
        <w:rPr>
          <w:rStyle w:val="FootnoteReference"/>
          <w:sz w:val="20"/>
        </w:rPr>
        <w:footnoteRef/>
      </w:r>
      <w:r w:rsidRPr="00E9329C">
        <w:rPr>
          <w:sz w:val="20"/>
        </w:rPr>
        <w:t xml:space="preserve"> 47 C.F.R. § 73.207.</w:t>
      </w:r>
    </w:p>
  </w:footnote>
  <w:footnote w:id="20">
    <w:p w:rsidR="00306493" w:rsidRDefault="00306493">
      <w:pPr>
        <w:pStyle w:val="FootnoteText"/>
      </w:pPr>
      <w:r>
        <w:rPr>
          <w:rStyle w:val="FootnoteReference"/>
        </w:rPr>
        <w:footnoteRef/>
      </w:r>
      <w:r>
        <w:t xml:space="preserve"> Petition at 1-2. </w:t>
      </w:r>
    </w:p>
  </w:footnote>
  <w:footnote w:id="21">
    <w:p w:rsidR="007D7FB1" w:rsidRDefault="007D7FB1">
      <w:pPr>
        <w:pStyle w:val="FootnoteText"/>
      </w:pPr>
      <w:r>
        <w:rPr>
          <w:rStyle w:val="FootnoteReference"/>
        </w:rPr>
        <w:footnoteRef/>
      </w:r>
      <w:r>
        <w:t xml:space="preserve"> </w:t>
      </w:r>
      <w:r w:rsidR="00306493">
        <w:rPr>
          <w:i/>
        </w:rPr>
        <w:t>Id.</w:t>
      </w:r>
    </w:p>
  </w:footnote>
  <w:footnote w:id="22">
    <w:p w:rsidR="007D7FB1" w:rsidRDefault="007D7FB1">
      <w:pPr>
        <w:pStyle w:val="FootnoteText"/>
      </w:pPr>
      <w:r>
        <w:rPr>
          <w:rStyle w:val="FootnoteReference"/>
        </w:rPr>
        <w:footnoteRef/>
      </w:r>
      <w:r>
        <w:t xml:space="preserve"> Press Reply 2,8.</w:t>
      </w:r>
    </w:p>
  </w:footnote>
  <w:footnote w:id="23">
    <w:p w:rsidR="001E5D8E" w:rsidRPr="00EE1D72" w:rsidRDefault="001E5D8E">
      <w:pPr>
        <w:pStyle w:val="FootnoteText"/>
      </w:pPr>
      <w:r>
        <w:rPr>
          <w:rStyle w:val="FootnoteReference"/>
        </w:rPr>
        <w:footnoteRef/>
      </w:r>
      <w:r>
        <w:t xml:space="preserve"> </w:t>
      </w:r>
      <w:r>
        <w:rPr>
          <w:i/>
        </w:rPr>
        <w:t xml:space="preserve">See Staff Letter </w:t>
      </w:r>
      <w:r>
        <w:t xml:space="preserve">at n.3.  The required spacing between WZBZ(FM) and first-adjacent channel Station WJBR-FM is 113 kilometers, while the actual spacing proposed in the Press Application is 105 kilometers.  </w:t>
      </w:r>
      <w:r>
        <w:rPr>
          <w:i/>
        </w:rPr>
        <w:t xml:space="preserve">Staff Letter </w:t>
      </w:r>
      <w:r>
        <w:t>at 1.</w:t>
      </w:r>
    </w:p>
  </w:footnote>
  <w:footnote w:id="24">
    <w:p w:rsidR="001E5D8E" w:rsidRPr="00BB02D4" w:rsidRDefault="001E5D8E">
      <w:pPr>
        <w:pStyle w:val="FootnoteText"/>
      </w:pPr>
      <w:r>
        <w:rPr>
          <w:rStyle w:val="FootnoteReference"/>
        </w:rPr>
        <w:footnoteRef/>
      </w:r>
      <w:r>
        <w:t xml:space="preserve"> </w:t>
      </w:r>
      <w:r w:rsidRPr="006E2A21">
        <w:rPr>
          <w:i/>
        </w:rPr>
        <w:t>See</w:t>
      </w:r>
      <w:r>
        <w:t xml:space="preserve"> </w:t>
      </w:r>
      <w:r w:rsidRPr="006E724B">
        <w:rPr>
          <w:i/>
        </w:rPr>
        <w:t>Staff Letter</w:t>
      </w:r>
      <w:r>
        <w:t xml:space="preserve"> at n.3.</w:t>
      </w:r>
    </w:p>
  </w:footnote>
  <w:footnote w:id="25">
    <w:p w:rsidR="001E5D8E" w:rsidRPr="00981D71" w:rsidRDefault="001E5D8E">
      <w:pPr>
        <w:pStyle w:val="FootnoteText"/>
      </w:pPr>
      <w:r>
        <w:rPr>
          <w:rStyle w:val="FootnoteReference"/>
        </w:rPr>
        <w:footnoteRef/>
      </w:r>
      <w:r>
        <w:t xml:space="preserve"> Press cites </w:t>
      </w:r>
      <w:r>
        <w:rPr>
          <w:i/>
        </w:rPr>
        <w:t>Eatonton and Sandy Springs, Georgia, and Anniston and Lineville, Alabama,</w:t>
      </w:r>
      <w:r>
        <w:t xml:space="preserve"> Report and Order, 6 FCC Rcd 6580 (MMB 1991); </w:t>
      </w:r>
      <w:r>
        <w:rPr>
          <w:i/>
        </w:rPr>
        <w:t xml:space="preserve">Newnan and Peachtree City, Georgia, </w:t>
      </w:r>
      <w:r>
        <w:t xml:space="preserve">Report and Order, 7 FCC Rcd 6307 (MMB 1992), and </w:t>
      </w:r>
      <w:r>
        <w:rPr>
          <w:i/>
        </w:rPr>
        <w:t>Grants, New Mexico et al.</w:t>
      </w:r>
      <w:r>
        <w:t>, Report and Order, 16 FCC Rcd 20323(MMB 2001)</w:t>
      </w:r>
    </w:p>
  </w:footnote>
  <w:footnote w:id="26">
    <w:p w:rsidR="001E5D8E" w:rsidRPr="003050AB" w:rsidRDefault="001E5D8E">
      <w:pPr>
        <w:pStyle w:val="FootnoteText"/>
      </w:pPr>
      <w:r w:rsidRPr="003050AB">
        <w:rPr>
          <w:rStyle w:val="FootnoteReference"/>
          <w:sz w:val="20"/>
        </w:rPr>
        <w:footnoteRef/>
      </w:r>
      <w:r w:rsidRPr="003050AB">
        <w:t xml:space="preserve"> </w:t>
      </w:r>
      <w:r>
        <w:rPr>
          <w:i/>
        </w:rPr>
        <w:t xml:space="preserve">Staff Letter </w:t>
      </w:r>
      <w:r>
        <w:t xml:space="preserve">at 2, citing </w:t>
      </w:r>
      <w:r w:rsidRPr="004E169F">
        <w:t>47 C.F.R. § 73.3522</w:t>
      </w:r>
    </w:p>
  </w:footnote>
  <w:footnote w:id="27">
    <w:p w:rsidR="001E5D8E" w:rsidRPr="003050AB" w:rsidRDefault="001E5D8E">
      <w:pPr>
        <w:pStyle w:val="FootnoteText"/>
      </w:pPr>
      <w:r w:rsidRPr="003050AB">
        <w:rPr>
          <w:rStyle w:val="FootnoteReference"/>
          <w:sz w:val="20"/>
        </w:rPr>
        <w:footnoteRef/>
      </w:r>
      <w:r w:rsidRPr="003050AB">
        <w:t xml:space="preserve"> </w:t>
      </w:r>
      <w:r>
        <w:rPr>
          <w:i/>
        </w:rPr>
        <w:t xml:space="preserve">Staff Letter </w:t>
      </w:r>
      <w:r>
        <w:t xml:space="preserve">at 2, citing </w:t>
      </w:r>
      <w:r w:rsidRPr="004E169F">
        <w:t>47 C.F.R.</w:t>
      </w:r>
      <w:r w:rsidRPr="003050AB">
        <w:t xml:space="preserve"> </w:t>
      </w:r>
      <w:r w:rsidRPr="004E169F">
        <w:t>§ 73.3564</w:t>
      </w:r>
      <w:r w:rsidR="00383B8C" w:rsidRPr="003050AB">
        <w:t xml:space="preserve">; </w:t>
      </w:r>
      <w:r w:rsidR="00383B8C" w:rsidRPr="00383B8C">
        <w:rPr>
          <w:i/>
        </w:rPr>
        <w:t>see</w:t>
      </w:r>
      <w:r>
        <w:rPr>
          <w:i/>
        </w:rPr>
        <w:t xml:space="preserve"> also</w:t>
      </w:r>
      <w:r w:rsidRPr="004E169F">
        <w:t xml:space="preserve"> Appendix B in the </w:t>
      </w:r>
      <w:r w:rsidRPr="004E169F">
        <w:rPr>
          <w:i/>
        </w:rPr>
        <w:t>Report and Order</w:t>
      </w:r>
      <w:r w:rsidRPr="004E169F">
        <w:t xml:space="preserve"> in MM Docket No. 91-347</w:t>
      </w:r>
      <w:r>
        <w:t>, 57 FR 34872 (Aug. 7, 1992).</w:t>
      </w:r>
    </w:p>
  </w:footnote>
  <w:footnote w:id="28">
    <w:p w:rsidR="001E5D8E" w:rsidRDefault="001E5D8E" w:rsidP="001934F1">
      <w:pPr>
        <w:pStyle w:val="FootnoteText"/>
      </w:pPr>
      <w:r>
        <w:rPr>
          <w:rStyle w:val="FootnoteReference"/>
        </w:rPr>
        <w:footnoteRef/>
      </w:r>
      <w:r>
        <w:t xml:space="preserve"> 47 U.S.C. § 154(i).</w:t>
      </w:r>
    </w:p>
  </w:footnote>
  <w:footnote w:id="29">
    <w:p w:rsidR="001E5D8E" w:rsidRDefault="001E5D8E" w:rsidP="001934F1">
      <w:pPr>
        <w:pStyle w:val="FootnoteText"/>
      </w:pPr>
      <w:r>
        <w:rPr>
          <w:rStyle w:val="FootnoteReference"/>
        </w:rPr>
        <w:footnoteRef/>
      </w:r>
      <w:r>
        <w:t xml:space="preserve"> 47 C.F.R. §§ 0.61, 0.283. </w:t>
      </w:r>
    </w:p>
  </w:footnote>
  <w:footnote w:id="30">
    <w:p w:rsidR="00C93533" w:rsidRDefault="00C93533" w:rsidP="00C93533">
      <w:pPr>
        <w:pStyle w:val="FootnoteText"/>
      </w:pPr>
      <w:r>
        <w:rPr>
          <w:rStyle w:val="FootnoteReference"/>
        </w:rPr>
        <w:footnoteRef/>
      </w:r>
      <w:r>
        <w:t xml:space="preserve"> </w:t>
      </w:r>
      <w:r w:rsidRPr="00BC3027">
        <w:t xml:space="preserve">The Station's application for renewal was due on or before </w:t>
      </w:r>
      <w:r>
        <w:t>February 1, 2006</w:t>
      </w:r>
      <w:r w:rsidRPr="00BC3027">
        <w:t>.</w:t>
      </w:r>
      <w:r>
        <w:t xml:space="preserve">  </w:t>
      </w:r>
      <w:r w:rsidRPr="00BC3027">
        <w:t xml:space="preserve">No such application was filed, and the Station's license expired on </w:t>
      </w:r>
      <w:r>
        <w:t>June 1</w:t>
      </w:r>
      <w:r w:rsidRPr="00BC3027">
        <w:t>, 2006.</w:t>
      </w:r>
    </w:p>
  </w:footnote>
  <w:footnote w:id="31">
    <w:p w:rsidR="00C93533" w:rsidRDefault="00C93533" w:rsidP="00C93533">
      <w:pPr>
        <w:pStyle w:val="FootnoteText"/>
      </w:pPr>
      <w:r>
        <w:rPr>
          <w:rStyle w:val="FootnoteReference"/>
        </w:rPr>
        <w:footnoteRef/>
      </w:r>
      <w:r>
        <w:t xml:space="preserve"> </w:t>
      </w:r>
      <w:r w:rsidRPr="00BC3027">
        <w:t xml:space="preserve">After its license had expired, the Station operated for </w:t>
      </w:r>
      <w:r>
        <w:t>more than four years</w:t>
      </w:r>
      <w:r w:rsidRPr="00BC3027">
        <w:t>.</w:t>
      </w:r>
      <w:r>
        <w:t xml:space="preserve">  On the same day it filed the 2010 Renewal Application, </w:t>
      </w:r>
      <w:r w:rsidRPr="00BC3027">
        <w:t>Licensee filed the STA</w:t>
      </w:r>
      <w:r>
        <w:t xml:space="preserve"> (Sept. 21, 2010)</w:t>
      </w:r>
      <w:r w:rsidRPr="00BC3027">
        <w:t xml:space="preserve">. The staff granted the STA on </w:t>
      </w:r>
      <w:r>
        <w:t xml:space="preserve">September 29, 2010.  </w:t>
      </w:r>
      <w:r w:rsidRPr="00BC3027">
        <w:t xml:space="preserve"> The STA expired on </w:t>
      </w:r>
      <w:r>
        <w:t>March 29, 2011</w:t>
      </w:r>
      <w:r w:rsidRPr="00BC3027">
        <w:t>.</w:t>
      </w:r>
      <w:r>
        <w:t xml:space="preserve">  </w:t>
      </w:r>
      <w:r w:rsidRPr="00BC3027">
        <w:t xml:space="preserve">Licensee timely sought an extension of the STA on March </w:t>
      </w:r>
      <w:r>
        <w:t>17</w:t>
      </w:r>
      <w:r w:rsidRPr="00BC3027">
        <w:t>, 20</w:t>
      </w:r>
      <w:r>
        <w:t>11</w:t>
      </w:r>
      <w:r w:rsidRPr="00BC3027">
        <w:t>, which remains pending.</w:t>
      </w:r>
      <w:r>
        <w:t xml:space="preserve">  </w:t>
      </w:r>
      <w:r w:rsidRPr="00BC3027">
        <w:rPr>
          <w:i/>
          <w:iCs/>
        </w:rPr>
        <w:t>See</w:t>
      </w:r>
      <w:r w:rsidRPr="00BC3027">
        <w:t xml:space="preserve"> File No. BELSTA-</w:t>
      </w:r>
      <w:r>
        <w:t>20110317ACS</w:t>
      </w:r>
      <w:r w:rsidRPr="00BC3027">
        <w:t>.</w:t>
      </w:r>
    </w:p>
  </w:footnote>
  <w:footnote w:id="32">
    <w:p w:rsidR="00C93533" w:rsidRPr="000A6794" w:rsidRDefault="00C93533" w:rsidP="00C93533">
      <w:pPr>
        <w:pStyle w:val="Footer"/>
        <w:spacing w:after="120"/>
        <w:rPr>
          <w:sz w:val="20"/>
        </w:rPr>
      </w:pPr>
      <w:r w:rsidRPr="00F84FEE">
        <w:rPr>
          <w:rStyle w:val="FootnoteReference"/>
          <w:sz w:val="20"/>
        </w:rPr>
        <w:footnoteRef/>
      </w:r>
      <w:r w:rsidRPr="00F84FEE">
        <w:rPr>
          <w:sz w:val="20"/>
        </w:rPr>
        <w:t xml:space="preserve"> </w:t>
      </w:r>
      <w:r>
        <w:rPr>
          <w:sz w:val="20"/>
        </w:rPr>
        <w:t xml:space="preserve">2010 </w:t>
      </w:r>
      <w:r w:rsidRPr="00F84FEE">
        <w:rPr>
          <w:sz w:val="20"/>
        </w:rPr>
        <w:t>Renewal Application, Exhibit 11.</w:t>
      </w:r>
    </w:p>
  </w:footnote>
  <w:footnote w:id="33">
    <w:p w:rsidR="00C93533" w:rsidRPr="000A6794" w:rsidRDefault="00C93533" w:rsidP="00C93533">
      <w:pPr>
        <w:pStyle w:val="Footer"/>
        <w:spacing w:after="120"/>
        <w:rPr>
          <w:sz w:val="20"/>
        </w:rPr>
      </w:pPr>
      <w:r w:rsidRPr="000A6794">
        <w:rPr>
          <w:rStyle w:val="FootnoteReference"/>
          <w:sz w:val="20"/>
        </w:rPr>
        <w:footnoteRef/>
      </w:r>
      <w:r w:rsidRPr="000A6794">
        <w:rPr>
          <w:sz w:val="20"/>
        </w:rPr>
        <w:t xml:space="preserve"> </w:t>
      </w:r>
      <w:smartTag w:uri="urn:schemas-microsoft-com:office:smarttags" w:element="place">
        <w:smartTag w:uri="urn:schemas-microsoft-com:office:smarttags" w:element="State">
          <w:r w:rsidRPr="000A6794">
            <w:rPr>
              <w:i/>
              <w:sz w:val="20"/>
            </w:rPr>
            <w:t>Id.</w:t>
          </w:r>
        </w:smartTag>
      </w:smartTag>
      <w:r>
        <w:rPr>
          <w:sz w:val="20"/>
        </w:rPr>
        <w:t xml:space="preserve">; </w:t>
      </w:r>
      <w:r>
        <w:rPr>
          <w:i/>
          <w:sz w:val="20"/>
        </w:rPr>
        <w:t xml:space="preserve">see also id. </w:t>
      </w:r>
      <w:r w:rsidRPr="00B90D2C">
        <w:rPr>
          <w:sz w:val="20"/>
        </w:rPr>
        <w:t>at</w:t>
      </w:r>
      <w:r>
        <w:rPr>
          <w:sz w:val="20"/>
        </w:rPr>
        <w:t xml:space="preserve"> Exhibit 6.</w:t>
      </w:r>
      <w:r>
        <w:rPr>
          <w:i/>
          <w:sz w:val="20"/>
        </w:rPr>
        <w:t xml:space="preserve"> </w:t>
      </w:r>
    </w:p>
  </w:footnote>
  <w:footnote w:id="34">
    <w:p w:rsidR="00C93533" w:rsidRDefault="00C93533" w:rsidP="00C93533">
      <w:pPr>
        <w:pStyle w:val="FootnoteText"/>
      </w:pPr>
      <w:r>
        <w:rPr>
          <w:rStyle w:val="FootnoteReference"/>
        </w:rPr>
        <w:footnoteRef/>
      </w:r>
      <w:r>
        <w:t xml:space="preserve"> </w:t>
      </w:r>
      <w:r>
        <w:rPr>
          <w:i/>
        </w:rPr>
        <w:t xml:space="preserve">See </w:t>
      </w:r>
      <w:r>
        <w:t xml:space="preserve">the Board’s January 28, 2011, Opposition to Petition to Deny </w:t>
      </w:r>
      <w:r>
        <w:rPr>
          <w:i/>
        </w:rPr>
        <w:t xml:space="preserve"> </w:t>
      </w:r>
      <w:r>
        <w:t>at 12 and Attachment 8 (</w:t>
      </w:r>
      <w:r w:rsidRPr="009309FF">
        <w:t>Larry H. Will, P.E., Engineering Exhibit in Support of Opposition to Petition to Deny)</w:t>
      </w:r>
      <w:r>
        <w:t xml:space="preserve">.  </w:t>
      </w:r>
    </w:p>
  </w:footnote>
  <w:footnote w:id="35">
    <w:p w:rsidR="00C93533" w:rsidRPr="00794E7F" w:rsidRDefault="00C93533" w:rsidP="00C93533">
      <w:pPr>
        <w:pStyle w:val="FootnoteText"/>
      </w:pPr>
      <w:r>
        <w:rPr>
          <w:rStyle w:val="FootnoteReference"/>
        </w:rPr>
        <w:footnoteRef/>
      </w:r>
      <w:r>
        <w:t xml:space="preserve"> </w:t>
      </w:r>
      <w:r>
        <w:rPr>
          <w:i/>
        </w:rPr>
        <w:t xml:space="preserve">See </w:t>
      </w:r>
      <w:r>
        <w:t xml:space="preserve">Modification Application at Exhibit 18, Attachment 18.  In the </w:t>
      </w:r>
      <w:r>
        <w:rPr>
          <w:i/>
        </w:rPr>
        <w:t>Order</w:t>
      </w:r>
      <w:r>
        <w:t xml:space="preserve"> adopting this Consent Decree, the Bureau grants the Modification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47" w:rsidRDefault="0019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E" w:rsidRDefault="001E5D8E">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923292">
      <w:rPr>
        <w:b/>
        <w:spacing w:val="-2"/>
      </w:rPr>
      <w:t>5</w:t>
    </w:r>
    <w:r>
      <w:rPr>
        <w:b/>
        <w:spacing w:val="-2"/>
      </w:rPr>
      <w:t>-</w:t>
    </w:r>
    <w:r w:rsidR="003C7E53">
      <w:rPr>
        <w:b/>
        <w:spacing w:val="-2"/>
      </w:rPr>
      <w:t>880</w:t>
    </w:r>
  </w:p>
  <w:p w:rsidR="001E5D8E" w:rsidRDefault="001E5D8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5492E4EB" wp14:editId="2264EC7B">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5D8E" w:rsidRDefault="001E5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92E4EB"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1E5D8E" w:rsidRDefault="001E5D8E"/>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E" w:rsidRDefault="001E5D8E">
    <w:pPr>
      <w:pStyle w:val="Header"/>
      <w:pBdr>
        <w:bottom w:val="single" w:sz="12" w:space="1" w:color="auto"/>
      </w:pBdr>
      <w:rPr>
        <w:b w:val="0"/>
      </w:rPr>
    </w:pPr>
    <w:r>
      <w:tab/>
      <w:t>Federal Communications Commission</w:t>
    </w:r>
    <w:r>
      <w:tab/>
      <w:t>DA 1</w:t>
    </w:r>
    <w:r w:rsidR="00923292">
      <w:t>5</w:t>
    </w:r>
    <w:r>
      <w:t>-</w:t>
    </w:r>
    <w:r w:rsidR="003C7E53">
      <w:t>880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BC0"/>
    <w:multiLevelType w:val="hybridMultilevel"/>
    <w:tmpl w:val="C13CC188"/>
    <w:lvl w:ilvl="0" w:tplc="93F8F984">
      <w:start w:val="3"/>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
    <w:nsid w:val="0DF05B00"/>
    <w:multiLevelType w:val="hybridMultilevel"/>
    <w:tmpl w:val="1188D4BA"/>
    <w:lvl w:ilvl="0" w:tplc="2336280C">
      <w:start w:val="2"/>
      <w:numFmt w:val="upperRoman"/>
      <w:lvlText w:val="%1."/>
      <w:lvlJc w:val="left"/>
      <w:pPr>
        <w:tabs>
          <w:tab w:val="num" w:pos="725"/>
        </w:tabs>
        <w:ind w:left="725" w:hanging="720"/>
      </w:pPr>
      <w:rPr>
        <w:rFonts w:hint="default"/>
      </w:rPr>
    </w:lvl>
    <w:lvl w:ilvl="1" w:tplc="6A407FFA">
      <w:start w:val="5"/>
      <w:numFmt w:val="decimal"/>
      <w:lvlText w:val="%2."/>
      <w:lvlJc w:val="left"/>
      <w:pPr>
        <w:tabs>
          <w:tab w:val="num" w:pos="1085"/>
        </w:tabs>
        <w:ind w:left="1085" w:hanging="360"/>
      </w:pPr>
      <w:rPr>
        <w:rFonts w:hint="default"/>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
    <w:nsid w:val="11632B02"/>
    <w:multiLevelType w:val="hybridMultilevel"/>
    <w:tmpl w:val="4454CACA"/>
    <w:lvl w:ilvl="0" w:tplc="F7F6220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A1E339F"/>
    <w:multiLevelType w:val="hybridMultilevel"/>
    <w:tmpl w:val="18F8598C"/>
    <w:lvl w:ilvl="0" w:tplc="2CC2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A5EE5"/>
    <w:multiLevelType w:val="hybridMultilevel"/>
    <w:tmpl w:val="9BF0D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F03F0A"/>
    <w:multiLevelType w:val="hybridMultilevel"/>
    <w:tmpl w:val="194CED34"/>
    <w:lvl w:ilvl="0" w:tplc="0EF0794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AB1DF3"/>
    <w:multiLevelType w:val="hybridMultilevel"/>
    <w:tmpl w:val="43102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E2B398A"/>
    <w:multiLevelType w:val="hybridMultilevel"/>
    <w:tmpl w:val="5E985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1F24D8"/>
    <w:multiLevelType w:val="hybridMultilevel"/>
    <w:tmpl w:val="BA3E8952"/>
    <w:lvl w:ilvl="0" w:tplc="D3FCF2EA">
      <w:start w:val="12"/>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C507C1"/>
    <w:multiLevelType w:val="hybridMultilevel"/>
    <w:tmpl w:val="F6604D80"/>
    <w:lvl w:ilvl="0" w:tplc="CBDC4498">
      <w:start w:val="2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CE4377"/>
    <w:multiLevelType w:val="hybridMultilevel"/>
    <w:tmpl w:val="284419BA"/>
    <w:lvl w:ilvl="0" w:tplc="5F32823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080DA9"/>
    <w:multiLevelType w:val="hybridMultilevel"/>
    <w:tmpl w:val="73CCB580"/>
    <w:lvl w:ilvl="0" w:tplc="D1E82660">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57251C"/>
    <w:multiLevelType w:val="hybridMultilevel"/>
    <w:tmpl w:val="AB263F30"/>
    <w:lvl w:ilvl="0" w:tplc="ABFECCF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3F6476D"/>
    <w:multiLevelType w:val="hybridMultilevel"/>
    <w:tmpl w:val="0EBCA1CA"/>
    <w:lvl w:ilvl="0" w:tplc="136EDFD8">
      <w:start w:val="2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2C6D75"/>
    <w:multiLevelType w:val="hybridMultilevel"/>
    <w:tmpl w:val="D36C83D4"/>
    <w:lvl w:ilvl="0" w:tplc="7C369AA2">
      <w:start w:val="8"/>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E3403B"/>
    <w:multiLevelType w:val="hybridMultilevel"/>
    <w:tmpl w:val="242ACE96"/>
    <w:lvl w:ilvl="0" w:tplc="B75E3CF6">
      <w:start w:val="1"/>
      <w:numFmt w:val="decimal"/>
      <w:lvlText w:val="%1."/>
      <w:lvlJc w:val="left"/>
      <w:pPr>
        <w:tabs>
          <w:tab w:val="num" w:pos="1085"/>
        </w:tabs>
        <w:ind w:left="1085" w:hanging="360"/>
      </w:pPr>
      <w:rPr>
        <w:rFonts w:hint="default"/>
        <w:color w:val="000000"/>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17">
    <w:nsid w:val="67DF262E"/>
    <w:multiLevelType w:val="hybridMultilevel"/>
    <w:tmpl w:val="E736C274"/>
    <w:lvl w:ilvl="0" w:tplc="F4E8FEC8">
      <w:start w:val="1"/>
      <w:numFmt w:val="decimal"/>
      <w:lvlText w:val="%1."/>
      <w:lvlJc w:val="left"/>
      <w:pPr>
        <w:tabs>
          <w:tab w:val="num" w:pos="1152"/>
        </w:tabs>
        <w:ind w:left="0" w:firstLine="576"/>
      </w:pPr>
      <w:rPr>
        <w:rFonts w:hint="default"/>
        <w:b w:val="0"/>
        <w:i w:val="0"/>
        <w:sz w:val="22"/>
        <w:vertAlign w:val="baseline"/>
      </w:rPr>
    </w:lvl>
    <w:lvl w:ilvl="1" w:tplc="17BE1466">
      <w:start w:val="6"/>
      <w:numFmt w:val="decimal"/>
      <w:lvlText w:val="%2."/>
      <w:lvlJc w:val="left"/>
      <w:pPr>
        <w:tabs>
          <w:tab w:val="num" w:pos="1206"/>
        </w:tabs>
        <w:ind w:left="54" w:firstLine="576"/>
      </w:pPr>
      <w:rPr>
        <w:rFonts w:hint="default"/>
        <w:b w:val="0"/>
        <w:i w:val="0"/>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41D46"/>
    <w:multiLevelType w:val="hybridMultilevel"/>
    <w:tmpl w:val="900A6654"/>
    <w:lvl w:ilvl="0" w:tplc="BEFE8CCA">
      <w:start w:val="15"/>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609764D"/>
    <w:multiLevelType w:val="hybridMultilevel"/>
    <w:tmpl w:val="4FC4973A"/>
    <w:lvl w:ilvl="0" w:tplc="8FA2BBF4">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
  </w:num>
  <w:num w:numId="3">
    <w:abstractNumId w:val="7"/>
  </w:num>
  <w:num w:numId="4">
    <w:abstractNumId w:val="13"/>
  </w:num>
  <w:num w:numId="5">
    <w:abstractNumId w:val="12"/>
  </w:num>
  <w:num w:numId="6">
    <w:abstractNumId w:val="9"/>
  </w:num>
  <w:num w:numId="7">
    <w:abstractNumId w:val="11"/>
  </w:num>
  <w:num w:numId="8">
    <w:abstractNumId w:val="5"/>
  </w:num>
  <w:num w:numId="9">
    <w:abstractNumId w:val="0"/>
  </w:num>
  <w:num w:numId="10">
    <w:abstractNumId w:val="10"/>
  </w:num>
  <w:num w:numId="11">
    <w:abstractNumId w:val="14"/>
  </w:num>
  <w:num w:numId="12">
    <w:abstractNumId w:val="16"/>
  </w:num>
  <w:num w:numId="13">
    <w:abstractNumId w:val="20"/>
  </w:num>
  <w:num w:numId="14">
    <w:abstractNumId w:val="8"/>
  </w:num>
  <w:num w:numId="15">
    <w:abstractNumId w:val="4"/>
  </w:num>
  <w:num w:numId="16">
    <w:abstractNumId w:val="6"/>
  </w:num>
  <w:num w:numId="17">
    <w:abstractNumId w:val="18"/>
  </w:num>
  <w:num w:numId="18">
    <w:abstractNumId w:val="15"/>
  </w:num>
  <w:num w:numId="19">
    <w:abstractNumId w:val="1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15"/>
    <w:rsid w:val="00006E8E"/>
    <w:rsid w:val="00016875"/>
    <w:rsid w:val="0001698F"/>
    <w:rsid w:val="0002088A"/>
    <w:rsid w:val="000209BE"/>
    <w:rsid w:val="00021A3B"/>
    <w:rsid w:val="00023757"/>
    <w:rsid w:val="00026513"/>
    <w:rsid w:val="000268ED"/>
    <w:rsid w:val="00027260"/>
    <w:rsid w:val="00027462"/>
    <w:rsid w:val="00031055"/>
    <w:rsid w:val="00036037"/>
    <w:rsid w:val="00036230"/>
    <w:rsid w:val="00042CE3"/>
    <w:rsid w:val="00043A77"/>
    <w:rsid w:val="000510A5"/>
    <w:rsid w:val="000514B9"/>
    <w:rsid w:val="00054C4C"/>
    <w:rsid w:val="00055745"/>
    <w:rsid w:val="00055FDC"/>
    <w:rsid w:val="0006222E"/>
    <w:rsid w:val="00064C9D"/>
    <w:rsid w:val="00067386"/>
    <w:rsid w:val="00071B3C"/>
    <w:rsid w:val="00072212"/>
    <w:rsid w:val="000745A7"/>
    <w:rsid w:val="00075E82"/>
    <w:rsid w:val="00080940"/>
    <w:rsid w:val="0008132B"/>
    <w:rsid w:val="0009148E"/>
    <w:rsid w:val="00091B67"/>
    <w:rsid w:val="00092DC0"/>
    <w:rsid w:val="00092FE5"/>
    <w:rsid w:val="000A1B4E"/>
    <w:rsid w:val="000A2F67"/>
    <w:rsid w:val="000A30C5"/>
    <w:rsid w:val="000A5E90"/>
    <w:rsid w:val="000A63A8"/>
    <w:rsid w:val="000A6794"/>
    <w:rsid w:val="000B0CF2"/>
    <w:rsid w:val="000B2683"/>
    <w:rsid w:val="000B2E83"/>
    <w:rsid w:val="000B38A6"/>
    <w:rsid w:val="000B38BC"/>
    <w:rsid w:val="000B3BEB"/>
    <w:rsid w:val="000B563C"/>
    <w:rsid w:val="000B5F5E"/>
    <w:rsid w:val="000B7C97"/>
    <w:rsid w:val="000C0E32"/>
    <w:rsid w:val="000C6C1B"/>
    <w:rsid w:val="000C71A2"/>
    <w:rsid w:val="000C7B6B"/>
    <w:rsid w:val="000D2CBB"/>
    <w:rsid w:val="000D39EA"/>
    <w:rsid w:val="000D3CAD"/>
    <w:rsid w:val="000D4ACB"/>
    <w:rsid w:val="000D5D63"/>
    <w:rsid w:val="000D6945"/>
    <w:rsid w:val="000E0BFD"/>
    <w:rsid w:val="000E18BD"/>
    <w:rsid w:val="000E41DF"/>
    <w:rsid w:val="000F3DEA"/>
    <w:rsid w:val="000F4184"/>
    <w:rsid w:val="00100844"/>
    <w:rsid w:val="001011CD"/>
    <w:rsid w:val="00104488"/>
    <w:rsid w:val="001054A8"/>
    <w:rsid w:val="00113FD9"/>
    <w:rsid w:val="0011543B"/>
    <w:rsid w:val="0011657C"/>
    <w:rsid w:val="00124579"/>
    <w:rsid w:val="00124A1E"/>
    <w:rsid w:val="00125332"/>
    <w:rsid w:val="00131020"/>
    <w:rsid w:val="00141C29"/>
    <w:rsid w:val="001420BC"/>
    <w:rsid w:val="00142DA4"/>
    <w:rsid w:val="001445ED"/>
    <w:rsid w:val="00145CC7"/>
    <w:rsid w:val="00160AC8"/>
    <w:rsid w:val="001611E3"/>
    <w:rsid w:val="00162AE1"/>
    <w:rsid w:val="00163965"/>
    <w:rsid w:val="00170992"/>
    <w:rsid w:val="00173875"/>
    <w:rsid w:val="00174776"/>
    <w:rsid w:val="00175300"/>
    <w:rsid w:val="001755CB"/>
    <w:rsid w:val="001764FD"/>
    <w:rsid w:val="00177FA9"/>
    <w:rsid w:val="0018071C"/>
    <w:rsid w:val="0018198B"/>
    <w:rsid w:val="0018311D"/>
    <w:rsid w:val="0018503F"/>
    <w:rsid w:val="001850EF"/>
    <w:rsid w:val="00191FC7"/>
    <w:rsid w:val="001934F1"/>
    <w:rsid w:val="00194047"/>
    <w:rsid w:val="00196042"/>
    <w:rsid w:val="001A23F9"/>
    <w:rsid w:val="001A2610"/>
    <w:rsid w:val="001B16BF"/>
    <w:rsid w:val="001B5182"/>
    <w:rsid w:val="001B704E"/>
    <w:rsid w:val="001B782C"/>
    <w:rsid w:val="001C19D6"/>
    <w:rsid w:val="001C1A6F"/>
    <w:rsid w:val="001C4B43"/>
    <w:rsid w:val="001D107B"/>
    <w:rsid w:val="001D1469"/>
    <w:rsid w:val="001D1B0F"/>
    <w:rsid w:val="001D493C"/>
    <w:rsid w:val="001D620C"/>
    <w:rsid w:val="001D7603"/>
    <w:rsid w:val="001E024D"/>
    <w:rsid w:val="001E17D0"/>
    <w:rsid w:val="001E35B5"/>
    <w:rsid w:val="001E3881"/>
    <w:rsid w:val="001E48E0"/>
    <w:rsid w:val="001E5D8E"/>
    <w:rsid w:val="001E6335"/>
    <w:rsid w:val="001F17F4"/>
    <w:rsid w:val="001F1E9F"/>
    <w:rsid w:val="001F4C4D"/>
    <w:rsid w:val="001F67E4"/>
    <w:rsid w:val="001F76F7"/>
    <w:rsid w:val="0020239F"/>
    <w:rsid w:val="002119B8"/>
    <w:rsid w:val="00214388"/>
    <w:rsid w:val="002144CA"/>
    <w:rsid w:val="00220852"/>
    <w:rsid w:val="00221C5D"/>
    <w:rsid w:val="00222129"/>
    <w:rsid w:val="00222683"/>
    <w:rsid w:val="00222D7F"/>
    <w:rsid w:val="00223281"/>
    <w:rsid w:val="00223F40"/>
    <w:rsid w:val="002255B5"/>
    <w:rsid w:val="00231B15"/>
    <w:rsid w:val="002323A8"/>
    <w:rsid w:val="00232784"/>
    <w:rsid w:val="002329B0"/>
    <w:rsid w:val="002334D6"/>
    <w:rsid w:val="0024016A"/>
    <w:rsid w:val="00241894"/>
    <w:rsid w:val="00241AA5"/>
    <w:rsid w:val="00241FAF"/>
    <w:rsid w:val="00245A3C"/>
    <w:rsid w:val="00252331"/>
    <w:rsid w:val="0025336C"/>
    <w:rsid w:val="0025405E"/>
    <w:rsid w:val="00254D77"/>
    <w:rsid w:val="00254F9B"/>
    <w:rsid w:val="00257B3E"/>
    <w:rsid w:val="0026029A"/>
    <w:rsid w:val="00260581"/>
    <w:rsid w:val="002605D3"/>
    <w:rsid w:val="0026396A"/>
    <w:rsid w:val="0026772A"/>
    <w:rsid w:val="002705A9"/>
    <w:rsid w:val="00270EA6"/>
    <w:rsid w:val="0027160C"/>
    <w:rsid w:val="002726CF"/>
    <w:rsid w:val="00273965"/>
    <w:rsid w:val="00277398"/>
    <w:rsid w:val="00280644"/>
    <w:rsid w:val="00280809"/>
    <w:rsid w:val="00282AF3"/>
    <w:rsid w:val="0028510A"/>
    <w:rsid w:val="0028511D"/>
    <w:rsid w:val="002866B6"/>
    <w:rsid w:val="00293CC6"/>
    <w:rsid w:val="00296DBF"/>
    <w:rsid w:val="00297558"/>
    <w:rsid w:val="002A13E6"/>
    <w:rsid w:val="002A32F9"/>
    <w:rsid w:val="002A3BC9"/>
    <w:rsid w:val="002A4B0A"/>
    <w:rsid w:val="002A61B2"/>
    <w:rsid w:val="002A704D"/>
    <w:rsid w:val="002A7EAA"/>
    <w:rsid w:val="002B14D2"/>
    <w:rsid w:val="002B57E7"/>
    <w:rsid w:val="002B63C1"/>
    <w:rsid w:val="002B6E5F"/>
    <w:rsid w:val="002B775F"/>
    <w:rsid w:val="002B7E77"/>
    <w:rsid w:val="002C1331"/>
    <w:rsid w:val="002C19D6"/>
    <w:rsid w:val="002D37BF"/>
    <w:rsid w:val="002D597F"/>
    <w:rsid w:val="002D74D8"/>
    <w:rsid w:val="002E2DD9"/>
    <w:rsid w:val="002E2E91"/>
    <w:rsid w:val="002E483F"/>
    <w:rsid w:val="002E77C9"/>
    <w:rsid w:val="002F1AAF"/>
    <w:rsid w:val="002F2702"/>
    <w:rsid w:val="002F2CB8"/>
    <w:rsid w:val="002F448D"/>
    <w:rsid w:val="002F5B86"/>
    <w:rsid w:val="002F64C8"/>
    <w:rsid w:val="002F7A82"/>
    <w:rsid w:val="00300852"/>
    <w:rsid w:val="00304D57"/>
    <w:rsid w:val="003050AB"/>
    <w:rsid w:val="003051CE"/>
    <w:rsid w:val="00305272"/>
    <w:rsid w:val="00306436"/>
    <w:rsid w:val="00306493"/>
    <w:rsid w:val="003064AA"/>
    <w:rsid w:val="0031329C"/>
    <w:rsid w:val="00322395"/>
    <w:rsid w:val="003236DF"/>
    <w:rsid w:val="0032397B"/>
    <w:rsid w:val="00326235"/>
    <w:rsid w:val="003268A6"/>
    <w:rsid w:val="00332C73"/>
    <w:rsid w:val="003356EB"/>
    <w:rsid w:val="00335BA0"/>
    <w:rsid w:val="00346ED3"/>
    <w:rsid w:val="003573B1"/>
    <w:rsid w:val="00360D8E"/>
    <w:rsid w:val="00361CCC"/>
    <w:rsid w:val="0036292A"/>
    <w:rsid w:val="003629D3"/>
    <w:rsid w:val="00363D6A"/>
    <w:rsid w:val="003663B3"/>
    <w:rsid w:val="003672E1"/>
    <w:rsid w:val="0037164D"/>
    <w:rsid w:val="00371F58"/>
    <w:rsid w:val="0037385B"/>
    <w:rsid w:val="00373B77"/>
    <w:rsid w:val="00374E50"/>
    <w:rsid w:val="00375A3A"/>
    <w:rsid w:val="003769A1"/>
    <w:rsid w:val="0037709C"/>
    <w:rsid w:val="0038103C"/>
    <w:rsid w:val="00381C94"/>
    <w:rsid w:val="00383B8C"/>
    <w:rsid w:val="00383CBA"/>
    <w:rsid w:val="003849BE"/>
    <w:rsid w:val="00392171"/>
    <w:rsid w:val="003952C8"/>
    <w:rsid w:val="00396A19"/>
    <w:rsid w:val="003A1B45"/>
    <w:rsid w:val="003A2359"/>
    <w:rsid w:val="003A337C"/>
    <w:rsid w:val="003A5E1E"/>
    <w:rsid w:val="003A644B"/>
    <w:rsid w:val="003A6452"/>
    <w:rsid w:val="003A7A9C"/>
    <w:rsid w:val="003B01AA"/>
    <w:rsid w:val="003B275C"/>
    <w:rsid w:val="003B32C6"/>
    <w:rsid w:val="003B4077"/>
    <w:rsid w:val="003C00EA"/>
    <w:rsid w:val="003C0764"/>
    <w:rsid w:val="003C346E"/>
    <w:rsid w:val="003C349E"/>
    <w:rsid w:val="003C35DE"/>
    <w:rsid w:val="003C638D"/>
    <w:rsid w:val="003C64EE"/>
    <w:rsid w:val="003C7E53"/>
    <w:rsid w:val="003D0AA4"/>
    <w:rsid w:val="003D15C8"/>
    <w:rsid w:val="003D3FE6"/>
    <w:rsid w:val="003D44BC"/>
    <w:rsid w:val="003D4A59"/>
    <w:rsid w:val="003D65C7"/>
    <w:rsid w:val="003E1212"/>
    <w:rsid w:val="003E1CA2"/>
    <w:rsid w:val="003E27D0"/>
    <w:rsid w:val="003E5792"/>
    <w:rsid w:val="003E64B7"/>
    <w:rsid w:val="003E689F"/>
    <w:rsid w:val="003F077F"/>
    <w:rsid w:val="003F1F8F"/>
    <w:rsid w:val="003F41B9"/>
    <w:rsid w:val="003F4768"/>
    <w:rsid w:val="003F597D"/>
    <w:rsid w:val="003F5E47"/>
    <w:rsid w:val="003F6B48"/>
    <w:rsid w:val="003F7B85"/>
    <w:rsid w:val="00400D56"/>
    <w:rsid w:val="00406551"/>
    <w:rsid w:val="00413195"/>
    <w:rsid w:val="004230AA"/>
    <w:rsid w:val="0042407C"/>
    <w:rsid w:val="00425C6C"/>
    <w:rsid w:val="00427963"/>
    <w:rsid w:val="00431CA5"/>
    <w:rsid w:val="004329E5"/>
    <w:rsid w:val="00434441"/>
    <w:rsid w:val="0043570F"/>
    <w:rsid w:val="00435E92"/>
    <w:rsid w:val="00436EF3"/>
    <w:rsid w:val="00436FCA"/>
    <w:rsid w:val="00442158"/>
    <w:rsid w:val="00443A04"/>
    <w:rsid w:val="00444D92"/>
    <w:rsid w:val="00447BB9"/>
    <w:rsid w:val="00452190"/>
    <w:rsid w:val="0045318F"/>
    <w:rsid w:val="00454A83"/>
    <w:rsid w:val="00455724"/>
    <w:rsid w:val="00455E87"/>
    <w:rsid w:val="0045773A"/>
    <w:rsid w:val="00457E75"/>
    <w:rsid w:val="004610E4"/>
    <w:rsid w:val="00461E1A"/>
    <w:rsid w:val="00463F62"/>
    <w:rsid w:val="00466B42"/>
    <w:rsid w:val="00467AD4"/>
    <w:rsid w:val="00476B63"/>
    <w:rsid w:val="00482947"/>
    <w:rsid w:val="004846B8"/>
    <w:rsid w:val="00491C6D"/>
    <w:rsid w:val="00492375"/>
    <w:rsid w:val="004952BC"/>
    <w:rsid w:val="004A2535"/>
    <w:rsid w:val="004A2D4B"/>
    <w:rsid w:val="004A34F5"/>
    <w:rsid w:val="004B0399"/>
    <w:rsid w:val="004B7242"/>
    <w:rsid w:val="004C1038"/>
    <w:rsid w:val="004C10C5"/>
    <w:rsid w:val="004D3AA2"/>
    <w:rsid w:val="004D44BE"/>
    <w:rsid w:val="004E0479"/>
    <w:rsid w:val="004E1B00"/>
    <w:rsid w:val="004E4FEB"/>
    <w:rsid w:val="004E59DE"/>
    <w:rsid w:val="004F094B"/>
    <w:rsid w:val="004F0983"/>
    <w:rsid w:val="004F5CB2"/>
    <w:rsid w:val="00501349"/>
    <w:rsid w:val="00503635"/>
    <w:rsid w:val="00503E68"/>
    <w:rsid w:val="00504C2B"/>
    <w:rsid w:val="00504FB2"/>
    <w:rsid w:val="00505EA3"/>
    <w:rsid w:val="00510EEE"/>
    <w:rsid w:val="00511B30"/>
    <w:rsid w:val="005134BB"/>
    <w:rsid w:val="00517420"/>
    <w:rsid w:val="005178CD"/>
    <w:rsid w:val="00520F6C"/>
    <w:rsid w:val="005233CE"/>
    <w:rsid w:val="005234AE"/>
    <w:rsid w:val="0052540F"/>
    <w:rsid w:val="005264BD"/>
    <w:rsid w:val="005266CB"/>
    <w:rsid w:val="00535E9F"/>
    <w:rsid w:val="0054018B"/>
    <w:rsid w:val="00542B81"/>
    <w:rsid w:val="00543FED"/>
    <w:rsid w:val="005474E9"/>
    <w:rsid w:val="00553F65"/>
    <w:rsid w:val="00555278"/>
    <w:rsid w:val="00565410"/>
    <w:rsid w:val="0056667B"/>
    <w:rsid w:val="005717A7"/>
    <w:rsid w:val="00574810"/>
    <w:rsid w:val="00574879"/>
    <w:rsid w:val="00575CF2"/>
    <w:rsid w:val="00581730"/>
    <w:rsid w:val="00582576"/>
    <w:rsid w:val="00582740"/>
    <w:rsid w:val="0058405D"/>
    <w:rsid w:val="00584D57"/>
    <w:rsid w:val="00585625"/>
    <w:rsid w:val="00586519"/>
    <w:rsid w:val="00587051"/>
    <w:rsid w:val="00591356"/>
    <w:rsid w:val="00591A3F"/>
    <w:rsid w:val="005924F2"/>
    <w:rsid w:val="00593195"/>
    <w:rsid w:val="00593A50"/>
    <w:rsid w:val="0059486B"/>
    <w:rsid w:val="005A04D0"/>
    <w:rsid w:val="005A0B4E"/>
    <w:rsid w:val="005A24B6"/>
    <w:rsid w:val="005A6021"/>
    <w:rsid w:val="005B0948"/>
    <w:rsid w:val="005B19B2"/>
    <w:rsid w:val="005B3740"/>
    <w:rsid w:val="005B63E2"/>
    <w:rsid w:val="005C09F9"/>
    <w:rsid w:val="005C4E95"/>
    <w:rsid w:val="005C5517"/>
    <w:rsid w:val="005C7109"/>
    <w:rsid w:val="005D1870"/>
    <w:rsid w:val="005D229B"/>
    <w:rsid w:val="005D4395"/>
    <w:rsid w:val="005D584E"/>
    <w:rsid w:val="005D5E2D"/>
    <w:rsid w:val="005D69A2"/>
    <w:rsid w:val="005E1401"/>
    <w:rsid w:val="005E14A6"/>
    <w:rsid w:val="005E1DFA"/>
    <w:rsid w:val="005E4D2E"/>
    <w:rsid w:val="005E5642"/>
    <w:rsid w:val="005E6FF9"/>
    <w:rsid w:val="005F1A38"/>
    <w:rsid w:val="005F28CD"/>
    <w:rsid w:val="005F32FE"/>
    <w:rsid w:val="0060120B"/>
    <w:rsid w:val="00604304"/>
    <w:rsid w:val="006047C5"/>
    <w:rsid w:val="0060561B"/>
    <w:rsid w:val="00610A12"/>
    <w:rsid w:val="00611C02"/>
    <w:rsid w:val="00615374"/>
    <w:rsid w:val="00615F2B"/>
    <w:rsid w:val="00620AF7"/>
    <w:rsid w:val="006223DD"/>
    <w:rsid w:val="00622697"/>
    <w:rsid w:val="00623275"/>
    <w:rsid w:val="006245C9"/>
    <w:rsid w:val="00624CC1"/>
    <w:rsid w:val="006254D0"/>
    <w:rsid w:val="00626B34"/>
    <w:rsid w:val="006309FD"/>
    <w:rsid w:val="006369CB"/>
    <w:rsid w:val="006414F2"/>
    <w:rsid w:val="00642426"/>
    <w:rsid w:val="00643700"/>
    <w:rsid w:val="0064541F"/>
    <w:rsid w:val="00646EC5"/>
    <w:rsid w:val="0064703F"/>
    <w:rsid w:val="00650922"/>
    <w:rsid w:val="0065158A"/>
    <w:rsid w:val="00653A31"/>
    <w:rsid w:val="00655ACD"/>
    <w:rsid w:val="0065640D"/>
    <w:rsid w:val="00656A39"/>
    <w:rsid w:val="006614EB"/>
    <w:rsid w:val="00661F60"/>
    <w:rsid w:val="006641D2"/>
    <w:rsid w:val="00666B2A"/>
    <w:rsid w:val="00671A66"/>
    <w:rsid w:val="006728DF"/>
    <w:rsid w:val="00673529"/>
    <w:rsid w:val="00675A1B"/>
    <w:rsid w:val="00676AE1"/>
    <w:rsid w:val="006810EA"/>
    <w:rsid w:val="00682911"/>
    <w:rsid w:val="00687E94"/>
    <w:rsid w:val="00690D54"/>
    <w:rsid w:val="00690ED2"/>
    <w:rsid w:val="006928BC"/>
    <w:rsid w:val="006928CD"/>
    <w:rsid w:val="00692BF8"/>
    <w:rsid w:val="00692FB1"/>
    <w:rsid w:val="00694E4F"/>
    <w:rsid w:val="00697E69"/>
    <w:rsid w:val="006A0CAB"/>
    <w:rsid w:val="006A20DF"/>
    <w:rsid w:val="006A2A1B"/>
    <w:rsid w:val="006A2C07"/>
    <w:rsid w:val="006A53FC"/>
    <w:rsid w:val="006A735E"/>
    <w:rsid w:val="006A7B88"/>
    <w:rsid w:val="006B1EEF"/>
    <w:rsid w:val="006B2292"/>
    <w:rsid w:val="006B6582"/>
    <w:rsid w:val="006B673D"/>
    <w:rsid w:val="006C0655"/>
    <w:rsid w:val="006C0C8E"/>
    <w:rsid w:val="006C1E83"/>
    <w:rsid w:val="006C45F3"/>
    <w:rsid w:val="006C6DE5"/>
    <w:rsid w:val="006C70FE"/>
    <w:rsid w:val="006D0DCA"/>
    <w:rsid w:val="006D5345"/>
    <w:rsid w:val="006D53E0"/>
    <w:rsid w:val="006D57F4"/>
    <w:rsid w:val="006D6212"/>
    <w:rsid w:val="006E06AE"/>
    <w:rsid w:val="006E2A21"/>
    <w:rsid w:val="006E5294"/>
    <w:rsid w:val="006E6A93"/>
    <w:rsid w:val="006E724B"/>
    <w:rsid w:val="006F04AC"/>
    <w:rsid w:val="006F33B1"/>
    <w:rsid w:val="006F46B6"/>
    <w:rsid w:val="006F6A5B"/>
    <w:rsid w:val="0070064E"/>
    <w:rsid w:val="00700BD9"/>
    <w:rsid w:val="00703997"/>
    <w:rsid w:val="00704BF5"/>
    <w:rsid w:val="007055BD"/>
    <w:rsid w:val="007116C0"/>
    <w:rsid w:val="007123D2"/>
    <w:rsid w:val="0071765E"/>
    <w:rsid w:val="00721BDD"/>
    <w:rsid w:val="00732F00"/>
    <w:rsid w:val="00734EC4"/>
    <w:rsid w:val="00736178"/>
    <w:rsid w:val="00741F57"/>
    <w:rsid w:val="0074402E"/>
    <w:rsid w:val="00747A93"/>
    <w:rsid w:val="00750133"/>
    <w:rsid w:val="00754219"/>
    <w:rsid w:val="0075730C"/>
    <w:rsid w:val="00760FE0"/>
    <w:rsid w:val="00763D6A"/>
    <w:rsid w:val="0076424B"/>
    <w:rsid w:val="00766B61"/>
    <w:rsid w:val="007670F9"/>
    <w:rsid w:val="00771B82"/>
    <w:rsid w:val="007726A5"/>
    <w:rsid w:val="00772A95"/>
    <w:rsid w:val="00774267"/>
    <w:rsid w:val="00776711"/>
    <w:rsid w:val="00777DB5"/>
    <w:rsid w:val="00780925"/>
    <w:rsid w:val="00780D53"/>
    <w:rsid w:val="00791594"/>
    <w:rsid w:val="007938B7"/>
    <w:rsid w:val="007A18BC"/>
    <w:rsid w:val="007A46AA"/>
    <w:rsid w:val="007A56CC"/>
    <w:rsid w:val="007A7427"/>
    <w:rsid w:val="007A7704"/>
    <w:rsid w:val="007A7B8F"/>
    <w:rsid w:val="007B12AD"/>
    <w:rsid w:val="007B34C5"/>
    <w:rsid w:val="007B4733"/>
    <w:rsid w:val="007B6213"/>
    <w:rsid w:val="007B6A47"/>
    <w:rsid w:val="007C1821"/>
    <w:rsid w:val="007C18FA"/>
    <w:rsid w:val="007C2355"/>
    <w:rsid w:val="007C2CDE"/>
    <w:rsid w:val="007C41C2"/>
    <w:rsid w:val="007C4779"/>
    <w:rsid w:val="007C6770"/>
    <w:rsid w:val="007D0B18"/>
    <w:rsid w:val="007D1A88"/>
    <w:rsid w:val="007D1D83"/>
    <w:rsid w:val="007D31E3"/>
    <w:rsid w:val="007D61E8"/>
    <w:rsid w:val="007D64B7"/>
    <w:rsid w:val="007D7FB1"/>
    <w:rsid w:val="007E4343"/>
    <w:rsid w:val="007E4AE7"/>
    <w:rsid w:val="007E5127"/>
    <w:rsid w:val="007F0BD6"/>
    <w:rsid w:val="007F2491"/>
    <w:rsid w:val="007F25DA"/>
    <w:rsid w:val="007F2EAF"/>
    <w:rsid w:val="007F3359"/>
    <w:rsid w:val="007F564F"/>
    <w:rsid w:val="007F5DE7"/>
    <w:rsid w:val="007F72D5"/>
    <w:rsid w:val="0080073D"/>
    <w:rsid w:val="00800C79"/>
    <w:rsid w:val="00804770"/>
    <w:rsid w:val="00805503"/>
    <w:rsid w:val="008055F7"/>
    <w:rsid w:val="008064CC"/>
    <w:rsid w:val="00807C63"/>
    <w:rsid w:val="008102BA"/>
    <w:rsid w:val="0081254B"/>
    <w:rsid w:val="00814AC0"/>
    <w:rsid w:val="0081665F"/>
    <w:rsid w:val="00821453"/>
    <w:rsid w:val="00821856"/>
    <w:rsid w:val="008235EC"/>
    <w:rsid w:val="008258DF"/>
    <w:rsid w:val="00826FCA"/>
    <w:rsid w:val="008303B0"/>
    <w:rsid w:val="00830B7A"/>
    <w:rsid w:val="00831059"/>
    <w:rsid w:val="00833CE1"/>
    <w:rsid w:val="00841957"/>
    <w:rsid w:val="00841FCB"/>
    <w:rsid w:val="0084212C"/>
    <w:rsid w:val="008443EE"/>
    <w:rsid w:val="00845E0D"/>
    <w:rsid w:val="00846FFD"/>
    <w:rsid w:val="00847AF9"/>
    <w:rsid w:val="00853AC3"/>
    <w:rsid w:val="008565B5"/>
    <w:rsid w:val="00862AEF"/>
    <w:rsid w:val="00863028"/>
    <w:rsid w:val="008640A4"/>
    <w:rsid w:val="008671EF"/>
    <w:rsid w:val="0087543F"/>
    <w:rsid w:val="008761E7"/>
    <w:rsid w:val="0088026D"/>
    <w:rsid w:val="0088735F"/>
    <w:rsid w:val="00890B20"/>
    <w:rsid w:val="00890C74"/>
    <w:rsid w:val="00893722"/>
    <w:rsid w:val="00894A2F"/>
    <w:rsid w:val="00894F26"/>
    <w:rsid w:val="00895A9F"/>
    <w:rsid w:val="00895F28"/>
    <w:rsid w:val="008979C7"/>
    <w:rsid w:val="008A2521"/>
    <w:rsid w:val="008A351A"/>
    <w:rsid w:val="008A6531"/>
    <w:rsid w:val="008A6F1A"/>
    <w:rsid w:val="008B0772"/>
    <w:rsid w:val="008B6D81"/>
    <w:rsid w:val="008C0007"/>
    <w:rsid w:val="008C4884"/>
    <w:rsid w:val="008C576A"/>
    <w:rsid w:val="008C6E7B"/>
    <w:rsid w:val="008C70D5"/>
    <w:rsid w:val="008C7E6C"/>
    <w:rsid w:val="008D07DE"/>
    <w:rsid w:val="008D416E"/>
    <w:rsid w:val="008D7C93"/>
    <w:rsid w:val="008E2663"/>
    <w:rsid w:val="008E344A"/>
    <w:rsid w:val="008E380C"/>
    <w:rsid w:val="008E4787"/>
    <w:rsid w:val="008E7962"/>
    <w:rsid w:val="008F0C87"/>
    <w:rsid w:val="008F35B7"/>
    <w:rsid w:val="008F7145"/>
    <w:rsid w:val="008F7AA1"/>
    <w:rsid w:val="009020CD"/>
    <w:rsid w:val="00906204"/>
    <w:rsid w:val="00911BAF"/>
    <w:rsid w:val="00912E36"/>
    <w:rsid w:val="00914FA1"/>
    <w:rsid w:val="00915603"/>
    <w:rsid w:val="0091639E"/>
    <w:rsid w:val="00916C86"/>
    <w:rsid w:val="00917806"/>
    <w:rsid w:val="00917911"/>
    <w:rsid w:val="00917BD3"/>
    <w:rsid w:val="00920BB3"/>
    <w:rsid w:val="00920E12"/>
    <w:rsid w:val="00923292"/>
    <w:rsid w:val="00924411"/>
    <w:rsid w:val="00927A11"/>
    <w:rsid w:val="009309FF"/>
    <w:rsid w:val="0093142D"/>
    <w:rsid w:val="00932439"/>
    <w:rsid w:val="0093288E"/>
    <w:rsid w:val="00933EBE"/>
    <w:rsid w:val="009344CF"/>
    <w:rsid w:val="00935C9A"/>
    <w:rsid w:val="0093682F"/>
    <w:rsid w:val="00937910"/>
    <w:rsid w:val="009400DC"/>
    <w:rsid w:val="00943828"/>
    <w:rsid w:val="00944D37"/>
    <w:rsid w:val="00944F27"/>
    <w:rsid w:val="00945F8E"/>
    <w:rsid w:val="00950B7B"/>
    <w:rsid w:val="009516E2"/>
    <w:rsid w:val="00954E35"/>
    <w:rsid w:val="00955058"/>
    <w:rsid w:val="0095796C"/>
    <w:rsid w:val="00957B45"/>
    <w:rsid w:val="00960F92"/>
    <w:rsid w:val="00961D1E"/>
    <w:rsid w:val="00965422"/>
    <w:rsid w:val="00966515"/>
    <w:rsid w:val="00966BCE"/>
    <w:rsid w:val="00972A29"/>
    <w:rsid w:val="00974F2D"/>
    <w:rsid w:val="009759ED"/>
    <w:rsid w:val="00976371"/>
    <w:rsid w:val="00981D71"/>
    <w:rsid w:val="009840D4"/>
    <w:rsid w:val="0098532A"/>
    <w:rsid w:val="00987AAD"/>
    <w:rsid w:val="00990FC8"/>
    <w:rsid w:val="00992C88"/>
    <w:rsid w:val="00993815"/>
    <w:rsid w:val="009948D8"/>
    <w:rsid w:val="009A43C8"/>
    <w:rsid w:val="009A51EB"/>
    <w:rsid w:val="009A5C76"/>
    <w:rsid w:val="009A6DEA"/>
    <w:rsid w:val="009A7D37"/>
    <w:rsid w:val="009B3060"/>
    <w:rsid w:val="009B51FE"/>
    <w:rsid w:val="009B55DE"/>
    <w:rsid w:val="009B7C74"/>
    <w:rsid w:val="009C4901"/>
    <w:rsid w:val="009C52AE"/>
    <w:rsid w:val="009D1FE1"/>
    <w:rsid w:val="009D2A89"/>
    <w:rsid w:val="009E09E5"/>
    <w:rsid w:val="009E0F09"/>
    <w:rsid w:val="009E3742"/>
    <w:rsid w:val="009E430B"/>
    <w:rsid w:val="009E62E4"/>
    <w:rsid w:val="009E65CA"/>
    <w:rsid w:val="009F17AE"/>
    <w:rsid w:val="009F1A2A"/>
    <w:rsid w:val="009F4662"/>
    <w:rsid w:val="009F4BD3"/>
    <w:rsid w:val="009F5011"/>
    <w:rsid w:val="009F711C"/>
    <w:rsid w:val="00A001F7"/>
    <w:rsid w:val="00A01B8E"/>
    <w:rsid w:val="00A06F6A"/>
    <w:rsid w:val="00A07405"/>
    <w:rsid w:val="00A16477"/>
    <w:rsid w:val="00A172E9"/>
    <w:rsid w:val="00A20397"/>
    <w:rsid w:val="00A205C9"/>
    <w:rsid w:val="00A20A74"/>
    <w:rsid w:val="00A2216E"/>
    <w:rsid w:val="00A22D72"/>
    <w:rsid w:val="00A258EA"/>
    <w:rsid w:val="00A27EFD"/>
    <w:rsid w:val="00A34AE3"/>
    <w:rsid w:val="00A34E97"/>
    <w:rsid w:val="00A37D6F"/>
    <w:rsid w:val="00A43B35"/>
    <w:rsid w:val="00A46DE1"/>
    <w:rsid w:val="00A50F94"/>
    <w:rsid w:val="00A555E8"/>
    <w:rsid w:val="00A62335"/>
    <w:rsid w:val="00A6252A"/>
    <w:rsid w:val="00A66DFB"/>
    <w:rsid w:val="00A716A2"/>
    <w:rsid w:val="00A72828"/>
    <w:rsid w:val="00A72A44"/>
    <w:rsid w:val="00A768DB"/>
    <w:rsid w:val="00A76B36"/>
    <w:rsid w:val="00A77555"/>
    <w:rsid w:val="00A803DC"/>
    <w:rsid w:val="00A80754"/>
    <w:rsid w:val="00A808FF"/>
    <w:rsid w:val="00A82173"/>
    <w:rsid w:val="00A83D15"/>
    <w:rsid w:val="00A866AA"/>
    <w:rsid w:val="00A90E2F"/>
    <w:rsid w:val="00A94989"/>
    <w:rsid w:val="00A95F14"/>
    <w:rsid w:val="00A965D0"/>
    <w:rsid w:val="00A96D14"/>
    <w:rsid w:val="00AA134B"/>
    <w:rsid w:val="00AA3E0D"/>
    <w:rsid w:val="00AA784C"/>
    <w:rsid w:val="00AB1965"/>
    <w:rsid w:val="00AB34DE"/>
    <w:rsid w:val="00AB44A6"/>
    <w:rsid w:val="00AB4BDF"/>
    <w:rsid w:val="00AB5A2A"/>
    <w:rsid w:val="00AB720A"/>
    <w:rsid w:val="00AC04F0"/>
    <w:rsid w:val="00AC126E"/>
    <w:rsid w:val="00AC3499"/>
    <w:rsid w:val="00AC3B23"/>
    <w:rsid w:val="00AC459D"/>
    <w:rsid w:val="00AC5391"/>
    <w:rsid w:val="00AC5D84"/>
    <w:rsid w:val="00AD11C4"/>
    <w:rsid w:val="00AD1EE8"/>
    <w:rsid w:val="00AD2EAA"/>
    <w:rsid w:val="00AD3F22"/>
    <w:rsid w:val="00AD6F4D"/>
    <w:rsid w:val="00AE0DF3"/>
    <w:rsid w:val="00AF06DA"/>
    <w:rsid w:val="00AF1151"/>
    <w:rsid w:val="00AF628F"/>
    <w:rsid w:val="00B007A3"/>
    <w:rsid w:val="00B01F79"/>
    <w:rsid w:val="00B024A2"/>
    <w:rsid w:val="00B056C2"/>
    <w:rsid w:val="00B07F00"/>
    <w:rsid w:val="00B12DC0"/>
    <w:rsid w:val="00B13308"/>
    <w:rsid w:val="00B153B4"/>
    <w:rsid w:val="00B153D6"/>
    <w:rsid w:val="00B161D4"/>
    <w:rsid w:val="00B169EC"/>
    <w:rsid w:val="00B17444"/>
    <w:rsid w:val="00B17FBB"/>
    <w:rsid w:val="00B20430"/>
    <w:rsid w:val="00B21D02"/>
    <w:rsid w:val="00B229FB"/>
    <w:rsid w:val="00B22A16"/>
    <w:rsid w:val="00B249A7"/>
    <w:rsid w:val="00B25187"/>
    <w:rsid w:val="00B26454"/>
    <w:rsid w:val="00B317ED"/>
    <w:rsid w:val="00B32201"/>
    <w:rsid w:val="00B32B2A"/>
    <w:rsid w:val="00B34588"/>
    <w:rsid w:val="00B35CEE"/>
    <w:rsid w:val="00B377CD"/>
    <w:rsid w:val="00B42581"/>
    <w:rsid w:val="00B42BF0"/>
    <w:rsid w:val="00B50723"/>
    <w:rsid w:val="00B52127"/>
    <w:rsid w:val="00B55305"/>
    <w:rsid w:val="00B563F8"/>
    <w:rsid w:val="00B62CE5"/>
    <w:rsid w:val="00B6367F"/>
    <w:rsid w:val="00B637EF"/>
    <w:rsid w:val="00B6550F"/>
    <w:rsid w:val="00B662AA"/>
    <w:rsid w:val="00B67882"/>
    <w:rsid w:val="00B67C45"/>
    <w:rsid w:val="00B67DA4"/>
    <w:rsid w:val="00B70356"/>
    <w:rsid w:val="00B727AE"/>
    <w:rsid w:val="00B72F00"/>
    <w:rsid w:val="00B733DE"/>
    <w:rsid w:val="00B734AC"/>
    <w:rsid w:val="00B737CE"/>
    <w:rsid w:val="00B775D5"/>
    <w:rsid w:val="00B80843"/>
    <w:rsid w:val="00B80999"/>
    <w:rsid w:val="00B82801"/>
    <w:rsid w:val="00B90D2C"/>
    <w:rsid w:val="00B90DE6"/>
    <w:rsid w:val="00B919C1"/>
    <w:rsid w:val="00B923AA"/>
    <w:rsid w:val="00B92583"/>
    <w:rsid w:val="00B96CA5"/>
    <w:rsid w:val="00B97A5A"/>
    <w:rsid w:val="00BA48DD"/>
    <w:rsid w:val="00BA56E3"/>
    <w:rsid w:val="00BB027C"/>
    <w:rsid w:val="00BB02D4"/>
    <w:rsid w:val="00BB3B13"/>
    <w:rsid w:val="00BB3BEF"/>
    <w:rsid w:val="00BB4130"/>
    <w:rsid w:val="00BB4BAD"/>
    <w:rsid w:val="00BC013E"/>
    <w:rsid w:val="00BC0E12"/>
    <w:rsid w:val="00BC2820"/>
    <w:rsid w:val="00BC47FF"/>
    <w:rsid w:val="00BC5711"/>
    <w:rsid w:val="00BC5C6C"/>
    <w:rsid w:val="00BC6A2B"/>
    <w:rsid w:val="00BC702C"/>
    <w:rsid w:val="00BD2AFA"/>
    <w:rsid w:val="00BD37F2"/>
    <w:rsid w:val="00BD64E7"/>
    <w:rsid w:val="00BE245A"/>
    <w:rsid w:val="00BE5AA7"/>
    <w:rsid w:val="00BE61C1"/>
    <w:rsid w:val="00BE7F5C"/>
    <w:rsid w:val="00BF1035"/>
    <w:rsid w:val="00BF3C8D"/>
    <w:rsid w:val="00C0204C"/>
    <w:rsid w:val="00C07377"/>
    <w:rsid w:val="00C11904"/>
    <w:rsid w:val="00C12EB7"/>
    <w:rsid w:val="00C149A7"/>
    <w:rsid w:val="00C15046"/>
    <w:rsid w:val="00C155C3"/>
    <w:rsid w:val="00C16520"/>
    <w:rsid w:val="00C167A0"/>
    <w:rsid w:val="00C20848"/>
    <w:rsid w:val="00C27F8A"/>
    <w:rsid w:val="00C3027F"/>
    <w:rsid w:val="00C31119"/>
    <w:rsid w:val="00C36E4D"/>
    <w:rsid w:val="00C40E63"/>
    <w:rsid w:val="00C4146D"/>
    <w:rsid w:val="00C415A2"/>
    <w:rsid w:val="00C4589C"/>
    <w:rsid w:val="00C4663C"/>
    <w:rsid w:val="00C50A60"/>
    <w:rsid w:val="00C52092"/>
    <w:rsid w:val="00C54B46"/>
    <w:rsid w:val="00C55325"/>
    <w:rsid w:val="00C5659C"/>
    <w:rsid w:val="00C5774D"/>
    <w:rsid w:val="00C60025"/>
    <w:rsid w:val="00C60D88"/>
    <w:rsid w:val="00C62342"/>
    <w:rsid w:val="00C63A44"/>
    <w:rsid w:val="00C65310"/>
    <w:rsid w:val="00C66139"/>
    <w:rsid w:val="00C701EB"/>
    <w:rsid w:val="00C71155"/>
    <w:rsid w:val="00C764E0"/>
    <w:rsid w:val="00C81BA5"/>
    <w:rsid w:val="00C849BF"/>
    <w:rsid w:val="00C850EF"/>
    <w:rsid w:val="00C8557E"/>
    <w:rsid w:val="00C878A2"/>
    <w:rsid w:val="00C879C4"/>
    <w:rsid w:val="00C92643"/>
    <w:rsid w:val="00C92CC2"/>
    <w:rsid w:val="00C93481"/>
    <w:rsid w:val="00C93533"/>
    <w:rsid w:val="00C939D0"/>
    <w:rsid w:val="00C9599F"/>
    <w:rsid w:val="00CA04D6"/>
    <w:rsid w:val="00CA0C31"/>
    <w:rsid w:val="00CA3893"/>
    <w:rsid w:val="00CA6923"/>
    <w:rsid w:val="00CB09FC"/>
    <w:rsid w:val="00CB25AE"/>
    <w:rsid w:val="00CB2F19"/>
    <w:rsid w:val="00CB67BB"/>
    <w:rsid w:val="00CB7F8F"/>
    <w:rsid w:val="00CC00B2"/>
    <w:rsid w:val="00CC1B51"/>
    <w:rsid w:val="00CC70B1"/>
    <w:rsid w:val="00CD0307"/>
    <w:rsid w:val="00CD034B"/>
    <w:rsid w:val="00CD099D"/>
    <w:rsid w:val="00CD2681"/>
    <w:rsid w:val="00CD5602"/>
    <w:rsid w:val="00CD7EDC"/>
    <w:rsid w:val="00CE299A"/>
    <w:rsid w:val="00CE2A51"/>
    <w:rsid w:val="00CE2E27"/>
    <w:rsid w:val="00CE3FF3"/>
    <w:rsid w:val="00CE4205"/>
    <w:rsid w:val="00CF07BA"/>
    <w:rsid w:val="00CF1BB6"/>
    <w:rsid w:val="00CF2C8B"/>
    <w:rsid w:val="00CF4CE8"/>
    <w:rsid w:val="00CF51D8"/>
    <w:rsid w:val="00D02A64"/>
    <w:rsid w:val="00D041AB"/>
    <w:rsid w:val="00D05F92"/>
    <w:rsid w:val="00D1007D"/>
    <w:rsid w:val="00D1101D"/>
    <w:rsid w:val="00D11D82"/>
    <w:rsid w:val="00D11EE3"/>
    <w:rsid w:val="00D16286"/>
    <w:rsid w:val="00D24EF8"/>
    <w:rsid w:val="00D25034"/>
    <w:rsid w:val="00D25D82"/>
    <w:rsid w:val="00D30790"/>
    <w:rsid w:val="00D3159B"/>
    <w:rsid w:val="00D316AD"/>
    <w:rsid w:val="00D31EA2"/>
    <w:rsid w:val="00D33F17"/>
    <w:rsid w:val="00D341EE"/>
    <w:rsid w:val="00D37B6E"/>
    <w:rsid w:val="00D41C0D"/>
    <w:rsid w:val="00D429C9"/>
    <w:rsid w:val="00D42D9C"/>
    <w:rsid w:val="00D4688F"/>
    <w:rsid w:val="00D47140"/>
    <w:rsid w:val="00D53E80"/>
    <w:rsid w:val="00D60DC3"/>
    <w:rsid w:val="00D60DF6"/>
    <w:rsid w:val="00D62C47"/>
    <w:rsid w:val="00D66EB4"/>
    <w:rsid w:val="00D67DA8"/>
    <w:rsid w:val="00D73AFA"/>
    <w:rsid w:val="00D7599D"/>
    <w:rsid w:val="00D7681B"/>
    <w:rsid w:val="00D81183"/>
    <w:rsid w:val="00D81396"/>
    <w:rsid w:val="00D816DE"/>
    <w:rsid w:val="00D81804"/>
    <w:rsid w:val="00D82B51"/>
    <w:rsid w:val="00D836E6"/>
    <w:rsid w:val="00D8483F"/>
    <w:rsid w:val="00D85686"/>
    <w:rsid w:val="00D919F0"/>
    <w:rsid w:val="00D9328A"/>
    <w:rsid w:val="00D93E6E"/>
    <w:rsid w:val="00D97EEA"/>
    <w:rsid w:val="00DA07DC"/>
    <w:rsid w:val="00DA5D04"/>
    <w:rsid w:val="00DA73AC"/>
    <w:rsid w:val="00DB39F0"/>
    <w:rsid w:val="00DB4E98"/>
    <w:rsid w:val="00DC34E8"/>
    <w:rsid w:val="00DC481E"/>
    <w:rsid w:val="00DC7BAE"/>
    <w:rsid w:val="00DC7DC3"/>
    <w:rsid w:val="00DD4A10"/>
    <w:rsid w:val="00DE02F8"/>
    <w:rsid w:val="00DE0A48"/>
    <w:rsid w:val="00DE38B0"/>
    <w:rsid w:val="00DE535D"/>
    <w:rsid w:val="00DE7E2F"/>
    <w:rsid w:val="00DF017F"/>
    <w:rsid w:val="00DF1073"/>
    <w:rsid w:val="00DF61DB"/>
    <w:rsid w:val="00E12832"/>
    <w:rsid w:val="00E1359D"/>
    <w:rsid w:val="00E13637"/>
    <w:rsid w:val="00E149B0"/>
    <w:rsid w:val="00E14ED7"/>
    <w:rsid w:val="00E15326"/>
    <w:rsid w:val="00E15B13"/>
    <w:rsid w:val="00E17162"/>
    <w:rsid w:val="00E2166E"/>
    <w:rsid w:val="00E22316"/>
    <w:rsid w:val="00E267C0"/>
    <w:rsid w:val="00E3774D"/>
    <w:rsid w:val="00E37C3C"/>
    <w:rsid w:val="00E408FF"/>
    <w:rsid w:val="00E4174D"/>
    <w:rsid w:val="00E42C01"/>
    <w:rsid w:val="00E52B3F"/>
    <w:rsid w:val="00E53346"/>
    <w:rsid w:val="00E53425"/>
    <w:rsid w:val="00E54F54"/>
    <w:rsid w:val="00E5533B"/>
    <w:rsid w:val="00E63331"/>
    <w:rsid w:val="00E64446"/>
    <w:rsid w:val="00E64C43"/>
    <w:rsid w:val="00E64E70"/>
    <w:rsid w:val="00E65581"/>
    <w:rsid w:val="00E65E60"/>
    <w:rsid w:val="00E66F79"/>
    <w:rsid w:val="00E71808"/>
    <w:rsid w:val="00E75340"/>
    <w:rsid w:val="00E80413"/>
    <w:rsid w:val="00E81184"/>
    <w:rsid w:val="00E8134F"/>
    <w:rsid w:val="00E82EC5"/>
    <w:rsid w:val="00E86FA8"/>
    <w:rsid w:val="00E9005D"/>
    <w:rsid w:val="00E907C1"/>
    <w:rsid w:val="00E92EA7"/>
    <w:rsid w:val="00E9329C"/>
    <w:rsid w:val="00E94E73"/>
    <w:rsid w:val="00E96543"/>
    <w:rsid w:val="00E96C60"/>
    <w:rsid w:val="00E9740B"/>
    <w:rsid w:val="00EA0880"/>
    <w:rsid w:val="00EA1243"/>
    <w:rsid w:val="00EA12F0"/>
    <w:rsid w:val="00EA141C"/>
    <w:rsid w:val="00EA27F9"/>
    <w:rsid w:val="00EB23C1"/>
    <w:rsid w:val="00EB4CB6"/>
    <w:rsid w:val="00EC2464"/>
    <w:rsid w:val="00EC2B6F"/>
    <w:rsid w:val="00EC30A5"/>
    <w:rsid w:val="00EC4476"/>
    <w:rsid w:val="00ED1C5F"/>
    <w:rsid w:val="00ED1DB4"/>
    <w:rsid w:val="00ED28A6"/>
    <w:rsid w:val="00ED316E"/>
    <w:rsid w:val="00ED40C2"/>
    <w:rsid w:val="00ED69C8"/>
    <w:rsid w:val="00EE0E23"/>
    <w:rsid w:val="00EE1D72"/>
    <w:rsid w:val="00EE1E2F"/>
    <w:rsid w:val="00EE2E37"/>
    <w:rsid w:val="00EE33C7"/>
    <w:rsid w:val="00EE40FE"/>
    <w:rsid w:val="00EE496C"/>
    <w:rsid w:val="00EE6854"/>
    <w:rsid w:val="00EE686D"/>
    <w:rsid w:val="00EE74AE"/>
    <w:rsid w:val="00EF4557"/>
    <w:rsid w:val="00EF68BD"/>
    <w:rsid w:val="00F00B58"/>
    <w:rsid w:val="00F1084D"/>
    <w:rsid w:val="00F12047"/>
    <w:rsid w:val="00F122AB"/>
    <w:rsid w:val="00F12359"/>
    <w:rsid w:val="00F1506F"/>
    <w:rsid w:val="00F20F19"/>
    <w:rsid w:val="00F21C48"/>
    <w:rsid w:val="00F23D62"/>
    <w:rsid w:val="00F24069"/>
    <w:rsid w:val="00F24B81"/>
    <w:rsid w:val="00F25344"/>
    <w:rsid w:val="00F27CA4"/>
    <w:rsid w:val="00F3120B"/>
    <w:rsid w:val="00F40803"/>
    <w:rsid w:val="00F4205E"/>
    <w:rsid w:val="00F43AD2"/>
    <w:rsid w:val="00F44095"/>
    <w:rsid w:val="00F51521"/>
    <w:rsid w:val="00F522EA"/>
    <w:rsid w:val="00F53EBB"/>
    <w:rsid w:val="00F54BAC"/>
    <w:rsid w:val="00F54BD1"/>
    <w:rsid w:val="00F6121C"/>
    <w:rsid w:val="00F657E9"/>
    <w:rsid w:val="00F7360D"/>
    <w:rsid w:val="00F74938"/>
    <w:rsid w:val="00F7585C"/>
    <w:rsid w:val="00F766E3"/>
    <w:rsid w:val="00F76B83"/>
    <w:rsid w:val="00F832B8"/>
    <w:rsid w:val="00F848D2"/>
    <w:rsid w:val="00F84FEE"/>
    <w:rsid w:val="00F85AD0"/>
    <w:rsid w:val="00F86BF7"/>
    <w:rsid w:val="00F877D9"/>
    <w:rsid w:val="00F87D86"/>
    <w:rsid w:val="00F9056B"/>
    <w:rsid w:val="00F97432"/>
    <w:rsid w:val="00FA1266"/>
    <w:rsid w:val="00FA4660"/>
    <w:rsid w:val="00FA65F9"/>
    <w:rsid w:val="00FA6D81"/>
    <w:rsid w:val="00FA75DD"/>
    <w:rsid w:val="00FB0999"/>
    <w:rsid w:val="00FB4E5D"/>
    <w:rsid w:val="00FB6FEC"/>
    <w:rsid w:val="00FB7804"/>
    <w:rsid w:val="00FC29E5"/>
    <w:rsid w:val="00FC3B50"/>
    <w:rsid w:val="00FD1C4F"/>
    <w:rsid w:val="00FD5DCA"/>
    <w:rsid w:val="00FD5FAC"/>
    <w:rsid w:val="00FD6A73"/>
    <w:rsid w:val="00FE14C7"/>
    <w:rsid w:val="00FE6FB6"/>
    <w:rsid w:val="00FE7301"/>
    <w:rsid w:val="00FE7767"/>
    <w:rsid w:val="00FE7FD6"/>
    <w:rsid w:val="00FF2633"/>
    <w:rsid w:val="00FF2B6C"/>
    <w:rsid w:val="00FF3237"/>
    <w:rsid w:val="00FF3ECC"/>
    <w:rsid w:val="00FF50D4"/>
    <w:rsid w:val="00FF686D"/>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15"/>
    <w:pPr>
      <w:widowControl w:val="0"/>
    </w:pPr>
    <w:rPr>
      <w:snapToGrid w:val="0"/>
      <w:kern w:val="28"/>
      <w:sz w:val="22"/>
    </w:rPr>
  </w:style>
  <w:style w:type="paragraph" w:styleId="Heading1">
    <w:name w:val="heading 1"/>
    <w:basedOn w:val="Normal"/>
    <w:next w:val="Normal"/>
    <w:link w:val="Heading1Char"/>
    <w:qFormat/>
    <w:rsid w:val="00972A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7 Char Char,Footnote Text Char4 Char1 Char Char,Footnote Text Char Char Char4 Char Char,Footnote Text Char7 Char Char Char Char Char,Footnote Text Char1,Footnote Text Char7 Cha"/>
    <w:link w:val="FootnoteTextChar"/>
    <w:rsid w:val="00231B15"/>
    <w:pPr>
      <w:spacing w:after="120"/>
    </w:pPr>
  </w:style>
  <w:style w:type="character" w:styleId="FootnoteReference">
    <w:name w:val="footnote reference"/>
    <w:aliases w:val="Style 12,(NECG) Footnote Reference,Appel note de bas de p,Style 124,o,fr,Style 3,Style 13"/>
    <w:rsid w:val="00231B15"/>
    <w:rPr>
      <w:rFonts w:ascii="Times New Roman" w:hAnsi="Times New Roman"/>
      <w:dstrike w:val="0"/>
      <w:color w:val="auto"/>
      <w:sz w:val="22"/>
      <w:vertAlign w:val="superscript"/>
    </w:rPr>
  </w:style>
  <w:style w:type="paragraph" w:styleId="Header">
    <w:name w:val="header"/>
    <w:basedOn w:val="Normal"/>
    <w:autoRedefine/>
    <w:rsid w:val="00231B15"/>
    <w:pPr>
      <w:tabs>
        <w:tab w:val="center" w:pos="4680"/>
        <w:tab w:val="right" w:pos="9360"/>
      </w:tabs>
    </w:pPr>
    <w:rPr>
      <w:b/>
    </w:rPr>
  </w:style>
  <w:style w:type="paragraph" w:styleId="Footer">
    <w:name w:val="footer"/>
    <w:basedOn w:val="Normal"/>
    <w:rsid w:val="00231B15"/>
    <w:pPr>
      <w:tabs>
        <w:tab w:val="center" w:pos="4320"/>
        <w:tab w:val="right" w:pos="8640"/>
      </w:tabs>
    </w:pPr>
  </w:style>
  <w:style w:type="paragraph" w:styleId="Title">
    <w:name w:val="Title"/>
    <w:basedOn w:val="Normal"/>
    <w:qFormat/>
    <w:rsid w:val="00231B15"/>
    <w:pPr>
      <w:jc w:val="center"/>
    </w:pPr>
    <w:rPr>
      <w:b/>
    </w:rPr>
  </w:style>
  <w:style w:type="character" w:customStyle="1" w:styleId="FootnoteTextChar">
    <w:name w:val="Footnote Text Char"/>
    <w:aliases w:val="Footnote Text Char2 Char,Footnote Text Char1 Char Char,Footnote Text Char7 Char Char Char,Footnote Text Char4 Char1 Char Char Char,Footnote Text Char Char Char4 Char Char Char,Footnote Text Char7 Char Char Char Char Char Char"/>
    <w:link w:val="FootnoteText"/>
    <w:rsid w:val="00231B15"/>
    <w:rPr>
      <w:lang w:val="en-US" w:eastAsia="en-US" w:bidi="ar-SA"/>
    </w:rPr>
  </w:style>
  <w:style w:type="paragraph" w:customStyle="1" w:styleId="Default">
    <w:name w:val="Default"/>
    <w:rsid w:val="00231B15"/>
    <w:pPr>
      <w:autoSpaceDE w:val="0"/>
      <w:autoSpaceDN w:val="0"/>
      <w:adjustRightInd w:val="0"/>
    </w:pPr>
    <w:rPr>
      <w:rFonts w:ascii="Calibri" w:hAnsi="Calibri" w:cs="Calibri"/>
      <w:color w:val="000000"/>
      <w:sz w:val="24"/>
      <w:szCs w:val="24"/>
    </w:rPr>
  </w:style>
  <w:style w:type="paragraph" w:customStyle="1" w:styleId="Blockquote">
    <w:name w:val="Blockquote"/>
    <w:basedOn w:val="Normal"/>
    <w:rsid w:val="00BB3B13"/>
    <w:pPr>
      <w:widowControl/>
      <w:autoSpaceDE w:val="0"/>
      <w:autoSpaceDN w:val="0"/>
      <w:adjustRightInd w:val="0"/>
      <w:spacing w:before="100" w:after="100"/>
      <w:ind w:left="360" w:right="360"/>
    </w:pPr>
    <w:rPr>
      <w:snapToGrid/>
      <w:kern w:val="0"/>
      <w:sz w:val="24"/>
      <w:szCs w:val="24"/>
    </w:rPr>
  </w:style>
  <w:style w:type="character" w:styleId="Hyperlink">
    <w:name w:val="Hyperlink"/>
    <w:rsid w:val="00BB3B13"/>
    <w:rPr>
      <w:color w:val="0000FF"/>
      <w:u w:val="single"/>
    </w:rPr>
  </w:style>
  <w:style w:type="character" w:customStyle="1" w:styleId="documentbody1">
    <w:name w:val="documentbody1"/>
    <w:rsid w:val="00CE2E27"/>
    <w:rPr>
      <w:rFonts w:ascii="Verdana" w:hAnsi="Verdana" w:hint="default"/>
      <w:sz w:val="19"/>
      <w:szCs w:val="19"/>
    </w:rPr>
  </w:style>
  <w:style w:type="paragraph" w:customStyle="1" w:styleId="ParaNum">
    <w:name w:val="ParaNum"/>
    <w:basedOn w:val="Normal"/>
    <w:rsid w:val="0093142D"/>
    <w:pPr>
      <w:numPr>
        <w:numId w:val="3"/>
      </w:numPr>
      <w:tabs>
        <w:tab w:val="clear" w:pos="1080"/>
        <w:tab w:val="left" w:pos="1440"/>
      </w:tabs>
      <w:spacing w:after="220"/>
      <w:jc w:val="both"/>
    </w:pPr>
    <w:rPr>
      <w:snapToGrid/>
      <w:kern w:val="0"/>
    </w:rPr>
  </w:style>
  <w:style w:type="character" w:styleId="Strong">
    <w:name w:val="Strong"/>
    <w:qFormat/>
    <w:rsid w:val="009C4901"/>
    <w:rPr>
      <w:b/>
      <w:bCs/>
    </w:rPr>
  </w:style>
  <w:style w:type="character" w:customStyle="1" w:styleId="FootnoteTextChar4Char1CharCharCharCharChar">
    <w:name w:val="Footnote Text Char4 Char1 Char Char Char Char Char"/>
    <w:aliases w:val="Footnote Text Char Char,Footnote Text Char Char Char Char,Footnote Text Char2 Char Char Char Char,Footnote Text Char1 Char1 Char Char Char Char,Footnote Text Char Char Char Char Char Char Char"/>
    <w:rsid w:val="00031055"/>
    <w:rPr>
      <w:rFonts w:ascii="Courier" w:hAnsi="Courier"/>
      <w:snapToGrid w:val="0"/>
      <w:sz w:val="24"/>
      <w:lang w:val="en-US" w:eastAsia="en-US" w:bidi="ar-SA"/>
    </w:rPr>
  </w:style>
  <w:style w:type="paragraph" w:styleId="BalloonText">
    <w:name w:val="Balloon Text"/>
    <w:basedOn w:val="Normal"/>
    <w:semiHidden/>
    <w:rsid w:val="0064541F"/>
    <w:rPr>
      <w:rFonts w:ascii="Tahoma" w:hAnsi="Tahoma" w:cs="Tahoma"/>
      <w:sz w:val="16"/>
      <w:szCs w:val="16"/>
    </w:rPr>
  </w:style>
  <w:style w:type="character" w:styleId="CommentReference">
    <w:name w:val="annotation reference"/>
    <w:semiHidden/>
    <w:rsid w:val="00FD5FAC"/>
    <w:rPr>
      <w:sz w:val="16"/>
      <w:szCs w:val="16"/>
    </w:rPr>
  </w:style>
  <w:style w:type="paragraph" w:styleId="CommentText">
    <w:name w:val="annotation text"/>
    <w:basedOn w:val="Normal"/>
    <w:semiHidden/>
    <w:rsid w:val="00FD5FAC"/>
    <w:rPr>
      <w:sz w:val="20"/>
    </w:rPr>
  </w:style>
  <w:style w:type="paragraph" w:styleId="CommentSubject">
    <w:name w:val="annotation subject"/>
    <w:basedOn w:val="CommentText"/>
    <w:next w:val="CommentText"/>
    <w:semiHidden/>
    <w:rsid w:val="00FD5FAC"/>
    <w:rPr>
      <w:b/>
      <w:bCs/>
    </w:rPr>
  </w:style>
  <w:style w:type="character" w:customStyle="1" w:styleId="Heading1Char">
    <w:name w:val="Heading 1 Char"/>
    <w:link w:val="Heading1"/>
    <w:rsid w:val="00972A29"/>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EA12F0"/>
    <w:pPr>
      <w:ind w:left="720"/>
      <w:contextualSpacing/>
    </w:pPr>
  </w:style>
  <w:style w:type="paragraph" w:styleId="BodyText">
    <w:name w:val="Body Text"/>
    <w:basedOn w:val="Normal"/>
    <w:link w:val="BodyTextChar"/>
    <w:rsid w:val="00C93533"/>
    <w:pPr>
      <w:widowControl/>
      <w:tabs>
        <w:tab w:val="left" w:pos="720"/>
        <w:tab w:val="left" w:pos="4680"/>
      </w:tabs>
      <w:jc w:val="both"/>
    </w:pPr>
    <w:rPr>
      <w:snapToGrid/>
      <w:kern w:val="0"/>
    </w:rPr>
  </w:style>
  <w:style w:type="character" w:customStyle="1" w:styleId="BodyTextChar">
    <w:name w:val="Body Text Char"/>
    <w:basedOn w:val="DefaultParagraphFont"/>
    <w:link w:val="BodyText"/>
    <w:rsid w:val="00C9353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15"/>
    <w:pPr>
      <w:widowControl w:val="0"/>
    </w:pPr>
    <w:rPr>
      <w:snapToGrid w:val="0"/>
      <w:kern w:val="28"/>
      <w:sz w:val="22"/>
    </w:rPr>
  </w:style>
  <w:style w:type="paragraph" w:styleId="Heading1">
    <w:name w:val="heading 1"/>
    <w:basedOn w:val="Normal"/>
    <w:next w:val="Normal"/>
    <w:link w:val="Heading1Char"/>
    <w:qFormat/>
    <w:rsid w:val="00972A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7 Char Char,Footnote Text Char4 Char1 Char Char,Footnote Text Char Char Char4 Char Char,Footnote Text Char7 Char Char Char Char Char,Footnote Text Char1,Footnote Text Char7 Cha"/>
    <w:link w:val="FootnoteTextChar"/>
    <w:rsid w:val="00231B15"/>
    <w:pPr>
      <w:spacing w:after="120"/>
    </w:pPr>
  </w:style>
  <w:style w:type="character" w:styleId="FootnoteReference">
    <w:name w:val="footnote reference"/>
    <w:aliases w:val="Style 12,(NECG) Footnote Reference,Appel note de bas de p,Style 124,o,fr,Style 3,Style 13"/>
    <w:rsid w:val="00231B15"/>
    <w:rPr>
      <w:rFonts w:ascii="Times New Roman" w:hAnsi="Times New Roman"/>
      <w:dstrike w:val="0"/>
      <w:color w:val="auto"/>
      <w:sz w:val="22"/>
      <w:vertAlign w:val="superscript"/>
    </w:rPr>
  </w:style>
  <w:style w:type="paragraph" w:styleId="Header">
    <w:name w:val="header"/>
    <w:basedOn w:val="Normal"/>
    <w:autoRedefine/>
    <w:rsid w:val="00231B15"/>
    <w:pPr>
      <w:tabs>
        <w:tab w:val="center" w:pos="4680"/>
        <w:tab w:val="right" w:pos="9360"/>
      </w:tabs>
    </w:pPr>
    <w:rPr>
      <w:b/>
    </w:rPr>
  </w:style>
  <w:style w:type="paragraph" w:styleId="Footer">
    <w:name w:val="footer"/>
    <w:basedOn w:val="Normal"/>
    <w:rsid w:val="00231B15"/>
    <w:pPr>
      <w:tabs>
        <w:tab w:val="center" w:pos="4320"/>
        <w:tab w:val="right" w:pos="8640"/>
      </w:tabs>
    </w:pPr>
  </w:style>
  <w:style w:type="paragraph" w:styleId="Title">
    <w:name w:val="Title"/>
    <w:basedOn w:val="Normal"/>
    <w:qFormat/>
    <w:rsid w:val="00231B15"/>
    <w:pPr>
      <w:jc w:val="center"/>
    </w:pPr>
    <w:rPr>
      <w:b/>
    </w:rPr>
  </w:style>
  <w:style w:type="character" w:customStyle="1" w:styleId="FootnoteTextChar">
    <w:name w:val="Footnote Text Char"/>
    <w:aliases w:val="Footnote Text Char2 Char,Footnote Text Char1 Char Char,Footnote Text Char7 Char Char Char,Footnote Text Char4 Char1 Char Char Char,Footnote Text Char Char Char4 Char Char Char,Footnote Text Char7 Char Char Char Char Char Char"/>
    <w:link w:val="FootnoteText"/>
    <w:rsid w:val="00231B15"/>
    <w:rPr>
      <w:lang w:val="en-US" w:eastAsia="en-US" w:bidi="ar-SA"/>
    </w:rPr>
  </w:style>
  <w:style w:type="paragraph" w:customStyle="1" w:styleId="Default">
    <w:name w:val="Default"/>
    <w:rsid w:val="00231B15"/>
    <w:pPr>
      <w:autoSpaceDE w:val="0"/>
      <w:autoSpaceDN w:val="0"/>
      <w:adjustRightInd w:val="0"/>
    </w:pPr>
    <w:rPr>
      <w:rFonts w:ascii="Calibri" w:hAnsi="Calibri" w:cs="Calibri"/>
      <w:color w:val="000000"/>
      <w:sz w:val="24"/>
      <w:szCs w:val="24"/>
    </w:rPr>
  </w:style>
  <w:style w:type="paragraph" w:customStyle="1" w:styleId="Blockquote">
    <w:name w:val="Blockquote"/>
    <w:basedOn w:val="Normal"/>
    <w:rsid w:val="00BB3B13"/>
    <w:pPr>
      <w:widowControl/>
      <w:autoSpaceDE w:val="0"/>
      <w:autoSpaceDN w:val="0"/>
      <w:adjustRightInd w:val="0"/>
      <w:spacing w:before="100" w:after="100"/>
      <w:ind w:left="360" w:right="360"/>
    </w:pPr>
    <w:rPr>
      <w:snapToGrid/>
      <w:kern w:val="0"/>
      <w:sz w:val="24"/>
      <w:szCs w:val="24"/>
    </w:rPr>
  </w:style>
  <w:style w:type="character" w:styleId="Hyperlink">
    <w:name w:val="Hyperlink"/>
    <w:rsid w:val="00BB3B13"/>
    <w:rPr>
      <w:color w:val="0000FF"/>
      <w:u w:val="single"/>
    </w:rPr>
  </w:style>
  <w:style w:type="character" w:customStyle="1" w:styleId="documentbody1">
    <w:name w:val="documentbody1"/>
    <w:rsid w:val="00CE2E27"/>
    <w:rPr>
      <w:rFonts w:ascii="Verdana" w:hAnsi="Verdana" w:hint="default"/>
      <w:sz w:val="19"/>
      <w:szCs w:val="19"/>
    </w:rPr>
  </w:style>
  <w:style w:type="paragraph" w:customStyle="1" w:styleId="ParaNum">
    <w:name w:val="ParaNum"/>
    <w:basedOn w:val="Normal"/>
    <w:rsid w:val="0093142D"/>
    <w:pPr>
      <w:numPr>
        <w:numId w:val="3"/>
      </w:numPr>
      <w:tabs>
        <w:tab w:val="clear" w:pos="1080"/>
        <w:tab w:val="left" w:pos="1440"/>
      </w:tabs>
      <w:spacing w:after="220"/>
      <w:jc w:val="both"/>
    </w:pPr>
    <w:rPr>
      <w:snapToGrid/>
      <w:kern w:val="0"/>
    </w:rPr>
  </w:style>
  <w:style w:type="character" w:styleId="Strong">
    <w:name w:val="Strong"/>
    <w:qFormat/>
    <w:rsid w:val="009C4901"/>
    <w:rPr>
      <w:b/>
      <w:bCs/>
    </w:rPr>
  </w:style>
  <w:style w:type="character" w:customStyle="1" w:styleId="FootnoteTextChar4Char1CharCharCharCharChar">
    <w:name w:val="Footnote Text Char4 Char1 Char Char Char Char Char"/>
    <w:aliases w:val="Footnote Text Char Char,Footnote Text Char Char Char Char,Footnote Text Char2 Char Char Char Char,Footnote Text Char1 Char1 Char Char Char Char,Footnote Text Char Char Char Char Char Char Char"/>
    <w:rsid w:val="00031055"/>
    <w:rPr>
      <w:rFonts w:ascii="Courier" w:hAnsi="Courier"/>
      <w:snapToGrid w:val="0"/>
      <w:sz w:val="24"/>
      <w:lang w:val="en-US" w:eastAsia="en-US" w:bidi="ar-SA"/>
    </w:rPr>
  </w:style>
  <w:style w:type="paragraph" w:styleId="BalloonText">
    <w:name w:val="Balloon Text"/>
    <w:basedOn w:val="Normal"/>
    <w:semiHidden/>
    <w:rsid w:val="0064541F"/>
    <w:rPr>
      <w:rFonts w:ascii="Tahoma" w:hAnsi="Tahoma" w:cs="Tahoma"/>
      <w:sz w:val="16"/>
      <w:szCs w:val="16"/>
    </w:rPr>
  </w:style>
  <w:style w:type="character" w:styleId="CommentReference">
    <w:name w:val="annotation reference"/>
    <w:semiHidden/>
    <w:rsid w:val="00FD5FAC"/>
    <w:rPr>
      <w:sz w:val="16"/>
      <w:szCs w:val="16"/>
    </w:rPr>
  </w:style>
  <w:style w:type="paragraph" w:styleId="CommentText">
    <w:name w:val="annotation text"/>
    <w:basedOn w:val="Normal"/>
    <w:semiHidden/>
    <w:rsid w:val="00FD5FAC"/>
    <w:rPr>
      <w:sz w:val="20"/>
    </w:rPr>
  </w:style>
  <w:style w:type="paragraph" w:styleId="CommentSubject">
    <w:name w:val="annotation subject"/>
    <w:basedOn w:val="CommentText"/>
    <w:next w:val="CommentText"/>
    <w:semiHidden/>
    <w:rsid w:val="00FD5FAC"/>
    <w:rPr>
      <w:b/>
      <w:bCs/>
    </w:rPr>
  </w:style>
  <w:style w:type="character" w:customStyle="1" w:styleId="Heading1Char">
    <w:name w:val="Heading 1 Char"/>
    <w:link w:val="Heading1"/>
    <w:rsid w:val="00972A29"/>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EA12F0"/>
    <w:pPr>
      <w:ind w:left="720"/>
      <w:contextualSpacing/>
    </w:pPr>
  </w:style>
  <w:style w:type="paragraph" w:styleId="BodyText">
    <w:name w:val="Body Text"/>
    <w:basedOn w:val="Normal"/>
    <w:link w:val="BodyTextChar"/>
    <w:rsid w:val="00C93533"/>
    <w:pPr>
      <w:widowControl/>
      <w:tabs>
        <w:tab w:val="left" w:pos="720"/>
        <w:tab w:val="left" w:pos="4680"/>
      </w:tabs>
      <w:jc w:val="both"/>
    </w:pPr>
    <w:rPr>
      <w:snapToGrid/>
      <w:kern w:val="0"/>
    </w:rPr>
  </w:style>
  <w:style w:type="character" w:customStyle="1" w:styleId="BodyTextChar">
    <w:name w:val="Body Text Char"/>
    <w:basedOn w:val="DefaultParagraphFont"/>
    <w:link w:val="BodyText"/>
    <w:rsid w:val="00C935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6920">
      <w:bodyDiv w:val="1"/>
      <w:marLeft w:val="30"/>
      <w:marRight w:val="30"/>
      <w:marTop w:val="30"/>
      <w:marBottom w:val="30"/>
      <w:divBdr>
        <w:top w:val="none" w:sz="0" w:space="0" w:color="auto"/>
        <w:left w:val="none" w:sz="0" w:space="0" w:color="auto"/>
        <w:bottom w:val="none" w:sz="0" w:space="0" w:color="auto"/>
        <w:right w:val="none" w:sz="0" w:space="0" w:color="auto"/>
      </w:divBdr>
      <w:divsChild>
        <w:div w:id="1105534299">
          <w:marLeft w:val="0"/>
          <w:marRight w:val="0"/>
          <w:marTop w:val="0"/>
          <w:marBottom w:val="0"/>
          <w:divBdr>
            <w:top w:val="none" w:sz="0" w:space="0" w:color="auto"/>
            <w:left w:val="none" w:sz="0" w:space="0" w:color="auto"/>
            <w:bottom w:val="none" w:sz="0" w:space="0" w:color="auto"/>
            <w:right w:val="none" w:sz="0" w:space="0" w:color="auto"/>
          </w:divBdr>
          <w:divsChild>
            <w:div w:id="1988976031">
              <w:marLeft w:val="45"/>
              <w:marRight w:val="45"/>
              <w:marTop w:val="45"/>
              <w:marBottom w:val="45"/>
              <w:divBdr>
                <w:top w:val="none" w:sz="0" w:space="0" w:color="auto"/>
                <w:left w:val="none" w:sz="0" w:space="0" w:color="auto"/>
                <w:bottom w:val="none" w:sz="0" w:space="0" w:color="auto"/>
                <w:right w:val="none" w:sz="0" w:space="0" w:color="auto"/>
              </w:divBdr>
              <w:divsChild>
                <w:div w:id="20644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estlaw&amp;db=1000547&amp;docname=47CFRS73.3539&amp;rp=%2ffind%2fdefault.wl&amp;findtype=L&amp;ordoc=2024947714&amp;tc=-1&amp;vr=2.0&amp;fn=_top&amp;sv=Split&amp;tf=-1&amp;pbc=E2FC9EBC&amp;rs=WLW14.04" TargetMode="External"/><Relationship Id="rId13" Type="http://schemas.openxmlformats.org/officeDocument/2006/relationships/hyperlink" Target="http://web2.westlaw.com/find/default.wl?mt=Westlaw&amp;db=1000546&amp;docname=47USCAS301&amp;rp=%2ffind%2fdefault.wl&amp;findtype=L&amp;ordoc=2024947714&amp;tc=-1&amp;vr=2.0&amp;fn=_top&amp;sv=Split&amp;tf=-1&amp;pbc=E2FC9EBC&amp;rs=WLW14.0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eb2.westlaw.com/find/default.wl?mt=Westlaw&amp;db=1000546&amp;docname=47USCAS301&amp;rp=%2ffind%2fdefault.wl&amp;findtype=L&amp;ordoc=2024947714&amp;tc=-1&amp;vr=2.0&amp;fn=_top&amp;sv=Split&amp;tf=-1&amp;pbc=E2FC9EBC&amp;rs=WLW14.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estlaw.com/find/default.wl?mt=Westlaw&amp;db=1000547&amp;docname=47CFRS73.3615&amp;rp=%2ffind%2fdefault.wl&amp;findtype=L&amp;ordoc=2024947714&amp;tc=-1&amp;vr=2.0&amp;fn=_top&amp;sv=Split&amp;tf=-1&amp;referencepositiontype=T&amp;pbc=E2FC9EBC&amp;referenceposition=SP%3b5ba1000067d06&amp;rs=WLW14.04" TargetMode="External"/><Relationship Id="rId5" Type="http://schemas.openxmlformats.org/officeDocument/2006/relationships/webSettings" Target="webSettings.xml"/><Relationship Id="rId15" Type="http://schemas.openxmlformats.org/officeDocument/2006/relationships/hyperlink" Target="mailto:peter.doyle@fcc.gov" TargetMode="External"/><Relationship Id="rId23" Type="http://schemas.openxmlformats.org/officeDocument/2006/relationships/theme" Target="theme/theme1.xml"/><Relationship Id="rId10" Type="http://schemas.openxmlformats.org/officeDocument/2006/relationships/hyperlink" Target="http://web2.westlaw.com/find/default.wl?mt=Westlaw&amp;db=1000547&amp;docname=47CFRS73.3615&amp;rp=%2ffind%2fdefault.wl&amp;findtype=L&amp;ordoc=2024947714&amp;tc=-1&amp;vr=2.0&amp;fn=_top&amp;sv=Split&amp;tf=-1&amp;pbc=E2FC9EBC&amp;rs=WLW14.0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eb2.westlaw.com/find/default.wl?mt=Westlaw&amp;db=1000547&amp;docname=47CFRS73.3539&amp;rp=%2ffind%2fdefault.wl&amp;findtype=L&amp;ordoc=2024947714&amp;tc=-1&amp;vr=2.0&amp;fn=_top&amp;sv=Split&amp;tf=-1&amp;pbc=E2FC9EBC&amp;rs=WLW14.04" TargetMode="External"/><Relationship Id="rId14" Type="http://schemas.openxmlformats.org/officeDocument/2006/relationships/hyperlink" Target="http://web2.westlaw.com/find/default.wl?mt=Westlaw&amp;db=1000546&amp;docname=47USCAS301&amp;rp=%2ffind%2fdefault.wl&amp;findtype=L&amp;ordoc=2024947714&amp;tc=-1&amp;vr=2.0&amp;fn=_top&amp;sv=Split&amp;tf=-1&amp;pbc=E2FC9EBC&amp;rs=WLW14.0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4493&amp;tc=-1&amp;rp=%2ffind%2fdefault.wl&amp;findtype=Y&amp;ordoc=2012852584&amp;serialnum=2004331895&amp;vr=2.0&amp;fn=_top&amp;sv=Split&amp;tf=-1&amp;referencepositiontype=S&amp;pbc=DAE51AEA&amp;referenceposition=7438&amp;rs=WLW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5343</Words>
  <Characters>29302</Characters>
  <Application>Microsoft Office Word</Application>
  <DocSecurity>0</DocSecurity>
  <Lines>584</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35523</CharactersWithSpaces>
  <SharedDoc>false</SharedDoc>
  <HyperlinkBase> </HyperlinkBase>
  <HLinks>
    <vt:vector size="6" baseType="variant">
      <vt:variant>
        <vt:i4>6422544</vt:i4>
      </vt:variant>
      <vt:variant>
        <vt:i4>0</vt:i4>
      </vt:variant>
      <vt:variant>
        <vt:i4>0</vt:i4>
      </vt:variant>
      <vt:variant>
        <vt:i4>5</vt:i4>
      </vt:variant>
      <vt:variant>
        <vt:lpwstr>http://web2.westlaw.com/find/default.wl?mt=Westlaw&amp;db=4493&amp;tc=-1&amp;rp=%2ffind%2fdefault.wl&amp;findtype=Y&amp;ordoc=2012852584&amp;serialnum=2004331895&amp;vr=2.0&amp;fn=_top&amp;sv=Split&amp;tf=-1&amp;referencepositiontype=S&amp;pbc=DAE51AEA&amp;referenceposition=7438&amp;rs=WLW12.01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2015-10-09T12:49:00Z</cp:lastPrinted>
  <dcterms:created xsi:type="dcterms:W3CDTF">2015-10-09T13:00:00Z</dcterms:created>
  <dcterms:modified xsi:type="dcterms:W3CDTF">2015-10-09T13:00:00Z</dcterms:modified>
  <cp:category> </cp:category>
  <cp:contentStatus> </cp:contentStatus>
</cp:coreProperties>
</file>