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1D0B12">
        <w:rPr>
          <w:b/>
          <w:szCs w:val="22"/>
        </w:rPr>
        <w:t>5</w:t>
      </w:r>
      <w:r>
        <w:rPr>
          <w:b/>
          <w:szCs w:val="22"/>
        </w:rPr>
        <w:t>-</w:t>
      </w:r>
      <w:r w:rsidR="002D6E4A">
        <w:rPr>
          <w:b/>
          <w:szCs w:val="22"/>
        </w:rPr>
        <w:t>883</w:t>
      </w:r>
    </w:p>
    <w:p w:rsidR="00BD24FA" w:rsidRDefault="00BD24F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A7998">
        <w:rPr>
          <w:b/>
          <w:szCs w:val="22"/>
        </w:rPr>
        <w:t>August</w:t>
      </w:r>
      <w:r w:rsidR="004B2537">
        <w:rPr>
          <w:b/>
          <w:szCs w:val="22"/>
        </w:rPr>
        <w:t xml:space="preserve"> </w:t>
      </w:r>
      <w:r w:rsidR="008A7998">
        <w:rPr>
          <w:b/>
          <w:szCs w:val="22"/>
        </w:rPr>
        <w:t>4</w:t>
      </w:r>
      <w:r w:rsidR="00790948">
        <w:rPr>
          <w:b/>
          <w:szCs w:val="22"/>
        </w:rPr>
        <w:t>,</w:t>
      </w:r>
      <w:r>
        <w:rPr>
          <w:b/>
          <w:szCs w:val="22"/>
        </w:rPr>
        <w:t xml:space="preserve"> 201</w:t>
      </w:r>
      <w:r w:rsidR="001D0B12">
        <w:rPr>
          <w:b/>
          <w:szCs w:val="22"/>
        </w:rPr>
        <w:t>5</w:t>
      </w:r>
    </w:p>
    <w:p w:rsidR="00BD24FA" w:rsidRDefault="00BD24FA">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790948">
        <w:rPr>
          <w:b/>
          <w:caps/>
          <w:kern w:val="0"/>
          <w:szCs w:val="22"/>
        </w:rPr>
        <w:t xml:space="preserve">qwest corporation d/b/a </w:t>
      </w:r>
      <w:r>
        <w:rPr>
          <w:b/>
          <w:caps/>
          <w:kern w:val="0"/>
          <w:szCs w:val="22"/>
        </w:rPr>
        <w:t xml:space="preserve">centurylink </w:t>
      </w:r>
      <w:r w:rsidR="00790948">
        <w:rPr>
          <w:b/>
          <w:caps/>
          <w:kern w:val="0"/>
          <w:szCs w:val="22"/>
        </w:rPr>
        <w:t>q</w:t>
      </w:r>
      <w:r w:rsidR="00B21029">
        <w:rPr>
          <w:b/>
          <w:caps/>
          <w:kern w:val="0"/>
          <w:szCs w:val="22"/>
        </w:rPr>
        <w:t xml:space="preserve">c </w:t>
      </w:r>
      <w:r>
        <w:rPr>
          <w:b/>
          <w:caps/>
          <w:kern w:val="0"/>
          <w:szCs w:val="22"/>
        </w:rPr>
        <w:t>TO DISCONTINUE DOMESTIC</w:t>
      </w:r>
      <w:r>
        <w:rPr>
          <w:b/>
          <w:kern w:val="0"/>
          <w:szCs w:val="22"/>
        </w:rPr>
        <w:t xml:space="preserve"> TELECOMMUNICATIONS SERVICES</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1D0B12">
        <w:rPr>
          <w:b/>
          <w:kern w:val="0"/>
          <w:szCs w:val="22"/>
        </w:rPr>
        <w:t>5</w:t>
      </w:r>
      <w:r>
        <w:rPr>
          <w:b/>
          <w:kern w:val="0"/>
          <w:szCs w:val="22"/>
        </w:rPr>
        <w:t>-</w:t>
      </w:r>
      <w:r w:rsidR="007511F4">
        <w:rPr>
          <w:b/>
          <w:kern w:val="0"/>
          <w:szCs w:val="22"/>
        </w:rPr>
        <w:t>159</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17219F">
        <w:rPr>
          <w:b/>
          <w:kern w:val="0"/>
          <w:szCs w:val="22"/>
        </w:rPr>
        <w:t>2</w:t>
      </w:r>
      <w:r w:rsidR="00790948">
        <w:rPr>
          <w:b/>
          <w:kern w:val="0"/>
          <w:szCs w:val="22"/>
        </w:rPr>
        <w:t>22</w:t>
      </w: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BD24FA" w:rsidRDefault="00BD24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A7998">
        <w:rPr>
          <w:b/>
          <w:kern w:val="0"/>
          <w:szCs w:val="22"/>
        </w:rPr>
        <w:t>August</w:t>
      </w:r>
      <w:r w:rsidR="00790948">
        <w:rPr>
          <w:b/>
          <w:kern w:val="0"/>
          <w:szCs w:val="22"/>
        </w:rPr>
        <w:t xml:space="preserve"> </w:t>
      </w:r>
      <w:r w:rsidR="008A7998">
        <w:rPr>
          <w:b/>
          <w:kern w:val="0"/>
          <w:szCs w:val="22"/>
        </w:rPr>
        <w:t>19</w:t>
      </w:r>
      <w:r>
        <w:rPr>
          <w:b/>
          <w:kern w:val="0"/>
          <w:szCs w:val="22"/>
        </w:rPr>
        <w:t>, 201</w:t>
      </w:r>
      <w:r w:rsidR="00E21BDC">
        <w:rPr>
          <w:b/>
          <w:kern w:val="0"/>
          <w:szCs w:val="22"/>
        </w:rPr>
        <w:t>5</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790948">
        <w:rPr>
          <w:b/>
          <w:szCs w:val="22"/>
        </w:rPr>
        <w:t xml:space="preserve">Qwest Corporation d/b/a </w:t>
      </w:r>
      <w:r>
        <w:rPr>
          <w:b/>
          <w:szCs w:val="22"/>
        </w:rPr>
        <w:t>CenturyLink</w:t>
      </w:r>
      <w:r w:rsidR="00B21029">
        <w:rPr>
          <w:b/>
          <w:szCs w:val="22"/>
        </w:rPr>
        <w:t xml:space="preserve"> </w:t>
      </w:r>
      <w:r w:rsidR="00790948">
        <w:rPr>
          <w:b/>
          <w:szCs w:val="22"/>
        </w:rPr>
        <w:t>Q</w:t>
      </w:r>
      <w:r w:rsidR="00B21029">
        <w:rPr>
          <w:b/>
          <w:szCs w:val="22"/>
        </w:rPr>
        <w:t>C</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D24FA" w:rsidRPr="00583B68"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790948">
        <w:rPr>
          <w:b/>
          <w:spacing w:val="-3"/>
          <w:szCs w:val="22"/>
        </w:rPr>
        <w:t>May 26</w:t>
      </w:r>
      <w:r w:rsidR="0017219F">
        <w:rPr>
          <w:b/>
          <w:spacing w:val="-3"/>
          <w:szCs w:val="22"/>
        </w:rPr>
        <w:t xml:space="preserve">, </w:t>
      </w:r>
      <w:r>
        <w:rPr>
          <w:b/>
          <w:spacing w:val="-3"/>
          <w:szCs w:val="22"/>
        </w:rPr>
        <w:t>201</w:t>
      </w:r>
      <w:r w:rsidR="0017219F">
        <w:rPr>
          <w:b/>
          <w:spacing w:val="-3"/>
          <w:szCs w:val="22"/>
        </w:rPr>
        <w:t>5</w:t>
      </w:r>
      <w:r>
        <w:rPr>
          <w:b/>
          <w:spacing w:val="-3"/>
          <w:szCs w:val="22"/>
        </w:rPr>
        <w:t xml:space="preserve">, </w:t>
      </w:r>
      <w:r w:rsidR="00790948">
        <w:rPr>
          <w:b/>
          <w:spacing w:val="-3"/>
          <w:szCs w:val="22"/>
        </w:rPr>
        <w:t xml:space="preserve">Qwest Corporation d/b/a </w:t>
      </w:r>
      <w:r w:rsidR="002107E4">
        <w:rPr>
          <w:b/>
          <w:spacing w:val="-3"/>
          <w:szCs w:val="22"/>
        </w:rPr>
        <w:t>CenturyLink</w:t>
      </w:r>
      <w:r w:rsidR="00B21029">
        <w:rPr>
          <w:b/>
          <w:spacing w:val="-3"/>
          <w:szCs w:val="22"/>
        </w:rPr>
        <w:t xml:space="preserve"> </w:t>
      </w:r>
      <w:r w:rsidR="00790948">
        <w:rPr>
          <w:b/>
          <w:spacing w:val="-3"/>
          <w:szCs w:val="22"/>
        </w:rPr>
        <w:t>Q</w:t>
      </w:r>
      <w:r w:rsidR="00B21029">
        <w:rPr>
          <w:b/>
          <w:spacing w:val="-3"/>
          <w:szCs w:val="22"/>
        </w:rPr>
        <w:t>C</w:t>
      </w:r>
      <w:r>
        <w:rPr>
          <w:b/>
          <w:spacing w:val="-3"/>
          <w:szCs w:val="22"/>
        </w:rPr>
        <w:t xml:space="preserve"> </w:t>
      </w:r>
      <w:r>
        <w:rPr>
          <w:spacing w:val="-3"/>
          <w:szCs w:val="22"/>
        </w:rPr>
        <w:t>(CenturyLink</w:t>
      </w:r>
      <w:r w:rsidR="00790948">
        <w:rPr>
          <w:spacing w:val="-3"/>
          <w:szCs w:val="22"/>
        </w:rPr>
        <w:t xml:space="preserve"> </w:t>
      </w:r>
      <w:r>
        <w:rPr>
          <w:spacing w:val="-3"/>
          <w:szCs w:val="22"/>
        </w:rPr>
        <w:t>or Applicant)</w:t>
      </w:r>
      <w:r>
        <w:rPr>
          <w:szCs w:val="22"/>
        </w:rPr>
        <w:t>, located at</w:t>
      </w:r>
      <w:r>
        <w:rPr>
          <w:b/>
          <w:szCs w:val="22"/>
        </w:rPr>
        <w:t xml:space="preserve"> 100 CenturyLink Drive, Monroe, LA 71203</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6F46D6">
        <w:rPr>
          <w:szCs w:val="22"/>
        </w:rPr>
        <w:t xml:space="preserve">a </w:t>
      </w:r>
      <w:r>
        <w:rPr>
          <w:szCs w:val="22"/>
        </w:rPr>
        <w:t>certain domestic</w:t>
      </w:r>
      <w:r w:rsidR="00055E2F">
        <w:rPr>
          <w:szCs w:val="22"/>
        </w:rPr>
        <w:t xml:space="preserve"> telecommunications service </w:t>
      </w:r>
      <w:r w:rsidR="00CB274F">
        <w:rPr>
          <w:szCs w:val="22"/>
        </w:rPr>
        <w:t>in areas outside its local service territory in Oregon where it was previously designated as the default intraLATA toll service provider</w:t>
      </w:r>
      <w:r w:rsidR="005C0D55">
        <w:rPr>
          <w:szCs w:val="22"/>
        </w:rPr>
        <w:t>.</w:t>
      </w:r>
      <w:r w:rsidR="00E521BD">
        <w:rPr>
          <w:rStyle w:val="FootnoteReference"/>
          <w:szCs w:val="22"/>
        </w:rPr>
        <w:footnoteReference w:id="1"/>
      </w:r>
      <w:r w:rsidR="005973DD">
        <w:rPr>
          <w:szCs w:val="22"/>
        </w:rPr>
        <w:t xml:space="preserve">  </w:t>
      </w:r>
      <w:r w:rsidR="00543CF4">
        <w:rPr>
          <w:szCs w:val="22"/>
        </w:rPr>
        <w:t xml:space="preserve">On July </w:t>
      </w:r>
      <w:r w:rsidR="00B93E41">
        <w:rPr>
          <w:szCs w:val="22"/>
        </w:rPr>
        <w:t>31</w:t>
      </w:r>
      <w:r w:rsidR="005973DD">
        <w:rPr>
          <w:szCs w:val="22"/>
        </w:rPr>
        <w:t xml:space="preserve">, 2015, CenturyLink filed an amendment to address certain deficiencies in its application and to update the record regarding the notice provided.  Accordingly, CenturyLink’s application </w:t>
      </w:r>
      <w:r w:rsidR="00543CF4">
        <w:rPr>
          <w:szCs w:val="22"/>
        </w:rPr>
        <w:t xml:space="preserve">is deemed complete as of July </w:t>
      </w:r>
      <w:r w:rsidR="00B93E41">
        <w:rPr>
          <w:szCs w:val="22"/>
        </w:rPr>
        <w:t>31,</w:t>
      </w:r>
      <w:r w:rsidR="005973DD">
        <w:rPr>
          <w:szCs w:val="22"/>
        </w:rPr>
        <w:t xml:space="preserve"> 2015.</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97DBE"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B94F25">
        <w:rPr>
          <w:szCs w:val="22"/>
        </w:rPr>
        <w:t xml:space="preserve">CenturyLink </w:t>
      </w:r>
      <w:r w:rsidR="005F2E96">
        <w:rPr>
          <w:szCs w:val="22"/>
        </w:rPr>
        <w:t xml:space="preserve">indicates </w:t>
      </w:r>
      <w:r w:rsidR="00B94F25">
        <w:rPr>
          <w:szCs w:val="22"/>
        </w:rPr>
        <w:t>that</w:t>
      </w:r>
      <w:r w:rsidR="00A4026F">
        <w:rPr>
          <w:szCs w:val="22"/>
        </w:rPr>
        <w:t xml:space="preserve">, in a 2003 Order, </w:t>
      </w:r>
      <w:r w:rsidR="00B94F25">
        <w:rPr>
          <w:szCs w:val="22"/>
        </w:rPr>
        <w:t xml:space="preserve">the Oregon Commission deregulated CenturyLink’s intraLATA toll service subject to certain conditions.  CenturyLink </w:t>
      </w:r>
      <w:r w:rsidR="00525E73">
        <w:rPr>
          <w:szCs w:val="22"/>
        </w:rPr>
        <w:t>specifies</w:t>
      </w:r>
      <w:r w:rsidR="005F2E96">
        <w:rPr>
          <w:szCs w:val="22"/>
        </w:rPr>
        <w:t xml:space="preserve"> that </w:t>
      </w:r>
      <w:r w:rsidR="00B94F25">
        <w:rPr>
          <w:szCs w:val="22"/>
        </w:rPr>
        <w:t xml:space="preserve">the </w:t>
      </w:r>
      <w:r w:rsidR="00525E73">
        <w:rPr>
          <w:szCs w:val="22"/>
        </w:rPr>
        <w:t>2003 O</w:t>
      </w:r>
      <w:r w:rsidR="00B94F25">
        <w:rPr>
          <w:szCs w:val="22"/>
        </w:rPr>
        <w:t>r</w:t>
      </w:r>
      <w:r w:rsidR="00C90526">
        <w:rPr>
          <w:szCs w:val="22"/>
        </w:rPr>
        <w:t xml:space="preserve">der </w:t>
      </w:r>
      <w:r w:rsidR="00B94F25">
        <w:rPr>
          <w:szCs w:val="22"/>
        </w:rPr>
        <w:t xml:space="preserve">designated CenturyLink as the default provider of </w:t>
      </w:r>
      <w:r w:rsidR="00525E73">
        <w:rPr>
          <w:szCs w:val="22"/>
        </w:rPr>
        <w:t xml:space="preserve">certain </w:t>
      </w:r>
      <w:r w:rsidR="00B94F25">
        <w:rPr>
          <w:szCs w:val="22"/>
        </w:rPr>
        <w:t xml:space="preserve">intraLATA toll services </w:t>
      </w:r>
      <w:r w:rsidR="00767DF5">
        <w:rPr>
          <w:szCs w:val="22"/>
        </w:rPr>
        <w:t xml:space="preserve">for </w:t>
      </w:r>
      <w:r w:rsidR="00B94F25">
        <w:rPr>
          <w:szCs w:val="22"/>
        </w:rPr>
        <w:t>all Oregon exchanges where a primary toll carrier was not designated</w:t>
      </w:r>
      <w:r w:rsidR="00224E50">
        <w:rPr>
          <w:szCs w:val="22"/>
        </w:rPr>
        <w:t>.  CenturyLink</w:t>
      </w:r>
      <w:r w:rsidR="00A4026F">
        <w:rPr>
          <w:szCs w:val="22"/>
        </w:rPr>
        <w:t xml:space="preserve"> states that </w:t>
      </w:r>
      <w:r w:rsidR="005F2E96">
        <w:rPr>
          <w:szCs w:val="22"/>
        </w:rPr>
        <w:t xml:space="preserve">Frontier Communications Northwest (Frontier) and </w:t>
      </w:r>
      <w:r w:rsidR="00224E50">
        <w:rPr>
          <w:szCs w:val="22"/>
        </w:rPr>
        <w:t>United Telephone Company of the Northwest (United) are the only primary toll carriers in Oregon</w:t>
      </w:r>
      <w:r w:rsidR="00A4026F">
        <w:rPr>
          <w:szCs w:val="22"/>
        </w:rPr>
        <w:t xml:space="preserve">.  Accordingly, </w:t>
      </w:r>
      <w:r w:rsidR="00C90526">
        <w:rPr>
          <w:szCs w:val="22"/>
        </w:rPr>
        <w:t xml:space="preserve">CenturyLink </w:t>
      </w:r>
      <w:r w:rsidR="00A4026F">
        <w:rPr>
          <w:szCs w:val="22"/>
        </w:rPr>
        <w:t>indicates that i</w:t>
      </w:r>
      <w:r w:rsidR="00C90526">
        <w:rPr>
          <w:szCs w:val="22"/>
        </w:rPr>
        <w:t xml:space="preserve">t currently offers interstate intraLATA toll service </w:t>
      </w:r>
      <w:r w:rsidR="00CE6AF2">
        <w:rPr>
          <w:szCs w:val="22"/>
        </w:rPr>
        <w:t xml:space="preserve">(Affected Service) </w:t>
      </w:r>
      <w:r w:rsidR="00C90526">
        <w:rPr>
          <w:szCs w:val="22"/>
        </w:rPr>
        <w:t xml:space="preserve">within </w:t>
      </w:r>
      <w:r w:rsidR="00224E50">
        <w:rPr>
          <w:szCs w:val="22"/>
        </w:rPr>
        <w:t xml:space="preserve">the exchanges </w:t>
      </w:r>
      <w:r w:rsidR="00CB6C86">
        <w:rPr>
          <w:szCs w:val="22"/>
        </w:rPr>
        <w:t xml:space="preserve">in Oregon that are </w:t>
      </w:r>
      <w:r w:rsidR="00224E50">
        <w:rPr>
          <w:szCs w:val="22"/>
        </w:rPr>
        <w:t xml:space="preserve">not served by </w:t>
      </w:r>
      <w:r w:rsidR="00CE6AF2">
        <w:rPr>
          <w:szCs w:val="22"/>
        </w:rPr>
        <w:t>Frontier and United</w:t>
      </w:r>
      <w:r w:rsidR="005F2E96">
        <w:rPr>
          <w:szCs w:val="22"/>
        </w:rPr>
        <w:t xml:space="preserve"> (Service Areas)</w:t>
      </w:r>
      <w:r w:rsidR="00224E50">
        <w:rPr>
          <w:szCs w:val="22"/>
        </w:rPr>
        <w:t>.</w:t>
      </w:r>
      <w:r w:rsidR="00092D51">
        <w:rPr>
          <w:rStyle w:val="FootnoteReference"/>
          <w:szCs w:val="22"/>
        </w:rPr>
        <w:footnoteReference w:id="2"/>
      </w:r>
      <w:r w:rsidR="00224E50">
        <w:rPr>
          <w:szCs w:val="22"/>
        </w:rPr>
        <w:t xml:space="preserve">  </w:t>
      </w:r>
      <w:r w:rsidR="00A86AC5">
        <w:rPr>
          <w:szCs w:val="22"/>
        </w:rPr>
        <w:t xml:space="preserve">CenturyLink adds that it relies on the Oregon Rural ILECs to bill customers </w:t>
      </w:r>
      <w:r w:rsidR="00A86AC5">
        <w:rPr>
          <w:szCs w:val="22"/>
        </w:rPr>
        <w:lastRenderedPageBreak/>
        <w:t>and remit revenues for the intraLATA toll services that CenturyLink provides in the</w:t>
      </w:r>
      <w:r w:rsidR="0007203E">
        <w:rPr>
          <w:szCs w:val="22"/>
        </w:rPr>
        <w:t xml:space="preserve"> Service Areas.</w:t>
      </w:r>
      <w:r w:rsidR="00975617">
        <w:rPr>
          <w:szCs w:val="22"/>
        </w:rPr>
        <w:t xml:space="preserve">  </w:t>
      </w:r>
      <w:r w:rsidR="0007203E">
        <w:rPr>
          <w:szCs w:val="22"/>
        </w:rPr>
        <w:t xml:space="preserve">CenturyLink states, however, that due to changes in the market, the Oregon Commission effectively relieved CenturyLink of its obligation to provide the Affected Service in an April 13, 2015 Order.  </w:t>
      </w:r>
      <w:r w:rsidR="00A86AC5">
        <w:rPr>
          <w:szCs w:val="22"/>
        </w:rPr>
        <w:t xml:space="preserve">The Applicant </w:t>
      </w:r>
      <w:r w:rsidR="0007203E">
        <w:rPr>
          <w:szCs w:val="22"/>
        </w:rPr>
        <w:t xml:space="preserve">adds </w:t>
      </w:r>
      <w:r w:rsidR="00414264">
        <w:rPr>
          <w:szCs w:val="22"/>
        </w:rPr>
        <w:t xml:space="preserve">that, as a result of rising competition and falling </w:t>
      </w:r>
      <w:r w:rsidR="00A86AC5">
        <w:rPr>
          <w:szCs w:val="22"/>
        </w:rPr>
        <w:t>demand for the Affected Service</w:t>
      </w:r>
      <w:r w:rsidR="00414264">
        <w:rPr>
          <w:szCs w:val="22"/>
        </w:rPr>
        <w:t xml:space="preserve">, </w:t>
      </w:r>
      <w:r w:rsidR="00006F1A">
        <w:rPr>
          <w:szCs w:val="22"/>
        </w:rPr>
        <w:t xml:space="preserve">the per-call costs of the billing and collection services it receives from the </w:t>
      </w:r>
      <w:r w:rsidR="00A86AC5">
        <w:rPr>
          <w:szCs w:val="22"/>
        </w:rPr>
        <w:t>Oregon R</w:t>
      </w:r>
      <w:r w:rsidR="00006F1A">
        <w:rPr>
          <w:szCs w:val="22"/>
        </w:rPr>
        <w:t xml:space="preserve">ural ILECs now exceeds </w:t>
      </w:r>
      <w:r w:rsidR="00414264">
        <w:rPr>
          <w:szCs w:val="22"/>
        </w:rPr>
        <w:t>CenturyLink’s revenues for the Affected Service in some of th</w:t>
      </w:r>
      <w:r w:rsidR="00975617">
        <w:rPr>
          <w:szCs w:val="22"/>
        </w:rPr>
        <w:t xml:space="preserve">e Oregon Rural ILEC exchanges.  </w:t>
      </w:r>
      <w:r w:rsidR="00414264">
        <w:rPr>
          <w:szCs w:val="22"/>
        </w:rPr>
        <w:t>CenturyLink consequently asserts that it plans to d</w:t>
      </w:r>
      <w:r w:rsidR="00A86AC5">
        <w:rPr>
          <w:szCs w:val="22"/>
        </w:rPr>
        <w:t>iscontinue the Affected Service</w:t>
      </w:r>
      <w:r w:rsidR="00414264">
        <w:rPr>
          <w:szCs w:val="22"/>
        </w:rPr>
        <w:t xml:space="preserve"> in the Service Areas on July 31, 2015, or as soon ther</w:t>
      </w:r>
      <w:r w:rsidR="00A259E4">
        <w:rPr>
          <w:szCs w:val="22"/>
        </w:rPr>
        <w:t>e</w:t>
      </w:r>
      <w:r w:rsidR="00414264">
        <w:rPr>
          <w:szCs w:val="22"/>
        </w:rPr>
        <w:t>after as the necessary regulatory approvals can be obtained</w:t>
      </w:r>
      <w:r w:rsidR="00097DBE">
        <w:rPr>
          <w:szCs w:val="22"/>
        </w:rPr>
        <w:t>.</w:t>
      </w:r>
      <w:r w:rsidR="00975617" w:rsidRPr="00975617">
        <w:rPr>
          <w:szCs w:val="22"/>
        </w:rPr>
        <w:t xml:space="preserve"> </w:t>
      </w:r>
      <w:r w:rsidR="00975617">
        <w:rPr>
          <w:szCs w:val="22"/>
        </w:rPr>
        <w:t xml:space="preserve"> The Applicant asserts that it is considered to be a non-dominant carrier with respect to the service to be discontinued.</w:t>
      </w:r>
    </w:p>
    <w:p w:rsidR="00097DBE" w:rsidRDefault="00097D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097D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43B98" w:rsidRPr="00143B98">
        <w:rPr>
          <w:szCs w:val="22"/>
        </w:rPr>
        <w:t xml:space="preserve">CenturyLink </w:t>
      </w:r>
      <w:r w:rsidR="0007203E">
        <w:rPr>
          <w:szCs w:val="22"/>
        </w:rPr>
        <w:t xml:space="preserve">maintains </w:t>
      </w:r>
      <w:r w:rsidR="001535B4">
        <w:rPr>
          <w:szCs w:val="22"/>
        </w:rPr>
        <w:t xml:space="preserve">that </w:t>
      </w:r>
      <w:r w:rsidR="00153925">
        <w:rPr>
          <w:szCs w:val="22"/>
        </w:rPr>
        <w:t>it does not have a direct relationship with the customers affected by the proposed discontinuance and that it does</w:t>
      </w:r>
      <w:r w:rsidR="00A86AC5">
        <w:rPr>
          <w:szCs w:val="22"/>
        </w:rPr>
        <w:t>n’t</w:t>
      </w:r>
      <w:r w:rsidR="00153925">
        <w:rPr>
          <w:szCs w:val="22"/>
        </w:rPr>
        <w:t xml:space="preserve"> even know the identity of these customers due to its reliance on the Oregon Rural ILECs for billing and collection.  </w:t>
      </w:r>
      <w:r w:rsidR="00602440">
        <w:rPr>
          <w:szCs w:val="22"/>
        </w:rPr>
        <w:t>G</w:t>
      </w:r>
      <w:r w:rsidR="00153925">
        <w:rPr>
          <w:szCs w:val="22"/>
        </w:rPr>
        <w:t xml:space="preserve">iven these unusual circumstances, </w:t>
      </w:r>
      <w:r w:rsidR="00602440">
        <w:rPr>
          <w:szCs w:val="22"/>
        </w:rPr>
        <w:t xml:space="preserve">CenturyLink indicates that </w:t>
      </w:r>
      <w:r w:rsidR="00153925">
        <w:rPr>
          <w:szCs w:val="22"/>
        </w:rPr>
        <w:t>the Oregon Commission required the Oregon Rural ILECs</w:t>
      </w:r>
      <w:r w:rsidR="005777F8">
        <w:rPr>
          <w:szCs w:val="22"/>
        </w:rPr>
        <w:t xml:space="preserve">, rather than CenturyLink, </w:t>
      </w:r>
      <w:r w:rsidR="00153925">
        <w:rPr>
          <w:szCs w:val="22"/>
        </w:rPr>
        <w:t xml:space="preserve">to send notice </w:t>
      </w:r>
      <w:r w:rsidR="00D35FD9">
        <w:rPr>
          <w:szCs w:val="22"/>
        </w:rPr>
        <w:t xml:space="preserve">of the proposed discontinuance </w:t>
      </w:r>
      <w:r w:rsidR="00153925">
        <w:rPr>
          <w:szCs w:val="22"/>
        </w:rPr>
        <w:t xml:space="preserve">to </w:t>
      </w:r>
      <w:r>
        <w:rPr>
          <w:szCs w:val="22"/>
        </w:rPr>
        <w:t xml:space="preserve">all </w:t>
      </w:r>
      <w:r w:rsidR="00153925">
        <w:rPr>
          <w:szCs w:val="22"/>
        </w:rPr>
        <w:t>affected customers no later t</w:t>
      </w:r>
      <w:r w:rsidR="00D35FD9">
        <w:rPr>
          <w:szCs w:val="22"/>
        </w:rPr>
        <w:t>han May </w:t>
      </w:r>
      <w:r w:rsidR="00153925">
        <w:rPr>
          <w:szCs w:val="22"/>
        </w:rPr>
        <w:t xml:space="preserve">13, 2015.  </w:t>
      </w:r>
      <w:r w:rsidR="003E2066">
        <w:rPr>
          <w:szCs w:val="22"/>
        </w:rPr>
        <w:t xml:space="preserve">CenturyLink states, for example, that </w:t>
      </w:r>
      <w:r w:rsidR="0033351C">
        <w:rPr>
          <w:szCs w:val="22"/>
        </w:rPr>
        <w:t xml:space="preserve">two CenturyLink affiliates among the Rural Oregon ILECs, CenturyTel of Eastern Oregon and CenturyTel of Oregon, tried to notify affected customers </w:t>
      </w:r>
      <w:r w:rsidR="00AE20C3">
        <w:rPr>
          <w:szCs w:val="22"/>
        </w:rPr>
        <w:t xml:space="preserve">of the proposed discontinuance </w:t>
      </w:r>
      <w:r w:rsidR="0033351C">
        <w:rPr>
          <w:szCs w:val="22"/>
        </w:rPr>
        <w:t>by U.S. Mail on May 13, 2015</w:t>
      </w:r>
      <w:r w:rsidR="0007203E">
        <w:rPr>
          <w:szCs w:val="22"/>
        </w:rPr>
        <w:t xml:space="preserve">.  </w:t>
      </w:r>
      <w:r w:rsidR="003E2066">
        <w:rPr>
          <w:szCs w:val="22"/>
        </w:rPr>
        <w:t xml:space="preserve">According to </w:t>
      </w:r>
      <w:r w:rsidR="0007203E">
        <w:rPr>
          <w:szCs w:val="22"/>
        </w:rPr>
        <w:t>CenturyLink</w:t>
      </w:r>
      <w:r w:rsidR="003E2066">
        <w:rPr>
          <w:szCs w:val="22"/>
        </w:rPr>
        <w:t>,</w:t>
      </w:r>
      <w:r w:rsidR="0007203E">
        <w:rPr>
          <w:szCs w:val="22"/>
        </w:rPr>
        <w:t xml:space="preserve"> </w:t>
      </w:r>
      <w:r w:rsidR="0033351C">
        <w:rPr>
          <w:szCs w:val="22"/>
        </w:rPr>
        <w:t xml:space="preserve">CenturyTel of Oregon </w:t>
      </w:r>
      <w:r w:rsidR="00D35FD9">
        <w:rPr>
          <w:szCs w:val="22"/>
        </w:rPr>
        <w:t xml:space="preserve">subsequently </w:t>
      </w:r>
      <w:r w:rsidR="0033351C">
        <w:rPr>
          <w:szCs w:val="22"/>
        </w:rPr>
        <w:t xml:space="preserve">tried to send an additional notice to customers by U.S. Mail on May 21, 2015 in order to correct </w:t>
      </w:r>
      <w:r w:rsidR="000F396E">
        <w:rPr>
          <w:szCs w:val="22"/>
        </w:rPr>
        <w:t xml:space="preserve">a </w:t>
      </w:r>
      <w:r w:rsidR="00C02878">
        <w:rPr>
          <w:szCs w:val="22"/>
        </w:rPr>
        <w:t xml:space="preserve">clerical error regarding the </w:t>
      </w:r>
      <w:r w:rsidR="0033351C">
        <w:rPr>
          <w:szCs w:val="22"/>
        </w:rPr>
        <w:t xml:space="preserve">name of the company.  </w:t>
      </w:r>
      <w:r w:rsidR="00E70B9C">
        <w:rPr>
          <w:szCs w:val="22"/>
        </w:rPr>
        <w:t xml:space="preserve">The Applicant </w:t>
      </w:r>
      <w:r w:rsidR="00D35FD9">
        <w:rPr>
          <w:szCs w:val="22"/>
        </w:rPr>
        <w:t xml:space="preserve">acknowledges that </w:t>
      </w:r>
      <w:r w:rsidR="008E10E8">
        <w:rPr>
          <w:szCs w:val="22"/>
        </w:rPr>
        <w:t xml:space="preserve">while the </w:t>
      </w:r>
      <w:r w:rsidR="00D35FD9">
        <w:rPr>
          <w:szCs w:val="22"/>
        </w:rPr>
        <w:t xml:space="preserve">customer notices provided by the Oregon Rural ILECs did inform customers of their opportunity to file paper comments with the Commission by mail, </w:t>
      </w:r>
      <w:r w:rsidR="008E10E8">
        <w:rPr>
          <w:szCs w:val="22"/>
        </w:rPr>
        <w:t xml:space="preserve">they did not include language now required under the rule to inform customers of their opportunity to </w:t>
      </w:r>
      <w:r w:rsidR="00D35FD9">
        <w:rPr>
          <w:szCs w:val="22"/>
        </w:rPr>
        <w:t xml:space="preserve">electronically file comments through the Commission’s Electronic Comment Filing System (ECFS).  Accordingly, CenturyLink </w:t>
      </w:r>
      <w:r w:rsidR="00CF5CBF">
        <w:rPr>
          <w:szCs w:val="22"/>
        </w:rPr>
        <w:t xml:space="preserve">asserts that </w:t>
      </w:r>
      <w:r w:rsidR="00E70B9C">
        <w:rPr>
          <w:szCs w:val="22"/>
        </w:rPr>
        <w:t xml:space="preserve">it has attempted to </w:t>
      </w:r>
      <w:r w:rsidR="00D40002">
        <w:rPr>
          <w:szCs w:val="22"/>
        </w:rPr>
        <w:t>s</w:t>
      </w:r>
      <w:r w:rsidR="00E70B9C">
        <w:rPr>
          <w:szCs w:val="22"/>
        </w:rPr>
        <w:t xml:space="preserve">upplement the </w:t>
      </w:r>
      <w:r w:rsidR="00D40002">
        <w:rPr>
          <w:szCs w:val="22"/>
        </w:rPr>
        <w:t xml:space="preserve">information provided in the </w:t>
      </w:r>
      <w:r w:rsidR="00D35FD9">
        <w:rPr>
          <w:szCs w:val="22"/>
        </w:rPr>
        <w:t>original notice</w:t>
      </w:r>
      <w:r w:rsidR="00D40002">
        <w:rPr>
          <w:szCs w:val="22"/>
        </w:rPr>
        <w:t>s</w:t>
      </w:r>
      <w:r w:rsidR="00D35FD9">
        <w:rPr>
          <w:szCs w:val="22"/>
        </w:rPr>
        <w:t xml:space="preserve"> </w:t>
      </w:r>
      <w:r w:rsidR="00D40002">
        <w:rPr>
          <w:szCs w:val="22"/>
        </w:rPr>
        <w:t xml:space="preserve">sent by the Oregon Rural ILECs.  </w:t>
      </w:r>
      <w:r w:rsidR="00E70B9C">
        <w:rPr>
          <w:szCs w:val="22"/>
        </w:rPr>
        <w:t>CenturyLink s</w:t>
      </w:r>
      <w:r w:rsidR="006D2AD7">
        <w:rPr>
          <w:szCs w:val="22"/>
        </w:rPr>
        <w:t>pecifies</w:t>
      </w:r>
      <w:r w:rsidR="00E70B9C">
        <w:rPr>
          <w:szCs w:val="22"/>
        </w:rPr>
        <w:t xml:space="preserve"> that</w:t>
      </w:r>
      <w:r w:rsidR="0038678D">
        <w:rPr>
          <w:szCs w:val="22"/>
        </w:rPr>
        <w:t>,</w:t>
      </w:r>
      <w:r w:rsidR="00E70B9C">
        <w:rPr>
          <w:szCs w:val="22"/>
        </w:rPr>
        <w:t xml:space="preserve"> </w:t>
      </w:r>
      <w:r w:rsidR="0038678D">
        <w:rPr>
          <w:szCs w:val="22"/>
        </w:rPr>
        <w:t xml:space="preserve">by July 30, 2015, it published supplemental notice in </w:t>
      </w:r>
      <w:r w:rsidR="00D40002">
        <w:rPr>
          <w:szCs w:val="22"/>
        </w:rPr>
        <w:t xml:space="preserve">several </w:t>
      </w:r>
      <w:r w:rsidR="0038678D">
        <w:rPr>
          <w:szCs w:val="22"/>
        </w:rPr>
        <w:t xml:space="preserve">Oregon newspapers of general circulation to inform customers of their opportunity to </w:t>
      </w:r>
      <w:r w:rsidR="00075013">
        <w:rPr>
          <w:szCs w:val="22"/>
        </w:rPr>
        <w:t xml:space="preserve">file comments </w:t>
      </w:r>
      <w:r w:rsidR="00D40002">
        <w:rPr>
          <w:szCs w:val="22"/>
        </w:rPr>
        <w:t>via ECFS</w:t>
      </w:r>
      <w:r w:rsidR="00075013">
        <w:rPr>
          <w:szCs w:val="22"/>
        </w:rPr>
        <w:t>.  CenturyLink adds that it also has placed the supplementa</w:t>
      </w:r>
      <w:r w:rsidR="00D40002">
        <w:rPr>
          <w:szCs w:val="22"/>
        </w:rPr>
        <w:t xml:space="preserve">l notice on its website and has </w:t>
      </w:r>
      <w:r w:rsidR="00075013">
        <w:rPr>
          <w:szCs w:val="22"/>
        </w:rPr>
        <w:t>asked other Oreg</w:t>
      </w:r>
      <w:r w:rsidR="00975617">
        <w:rPr>
          <w:szCs w:val="22"/>
        </w:rPr>
        <w:t>on Rural ILECs to do the same.</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BD24FA" w:rsidRPr="00790948"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CenturyLink’s application will be deemed to be granted automatically on the </w:t>
      </w:r>
      <w:r w:rsidR="00E954D0">
        <w:rPr>
          <w:szCs w:val="22"/>
        </w:rPr>
        <w:t>31st</w:t>
      </w:r>
      <w:r>
        <w:rPr>
          <w:szCs w:val="22"/>
        </w:rPr>
        <w:t xml:space="preserve"> day after the release date of this public notice, unless the Commission notifies CenturyLink that the grant will not be automatically effective.  In its application, CenturyLink indicates that it plans to </w:t>
      </w:r>
      <w:r w:rsidR="00674138">
        <w:rPr>
          <w:szCs w:val="22"/>
        </w:rPr>
        <w:t xml:space="preserve">discontinue </w:t>
      </w:r>
      <w:r w:rsidR="00E954D0">
        <w:rPr>
          <w:szCs w:val="22"/>
        </w:rPr>
        <w:t>the Affected Service</w:t>
      </w:r>
      <w:r>
        <w:rPr>
          <w:szCs w:val="22"/>
        </w:rPr>
        <w:t xml:space="preserve"> in the Service Areas </w:t>
      </w:r>
      <w:r w:rsidR="00A40C03">
        <w:rPr>
          <w:szCs w:val="22"/>
        </w:rPr>
        <w:t xml:space="preserve">on July 31, 2015, or as soon thereafter as the necessary regulatory approvals can be obtained.  </w:t>
      </w:r>
      <w:r>
        <w:rPr>
          <w:szCs w:val="22"/>
        </w:rPr>
        <w:t xml:space="preserve">Accordingly, pursuant to section 63.71(c) and the terms of CenturyLink’s application, absent further Commission action, CenturyLink may </w:t>
      </w:r>
      <w:r w:rsidR="00E21BDC">
        <w:rPr>
          <w:szCs w:val="22"/>
        </w:rPr>
        <w:t xml:space="preserve">discontinue </w:t>
      </w:r>
      <w:r w:rsidR="00E954D0">
        <w:rPr>
          <w:szCs w:val="22"/>
        </w:rPr>
        <w:t>the Affected Service</w:t>
      </w:r>
      <w:r w:rsidR="00E21BDC">
        <w:rPr>
          <w:szCs w:val="22"/>
        </w:rPr>
        <w:t xml:space="preserve"> in </w:t>
      </w:r>
      <w:r>
        <w:rPr>
          <w:szCs w:val="22"/>
        </w:rPr>
        <w:t xml:space="preserve">the Service Areas on or after </w:t>
      </w:r>
      <w:r w:rsidR="0038678D">
        <w:rPr>
          <w:b/>
          <w:szCs w:val="22"/>
        </w:rPr>
        <w:t>September 4</w:t>
      </w:r>
      <w:r>
        <w:rPr>
          <w:b/>
          <w:szCs w:val="22"/>
        </w:rPr>
        <w:t>, 201</w:t>
      </w:r>
      <w:r w:rsidR="00E21BDC">
        <w:rPr>
          <w:b/>
          <w:szCs w:val="22"/>
        </w:rPr>
        <w:t>5</w:t>
      </w:r>
      <w:r>
        <w:rPr>
          <w:szCs w:val="22"/>
        </w:rPr>
        <w:t>, in accordance with its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21BDC"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r w:rsidR="00F57141">
        <w:rPr>
          <w:b/>
          <w:szCs w:val="22"/>
        </w:rPr>
        <w:t>August 19</w:t>
      </w:r>
      <w:r>
        <w:rPr>
          <w:b/>
          <w:szCs w:val="22"/>
        </w:rPr>
        <w:t>, 201</w:t>
      </w:r>
      <w:r w:rsidR="00E21BDC">
        <w:rPr>
          <w:b/>
          <w:szCs w:val="22"/>
        </w:rPr>
        <w:t>5</w:t>
      </w:r>
      <w:r>
        <w:rPr>
          <w:szCs w:val="22"/>
        </w:rPr>
        <w:t xml:space="preserve">.  Such comments should refer to </w:t>
      </w:r>
      <w:r>
        <w:rPr>
          <w:b/>
          <w:szCs w:val="22"/>
        </w:rPr>
        <w:t>WC Docket No. 1</w:t>
      </w:r>
      <w:r w:rsidR="00E954D0">
        <w:rPr>
          <w:b/>
          <w:szCs w:val="22"/>
        </w:rPr>
        <w:t>5</w:t>
      </w:r>
      <w:r>
        <w:rPr>
          <w:b/>
          <w:szCs w:val="22"/>
        </w:rPr>
        <w:t>-</w:t>
      </w:r>
      <w:r w:rsidR="00FD3D68">
        <w:rPr>
          <w:b/>
          <w:szCs w:val="22"/>
        </w:rPr>
        <w:t>159</w:t>
      </w:r>
      <w:r>
        <w:rPr>
          <w:b/>
          <w:szCs w:val="22"/>
        </w:rPr>
        <w:t xml:space="preserve"> and Comp. Pol. File No. 1</w:t>
      </w:r>
      <w:r w:rsidR="00525616">
        <w:rPr>
          <w:b/>
          <w:szCs w:val="22"/>
        </w:rPr>
        <w:t>2</w:t>
      </w:r>
      <w:r w:rsidR="00790948">
        <w:rPr>
          <w:b/>
          <w:szCs w:val="22"/>
        </w:rPr>
        <w:t>22</w:t>
      </w:r>
      <w:r>
        <w:rPr>
          <w:szCs w:val="22"/>
        </w:rPr>
        <w:t xml:space="preserve">.  </w:t>
      </w:r>
      <w:r w:rsidR="00525616">
        <w:rPr>
          <w:szCs w:val="22"/>
        </w:rPr>
        <w:t>C</w:t>
      </w:r>
      <w:r>
        <w:rPr>
          <w:szCs w:val="22"/>
        </w:rPr>
        <w:t xml:space="preserve">omments should include specific information about the impact of this proposed discontinuance on the commenter, including any inability to acquire reasonable substitute service.  Comments may be filed using the Commission’s Electronic Comment Filing System or by filing paper copies.  </w:t>
      </w:r>
      <w:r>
        <w:rPr>
          <w:i/>
          <w:szCs w:val="22"/>
        </w:rPr>
        <w:t xml:space="preserve">See </w:t>
      </w:r>
      <w:r>
        <w:rPr>
          <w:i/>
          <w:szCs w:val="22"/>
        </w:rPr>
        <w:lastRenderedPageBreak/>
        <w:t>Electronic Filing of Documents in Rulemaking Proceedings</w:t>
      </w:r>
      <w:r>
        <w:rPr>
          <w:szCs w:val="22"/>
        </w:rPr>
        <w:t xml:space="preserve">, 63 FR 24121 (1998).  Comments may be filed electronically using the Internet by accessing the ECFS: </w:t>
      </w:r>
      <w:r w:rsidR="00287975">
        <w:rPr>
          <w:szCs w:val="22"/>
        </w:rPr>
        <w:t xml:space="preserve"> </w:t>
      </w:r>
      <w:r w:rsidR="005B6E8D"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E21BDC" w:rsidRDefault="00E21BD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6D618B">
        <w:rPr>
          <w:szCs w:val="22"/>
        </w:rPr>
        <w:t xml:space="preserve"> </w:t>
      </w:r>
      <w:r>
        <w:rPr>
          <w:szCs w:val="22"/>
        </w:rPr>
        <w:t xml:space="preserve">Carmell Weathers.  In addition, comments should be served upon the Applicant.  Commenters are also requested to fax their comments to the FCC at (202) 418-1413, Attention: </w:t>
      </w:r>
      <w:r w:rsidR="006D618B">
        <w:rPr>
          <w:szCs w:val="22"/>
        </w:rPr>
        <w:t xml:space="preserve"> </w:t>
      </w:r>
      <w:r>
        <w:rPr>
          <w:szCs w:val="22"/>
        </w:rPr>
        <w:t>Carmell Weathers.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6D618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FD3D68">
        <w:rPr>
          <w:szCs w:val="22"/>
        </w:rPr>
        <w:t>(888) 835-5322</w:t>
      </w:r>
      <w:r>
        <w:rPr>
          <w:szCs w:val="22"/>
        </w:rPr>
        <w:t xml:space="preserve"> (tty).</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sidR="00790948">
        <w:rPr>
          <w:szCs w:val="22"/>
        </w:rPr>
        <w:t>, or Rodney McDonald</w:t>
      </w:r>
      <w:r>
        <w:rPr>
          <w:szCs w:val="22"/>
        </w:rPr>
        <w:t>, (202) 418-7</w:t>
      </w:r>
      <w:r w:rsidR="00790948">
        <w:rPr>
          <w:szCs w:val="22"/>
        </w:rPr>
        <w:t>513</w:t>
      </w:r>
      <w:r>
        <w:rPr>
          <w:szCs w:val="22"/>
        </w:rPr>
        <w:t xml:space="preserve"> (voice), </w:t>
      </w:r>
      <w:r w:rsidR="00790948">
        <w:rPr>
          <w:color w:val="000000"/>
          <w:u w:val="single"/>
        </w:rPr>
        <w:t>Rodney.McDonald</w:t>
      </w:r>
      <w:r>
        <w:rPr>
          <w:color w:val="000000"/>
          <w:u w:val="single"/>
        </w:rPr>
        <w:t>@fcc.gov</w:t>
      </w:r>
      <w:r>
        <w:rPr>
          <w:color w:val="000000"/>
        </w:rPr>
        <w:t>,</w:t>
      </w:r>
      <w:r>
        <w:rPr>
          <w:szCs w:val="22"/>
        </w:rPr>
        <w:t xml:space="preserve"> of the Competition Policy Division, Wireline Competition Bureau.  The tty number is </w:t>
      </w:r>
      <w:r w:rsidR="00FD3D68">
        <w:rPr>
          <w:szCs w:val="22"/>
        </w:rPr>
        <w:t>(888) 835-5322</w:t>
      </w:r>
      <w:r>
        <w:rPr>
          <w:szCs w:val="22"/>
        </w:rPr>
        <w:t xml:space="preserve">.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BD24FA" w:rsidRDefault="00BD24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BD24FA" w:rsidSect="00916A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5" w:rsidRDefault="008B2055">
      <w:r>
        <w:separator/>
      </w:r>
    </w:p>
  </w:endnote>
  <w:endnote w:type="continuationSeparator" w:id="0">
    <w:p w:rsidR="008B2055" w:rsidRDefault="008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DB" w:rsidRDefault="00AB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BD24FA">
    <w:pPr>
      <w:pStyle w:val="Footer"/>
      <w:jc w:val="center"/>
    </w:pPr>
    <w:r>
      <w:rPr>
        <w:rStyle w:val="PageNumber"/>
      </w:rPr>
      <w:fldChar w:fldCharType="begin"/>
    </w:r>
    <w:r>
      <w:rPr>
        <w:rStyle w:val="PageNumber"/>
      </w:rPr>
      <w:instrText xml:space="preserve"> PAGE </w:instrText>
    </w:r>
    <w:r>
      <w:rPr>
        <w:rStyle w:val="PageNumber"/>
      </w:rPr>
      <w:fldChar w:fldCharType="separate"/>
    </w:r>
    <w:r w:rsidR="00CF7AC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DB" w:rsidRDefault="00AB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5" w:rsidRDefault="008B2055">
      <w:r>
        <w:separator/>
      </w:r>
    </w:p>
  </w:footnote>
  <w:footnote w:type="continuationSeparator" w:id="0">
    <w:p w:rsidR="008B2055" w:rsidRDefault="008B2055">
      <w:r>
        <w:continuationSeparator/>
      </w:r>
    </w:p>
  </w:footnote>
  <w:footnote w:id="1">
    <w:p w:rsidR="00E521BD" w:rsidRPr="00466A6A" w:rsidRDefault="00E521BD">
      <w:pPr>
        <w:pStyle w:val="FootnoteText"/>
        <w:rPr>
          <w:sz w:val="20"/>
        </w:rPr>
      </w:pPr>
      <w:r w:rsidRPr="00466A6A">
        <w:rPr>
          <w:rStyle w:val="FootnoteReference"/>
          <w:sz w:val="20"/>
        </w:rPr>
        <w:footnoteRef/>
      </w:r>
      <w:r w:rsidRPr="00466A6A">
        <w:rPr>
          <w:sz w:val="20"/>
        </w:rPr>
        <w:t xml:space="preserve"> </w:t>
      </w:r>
      <w:r w:rsidRPr="00466A6A">
        <w:rPr>
          <w:i/>
          <w:sz w:val="20"/>
        </w:rPr>
        <w:t>See</w:t>
      </w:r>
      <w:r w:rsidRPr="00466A6A">
        <w:rPr>
          <w:sz w:val="20"/>
        </w:rPr>
        <w:t xml:space="preserve"> </w:t>
      </w:r>
      <w:r w:rsidR="00466A6A" w:rsidRPr="00466A6A">
        <w:rPr>
          <w:sz w:val="20"/>
        </w:rPr>
        <w:t xml:space="preserve">Section 63.71 Application of CenturyLink </w:t>
      </w:r>
      <w:r w:rsidR="005C553C">
        <w:rPr>
          <w:sz w:val="20"/>
        </w:rPr>
        <w:t>Q</w:t>
      </w:r>
      <w:r w:rsidR="00466A6A" w:rsidRPr="00466A6A">
        <w:rPr>
          <w:sz w:val="20"/>
        </w:rPr>
        <w:t xml:space="preserve">C </w:t>
      </w:r>
      <w:r w:rsidR="0017330D">
        <w:rPr>
          <w:sz w:val="20"/>
        </w:rPr>
        <w:t>t</w:t>
      </w:r>
      <w:r w:rsidR="005C553C">
        <w:rPr>
          <w:sz w:val="20"/>
        </w:rPr>
        <w:t xml:space="preserve">o </w:t>
      </w:r>
      <w:r w:rsidR="00466A6A" w:rsidRPr="00466A6A">
        <w:rPr>
          <w:sz w:val="20"/>
        </w:rPr>
        <w:t xml:space="preserve">Discontinue </w:t>
      </w:r>
      <w:r w:rsidR="005C553C">
        <w:rPr>
          <w:sz w:val="20"/>
        </w:rPr>
        <w:t xml:space="preserve">Interstate IntraLATA Toll Service </w:t>
      </w:r>
      <w:r w:rsidR="0017330D">
        <w:rPr>
          <w:sz w:val="20"/>
        </w:rPr>
        <w:t>in Certain Areas Outside Its Local Service Territory in</w:t>
      </w:r>
      <w:r w:rsidR="005C553C">
        <w:rPr>
          <w:sz w:val="20"/>
        </w:rPr>
        <w:t xml:space="preserve"> Oregon</w:t>
      </w:r>
      <w:r w:rsidR="00466A6A" w:rsidRPr="00466A6A">
        <w:rPr>
          <w:sz w:val="20"/>
        </w:rPr>
        <w:t>, WC Docket No. 15-1</w:t>
      </w:r>
      <w:r w:rsidR="00C21EE1">
        <w:rPr>
          <w:sz w:val="20"/>
        </w:rPr>
        <w:t>59</w:t>
      </w:r>
      <w:r w:rsidR="006F2E84">
        <w:rPr>
          <w:sz w:val="20"/>
        </w:rPr>
        <w:t xml:space="preserve"> </w:t>
      </w:r>
      <w:r w:rsidR="00466A6A" w:rsidRPr="00466A6A">
        <w:rPr>
          <w:sz w:val="20"/>
        </w:rPr>
        <w:t xml:space="preserve">(filed </w:t>
      </w:r>
      <w:r w:rsidR="00C21EE1">
        <w:rPr>
          <w:sz w:val="20"/>
        </w:rPr>
        <w:t>May</w:t>
      </w:r>
      <w:r w:rsidR="00466A6A" w:rsidRPr="00466A6A">
        <w:rPr>
          <w:sz w:val="20"/>
        </w:rPr>
        <w:t xml:space="preserve"> </w:t>
      </w:r>
      <w:r w:rsidR="00C21EE1">
        <w:rPr>
          <w:sz w:val="20"/>
        </w:rPr>
        <w:t>26</w:t>
      </w:r>
      <w:r w:rsidR="00466A6A" w:rsidRPr="00466A6A">
        <w:rPr>
          <w:sz w:val="20"/>
        </w:rPr>
        <w:t xml:space="preserve">, 2015), </w:t>
      </w:r>
      <w:r w:rsidR="005C553C" w:rsidRPr="005C553C">
        <w:rPr>
          <w:sz w:val="20"/>
        </w:rPr>
        <w:t>http://apps.fcc.gov/ecfs/comment/view?id=60001059225</w:t>
      </w:r>
      <w:r w:rsidR="00DA7E7F">
        <w:rPr>
          <w:sz w:val="20"/>
        </w:rPr>
        <w:t>.</w:t>
      </w:r>
    </w:p>
  </w:footnote>
  <w:footnote w:id="2">
    <w:p w:rsidR="00092D51" w:rsidRPr="00092D51" w:rsidRDefault="00092D51">
      <w:pPr>
        <w:pStyle w:val="FootnoteText"/>
        <w:rPr>
          <w:sz w:val="20"/>
        </w:rPr>
      </w:pPr>
      <w:r>
        <w:rPr>
          <w:rStyle w:val="FootnoteReference"/>
        </w:rPr>
        <w:footnoteRef/>
      </w:r>
      <w:r>
        <w:t xml:space="preserve"> </w:t>
      </w:r>
      <w:r w:rsidRPr="00092D51">
        <w:rPr>
          <w:sz w:val="20"/>
        </w:rPr>
        <w:t xml:space="preserve">CenturyLink </w:t>
      </w:r>
      <w:r w:rsidR="0001539C">
        <w:rPr>
          <w:sz w:val="20"/>
        </w:rPr>
        <w:t>explains</w:t>
      </w:r>
      <w:r w:rsidRPr="00092D51">
        <w:rPr>
          <w:sz w:val="20"/>
        </w:rPr>
        <w:t xml:space="preserve"> that the </w:t>
      </w:r>
      <w:r w:rsidR="0001539C" w:rsidRPr="00092D51">
        <w:rPr>
          <w:sz w:val="20"/>
        </w:rPr>
        <w:t xml:space="preserve">exchanges </w:t>
      </w:r>
      <w:r w:rsidR="0001539C">
        <w:rPr>
          <w:sz w:val="20"/>
        </w:rPr>
        <w:t xml:space="preserve">of the </w:t>
      </w:r>
      <w:r w:rsidRPr="00092D51">
        <w:rPr>
          <w:sz w:val="20"/>
        </w:rPr>
        <w:t xml:space="preserve">following </w:t>
      </w:r>
      <w:r w:rsidR="0001539C">
        <w:rPr>
          <w:sz w:val="20"/>
        </w:rPr>
        <w:t xml:space="preserve">Oregon </w:t>
      </w:r>
      <w:r w:rsidRPr="00092D51">
        <w:rPr>
          <w:sz w:val="20"/>
        </w:rPr>
        <w:t>rural incumbent local exchange carrier</w:t>
      </w:r>
      <w:r w:rsidR="0001539C">
        <w:rPr>
          <w:sz w:val="20"/>
        </w:rPr>
        <w:t>s</w:t>
      </w:r>
      <w:r w:rsidRPr="00092D51">
        <w:rPr>
          <w:sz w:val="20"/>
        </w:rPr>
        <w:t xml:space="preserve"> (LEC</w:t>
      </w:r>
      <w:r w:rsidR="0001539C">
        <w:rPr>
          <w:sz w:val="20"/>
        </w:rPr>
        <w:t>s</w:t>
      </w:r>
      <w:r w:rsidRPr="00092D51">
        <w:rPr>
          <w:sz w:val="20"/>
        </w:rPr>
        <w:t>) are included:  Asotin Telephone Company; Beaver Creek Cooperative Tel. Co.; Canby Telephone Association; Cascade Utilities, Inc.; CenturyTel of Eastern Oregon, Inc.; CenturyTel of Oregon, Inc.; Clear Creek Mutual Telephone Co.; Colton Telephone Company; Citizens Telecommunications Company of Oregon; Eagle Telephone System, Inc.; Gervais Telephone Company; Helix Telephone Company; Home Telephone Company; Humboldt Telephone Company; Molalla Telephone Company; Monitor Cooperative Telephone Company; Monroe Telephone Company; Mt. Angel Telephone Company; Nehalem Telecommunications, Inc.; North-State Telephone Company; Oregon Telephone Corporation; Oregon-Idaho Utilities, Inc.; Peoples Telephone Company; Pine Telephone System, Inc.; Pioneer Telephone Cooperative; Roome Telecommunications, Inc.; Scio Mutual Telephone Association; St. Paul Cooperative Tel. Assoc.; Stayton Cooperative Telephone Company; and Trans-Cascade Telephone Company</w:t>
      </w:r>
      <w:r w:rsidR="00A86AC5">
        <w:rPr>
          <w:sz w:val="20"/>
        </w:rPr>
        <w:t xml:space="preserve"> (Oregon Rural ILECs)</w:t>
      </w:r>
      <w:r w:rsidRPr="00092D51">
        <w:rPr>
          <w:sz w:val="20"/>
        </w:rPr>
        <w:t>.</w:t>
      </w:r>
    </w:p>
  </w:footnote>
  <w:footnote w:id="3">
    <w:p w:rsidR="00BD24FA" w:rsidRDefault="00BD24FA">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DB" w:rsidRDefault="00AB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DB" w:rsidRDefault="00AB7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FA" w:rsidRDefault="00974CF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3E2110D" wp14:editId="42B519DB">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E2110D"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BD24FA" w:rsidRDefault="00BD24FA">
                    <w:pPr>
                      <w:rPr>
                        <w:rFonts w:ascii="Arial" w:hAnsi="Arial"/>
                        <w:b/>
                      </w:rPr>
                    </w:pPr>
                    <w:r>
                      <w:rPr>
                        <w:rFonts w:ascii="Arial" w:hAnsi="Arial"/>
                        <w:b/>
                      </w:rPr>
                      <w:t>Federal Communications Commission</w:t>
                    </w:r>
                  </w:p>
                  <w:p w:rsidR="00BD24FA" w:rsidRDefault="00BD24F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24FA" w:rsidRDefault="00BD24F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8ADC365" wp14:editId="7D2DD58D">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D24FA">
      <w:rPr>
        <w:rFonts w:ascii="News Gothic MT" w:hAnsi="News Gothic MT"/>
        <w:b/>
        <w:kern w:val="28"/>
        <w:sz w:val="96"/>
      </w:rPr>
      <w:t>PUBLIC NOTICE</w:t>
    </w:r>
  </w:p>
  <w:p w:rsidR="00BD24FA" w:rsidRDefault="00974CF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2667696" wp14:editId="0FE035C8">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3984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277BF29B" wp14:editId="5916D995">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BF29B"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BD24FA" w:rsidRDefault="00BD24FA">
                    <w:pPr>
                      <w:spacing w:before="40"/>
                      <w:jc w:val="right"/>
                      <w:rPr>
                        <w:rFonts w:ascii="Arial" w:hAnsi="Arial"/>
                        <w:b/>
                        <w:sz w:val="16"/>
                        <w:szCs w:val="16"/>
                      </w:rPr>
                    </w:pPr>
                    <w:r>
                      <w:rPr>
                        <w:rFonts w:ascii="Arial" w:hAnsi="Arial"/>
                        <w:b/>
                        <w:sz w:val="16"/>
                        <w:szCs w:val="16"/>
                      </w:rPr>
                      <w:t>News Media Information 202 / 418-0500</w:t>
                    </w:r>
                  </w:p>
                  <w:p w:rsidR="00BD24FA" w:rsidRDefault="00BD24FA">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BD24FA" w:rsidRDefault="00BD24FA">
                    <w:pPr>
                      <w:jc w:val="right"/>
                      <w:rPr>
                        <w:rFonts w:ascii="Arial" w:hAnsi="Arial"/>
                        <w:b/>
                        <w:szCs w:val="22"/>
                      </w:rPr>
                    </w:pPr>
                    <w:r>
                      <w:rPr>
                        <w:rFonts w:ascii="Arial" w:hAnsi="Arial"/>
                        <w:b/>
                        <w:sz w:val="16"/>
                        <w:szCs w:val="16"/>
                      </w:rPr>
                      <w:t>TTY: 1-888-835-5322</w:t>
                    </w:r>
                  </w:p>
                  <w:p w:rsidR="00BD24FA" w:rsidRDefault="00BD24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98"/>
    <w:rsid w:val="00006F1A"/>
    <w:rsid w:val="0001539C"/>
    <w:rsid w:val="00015EC8"/>
    <w:rsid w:val="00026BEC"/>
    <w:rsid w:val="00033E43"/>
    <w:rsid w:val="00054573"/>
    <w:rsid w:val="00055E2F"/>
    <w:rsid w:val="00056FAB"/>
    <w:rsid w:val="000571AF"/>
    <w:rsid w:val="0007203E"/>
    <w:rsid w:val="00075013"/>
    <w:rsid w:val="00092D51"/>
    <w:rsid w:val="00097DBE"/>
    <w:rsid w:val="000A0207"/>
    <w:rsid w:val="000F396E"/>
    <w:rsid w:val="00104582"/>
    <w:rsid w:val="00113EA0"/>
    <w:rsid w:val="00141FFB"/>
    <w:rsid w:val="00143B98"/>
    <w:rsid w:val="001476C9"/>
    <w:rsid w:val="001535B4"/>
    <w:rsid w:val="00153925"/>
    <w:rsid w:val="0016017E"/>
    <w:rsid w:val="00171C5A"/>
    <w:rsid w:val="0017219F"/>
    <w:rsid w:val="0017330D"/>
    <w:rsid w:val="00181DE2"/>
    <w:rsid w:val="001A4BA0"/>
    <w:rsid w:val="001C06F2"/>
    <w:rsid w:val="001D0B12"/>
    <w:rsid w:val="002107E4"/>
    <w:rsid w:val="0022188E"/>
    <w:rsid w:val="00224E50"/>
    <w:rsid w:val="00281FF4"/>
    <w:rsid w:val="00287975"/>
    <w:rsid w:val="0029251E"/>
    <w:rsid w:val="002B4C87"/>
    <w:rsid w:val="002B7D44"/>
    <w:rsid w:val="002D3BF5"/>
    <w:rsid w:val="002D6E4A"/>
    <w:rsid w:val="0033351C"/>
    <w:rsid w:val="003420A7"/>
    <w:rsid w:val="00345D78"/>
    <w:rsid w:val="00373E81"/>
    <w:rsid w:val="0037648D"/>
    <w:rsid w:val="0038678D"/>
    <w:rsid w:val="003959DE"/>
    <w:rsid w:val="003B41B4"/>
    <w:rsid w:val="003B57A5"/>
    <w:rsid w:val="003E15DF"/>
    <w:rsid w:val="003E2066"/>
    <w:rsid w:val="003E5907"/>
    <w:rsid w:val="003F48F9"/>
    <w:rsid w:val="00414264"/>
    <w:rsid w:val="004533B2"/>
    <w:rsid w:val="00466A6A"/>
    <w:rsid w:val="004815BB"/>
    <w:rsid w:val="00483B6A"/>
    <w:rsid w:val="004A721B"/>
    <w:rsid w:val="004B2537"/>
    <w:rsid w:val="00525616"/>
    <w:rsid w:val="00525E73"/>
    <w:rsid w:val="00531084"/>
    <w:rsid w:val="00543CF4"/>
    <w:rsid w:val="005777F8"/>
    <w:rsid w:val="00583B68"/>
    <w:rsid w:val="005973DD"/>
    <w:rsid w:val="005B5E26"/>
    <w:rsid w:val="005B6E8D"/>
    <w:rsid w:val="005C0D55"/>
    <w:rsid w:val="005C553C"/>
    <w:rsid w:val="005E179D"/>
    <w:rsid w:val="005E6B8E"/>
    <w:rsid w:val="005F2E96"/>
    <w:rsid w:val="00602440"/>
    <w:rsid w:val="00607862"/>
    <w:rsid w:val="00674138"/>
    <w:rsid w:val="006A07D3"/>
    <w:rsid w:val="006D2AD7"/>
    <w:rsid w:val="006D618B"/>
    <w:rsid w:val="006D72EB"/>
    <w:rsid w:val="006F2E84"/>
    <w:rsid w:val="006F46D6"/>
    <w:rsid w:val="00742F06"/>
    <w:rsid w:val="0075111E"/>
    <w:rsid w:val="007511F4"/>
    <w:rsid w:val="00767DF5"/>
    <w:rsid w:val="00790948"/>
    <w:rsid w:val="007A104C"/>
    <w:rsid w:val="007B4EFC"/>
    <w:rsid w:val="007D3E65"/>
    <w:rsid w:val="00805619"/>
    <w:rsid w:val="008241B9"/>
    <w:rsid w:val="00832BB1"/>
    <w:rsid w:val="008437BA"/>
    <w:rsid w:val="00854318"/>
    <w:rsid w:val="00857969"/>
    <w:rsid w:val="008810BD"/>
    <w:rsid w:val="008A02EF"/>
    <w:rsid w:val="008A7998"/>
    <w:rsid w:val="008B2055"/>
    <w:rsid w:val="008C4A0A"/>
    <w:rsid w:val="008E10E8"/>
    <w:rsid w:val="008E35C2"/>
    <w:rsid w:val="00900552"/>
    <w:rsid w:val="00916A6D"/>
    <w:rsid w:val="00926412"/>
    <w:rsid w:val="0093746D"/>
    <w:rsid w:val="00941D98"/>
    <w:rsid w:val="00945444"/>
    <w:rsid w:val="00974CF9"/>
    <w:rsid w:val="00975617"/>
    <w:rsid w:val="009D2913"/>
    <w:rsid w:val="009E1A99"/>
    <w:rsid w:val="00A05E1F"/>
    <w:rsid w:val="00A14D35"/>
    <w:rsid w:val="00A259E4"/>
    <w:rsid w:val="00A346C9"/>
    <w:rsid w:val="00A35270"/>
    <w:rsid w:val="00A4026F"/>
    <w:rsid w:val="00A40C03"/>
    <w:rsid w:val="00A56304"/>
    <w:rsid w:val="00A72150"/>
    <w:rsid w:val="00A73090"/>
    <w:rsid w:val="00A86AC5"/>
    <w:rsid w:val="00A96D18"/>
    <w:rsid w:val="00AB76DB"/>
    <w:rsid w:val="00AC09AF"/>
    <w:rsid w:val="00AD1FF7"/>
    <w:rsid w:val="00AE20C3"/>
    <w:rsid w:val="00AF5F52"/>
    <w:rsid w:val="00B13AA2"/>
    <w:rsid w:val="00B21029"/>
    <w:rsid w:val="00B303C1"/>
    <w:rsid w:val="00B74EDC"/>
    <w:rsid w:val="00B93E41"/>
    <w:rsid w:val="00B94F25"/>
    <w:rsid w:val="00BB208F"/>
    <w:rsid w:val="00BB3801"/>
    <w:rsid w:val="00BB687D"/>
    <w:rsid w:val="00BD0D24"/>
    <w:rsid w:val="00BD24FA"/>
    <w:rsid w:val="00C02878"/>
    <w:rsid w:val="00C17CCF"/>
    <w:rsid w:val="00C20706"/>
    <w:rsid w:val="00C21EE1"/>
    <w:rsid w:val="00C375B4"/>
    <w:rsid w:val="00C535D0"/>
    <w:rsid w:val="00C60E2E"/>
    <w:rsid w:val="00C72628"/>
    <w:rsid w:val="00C90526"/>
    <w:rsid w:val="00CA5306"/>
    <w:rsid w:val="00CA6753"/>
    <w:rsid w:val="00CB274F"/>
    <w:rsid w:val="00CB3061"/>
    <w:rsid w:val="00CB6C86"/>
    <w:rsid w:val="00CE4511"/>
    <w:rsid w:val="00CE6AF2"/>
    <w:rsid w:val="00CF5CBF"/>
    <w:rsid w:val="00CF7AC6"/>
    <w:rsid w:val="00D35FD9"/>
    <w:rsid w:val="00D40002"/>
    <w:rsid w:val="00D43CF9"/>
    <w:rsid w:val="00D5627C"/>
    <w:rsid w:val="00D64BE3"/>
    <w:rsid w:val="00D70DD1"/>
    <w:rsid w:val="00D9189E"/>
    <w:rsid w:val="00D97766"/>
    <w:rsid w:val="00DA325B"/>
    <w:rsid w:val="00DA33B2"/>
    <w:rsid w:val="00DA7E7F"/>
    <w:rsid w:val="00DB4938"/>
    <w:rsid w:val="00DB7882"/>
    <w:rsid w:val="00DC4019"/>
    <w:rsid w:val="00DD0201"/>
    <w:rsid w:val="00E05911"/>
    <w:rsid w:val="00E0674A"/>
    <w:rsid w:val="00E10826"/>
    <w:rsid w:val="00E10F6F"/>
    <w:rsid w:val="00E133CD"/>
    <w:rsid w:val="00E21BDC"/>
    <w:rsid w:val="00E23FE8"/>
    <w:rsid w:val="00E521BD"/>
    <w:rsid w:val="00E70B9C"/>
    <w:rsid w:val="00E81F66"/>
    <w:rsid w:val="00E85D1A"/>
    <w:rsid w:val="00E94452"/>
    <w:rsid w:val="00E954D0"/>
    <w:rsid w:val="00EA2FB7"/>
    <w:rsid w:val="00EB46C3"/>
    <w:rsid w:val="00EB5B98"/>
    <w:rsid w:val="00EF7E28"/>
    <w:rsid w:val="00F15A07"/>
    <w:rsid w:val="00F42788"/>
    <w:rsid w:val="00F44752"/>
    <w:rsid w:val="00F52123"/>
    <w:rsid w:val="00F57141"/>
    <w:rsid w:val="00FB378C"/>
    <w:rsid w:val="00FD0F16"/>
    <w:rsid w:val="00FD33E9"/>
    <w:rsid w:val="00FD3D68"/>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9057</Characters>
  <Application>Microsoft Office Word</Application>
  <DocSecurity>0</DocSecurity>
  <Lines>133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2015-08-04T18:30:00Z</dcterms:created>
  <dcterms:modified xsi:type="dcterms:W3CDTF">2015-08-04T18:30:00Z</dcterms:modified>
  <cp:category> </cp:category>
  <cp:contentStatus> </cp:contentStatus>
</cp:coreProperties>
</file>