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C52265" w:rsidP="007115F7">
            <w:pPr>
              <w:tabs>
                <w:tab w:val="center" w:pos="4680"/>
              </w:tabs>
              <w:suppressAutoHyphens/>
              <w:rPr>
                <w:spacing w:val="-2"/>
              </w:rPr>
            </w:pPr>
            <w:r>
              <w:rPr>
                <w:spacing w:val="-2"/>
              </w:rPr>
              <w:t>LKCM RA</w:t>
            </w:r>
            <w:r w:rsidR="00276936">
              <w:rPr>
                <w:spacing w:val="-2"/>
              </w:rPr>
              <w:t>DIO LICENSES, L.P.</w:t>
            </w:r>
          </w:p>
          <w:p w:rsidR="00276936" w:rsidRDefault="00276936" w:rsidP="007115F7">
            <w:pPr>
              <w:tabs>
                <w:tab w:val="center" w:pos="4680"/>
              </w:tabs>
              <w:suppressAutoHyphens/>
              <w:rPr>
                <w:spacing w:val="-2"/>
              </w:rPr>
            </w:pPr>
          </w:p>
          <w:p w:rsidR="00276936" w:rsidRDefault="00276936" w:rsidP="007115F7">
            <w:pPr>
              <w:tabs>
                <w:tab w:val="center" w:pos="4680"/>
              </w:tabs>
              <w:suppressAutoHyphens/>
              <w:rPr>
                <w:spacing w:val="-2"/>
              </w:rPr>
            </w:pPr>
            <w:r>
              <w:rPr>
                <w:spacing w:val="-2"/>
              </w:rPr>
              <w:t>Involuntary Modification of License</w:t>
            </w:r>
          </w:p>
          <w:p w:rsidR="00276936" w:rsidRDefault="00276936" w:rsidP="007115F7">
            <w:pPr>
              <w:tabs>
                <w:tab w:val="center" w:pos="4680"/>
              </w:tabs>
              <w:suppressAutoHyphens/>
              <w:rPr>
                <w:spacing w:val="-2"/>
              </w:rPr>
            </w:pPr>
            <w:r>
              <w:rPr>
                <w:spacing w:val="-2"/>
              </w:rPr>
              <w:t>of Station KFWR(FM)</w:t>
            </w:r>
          </w:p>
          <w:p w:rsidR="00276936" w:rsidRPr="007115F7" w:rsidRDefault="00276936" w:rsidP="007115F7">
            <w:pPr>
              <w:tabs>
                <w:tab w:val="center" w:pos="4680"/>
              </w:tabs>
              <w:suppressAutoHyphens/>
              <w:rPr>
                <w:spacing w:val="-2"/>
              </w:rPr>
            </w:pPr>
            <w:r>
              <w:rPr>
                <w:spacing w:val="-2"/>
              </w:rPr>
              <w:t>Jacksboro, Texas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16303B" w:rsidRDefault="0016303B" w:rsidP="0016303B">
            <w:pPr>
              <w:tabs>
                <w:tab w:val="center" w:pos="4680"/>
              </w:tabs>
              <w:suppressAutoHyphens/>
              <w:rPr>
                <w:spacing w:val="-2"/>
              </w:rPr>
            </w:pPr>
            <w:r>
              <w:rPr>
                <w:spacing w:val="-2"/>
              </w:rPr>
              <w:t>File No. BLH-20130110AFG</w:t>
            </w:r>
          </w:p>
          <w:p w:rsidR="004C2EE3" w:rsidRDefault="0016303B" w:rsidP="0016303B">
            <w:pPr>
              <w:tabs>
                <w:tab w:val="center" w:pos="4680"/>
              </w:tabs>
              <w:suppressAutoHyphens/>
              <w:rPr>
                <w:spacing w:val="-2"/>
              </w:rPr>
            </w:pPr>
            <w:r>
              <w:rPr>
                <w:spacing w:val="-2"/>
              </w:rPr>
              <w:t>Facility ID No. 31062</w:t>
            </w:r>
          </w:p>
        </w:tc>
      </w:tr>
    </w:tbl>
    <w:p w:rsidR="004C2EE3" w:rsidRDefault="004C2EE3" w:rsidP="0070224F"/>
    <w:p w:rsidR="00841AB1" w:rsidRDefault="00276936"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7E3CB4">
        <w:rPr>
          <w:b/>
          <w:spacing w:val="-2"/>
        </w:rPr>
        <w:t>August 5,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E3CB4">
        <w:rPr>
          <w:b/>
          <w:spacing w:val="-2"/>
        </w:rPr>
        <w:t>August 5, 2015</w:t>
      </w:r>
    </w:p>
    <w:p w:rsidR="00822CE0" w:rsidRDefault="00822CE0"/>
    <w:p w:rsidR="004C2EE3" w:rsidRDefault="004C2EE3">
      <w:pPr>
        <w:rPr>
          <w:spacing w:val="-2"/>
        </w:rPr>
      </w:pPr>
      <w:r>
        <w:t xml:space="preserve">By </w:t>
      </w:r>
      <w:r w:rsidR="004E4A22">
        <w:t>the</w:t>
      </w:r>
      <w:r w:rsidR="002A2D2E">
        <w:t xml:space="preserve"> </w:t>
      </w:r>
      <w:r w:rsidR="0016303B">
        <w:rPr>
          <w:spacing w:val="-2"/>
        </w:rPr>
        <w:t>Chief, Audio Division, Media Bureau</w:t>
      </w:r>
      <w:r>
        <w:rPr>
          <w:spacing w:val="-2"/>
        </w:rPr>
        <w:t>:</w:t>
      </w:r>
    </w:p>
    <w:p w:rsidR="00822CE0" w:rsidRDefault="00822CE0">
      <w:pPr>
        <w:rPr>
          <w:spacing w:val="-2"/>
        </w:rPr>
      </w:pPr>
    </w:p>
    <w:p w:rsidR="00412FC5" w:rsidRDefault="00412FC5" w:rsidP="00412FC5"/>
    <w:p w:rsidR="002C00E8" w:rsidRDefault="0016303B" w:rsidP="002C00E8">
      <w:pPr>
        <w:pStyle w:val="Heading1"/>
      </w:pPr>
      <w:r>
        <w:t>INTRODUCTION AND BACKGROUND</w:t>
      </w:r>
    </w:p>
    <w:p w:rsidR="0016303B" w:rsidRPr="0016303B" w:rsidRDefault="0016303B" w:rsidP="00F45F9D">
      <w:pPr>
        <w:pStyle w:val="ParaNum"/>
        <w:widowControl/>
      </w:pPr>
      <w:r w:rsidRPr="00D321DF">
        <w:rPr>
          <w:spacing w:val="-3"/>
          <w:szCs w:val="22"/>
        </w:rPr>
        <w:t xml:space="preserve">Before the Audio Division are pleadings filed in response to the </w:t>
      </w:r>
      <w:r w:rsidRPr="00D321DF">
        <w:rPr>
          <w:i/>
          <w:spacing w:val="-3"/>
          <w:szCs w:val="22"/>
        </w:rPr>
        <w:t xml:space="preserve">Order to Show Cause </w:t>
      </w:r>
      <w:r w:rsidR="007D5873">
        <w:rPr>
          <w:spacing w:val="-3"/>
          <w:szCs w:val="22"/>
        </w:rPr>
        <w:t>released</w:t>
      </w:r>
      <w:r w:rsidRPr="00D321DF">
        <w:rPr>
          <w:spacing w:val="-3"/>
          <w:szCs w:val="22"/>
        </w:rPr>
        <w:t xml:space="preserve"> March 23, 201</w:t>
      </w:r>
      <w:r>
        <w:rPr>
          <w:spacing w:val="-3"/>
          <w:szCs w:val="22"/>
        </w:rPr>
        <w:t>5</w:t>
      </w:r>
      <w:r w:rsidRPr="00D321DF">
        <w:rPr>
          <w:spacing w:val="-3"/>
          <w:szCs w:val="22"/>
        </w:rPr>
        <w:t>,</w:t>
      </w:r>
      <w:r>
        <w:rPr>
          <w:rStyle w:val="FootnoteReference"/>
          <w:spacing w:val="-3"/>
          <w:szCs w:val="22"/>
        </w:rPr>
        <w:footnoteReference w:id="2"/>
      </w:r>
      <w:r w:rsidRPr="00D321DF">
        <w:rPr>
          <w:spacing w:val="-3"/>
          <w:szCs w:val="22"/>
        </w:rPr>
        <w:t xml:space="preserve"> proposing involuntary modification of </w:t>
      </w:r>
      <w:r w:rsidR="00A843A2">
        <w:rPr>
          <w:spacing w:val="-3"/>
          <w:szCs w:val="22"/>
        </w:rPr>
        <w:t xml:space="preserve">the license of station </w:t>
      </w:r>
      <w:r w:rsidRPr="00D321DF">
        <w:rPr>
          <w:spacing w:val="-3"/>
          <w:szCs w:val="22"/>
        </w:rPr>
        <w:t>KFWR</w:t>
      </w:r>
      <w:r w:rsidR="00A843A2">
        <w:rPr>
          <w:spacing w:val="-3"/>
          <w:szCs w:val="22"/>
        </w:rPr>
        <w:t>(FM), Jacksboro, Texas (“KFWR”),</w:t>
      </w:r>
      <w:r>
        <w:rPr>
          <w:rStyle w:val="FootnoteReference"/>
          <w:spacing w:val="-3"/>
          <w:szCs w:val="22"/>
        </w:rPr>
        <w:footnoteReference w:id="3"/>
      </w:r>
      <w:r w:rsidRPr="00D321DF">
        <w:rPr>
          <w:spacing w:val="-3"/>
          <w:szCs w:val="22"/>
        </w:rPr>
        <w:t xml:space="preserve"> to correct </w:t>
      </w:r>
      <w:r w:rsidR="00A843A2">
        <w:rPr>
          <w:spacing w:val="-3"/>
          <w:szCs w:val="22"/>
        </w:rPr>
        <w:t xml:space="preserve">unauthorized </w:t>
      </w:r>
      <w:r w:rsidRPr="00D321DF">
        <w:rPr>
          <w:spacing w:val="-3"/>
          <w:szCs w:val="22"/>
        </w:rPr>
        <w:t>overpower</w:t>
      </w:r>
      <w:r w:rsidR="00A843A2">
        <w:rPr>
          <w:spacing w:val="-3"/>
          <w:szCs w:val="22"/>
        </w:rPr>
        <w:t>ed and</w:t>
      </w:r>
      <w:r w:rsidRPr="00D321DF">
        <w:rPr>
          <w:spacing w:val="-3"/>
          <w:szCs w:val="22"/>
        </w:rPr>
        <w:t xml:space="preserve"> directional operation by that station</w:t>
      </w:r>
      <w:r w:rsidR="00DB0C79">
        <w:rPr>
          <w:spacing w:val="-3"/>
          <w:szCs w:val="22"/>
        </w:rPr>
        <w:t>, and directing</w:t>
      </w:r>
      <w:r w:rsidR="00866432">
        <w:rPr>
          <w:spacing w:val="-3"/>
          <w:szCs w:val="22"/>
        </w:rPr>
        <w:t xml:space="preserve"> </w:t>
      </w:r>
      <w:r w:rsidR="00A843A2">
        <w:rPr>
          <w:spacing w:val="-3"/>
          <w:szCs w:val="22"/>
        </w:rPr>
        <w:t xml:space="preserve">LKCM Radio Licenses, L.P. </w:t>
      </w:r>
      <w:r w:rsidRPr="00D321DF">
        <w:rPr>
          <w:spacing w:val="-3"/>
          <w:szCs w:val="22"/>
        </w:rPr>
        <w:t>(“LKCM”)</w:t>
      </w:r>
      <w:r w:rsidR="00866432">
        <w:rPr>
          <w:spacing w:val="-3"/>
          <w:szCs w:val="22"/>
        </w:rPr>
        <w:t xml:space="preserve">, </w:t>
      </w:r>
      <w:r w:rsidR="00DB0C79">
        <w:rPr>
          <w:spacing w:val="-3"/>
          <w:szCs w:val="22"/>
        </w:rPr>
        <w:t>the</w:t>
      </w:r>
      <w:r w:rsidR="00866432">
        <w:rPr>
          <w:spacing w:val="-3"/>
          <w:szCs w:val="22"/>
        </w:rPr>
        <w:t xml:space="preserve"> KFWR</w:t>
      </w:r>
      <w:r w:rsidR="00DB0C79">
        <w:rPr>
          <w:spacing w:val="-3"/>
          <w:szCs w:val="22"/>
        </w:rPr>
        <w:t xml:space="preserve"> licensee</w:t>
      </w:r>
      <w:r w:rsidR="00866432">
        <w:rPr>
          <w:spacing w:val="-3"/>
          <w:szCs w:val="22"/>
        </w:rPr>
        <w:t xml:space="preserve">, </w:t>
      </w:r>
      <w:r w:rsidRPr="00D321DF">
        <w:rPr>
          <w:spacing w:val="-3"/>
          <w:szCs w:val="22"/>
        </w:rPr>
        <w:t xml:space="preserve">to </w:t>
      </w:r>
      <w:r w:rsidR="00866432">
        <w:rPr>
          <w:spacing w:val="-3"/>
          <w:szCs w:val="22"/>
        </w:rPr>
        <w:t>show cause</w:t>
      </w:r>
      <w:r w:rsidRPr="00D321DF">
        <w:rPr>
          <w:spacing w:val="-3"/>
          <w:szCs w:val="22"/>
        </w:rPr>
        <w:t xml:space="preserve"> </w:t>
      </w:r>
      <w:r>
        <w:rPr>
          <w:spacing w:val="-3"/>
          <w:szCs w:val="22"/>
        </w:rPr>
        <w:t xml:space="preserve">within 30 days why </w:t>
      </w:r>
      <w:r w:rsidR="00866432">
        <w:rPr>
          <w:spacing w:val="-3"/>
          <w:szCs w:val="22"/>
        </w:rPr>
        <w:t>the KFWR license should not be modified</w:t>
      </w:r>
      <w:r>
        <w:rPr>
          <w:spacing w:val="-3"/>
          <w:szCs w:val="22"/>
        </w:rPr>
        <w:t xml:space="preserve">.    </w:t>
      </w:r>
      <w:r w:rsidRPr="00D321DF">
        <w:rPr>
          <w:spacing w:val="-3"/>
          <w:szCs w:val="22"/>
        </w:rPr>
        <w:t>LKCM</w:t>
      </w:r>
      <w:r>
        <w:rPr>
          <w:spacing w:val="-3"/>
          <w:szCs w:val="22"/>
        </w:rPr>
        <w:t xml:space="preserve"> timely f</w:t>
      </w:r>
      <w:r w:rsidRPr="00D321DF">
        <w:rPr>
          <w:spacing w:val="-3"/>
          <w:szCs w:val="22"/>
        </w:rPr>
        <w:t xml:space="preserve">iled its </w:t>
      </w:r>
      <w:r w:rsidRPr="00866432">
        <w:rPr>
          <w:spacing w:val="-3"/>
          <w:szCs w:val="22"/>
        </w:rPr>
        <w:t>Response</w:t>
      </w:r>
      <w:r w:rsidR="00866432" w:rsidRPr="00866432">
        <w:rPr>
          <w:spacing w:val="-3"/>
          <w:szCs w:val="22"/>
        </w:rPr>
        <w:t xml:space="preserve"> to Order to Show Cause </w:t>
      </w:r>
      <w:r w:rsidR="00866432">
        <w:rPr>
          <w:spacing w:val="-3"/>
          <w:szCs w:val="22"/>
        </w:rPr>
        <w:t>(“OSC Response”)</w:t>
      </w:r>
      <w:r w:rsidRPr="00D321DF">
        <w:rPr>
          <w:i/>
          <w:spacing w:val="-3"/>
          <w:szCs w:val="22"/>
        </w:rPr>
        <w:t xml:space="preserve"> </w:t>
      </w:r>
      <w:r w:rsidRPr="00D321DF">
        <w:rPr>
          <w:spacing w:val="-3"/>
          <w:szCs w:val="22"/>
        </w:rPr>
        <w:t>on April 22, 2015</w:t>
      </w:r>
      <w:r w:rsidR="00866432">
        <w:rPr>
          <w:spacing w:val="-3"/>
          <w:szCs w:val="22"/>
        </w:rPr>
        <w:t>.  Lake Country Radio, L.P. (“Lake”), licensee of station KCKL(FM), Malakoff, Texas (“KCKL”), filed Comments to the LKCM Response on May 1, 2015</w:t>
      </w:r>
      <w:r w:rsidR="00E96390">
        <w:rPr>
          <w:spacing w:val="-3"/>
          <w:szCs w:val="22"/>
        </w:rPr>
        <w:t xml:space="preserve"> (“Comments”)</w:t>
      </w:r>
      <w:r w:rsidR="00866432">
        <w:rPr>
          <w:spacing w:val="-3"/>
          <w:szCs w:val="22"/>
        </w:rPr>
        <w:t xml:space="preserve">.  On June 1, 2015, LKCM submitted its Response to Comments of Lake Country Radio (“Comment Response”), </w:t>
      </w:r>
      <w:r>
        <w:rPr>
          <w:spacing w:val="-3"/>
          <w:szCs w:val="22"/>
        </w:rPr>
        <w:t xml:space="preserve">followed by </w:t>
      </w:r>
      <w:r w:rsidR="00866432">
        <w:rPr>
          <w:spacing w:val="-3"/>
          <w:szCs w:val="22"/>
        </w:rPr>
        <w:t>the Reply Comments of Lake Country Radio (“Reply Comments”) submitted on June 10, 2015</w:t>
      </w:r>
      <w:r>
        <w:rPr>
          <w:spacing w:val="-3"/>
          <w:szCs w:val="22"/>
        </w:rPr>
        <w:t xml:space="preserve">. </w:t>
      </w:r>
    </w:p>
    <w:p w:rsidR="0016303B" w:rsidRPr="0016303B" w:rsidRDefault="001046BA" w:rsidP="00F45F9D">
      <w:pPr>
        <w:pStyle w:val="ParaNum"/>
        <w:widowControl/>
      </w:pPr>
      <w:r>
        <w:rPr>
          <w:szCs w:val="22"/>
        </w:rPr>
        <w:t>In t</w:t>
      </w:r>
      <w:r w:rsidR="0016303B">
        <w:rPr>
          <w:szCs w:val="22"/>
        </w:rPr>
        <w:t xml:space="preserve">he </w:t>
      </w:r>
      <w:r w:rsidR="0016303B">
        <w:rPr>
          <w:i/>
          <w:szCs w:val="22"/>
        </w:rPr>
        <w:t>OSC</w:t>
      </w:r>
      <w:r>
        <w:rPr>
          <w:szCs w:val="22"/>
        </w:rPr>
        <w:t>, we concluded</w:t>
      </w:r>
      <w:r w:rsidR="0016303B">
        <w:rPr>
          <w:i/>
          <w:szCs w:val="22"/>
        </w:rPr>
        <w:t xml:space="preserve"> </w:t>
      </w:r>
      <w:r w:rsidR="0016303B">
        <w:rPr>
          <w:szCs w:val="22"/>
        </w:rPr>
        <w:t xml:space="preserve">that LKCM had constructed KFWR’s antenna facilities in such a way as to cause </w:t>
      </w:r>
      <w:r>
        <w:rPr>
          <w:szCs w:val="22"/>
        </w:rPr>
        <w:t xml:space="preserve">the </w:t>
      </w:r>
      <w:r w:rsidR="0016303B">
        <w:rPr>
          <w:szCs w:val="22"/>
        </w:rPr>
        <w:t xml:space="preserve">KFWR signal substantially </w:t>
      </w:r>
      <w:r w:rsidR="004F0390">
        <w:rPr>
          <w:szCs w:val="22"/>
        </w:rPr>
        <w:t xml:space="preserve">to </w:t>
      </w:r>
      <w:r w:rsidR="0016303B">
        <w:rPr>
          <w:szCs w:val="22"/>
        </w:rPr>
        <w:t>exceed the 100 kW limit on effective radiated power in any direction</w:t>
      </w:r>
      <w:r>
        <w:rPr>
          <w:szCs w:val="22"/>
        </w:rPr>
        <w:t>, as</w:t>
      </w:r>
      <w:r w:rsidR="0016303B">
        <w:rPr>
          <w:szCs w:val="22"/>
        </w:rPr>
        <w:t xml:space="preserve"> specified for a Class C0 station</w:t>
      </w:r>
      <w:r>
        <w:rPr>
          <w:szCs w:val="22"/>
        </w:rPr>
        <w:t xml:space="preserve"> in Section 73.211 of the Commission’s Rules</w:t>
      </w:r>
      <w:r w:rsidR="0016303B">
        <w:rPr>
          <w:szCs w:val="22"/>
        </w:rPr>
        <w:t>.</w:t>
      </w:r>
      <w:r>
        <w:rPr>
          <w:rStyle w:val="FootnoteReference"/>
          <w:szCs w:val="22"/>
        </w:rPr>
        <w:footnoteReference w:id="4"/>
      </w:r>
      <w:r w:rsidR="0016303B">
        <w:rPr>
          <w:szCs w:val="22"/>
        </w:rPr>
        <w:t xml:space="preserve">  Information provided by the parties documented that KFWR was radiating as much as 274.5 kW in some directions and that the station’s antenna radiation pattern was clearly directional.  </w:t>
      </w:r>
      <w:r>
        <w:rPr>
          <w:szCs w:val="22"/>
        </w:rPr>
        <w:t>We determined in t</w:t>
      </w:r>
      <w:r w:rsidR="0016303B">
        <w:rPr>
          <w:szCs w:val="22"/>
        </w:rPr>
        <w:t xml:space="preserve">he </w:t>
      </w:r>
      <w:r w:rsidR="0016303B">
        <w:rPr>
          <w:i/>
          <w:szCs w:val="22"/>
        </w:rPr>
        <w:t xml:space="preserve">OSC </w:t>
      </w:r>
      <w:r w:rsidR="0016303B">
        <w:rPr>
          <w:szCs w:val="22"/>
        </w:rPr>
        <w:t xml:space="preserve">that the KFWR’s transmitter output power </w:t>
      </w:r>
      <w:r>
        <w:rPr>
          <w:szCs w:val="22"/>
        </w:rPr>
        <w:t>should</w:t>
      </w:r>
      <w:r w:rsidR="0016303B">
        <w:rPr>
          <w:szCs w:val="22"/>
        </w:rPr>
        <w:t xml:space="preserve"> be reduced from 20.0 to 9.1 kW to bring the station into compliance with the 100 kW limit imposed by </w:t>
      </w:r>
      <w:r>
        <w:rPr>
          <w:szCs w:val="22"/>
        </w:rPr>
        <w:t>Section</w:t>
      </w:r>
      <w:r w:rsidR="0016303B">
        <w:rPr>
          <w:szCs w:val="22"/>
        </w:rPr>
        <w:t xml:space="preserve"> 73.211, and </w:t>
      </w:r>
      <w:r>
        <w:rPr>
          <w:szCs w:val="22"/>
        </w:rPr>
        <w:t>we further</w:t>
      </w:r>
      <w:r w:rsidR="0016303B">
        <w:rPr>
          <w:szCs w:val="22"/>
        </w:rPr>
        <w:t xml:space="preserve"> concluded that the station’s antenna system m</w:t>
      </w:r>
      <w:r w:rsidR="00E011A9">
        <w:rPr>
          <w:szCs w:val="22"/>
        </w:rPr>
        <w:t>ust be licensed as directional.</w:t>
      </w:r>
      <w:r w:rsidR="002F1555">
        <w:rPr>
          <w:rStyle w:val="FootnoteReference"/>
          <w:szCs w:val="22"/>
        </w:rPr>
        <w:footnoteReference w:id="5"/>
      </w:r>
    </w:p>
    <w:p w:rsidR="00E96390" w:rsidRDefault="001046BA" w:rsidP="00F45F9D">
      <w:pPr>
        <w:pStyle w:val="ParaNum"/>
        <w:widowControl/>
      </w:pPr>
      <w:r>
        <w:rPr>
          <w:szCs w:val="22"/>
        </w:rPr>
        <w:t>In the OSC Response, LKCM</w:t>
      </w:r>
      <w:r w:rsidR="0016303B" w:rsidRPr="00FB64E1">
        <w:rPr>
          <w:szCs w:val="22"/>
        </w:rPr>
        <w:t xml:space="preserve"> </w:t>
      </w:r>
      <w:r w:rsidR="004A040C">
        <w:rPr>
          <w:szCs w:val="22"/>
        </w:rPr>
        <w:t xml:space="preserve">criticizes the Commission for failing to establish a “bright line” criterion for deviation from non-directionality in side-mounted </w:t>
      </w:r>
      <w:r w:rsidR="00445258">
        <w:rPr>
          <w:szCs w:val="22"/>
        </w:rPr>
        <w:t xml:space="preserve">FM </w:t>
      </w:r>
      <w:r w:rsidR="004A040C">
        <w:rPr>
          <w:szCs w:val="22"/>
        </w:rPr>
        <w:t>antennas.</w:t>
      </w:r>
      <w:r w:rsidR="004A040C">
        <w:rPr>
          <w:rStyle w:val="FootnoteReference"/>
          <w:szCs w:val="22"/>
        </w:rPr>
        <w:footnoteReference w:id="6"/>
      </w:r>
      <w:r w:rsidR="004A040C">
        <w:rPr>
          <w:szCs w:val="22"/>
        </w:rPr>
        <w:t xml:space="preserve">  It </w:t>
      </w:r>
      <w:r w:rsidR="0016303B" w:rsidRPr="00FB64E1">
        <w:rPr>
          <w:szCs w:val="22"/>
        </w:rPr>
        <w:t xml:space="preserve">reiterates its </w:t>
      </w:r>
      <w:r w:rsidR="0016303B" w:rsidRPr="00FB64E1">
        <w:rPr>
          <w:szCs w:val="22"/>
        </w:rPr>
        <w:lastRenderedPageBreak/>
        <w:t xml:space="preserve">exception to the Commission’s reliance on </w:t>
      </w:r>
      <w:r w:rsidRPr="00942D62">
        <w:rPr>
          <w:i/>
        </w:rPr>
        <w:t>Ettlinger Broadcasting Corp.</w:t>
      </w:r>
      <w:r>
        <w:rPr>
          <w:i/>
        </w:rPr>
        <w:t>,</w:t>
      </w:r>
      <w:r w:rsidRPr="00415797">
        <w:rPr>
          <w:rStyle w:val="FootnoteReference"/>
        </w:rPr>
        <w:footnoteReference w:id="7"/>
      </w:r>
      <w:r>
        <w:rPr>
          <w:i/>
        </w:rPr>
        <w:t xml:space="preserve"> </w:t>
      </w:r>
      <w:r w:rsidR="001340E3">
        <w:rPr>
          <w:szCs w:val="22"/>
        </w:rPr>
        <w:t>as well as</w:t>
      </w:r>
      <w:r w:rsidR="0016303B" w:rsidRPr="00FB64E1">
        <w:rPr>
          <w:i/>
          <w:szCs w:val="22"/>
        </w:rPr>
        <w:t xml:space="preserve"> </w:t>
      </w:r>
      <w:r w:rsidR="001340E3" w:rsidRPr="00942D62">
        <w:rPr>
          <w:i/>
        </w:rPr>
        <w:t>Criteria for Licensing of FM Broadcast Antenna Systems</w:t>
      </w:r>
      <w:r w:rsidR="001340E3">
        <w:t>,</w:t>
      </w:r>
      <w:r w:rsidR="001340E3">
        <w:rPr>
          <w:rStyle w:val="FootnoteReference"/>
        </w:rPr>
        <w:footnoteReference w:id="8"/>
      </w:r>
      <w:r w:rsidR="001340E3" w:rsidRPr="00FB64E1">
        <w:rPr>
          <w:szCs w:val="22"/>
        </w:rPr>
        <w:t xml:space="preserve"> </w:t>
      </w:r>
      <w:r w:rsidR="0016303B" w:rsidRPr="00FB64E1">
        <w:rPr>
          <w:szCs w:val="22"/>
        </w:rPr>
        <w:t>in</w:t>
      </w:r>
      <w:r w:rsidR="0016303B" w:rsidRPr="00FB64E1">
        <w:t xml:space="preserve"> support of the conclusions reached in the </w:t>
      </w:r>
      <w:r w:rsidR="0016303B" w:rsidRPr="00FB64E1">
        <w:rPr>
          <w:i/>
        </w:rPr>
        <w:t>OSC.</w:t>
      </w:r>
      <w:r w:rsidR="007A149D" w:rsidRPr="0036088C">
        <w:rPr>
          <w:rStyle w:val="FootnoteReference"/>
        </w:rPr>
        <w:footnoteReference w:id="9"/>
      </w:r>
      <w:r w:rsidR="0016303B" w:rsidRPr="00FB64E1">
        <w:rPr>
          <w:i/>
        </w:rPr>
        <w:t xml:space="preserve">  </w:t>
      </w:r>
      <w:r w:rsidR="0016303B" w:rsidRPr="00FB64E1">
        <w:rPr>
          <w:szCs w:val="22"/>
        </w:rPr>
        <w:t xml:space="preserve">LKCM </w:t>
      </w:r>
      <w:r w:rsidR="008C7EA8">
        <w:rPr>
          <w:szCs w:val="22"/>
        </w:rPr>
        <w:t>argues</w:t>
      </w:r>
      <w:r w:rsidR="0016303B" w:rsidRPr="00FB64E1">
        <w:rPr>
          <w:szCs w:val="22"/>
        </w:rPr>
        <w:t xml:space="preserve"> that the </w:t>
      </w:r>
      <w:r w:rsidR="0016303B" w:rsidRPr="008C7EA8">
        <w:rPr>
          <w:i/>
          <w:szCs w:val="22"/>
        </w:rPr>
        <w:t>OSC</w:t>
      </w:r>
      <w:r w:rsidR="0016303B" w:rsidRPr="00FB64E1">
        <w:rPr>
          <w:szCs w:val="22"/>
        </w:rPr>
        <w:t xml:space="preserve"> is unprecedented and breaks three decades of Commission silence</w:t>
      </w:r>
      <w:r w:rsidR="008C7EA8">
        <w:rPr>
          <w:szCs w:val="22"/>
        </w:rPr>
        <w:t xml:space="preserve"> on the subject</w:t>
      </w:r>
      <w:r w:rsidR="007A149D">
        <w:rPr>
          <w:szCs w:val="22"/>
        </w:rPr>
        <w:t xml:space="preserve"> of nondirectional antennas</w:t>
      </w:r>
      <w:r w:rsidR="008C7EA8">
        <w:rPr>
          <w:szCs w:val="22"/>
        </w:rPr>
        <w:t xml:space="preserve">, claiming that </w:t>
      </w:r>
      <w:r w:rsidR="0016303B" w:rsidRPr="00FB64E1">
        <w:rPr>
          <w:szCs w:val="22"/>
        </w:rPr>
        <w:t xml:space="preserve">the Commission </w:t>
      </w:r>
      <w:r w:rsidR="00C35F1B">
        <w:rPr>
          <w:szCs w:val="22"/>
        </w:rPr>
        <w:t xml:space="preserve">has </w:t>
      </w:r>
      <w:r w:rsidR="0016303B" w:rsidRPr="00FB64E1">
        <w:rPr>
          <w:szCs w:val="22"/>
        </w:rPr>
        <w:t xml:space="preserve">offered </w:t>
      </w:r>
      <w:r w:rsidR="00C35F1B">
        <w:rPr>
          <w:szCs w:val="22"/>
        </w:rPr>
        <w:t xml:space="preserve">no </w:t>
      </w:r>
      <w:r w:rsidR="0016303B" w:rsidRPr="00FB64E1">
        <w:rPr>
          <w:szCs w:val="22"/>
        </w:rPr>
        <w:t xml:space="preserve">guidance on the subject </w:t>
      </w:r>
      <w:r w:rsidR="00C35F1B">
        <w:rPr>
          <w:szCs w:val="22"/>
        </w:rPr>
        <w:t>nor has it</w:t>
      </w:r>
      <w:r w:rsidR="008C7EA8">
        <w:rPr>
          <w:szCs w:val="22"/>
        </w:rPr>
        <w:t xml:space="preserve"> published</w:t>
      </w:r>
      <w:r w:rsidR="0016303B" w:rsidRPr="00FB64E1">
        <w:rPr>
          <w:szCs w:val="22"/>
        </w:rPr>
        <w:t xml:space="preserve"> any standards or specifications for side-mounted antennas.</w:t>
      </w:r>
      <w:r w:rsidR="008D1A7E">
        <w:rPr>
          <w:rStyle w:val="FootnoteReference"/>
          <w:szCs w:val="22"/>
        </w:rPr>
        <w:footnoteReference w:id="10"/>
      </w:r>
      <w:r w:rsidR="0016303B" w:rsidRPr="00FB64E1">
        <w:rPr>
          <w:szCs w:val="22"/>
        </w:rPr>
        <w:t xml:space="preserve">  LKCM reiterates </w:t>
      </w:r>
      <w:r w:rsidR="008D1A7E">
        <w:rPr>
          <w:szCs w:val="22"/>
        </w:rPr>
        <w:t xml:space="preserve">its earlier contention </w:t>
      </w:r>
      <w:r w:rsidR="0016303B" w:rsidRPr="00FB64E1">
        <w:rPr>
          <w:szCs w:val="22"/>
        </w:rPr>
        <w:t>that</w:t>
      </w:r>
      <w:r w:rsidR="008D1A7E">
        <w:rPr>
          <w:szCs w:val="22"/>
        </w:rPr>
        <w:t>,</w:t>
      </w:r>
      <w:r w:rsidR="0016303B" w:rsidRPr="00FB64E1">
        <w:rPr>
          <w:szCs w:val="22"/>
        </w:rPr>
        <w:t xml:space="preserve"> in the real world, antenna installations are not truly omnidirectional and always show some degree of deviation from a circular pattern, citing as evidence its own </w:t>
      </w:r>
      <w:r w:rsidR="00A67D02">
        <w:rPr>
          <w:szCs w:val="22"/>
        </w:rPr>
        <w:t>study</w:t>
      </w:r>
      <w:r w:rsidR="0016303B" w:rsidRPr="00FB64E1">
        <w:rPr>
          <w:szCs w:val="22"/>
        </w:rPr>
        <w:t xml:space="preserve"> of antenna patterns.</w:t>
      </w:r>
      <w:r w:rsidR="008D1A7E">
        <w:rPr>
          <w:rStyle w:val="FootnoteReference"/>
          <w:szCs w:val="22"/>
        </w:rPr>
        <w:footnoteReference w:id="11"/>
      </w:r>
      <w:r w:rsidR="0016303B" w:rsidRPr="00FB64E1">
        <w:rPr>
          <w:szCs w:val="22"/>
        </w:rPr>
        <w:t xml:space="preserve">  </w:t>
      </w:r>
      <w:r w:rsidR="0016303B" w:rsidRPr="00FB64E1">
        <w:t xml:space="preserve">LKCM claims that it previously provided </w:t>
      </w:r>
      <w:r w:rsidR="00DB33F3">
        <w:t>evidence</w:t>
      </w:r>
      <w:r w:rsidR="0016303B" w:rsidRPr="00FB64E1">
        <w:t xml:space="preserve"> that </w:t>
      </w:r>
      <w:r w:rsidR="0016303B" w:rsidRPr="004F0390">
        <w:t>all</w:t>
      </w:r>
      <w:r w:rsidR="0016303B" w:rsidRPr="00FB64E1">
        <w:t xml:space="preserve"> antennas exceed the 3 dB threshold </w:t>
      </w:r>
      <w:r w:rsidR="00DB33F3">
        <w:t xml:space="preserve">set forth </w:t>
      </w:r>
      <w:r w:rsidR="0016303B" w:rsidRPr="00FB64E1">
        <w:t xml:space="preserve">in </w:t>
      </w:r>
      <w:r w:rsidR="0016303B" w:rsidRPr="00FB64E1">
        <w:rPr>
          <w:i/>
        </w:rPr>
        <w:t xml:space="preserve">Ettlinger, </w:t>
      </w:r>
      <w:r w:rsidR="0016303B" w:rsidRPr="00FB64E1">
        <w:t xml:space="preserve">and suggests that if the </w:t>
      </w:r>
      <w:r w:rsidR="00182B57">
        <w:t>Commission</w:t>
      </w:r>
      <w:r w:rsidR="0016303B" w:rsidRPr="00FB64E1">
        <w:t xml:space="preserve"> </w:t>
      </w:r>
      <w:r w:rsidR="00C35F1B">
        <w:t>were</w:t>
      </w:r>
      <w:r w:rsidR="0016303B" w:rsidRPr="00FB64E1">
        <w:t xml:space="preserve"> to set sta</w:t>
      </w:r>
      <w:r w:rsidR="00DB33F3">
        <w:t>ndards for antenna optimization</w:t>
      </w:r>
      <w:r w:rsidR="0016303B" w:rsidRPr="00FB64E1">
        <w:t xml:space="preserve"> it should do so in a notice an</w:t>
      </w:r>
      <w:r w:rsidR="00DB33F3">
        <w:t>d comment rulemaking proceeding rather than</w:t>
      </w:r>
      <w:r w:rsidR="00182B57">
        <w:t xml:space="preserve"> in</w:t>
      </w:r>
      <w:r w:rsidR="0016303B" w:rsidRPr="00FB64E1">
        <w:t xml:space="preserve"> individual cases.</w:t>
      </w:r>
      <w:r w:rsidR="00DB33F3">
        <w:rPr>
          <w:rStyle w:val="FootnoteReference"/>
        </w:rPr>
        <w:footnoteReference w:id="12"/>
      </w:r>
      <w:r w:rsidR="0016303B" w:rsidRPr="00FB64E1">
        <w:t xml:space="preserve">  </w:t>
      </w:r>
      <w:r w:rsidR="00DB33F3">
        <w:t>It further</w:t>
      </w:r>
      <w:r w:rsidR="0016303B" w:rsidRPr="00FB64E1">
        <w:t xml:space="preserve"> opines that enforcement of the </w:t>
      </w:r>
      <w:r w:rsidR="0016303B" w:rsidRPr="00FB64E1">
        <w:rPr>
          <w:i/>
        </w:rPr>
        <w:t>OSC</w:t>
      </w:r>
      <w:r w:rsidR="0016303B" w:rsidRPr="00FB64E1">
        <w:t xml:space="preserve"> would “create a standardless environment, whereby some distortion is acceptable and some is not.”</w:t>
      </w:r>
      <w:r w:rsidR="00DB33F3">
        <w:rPr>
          <w:rStyle w:val="FootnoteReference"/>
        </w:rPr>
        <w:footnoteReference w:id="13"/>
      </w:r>
      <w:r w:rsidR="002B654A">
        <w:t xml:space="preserve">  </w:t>
      </w:r>
    </w:p>
    <w:p w:rsidR="0016303B" w:rsidRPr="00E96390" w:rsidRDefault="0016303B" w:rsidP="00F45F9D">
      <w:pPr>
        <w:pStyle w:val="ParaNum"/>
        <w:widowControl/>
      </w:pPr>
      <w:r w:rsidRPr="002B654A">
        <w:rPr>
          <w:szCs w:val="22"/>
        </w:rPr>
        <w:t>As an alternative to involuntary license modification, LKCM offers to</w:t>
      </w:r>
      <w:r w:rsidR="00E96390">
        <w:rPr>
          <w:szCs w:val="22"/>
        </w:rPr>
        <w:t xml:space="preserve"> re-mount the KFWR antenna in a “wholly conventional fashion,” by</w:t>
      </w:r>
      <w:r w:rsidRPr="002B654A">
        <w:rPr>
          <w:szCs w:val="22"/>
        </w:rPr>
        <w:t xml:space="preserve"> remov</w:t>
      </w:r>
      <w:r w:rsidR="00E96390">
        <w:rPr>
          <w:szCs w:val="22"/>
        </w:rPr>
        <w:t xml:space="preserve">ing </w:t>
      </w:r>
      <w:r w:rsidRPr="002B654A">
        <w:rPr>
          <w:szCs w:val="22"/>
        </w:rPr>
        <w:t>the parasitic ant</w:t>
      </w:r>
      <w:r w:rsidR="00E96390">
        <w:rPr>
          <w:szCs w:val="22"/>
        </w:rPr>
        <w:t>enna elements and mounting pole and re-installing the antenna on the tower as a “standard-mounted catalog non-directional antenna,”</w:t>
      </w:r>
      <w:r w:rsidRPr="002B654A">
        <w:rPr>
          <w:szCs w:val="22"/>
        </w:rPr>
        <w:t xml:space="preserve"> with no </w:t>
      </w:r>
      <w:r w:rsidR="00E96390">
        <w:rPr>
          <w:szCs w:val="22"/>
        </w:rPr>
        <w:t xml:space="preserve">documentation or </w:t>
      </w:r>
      <w:r w:rsidRPr="002B654A">
        <w:rPr>
          <w:szCs w:val="22"/>
        </w:rPr>
        <w:t>prior study</w:t>
      </w:r>
      <w:r w:rsidR="00E96390">
        <w:rPr>
          <w:szCs w:val="22"/>
        </w:rPr>
        <w:t xml:space="preserve"> of the antenna’s performance.</w:t>
      </w:r>
      <w:r w:rsidR="00E96390">
        <w:rPr>
          <w:rStyle w:val="FootnoteReference"/>
          <w:szCs w:val="22"/>
        </w:rPr>
        <w:footnoteReference w:id="14"/>
      </w:r>
      <w:r w:rsidR="00E96390">
        <w:rPr>
          <w:szCs w:val="22"/>
        </w:rPr>
        <w:t xml:space="preserve">  It proposes to accomplish this </w:t>
      </w:r>
      <w:r w:rsidR="00445258">
        <w:rPr>
          <w:szCs w:val="22"/>
        </w:rPr>
        <w:t xml:space="preserve">using best engineering practices, and </w:t>
      </w:r>
      <w:r w:rsidRPr="002B654A">
        <w:rPr>
          <w:szCs w:val="22"/>
        </w:rPr>
        <w:t>without removi</w:t>
      </w:r>
      <w:r w:rsidR="00E96390">
        <w:rPr>
          <w:szCs w:val="22"/>
        </w:rPr>
        <w:t xml:space="preserve">ng the Lambda </w:t>
      </w:r>
      <w:r w:rsidR="00182B57">
        <w:rPr>
          <w:szCs w:val="22"/>
        </w:rPr>
        <w:t xml:space="preserve">tower </w:t>
      </w:r>
      <w:r w:rsidR="00E96390">
        <w:rPr>
          <w:szCs w:val="22"/>
        </w:rPr>
        <w:t>section</w:t>
      </w:r>
      <w:r w:rsidRPr="002B654A">
        <w:rPr>
          <w:szCs w:val="22"/>
        </w:rPr>
        <w:t>.</w:t>
      </w:r>
      <w:r>
        <w:rPr>
          <w:rStyle w:val="FootnoteReference"/>
          <w:szCs w:val="22"/>
        </w:rPr>
        <w:footnoteReference w:id="15"/>
      </w:r>
      <w:r w:rsidRPr="002B654A">
        <w:rPr>
          <w:szCs w:val="22"/>
        </w:rPr>
        <w:t xml:space="preserve">  </w:t>
      </w:r>
      <w:r w:rsidR="00E96390">
        <w:rPr>
          <w:szCs w:val="22"/>
        </w:rPr>
        <w:t>LKCM claims</w:t>
      </w:r>
      <w:r w:rsidRPr="002B654A">
        <w:rPr>
          <w:szCs w:val="22"/>
        </w:rPr>
        <w:t xml:space="preserve"> that this procedure </w:t>
      </w:r>
      <w:r w:rsidR="00304F3B">
        <w:rPr>
          <w:szCs w:val="22"/>
        </w:rPr>
        <w:t>“</w:t>
      </w:r>
      <w:r w:rsidRPr="002B654A">
        <w:rPr>
          <w:szCs w:val="22"/>
        </w:rPr>
        <w:t xml:space="preserve">will </w:t>
      </w:r>
      <w:r w:rsidR="00304F3B">
        <w:rPr>
          <w:szCs w:val="22"/>
        </w:rPr>
        <w:t>place</w:t>
      </w:r>
      <w:r w:rsidRPr="002B654A">
        <w:rPr>
          <w:szCs w:val="22"/>
        </w:rPr>
        <w:t xml:space="preserve"> </w:t>
      </w:r>
      <w:r w:rsidR="00182B57">
        <w:rPr>
          <w:szCs w:val="22"/>
        </w:rPr>
        <w:t>KFWR</w:t>
      </w:r>
      <w:r w:rsidRPr="002B654A">
        <w:rPr>
          <w:szCs w:val="22"/>
        </w:rPr>
        <w:t xml:space="preserve"> </w:t>
      </w:r>
      <w:r w:rsidR="00304F3B">
        <w:rPr>
          <w:szCs w:val="22"/>
        </w:rPr>
        <w:t>in the same position as any other FM station using a side-mounted non-directional antenna.”</w:t>
      </w:r>
      <w:r w:rsidR="00304F3B">
        <w:rPr>
          <w:rStyle w:val="FootnoteReference"/>
          <w:szCs w:val="22"/>
        </w:rPr>
        <w:footnoteReference w:id="16"/>
      </w:r>
    </w:p>
    <w:p w:rsidR="00E96390" w:rsidRPr="0016303B" w:rsidRDefault="00E96390" w:rsidP="00F45F9D">
      <w:pPr>
        <w:pStyle w:val="ParaNum"/>
        <w:widowControl/>
      </w:pPr>
      <w:r>
        <w:t xml:space="preserve">Lake, in its </w:t>
      </w:r>
      <w:r w:rsidRPr="00BC2410">
        <w:t>Comments</w:t>
      </w:r>
      <w:r w:rsidR="00BC2410">
        <w:t xml:space="preserve">, </w:t>
      </w:r>
      <w:r w:rsidR="004A040C">
        <w:t>alleges</w:t>
      </w:r>
      <w:r>
        <w:t xml:space="preserve"> that because the LKCM </w:t>
      </w:r>
      <w:r w:rsidR="004A040C">
        <w:t>OSC Response</w:t>
      </w:r>
      <w:r>
        <w:t xml:space="preserve"> was styled as a</w:t>
      </w:r>
      <w:r w:rsidR="004A040C">
        <w:t xml:space="preserve"> response rather than as a “protest,” under Section 1.87(g)(1) of the Rules,</w:t>
      </w:r>
      <w:r w:rsidR="004A040C">
        <w:rPr>
          <w:rStyle w:val="FootnoteReference"/>
        </w:rPr>
        <w:footnoteReference w:id="17"/>
      </w:r>
      <w:r>
        <w:t xml:space="preserve"> </w:t>
      </w:r>
      <w:r w:rsidRPr="00635DE1">
        <w:t xml:space="preserve">LKCM has effectively consented to the </w:t>
      </w:r>
      <w:r>
        <w:t>involuntary license modification.</w:t>
      </w:r>
      <w:r w:rsidR="004A040C">
        <w:rPr>
          <w:rStyle w:val="FootnoteReference"/>
        </w:rPr>
        <w:footnoteReference w:id="18"/>
      </w:r>
      <w:r>
        <w:t xml:space="preserve">   Lake </w:t>
      </w:r>
      <w:r w:rsidR="004A040C">
        <w:t>further cites Section 1.87(d), which requires that any protest of a proposed license modification must conform to the requirements of Section 309 of the Communications Act</w:t>
      </w:r>
      <w:r w:rsidR="00182B57">
        <w:t>,</w:t>
      </w:r>
      <w:r w:rsidR="004A040C">
        <w:rPr>
          <w:rStyle w:val="FootnoteReference"/>
        </w:rPr>
        <w:footnoteReference w:id="19"/>
      </w:r>
      <w:r w:rsidR="004A040C">
        <w:t xml:space="preserve"> </w:t>
      </w:r>
      <w:r w:rsidR="00182B57">
        <w:t>and</w:t>
      </w:r>
      <w:r w:rsidR="004A040C">
        <w:t xml:space="preserve"> asserts</w:t>
      </w:r>
      <w:r>
        <w:t xml:space="preserve"> that there is no “specific allegation of fact sufficient to show that </w:t>
      </w:r>
      <w:r>
        <w:lastRenderedPageBreak/>
        <w:t>the modification proposed by the [</w:t>
      </w:r>
      <w:r w:rsidRPr="00635DE1">
        <w:rPr>
          <w:i/>
        </w:rPr>
        <w:t>OSC</w:t>
      </w:r>
      <w:r>
        <w:t>] is contrary to the public interest.”</w:t>
      </w:r>
      <w:r w:rsidR="004A040C">
        <w:rPr>
          <w:rStyle w:val="FootnoteReference"/>
        </w:rPr>
        <w:footnoteReference w:id="20"/>
      </w:r>
      <w:r>
        <w:t xml:space="preserve"> </w:t>
      </w:r>
      <w:r w:rsidR="004A040C">
        <w:t xml:space="preserve"> </w:t>
      </w:r>
      <w:r>
        <w:t xml:space="preserve">Lake </w:t>
      </w:r>
      <w:r w:rsidR="004A040C">
        <w:t>next</w:t>
      </w:r>
      <w:r>
        <w:t xml:space="preserve"> contends that LKCM’s </w:t>
      </w:r>
      <w:r w:rsidR="004A040C">
        <w:t xml:space="preserve">OSC </w:t>
      </w:r>
      <w:r w:rsidRPr="004A040C">
        <w:t>Response</w:t>
      </w:r>
      <w:r>
        <w:t xml:space="preserve"> “consists of insular denial and audacious and vague speculation about the impact</w:t>
      </w:r>
      <w:r w:rsidR="004A040C">
        <w:t>” of the</w:t>
      </w:r>
      <w:r>
        <w:t xml:space="preserve"> </w:t>
      </w:r>
      <w:r>
        <w:rPr>
          <w:i/>
        </w:rPr>
        <w:t xml:space="preserve">OSC, </w:t>
      </w:r>
      <w:r w:rsidRPr="004805CC">
        <w:t xml:space="preserve">and </w:t>
      </w:r>
      <w:r w:rsidR="004A040C">
        <w:t xml:space="preserve">thus </w:t>
      </w:r>
      <w:r w:rsidRPr="004805CC">
        <w:t>should be disregarded in its entirety</w:t>
      </w:r>
      <w:r>
        <w:t>.</w:t>
      </w:r>
      <w:r w:rsidR="004A040C">
        <w:rPr>
          <w:rStyle w:val="FootnoteReference"/>
        </w:rPr>
        <w:footnoteReference w:id="21"/>
      </w:r>
      <w:r>
        <w:t xml:space="preserve">   Lake </w:t>
      </w:r>
      <w:r w:rsidR="004A040C">
        <w:t>further</w:t>
      </w:r>
      <w:r>
        <w:t xml:space="preserve"> points out that </w:t>
      </w:r>
      <w:r w:rsidR="004A040C">
        <w:t>LKCM</w:t>
      </w:r>
      <w:r>
        <w:t xml:space="preserve"> </w:t>
      </w:r>
      <w:r w:rsidRPr="004805CC">
        <w:t>do</w:t>
      </w:r>
      <w:r>
        <w:t xml:space="preserve">es not “deny or controvert” the findings in the </w:t>
      </w:r>
      <w:r>
        <w:rPr>
          <w:i/>
        </w:rPr>
        <w:t>OSC</w:t>
      </w:r>
      <w:r>
        <w:t xml:space="preserve"> that:  (1)  the maximum antenna gain is 4.389 dB horizontally polarized and 4.386 dB vertically polarized above 100 kW (20 dB);  (2) KFWR is radiating 262.4 kW horizontally polarized</w:t>
      </w:r>
      <w:r w:rsidR="00FF0381">
        <w:t>,</w:t>
      </w:r>
      <w:r>
        <w:t xml:space="preserve"> and 274.5 kW vertically polarized, into the maximum lobe of its directional antenna, and (3) the maximum-to-minimum ratio of the KFWR antenna is 19.18 dB</w:t>
      </w:r>
      <w:r w:rsidR="00FF0381">
        <w:t>,</w:t>
      </w:r>
      <w:r>
        <w:t xml:space="preserve"> which is greater than the 15 dB permitted for a licensed directional antenna.</w:t>
      </w:r>
      <w:r w:rsidR="00FF0381">
        <w:rPr>
          <w:rStyle w:val="FootnoteReference"/>
        </w:rPr>
        <w:footnoteReference w:id="22"/>
      </w:r>
      <w:r>
        <w:t xml:space="preserve">  </w:t>
      </w:r>
      <w:r>
        <w:rPr>
          <w:i/>
        </w:rPr>
        <w:t xml:space="preserve">  </w:t>
      </w:r>
    </w:p>
    <w:p w:rsidR="0016303B" w:rsidRDefault="00FF0381" w:rsidP="00F45F9D">
      <w:pPr>
        <w:pStyle w:val="ParaNum"/>
        <w:widowControl/>
      </w:pPr>
      <w:r>
        <w:t xml:space="preserve">In its Comment Response, </w:t>
      </w:r>
      <w:r w:rsidR="00D40C7E">
        <w:t xml:space="preserve">LKCM </w:t>
      </w:r>
      <w:r w:rsidR="00CF2D48">
        <w:t>dismisses</w:t>
      </w:r>
      <w:r w:rsidR="00D40C7E">
        <w:t xml:space="preserve"> Lake’s </w:t>
      </w:r>
      <w:r w:rsidR="00445258">
        <w:t>contention</w:t>
      </w:r>
      <w:r w:rsidR="0016303B">
        <w:t xml:space="preserve"> that</w:t>
      </w:r>
      <w:r w:rsidR="0098370C">
        <w:t>,</w:t>
      </w:r>
      <w:r w:rsidR="0016303B">
        <w:t xml:space="preserve"> because LKCM </w:t>
      </w:r>
      <w:r w:rsidR="00D40C7E">
        <w:t>did not label its OSC Response a “protest</w:t>
      </w:r>
      <w:r w:rsidR="0098370C">
        <w:t>,</w:t>
      </w:r>
      <w:r w:rsidR="00D40C7E">
        <w:t>” it has wa</w:t>
      </w:r>
      <w:r w:rsidR="0016303B">
        <w:t>ived its right to object to the involuntary modification of</w:t>
      </w:r>
      <w:r w:rsidR="00D40C7E">
        <w:t xml:space="preserve"> its</w:t>
      </w:r>
      <w:r w:rsidR="0016303B">
        <w:t xml:space="preserve"> license</w:t>
      </w:r>
      <w:r w:rsidR="0016303B" w:rsidRPr="00D40C7E">
        <w:rPr>
          <w:i/>
        </w:rPr>
        <w:t>.</w:t>
      </w:r>
      <w:r w:rsidR="00136D48" w:rsidRPr="00445258">
        <w:rPr>
          <w:rStyle w:val="FootnoteReference"/>
        </w:rPr>
        <w:footnoteReference w:id="23"/>
      </w:r>
      <w:r w:rsidR="0016303B" w:rsidRPr="00D40C7E">
        <w:rPr>
          <w:i/>
        </w:rPr>
        <w:t xml:space="preserve">  </w:t>
      </w:r>
      <w:r w:rsidR="0016303B">
        <w:t xml:space="preserve">LKCM </w:t>
      </w:r>
      <w:r w:rsidR="00D40C7E">
        <w:t xml:space="preserve">further objects to Lake’s </w:t>
      </w:r>
      <w:r w:rsidR="0016303B">
        <w:t xml:space="preserve">assertions that the Commission should act </w:t>
      </w:r>
      <w:r w:rsidR="00D40C7E">
        <w:t>immediately to modify the</w:t>
      </w:r>
      <w:r w:rsidR="0016303B">
        <w:t xml:space="preserve"> KFWR </w:t>
      </w:r>
      <w:r w:rsidR="00D40C7E">
        <w:t>license</w:t>
      </w:r>
      <w:r w:rsidR="00182B57">
        <w:t xml:space="preserve"> rather than allowing LKCM’s proposed modifications</w:t>
      </w:r>
      <w:r w:rsidR="002C0B3D">
        <w:t xml:space="preserve">, stating that Lake “does not dispute” that </w:t>
      </w:r>
      <w:r w:rsidR="00182B57">
        <w:t>those</w:t>
      </w:r>
      <w:r w:rsidR="002C0B3D">
        <w:t xml:space="preserve"> modifications will address the concerns stated in the </w:t>
      </w:r>
      <w:r w:rsidR="002C0B3D" w:rsidRPr="002C0B3D">
        <w:rPr>
          <w:i/>
        </w:rPr>
        <w:t>OSC</w:t>
      </w:r>
      <w:r w:rsidR="0016303B">
        <w:t>.</w:t>
      </w:r>
      <w:r w:rsidR="00136D48">
        <w:rPr>
          <w:rStyle w:val="FootnoteReference"/>
        </w:rPr>
        <w:footnoteReference w:id="24"/>
      </w:r>
      <w:r w:rsidR="00D40C7E">
        <w:t xml:space="preserve">  </w:t>
      </w:r>
      <w:r w:rsidR="001C4FBD">
        <w:t xml:space="preserve">In its </w:t>
      </w:r>
      <w:r w:rsidR="001C4FBD" w:rsidRPr="00D40C7E">
        <w:t>Reply Comments</w:t>
      </w:r>
      <w:r w:rsidR="001C4FBD">
        <w:t xml:space="preserve">, Lake </w:t>
      </w:r>
      <w:r w:rsidR="00136D48">
        <w:t>responds</w:t>
      </w:r>
      <w:r w:rsidR="002C0B3D">
        <w:t xml:space="preserve"> that it </w:t>
      </w:r>
      <w:r w:rsidR="001C4FBD">
        <w:t>“most assuredly does dispute</w:t>
      </w:r>
      <w:r w:rsidR="002C0B3D">
        <w:t>” LKCM’s proposed modification,</w:t>
      </w:r>
      <w:r w:rsidR="00806261">
        <w:rPr>
          <w:rStyle w:val="FootnoteReference"/>
        </w:rPr>
        <w:footnoteReference w:id="25"/>
      </w:r>
      <w:r w:rsidR="002C0B3D">
        <w:t xml:space="preserve"> and further states that, contrary to LKCM’s earlier assertion, Lake’s </w:t>
      </w:r>
      <w:r w:rsidR="001C4FBD">
        <w:t>station KCKL has suffered the “deleterious effects of KFWR’s unlawful ‘superpower’</w:t>
      </w:r>
      <w:r w:rsidR="00C5692D">
        <w:t xml:space="preserve"> operation . . . </w:t>
      </w:r>
      <w:r w:rsidR="001C4FBD">
        <w:t>now into its third year.”</w:t>
      </w:r>
      <w:r w:rsidR="002C0B3D">
        <w:rPr>
          <w:rStyle w:val="FootnoteReference"/>
        </w:rPr>
        <w:footnoteReference w:id="26"/>
      </w:r>
    </w:p>
    <w:p w:rsidR="0016303B" w:rsidRDefault="0016303B" w:rsidP="00F45F9D">
      <w:pPr>
        <w:pStyle w:val="Heading1"/>
        <w:widowControl/>
      </w:pPr>
      <w:r>
        <w:t>DISCUSSION</w:t>
      </w:r>
    </w:p>
    <w:p w:rsidR="0016303B" w:rsidRDefault="00D5754D" w:rsidP="00F45F9D">
      <w:pPr>
        <w:pStyle w:val="ParaNum"/>
        <w:widowControl/>
      </w:pPr>
      <w:r w:rsidRPr="004150A0">
        <w:t xml:space="preserve">We </w:t>
      </w:r>
      <w:r w:rsidR="00A63E1D">
        <w:t xml:space="preserve">reject Lake’s procedural argument </w:t>
      </w:r>
      <w:r>
        <w:t xml:space="preserve">that LKCM’s </w:t>
      </w:r>
      <w:r w:rsidR="00A63E1D">
        <w:t xml:space="preserve">OSC </w:t>
      </w:r>
      <w:r w:rsidRPr="00A63E1D">
        <w:t>Response</w:t>
      </w:r>
      <w:r>
        <w:rPr>
          <w:i/>
        </w:rPr>
        <w:t xml:space="preserve"> </w:t>
      </w:r>
      <w:r>
        <w:t xml:space="preserve">should not be considered </w:t>
      </w:r>
      <w:r w:rsidR="00A63E1D">
        <w:t>a “protest”</w:t>
      </w:r>
      <w:r>
        <w:t xml:space="preserve"> to the </w:t>
      </w:r>
      <w:r>
        <w:rPr>
          <w:i/>
        </w:rPr>
        <w:t>OSC.</w:t>
      </w:r>
      <w:r>
        <w:t xml:space="preserve">  Section 1.87 does not require </w:t>
      </w:r>
      <w:r w:rsidR="00A63E1D">
        <w:t>that the</w:t>
      </w:r>
      <w:r>
        <w:t xml:space="preserve"> pleading </w:t>
      </w:r>
      <w:r w:rsidR="00030360">
        <w:t>be labeled a</w:t>
      </w:r>
      <w:r>
        <w:t xml:space="preserve"> “protest</w:t>
      </w:r>
      <w:r w:rsidR="00A63E1D">
        <w:t>,</w:t>
      </w:r>
      <w:r>
        <w:t>” and</w:t>
      </w:r>
      <w:r w:rsidR="00A63E1D">
        <w:t xml:space="preserve"> substantively</w:t>
      </w:r>
      <w:r>
        <w:t xml:space="preserve"> the</w:t>
      </w:r>
      <w:r w:rsidR="00A63E1D">
        <w:t>re is no question that the OSC</w:t>
      </w:r>
      <w:r>
        <w:t xml:space="preserve"> </w:t>
      </w:r>
      <w:r w:rsidRPr="00A63E1D">
        <w:t>Response</w:t>
      </w:r>
      <w:r>
        <w:t xml:space="preserve"> </w:t>
      </w:r>
      <w:r w:rsidR="00A63E1D">
        <w:t>attempts to show cause why the KFWR license should not be modified</w:t>
      </w:r>
      <w:r>
        <w:rPr>
          <w:i/>
        </w:rPr>
        <w:t>.</w:t>
      </w:r>
      <w:r>
        <w:t xml:space="preserve">  </w:t>
      </w:r>
      <w:r w:rsidR="00A63E1D">
        <w:t xml:space="preserve">Moreover, the OSC Response is attested by LKCM’s president, and </w:t>
      </w:r>
      <w:r w:rsidR="00445258">
        <w:t>therefore</w:t>
      </w:r>
      <w:r w:rsidR="00A63E1D">
        <w:t xml:space="preserve"> meets the requirements of Section 309(d)(1) of the </w:t>
      </w:r>
      <w:r w:rsidR="004B2F5C">
        <w:t xml:space="preserve">Communications </w:t>
      </w:r>
      <w:r w:rsidR="00A63E1D">
        <w:t>Act.</w:t>
      </w:r>
      <w:r>
        <w:t xml:space="preserve">  </w:t>
      </w:r>
      <w:r w:rsidR="00A63E1D">
        <w:t>There is thus no procedural impediment to considering</w:t>
      </w:r>
      <w:r>
        <w:t xml:space="preserve"> LKCM’s pleadings.</w:t>
      </w:r>
    </w:p>
    <w:p w:rsidR="002A6DD2" w:rsidRDefault="00D5754D" w:rsidP="00CB5F26">
      <w:pPr>
        <w:pStyle w:val="ParaNum"/>
        <w:widowControl/>
      </w:pPr>
      <w:r>
        <w:t xml:space="preserve">That said, </w:t>
      </w:r>
      <w:r w:rsidR="00A63E1D">
        <w:t xml:space="preserve">we </w:t>
      </w:r>
      <w:r w:rsidR="00C5692D">
        <w:t xml:space="preserve">also </w:t>
      </w:r>
      <w:r w:rsidR="00A63E1D">
        <w:t xml:space="preserve">reject </w:t>
      </w:r>
      <w:r w:rsidR="00585AF1">
        <w:t>LKCM’s</w:t>
      </w:r>
      <w:r w:rsidR="00A63E1D">
        <w:t xml:space="preserve"> arguments in opposition to the </w:t>
      </w:r>
      <w:r w:rsidR="00A63E1D" w:rsidRPr="004C0A4D">
        <w:rPr>
          <w:i/>
        </w:rPr>
        <w:t>OSC</w:t>
      </w:r>
      <w:r w:rsidR="00A63E1D">
        <w:t xml:space="preserve">, as well as its suggested alternative modification.  </w:t>
      </w:r>
      <w:r w:rsidR="00191067">
        <w:t>It is important to note that</w:t>
      </w:r>
      <w:r w:rsidR="006728D5">
        <w:t>, as Lake emphasizes,</w:t>
      </w:r>
      <w:r w:rsidR="00191067">
        <w:t xml:space="preserve"> LKCM does not contest our factual findings regarding the technical parameters of its operation; there is thus no dispute that KFWR radiates over two and one half times its authorized ERP along the maximum lobe of its antenna</w:t>
      </w:r>
      <w:r w:rsidR="006728D5">
        <w:t xml:space="preserve">, or that </w:t>
      </w:r>
      <w:r w:rsidR="009D36FA">
        <w:t>the maximum-to-minimum ratio of the KFWR antenna exceeds 19 dB</w:t>
      </w:r>
      <w:r w:rsidR="00191067">
        <w:t>.  Absent any factual dispute, then</w:t>
      </w:r>
      <w:r w:rsidR="00C8609A">
        <w:t xml:space="preserve">, LKCM’s argument against modification </w:t>
      </w:r>
      <w:r w:rsidR="009D36FA">
        <w:t>can be distilled</w:t>
      </w:r>
      <w:r w:rsidR="00C8609A">
        <w:t xml:space="preserve"> to</w:t>
      </w:r>
      <w:r w:rsidR="00C538F3">
        <w:t xml:space="preserve"> </w:t>
      </w:r>
      <w:r w:rsidR="00196CD8">
        <w:t>two</w:t>
      </w:r>
      <w:r w:rsidR="00C538F3">
        <w:t xml:space="preserve"> main points: </w:t>
      </w:r>
      <w:r w:rsidR="00C8609A">
        <w:t xml:space="preserve"> (1) everybody does it</w:t>
      </w:r>
      <w:r w:rsidR="0098370C">
        <w:t xml:space="preserve">, i.e., every </w:t>
      </w:r>
      <w:r w:rsidR="0016476B">
        <w:t xml:space="preserve">side-mounted </w:t>
      </w:r>
      <w:r w:rsidR="0098370C">
        <w:t xml:space="preserve">nondirectional FM station </w:t>
      </w:r>
      <w:r w:rsidR="00D32327">
        <w:t>violates the Rules</w:t>
      </w:r>
      <w:r w:rsidR="00C8609A">
        <w:t xml:space="preserve">; </w:t>
      </w:r>
      <w:r w:rsidR="00196CD8">
        <w:t xml:space="preserve">and </w:t>
      </w:r>
      <w:r w:rsidR="00C8609A">
        <w:t xml:space="preserve">(2) the Commission has not </w:t>
      </w:r>
      <w:r w:rsidR="002A6DD2">
        <w:t>pursued</w:t>
      </w:r>
      <w:r w:rsidR="00C8609A">
        <w:t xml:space="preserve"> other violators.  As </w:t>
      </w:r>
      <w:r w:rsidR="00560D10">
        <w:t>for</w:t>
      </w:r>
      <w:r w:rsidR="00806261">
        <w:t xml:space="preserve"> point</w:t>
      </w:r>
      <w:r w:rsidR="00C8609A">
        <w:t xml:space="preserve"> (1), LKCM </w:t>
      </w:r>
      <w:r w:rsidR="005B3954">
        <w:t>argue</w:t>
      </w:r>
      <w:r w:rsidR="00D32327">
        <w:t>s</w:t>
      </w:r>
      <w:r w:rsidR="00C8609A">
        <w:t xml:space="preserve"> </w:t>
      </w:r>
      <w:r w:rsidR="005B3954">
        <w:t>only</w:t>
      </w:r>
      <w:r w:rsidR="00C8609A">
        <w:t xml:space="preserve"> that there is no such thing as a perfectly circular pattern from a side-mounted </w:t>
      </w:r>
      <w:r w:rsidR="00C5692D">
        <w:t xml:space="preserve">nondirectional </w:t>
      </w:r>
      <w:r w:rsidR="00C8609A">
        <w:t>FM antenna, a fact the Commission has</w:t>
      </w:r>
      <w:r w:rsidR="006114A5">
        <w:t xml:space="preserve"> long</w:t>
      </w:r>
      <w:r w:rsidR="00C8609A">
        <w:t xml:space="preserve"> recognized.</w:t>
      </w:r>
      <w:r w:rsidR="00CA3615">
        <w:rPr>
          <w:rStyle w:val="FootnoteReference"/>
        </w:rPr>
        <w:footnoteReference w:id="27"/>
      </w:r>
      <w:r w:rsidR="00C8609A">
        <w:t xml:space="preserve">  </w:t>
      </w:r>
      <w:r w:rsidR="00DB4FEC">
        <w:t>LKCM declares in its OSC Response that “</w:t>
      </w:r>
      <w:r w:rsidR="00DB4FEC" w:rsidRPr="004C0A4D">
        <w:rPr>
          <w:i/>
        </w:rPr>
        <w:t>all</w:t>
      </w:r>
      <w:r w:rsidR="00DB4FEC">
        <w:t xml:space="preserve"> non-directional antennas, including typical off-the-shelf, non-directional antennas sold by leading manufacturers, exceed” the maximum allowable ERP in the main lobe.</w:t>
      </w:r>
      <w:r w:rsidR="00DB4FEC">
        <w:rPr>
          <w:rStyle w:val="FootnoteReference"/>
        </w:rPr>
        <w:footnoteReference w:id="28"/>
      </w:r>
      <w:r w:rsidR="00DB4FEC">
        <w:t xml:space="preserve">  In fact, </w:t>
      </w:r>
      <w:r w:rsidR="004C0A4D">
        <w:t xml:space="preserve">this statement is accurate only if one assumes, as </w:t>
      </w:r>
      <w:r w:rsidR="004C0A4D">
        <w:lastRenderedPageBreak/>
        <w:t>has LKCM,</w:t>
      </w:r>
      <w:r w:rsidR="00DB4FEC">
        <w:t xml:space="preserve"> </w:t>
      </w:r>
      <w:r w:rsidR="00B5501D">
        <w:t xml:space="preserve">a “reference ERP” of </w:t>
      </w:r>
      <w:r w:rsidR="00DB4FEC">
        <w:t>100 kW</w:t>
      </w:r>
      <w:r w:rsidR="004C0A4D">
        <w:t>.</w:t>
      </w:r>
      <w:r w:rsidR="00655516">
        <w:rPr>
          <w:rStyle w:val="FootnoteReference"/>
        </w:rPr>
        <w:footnoteReference w:id="29"/>
      </w:r>
      <w:r w:rsidR="00DB4FEC">
        <w:t xml:space="preserve"> </w:t>
      </w:r>
      <w:r w:rsidR="004C0A4D">
        <w:t xml:space="preserve"> Under this assumption, t</w:t>
      </w:r>
      <w:r w:rsidR="00DB4FEC">
        <w:t xml:space="preserve">he maximum lobes of each antenna examined </w:t>
      </w:r>
      <w:r w:rsidR="006114A5">
        <w:t>can</w:t>
      </w:r>
      <w:r w:rsidR="00DB4FEC">
        <w:t xml:space="preserve"> radiate more than 100 kW</w:t>
      </w:r>
      <w:r w:rsidR="00215DE9">
        <w:t>.</w:t>
      </w:r>
      <w:r w:rsidR="00DB4FEC">
        <w:t xml:space="preserve">  The flaw in this analysis is that</w:t>
      </w:r>
      <w:r w:rsidR="006114A5">
        <w:t>, as used by LKCM, the term “reference ERP” does not refer to the 100 kW limit for a Class C0 station set forth in Section 73.211(b) of the Rules.</w:t>
      </w:r>
      <w:r w:rsidR="006D576D">
        <w:rPr>
          <w:rStyle w:val="FootnoteReference"/>
        </w:rPr>
        <w:footnoteReference w:id="30"/>
      </w:r>
      <w:r w:rsidR="006114A5">
        <w:t xml:space="preserve">  Rather, it refers to an “average ERP” theory that </w:t>
      </w:r>
      <w:r w:rsidR="00DB4FEC">
        <w:t xml:space="preserve">LKCM </w:t>
      </w:r>
      <w:r w:rsidR="006114A5">
        <w:t>asserted, and</w:t>
      </w:r>
      <w:r w:rsidR="00DB4FEC">
        <w:t xml:space="preserve"> we rejected</w:t>
      </w:r>
      <w:r w:rsidR="006114A5">
        <w:t>,</w:t>
      </w:r>
      <w:r w:rsidR="00DB4FEC">
        <w:t xml:space="preserve"> in the </w:t>
      </w:r>
      <w:r w:rsidR="00DB4FEC" w:rsidRPr="00287DEA">
        <w:rPr>
          <w:i/>
        </w:rPr>
        <w:t>OSC</w:t>
      </w:r>
      <w:r w:rsidR="006114A5">
        <w:t>.</w:t>
      </w:r>
      <w:r w:rsidR="00655516">
        <w:rPr>
          <w:rStyle w:val="FootnoteReference"/>
        </w:rPr>
        <w:footnoteReference w:id="31"/>
      </w:r>
      <w:r w:rsidR="00DB4FEC">
        <w:t xml:space="preserve">  </w:t>
      </w:r>
      <w:r w:rsidR="006114A5">
        <w:t xml:space="preserve">Specifically, </w:t>
      </w:r>
      <w:r w:rsidR="00B5501D">
        <w:t xml:space="preserve">LKCM </w:t>
      </w:r>
      <w:r w:rsidR="0054330E">
        <w:t>claimed</w:t>
      </w:r>
      <w:r w:rsidR="00B5501D">
        <w:t xml:space="preserve"> that </w:t>
      </w:r>
      <w:r w:rsidR="00655516">
        <w:t>KFWR</w:t>
      </w:r>
      <w:r w:rsidR="00B5501D">
        <w:t xml:space="preserve"> is entitled to an average ERP of 100 kW across its antenna pattern, and if </w:t>
      </w:r>
      <w:r w:rsidR="007C1C4C">
        <w:t>the power radiated along some azimuths is less than 100 kW then</w:t>
      </w:r>
      <w:r w:rsidR="006114A5">
        <w:t>, in LKCM’s view,</w:t>
      </w:r>
      <w:r w:rsidR="007C1C4C">
        <w:t xml:space="preserve"> it may radiate more than 100</w:t>
      </w:r>
      <w:r w:rsidR="004F272D">
        <w:t xml:space="preserve"> </w:t>
      </w:r>
      <w:r w:rsidR="007C1C4C">
        <w:t xml:space="preserve">kW along other azimuths.  This is somewhat akin to a property owner asserting that she may build an addition to her home extending 50 feet onto a neighbor’s property, because the other side of her house </w:t>
      </w:r>
      <w:r w:rsidR="00585AF1">
        <w:t>lies</w:t>
      </w:r>
      <w:r w:rsidR="007C1C4C">
        <w:t xml:space="preserve"> more than 50 feet from the nearest adjacent property line.  </w:t>
      </w:r>
      <w:r w:rsidR="00215DE9">
        <w:t xml:space="preserve">The problem </w:t>
      </w:r>
      <w:r w:rsidR="001A4626">
        <w:t>is not that circular radiation patterns do not exist in the real world.  The problem is that LKCM not only fails to contain the KFWR signal within the maximum 100 kW radiation envelope set forth in Section 73.211, but has aggressively broken that envelope in violation of our Rules.</w:t>
      </w:r>
      <w:r w:rsidR="00CA3615">
        <w:rPr>
          <w:rStyle w:val="FootnoteReference"/>
        </w:rPr>
        <w:footnoteReference w:id="32"/>
      </w:r>
      <w:r w:rsidR="002A6DD2">
        <w:t xml:space="preserve">  </w:t>
      </w:r>
    </w:p>
    <w:p w:rsidR="00983B7C" w:rsidRDefault="002D3AB1" w:rsidP="00F45F9D">
      <w:pPr>
        <w:pStyle w:val="ParaNum"/>
        <w:widowControl/>
      </w:pPr>
      <w:r>
        <w:t xml:space="preserve">Those rule violations lead us to LKCM’s point (2).  </w:t>
      </w:r>
      <w:r w:rsidR="00A63E1D">
        <w:t xml:space="preserve">LKCM </w:t>
      </w:r>
      <w:r>
        <w:t>criticizes at some length</w:t>
      </w:r>
      <w:r w:rsidR="00A63E1D">
        <w:t xml:space="preserve"> the Commission’s </w:t>
      </w:r>
      <w:r w:rsidR="009F7CE6">
        <w:t xml:space="preserve">“lack of enforcement” of the standards enunciated in </w:t>
      </w:r>
      <w:r w:rsidR="009F7CE6" w:rsidRPr="009F7CE6">
        <w:rPr>
          <w:i/>
        </w:rPr>
        <w:t>Ettlinger</w:t>
      </w:r>
      <w:r w:rsidR="009F7CE6">
        <w:t xml:space="preserve"> and the </w:t>
      </w:r>
      <w:r w:rsidR="009F7CE6" w:rsidRPr="009F7CE6">
        <w:rPr>
          <w:i/>
        </w:rPr>
        <w:t>FM Antenna Public Notice</w:t>
      </w:r>
      <w:r w:rsidR="009F7CE6">
        <w:t xml:space="preserve">, as well as our alleged </w:t>
      </w:r>
      <w:r w:rsidR="00A63E1D">
        <w:t xml:space="preserve">failure to articulate a “bright line standard” </w:t>
      </w:r>
      <w:r w:rsidR="00030360">
        <w:t>defining</w:t>
      </w:r>
      <w:r w:rsidR="00A63E1D">
        <w:t xml:space="preserve"> </w:t>
      </w:r>
      <w:r w:rsidR="003508A3">
        <w:t>e</w:t>
      </w:r>
      <w:r w:rsidR="002A6DD2">
        <w:t>xactly the point at which a non</w:t>
      </w:r>
      <w:r w:rsidR="003508A3">
        <w:t>directional antenna becomes impermissibly directional</w:t>
      </w:r>
      <w:r w:rsidR="009F7CE6">
        <w:t>.</w:t>
      </w:r>
      <w:r w:rsidR="002A6DD2">
        <w:rPr>
          <w:rStyle w:val="FootnoteReference"/>
        </w:rPr>
        <w:footnoteReference w:id="33"/>
      </w:r>
      <w:r w:rsidR="003508A3">
        <w:t xml:space="preserve"> </w:t>
      </w:r>
      <w:r w:rsidR="009F7CE6">
        <w:t xml:space="preserve"> I</w:t>
      </w:r>
      <w:r w:rsidR="00655516">
        <w:t xml:space="preserve">n fact the “bright line” is already established in our Rules and in cases such as </w:t>
      </w:r>
      <w:r w:rsidR="00655516" w:rsidRPr="00655516">
        <w:rPr>
          <w:i/>
        </w:rPr>
        <w:t>Ettlinger</w:t>
      </w:r>
      <w:r w:rsidR="00655516">
        <w:t xml:space="preserve">.  </w:t>
      </w:r>
      <w:r w:rsidR="009F7CE6">
        <w:t>It</w:t>
      </w:r>
      <w:r w:rsidR="003508A3">
        <w:t xml:space="preserve"> is enough to establish, as we did in the </w:t>
      </w:r>
      <w:r w:rsidR="003508A3" w:rsidRPr="00983B7C">
        <w:rPr>
          <w:i/>
        </w:rPr>
        <w:t>OSC</w:t>
      </w:r>
      <w:r w:rsidR="003508A3">
        <w:t xml:space="preserve">, that the KFWR antenna violates not one, but two of our </w:t>
      </w:r>
      <w:r w:rsidR="00C8609A">
        <w:t>R</w:t>
      </w:r>
      <w:r w:rsidR="003508A3">
        <w:t>ules:  Section 73.211,</w:t>
      </w:r>
      <w:r w:rsidR="00AF0215">
        <w:rPr>
          <w:rStyle w:val="FootnoteReference"/>
        </w:rPr>
        <w:footnoteReference w:id="34"/>
      </w:r>
      <w:r w:rsidR="003508A3">
        <w:t xml:space="preserve"> in that the power radiated in the main lobe is </w:t>
      </w:r>
      <w:r w:rsidR="00C8609A">
        <w:t>almost three times</w:t>
      </w:r>
      <w:r w:rsidR="003508A3">
        <w:t xml:space="preserve"> that authorized; and Section 73.</w:t>
      </w:r>
      <w:r w:rsidR="00C8609A">
        <w:t>316(b)(1),</w:t>
      </w:r>
      <w:r w:rsidR="00AF0215">
        <w:rPr>
          <w:rStyle w:val="FootnoteReference"/>
        </w:rPr>
        <w:footnoteReference w:id="35"/>
      </w:r>
      <w:r w:rsidR="00C8609A">
        <w:t xml:space="preserve"> which establishes a 15 dB </w:t>
      </w:r>
      <w:r w:rsidR="0054711A">
        <w:t xml:space="preserve">limit for the </w:t>
      </w:r>
      <w:r w:rsidR="00EF1451">
        <w:t>maximum-to-minimum</w:t>
      </w:r>
      <w:r w:rsidR="00C8609A">
        <w:t xml:space="preserve"> ratio </w:t>
      </w:r>
      <w:r w:rsidR="0054711A">
        <w:t>of</w:t>
      </w:r>
      <w:r w:rsidR="00C8609A">
        <w:t xml:space="preserve"> a </w:t>
      </w:r>
      <w:r w:rsidR="00C8609A" w:rsidRPr="00C5692D">
        <w:rPr>
          <w:i/>
        </w:rPr>
        <w:t>directional</w:t>
      </w:r>
      <w:r w:rsidR="00C8609A">
        <w:t xml:space="preserve"> antenna, a value KFWR</w:t>
      </w:r>
      <w:r w:rsidR="00C5692D">
        <w:t>’s “nondirectional” installation</w:t>
      </w:r>
      <w:r w:rsidR="00C8609A">
        <w:t xml:space="preserve"> exceeds by over 4 dB.  </w:t>
      </w:r>
      <w:r w:rsidR="00983B7C">
        <w:t>LKCM</w:t>
      </w:r>
      <w:r w:rsidR="00E106B7">
        <w:t>, again,</w:t>
      </w:r>
      <w:r w:rsidR="00983B7C">
        <w:t xml:space="preserve"> does not dispute these</w:t>
      </w:r>
      <w:r w:rsidR="0098370C">
        <w:t xml:space="preserve"> factual</w:t>
      </w:r>
      <w:r w:rsidR="00A145D5">
        <w:t xml:space="preserve"> findings, and while it devotes considerable effort to distinguishing the facts of </w:t>
      </w:r>
      <w:r w:rsidR="00A145D5" w:rsidRPr="00F645BF">
        <w:rPr>
          <w:i/>
        </w:rPr>
        <w:t>Ettlinger</w:t>
      </w:r>
      <w:r w:rsidR="00A145D5">
        <w:t>, it cannot dispute the principal holding of that case, namely that “[i]rrespective of whether a directional or nondirectional pattern has been proposed, the maximum radiation for the particular class of station cannot be exceeded along any azimuth.”</w:t>
      </w:r>
      <w:r w:rsidR="00A145D5">
        <w:rPr>
          <w:rStyle w:val="FootnoteReference"/>
        </w:rPr>
        <w:footnoteReference w:id="36"/>
      </w:r>
      <w:r w:rsidR="00A145D5">
        <w:t xml:space="preserve">  </w:t>
      </w:r>
      <w:r w:rsidR="00983B7C">
        <w:t>Moreover, t</w:t>
      </w:r>
      <w:r w:rsidR="00C8609A">
        <w:t xml:space="preserve">he fact that we have not </w:t>
      </w:r>
      <w:r w:rsidR="00030360">
        <w:t xml:space="preserve">yet </w:t>
      </w:r>
      <w:r w:rsidR="00C8609A">
        <w:t>had occasion</w:t>
      </w:r>
      <w:r w:rsidR="0098370C">
        <w:t xml:space="preserve"> to elaborat</w:t>
      </w:r>
      <w:r w:rsidR="00085AFB">
        <w:t>e on the case law or the Rules in this particular context, or</w:t>
      </w:r>
      <w:r w:rsidR="00C8609A">
        <w:t xml:space="preserve"> to seek modification of a</w:t>
      </w:r>
      <w:r w:rsidR="00116990">
        <w:t>nother station’s</w:t>
      </w:r>
      <w:r w:rsidR="00C8609A">
        <w:t xml:space="preserve"> nominally nondirectional antenna for excessive </w:t>
      </w:r>
      <w:r w:rsidR="00E106B7">
        <w:t>radiation along a maximum lobe</w:t>
      </w:r>
      <w:r w:rsidR="00085AFB">
        <w:t>,</w:t>
      </w:r>
      <w:r w:rsidR="00C8609A">
        <w:t xml:space="preserve"> is of no moment when presented with </w:t>
      </w:r>
      <w:r w:rsidR="00655516">
        <w:t xml:space="preserve">undisputed </w:t>
      </w:r>
      <w:r w:rsidR="00C8609A">
        <w:t>rule violations</w:t>
      </w:r>
      <w:r w:rsidR="00655516">
        <w:t>, especially violations</w:t>
      </w:r>
      <w:r w:rsidR="00C8609A">
        <w:t xml:space="preserve"> of this magnitude. </w:t>
      </w:r>
      <w:r w:rsidR="002A6DD2">
        <w:t xml:space="preserve"> </w:t>
      </w:r>
      <w:r w:rsidR="00085AFB">
        <w:t>While</w:t>
      </w:r>
      <w:r w:rsidR="002A6DD2">
        <w:t xml:space="preserve"> LKCM complains that there may be hundreds or thousands of similar </w:t>
      </w:r>
      <w:r w:rsidR="0082602D">
        <w:t xml:space="preserve">non-rule-compliant </w:t>
      </w:r>
      <w:r w:rsidR="002A6DD2">
        <w:t>installations that have escaped Commission notice,</w:t>
      </w:r>
      <w:r w:rsidR="0082602D">
        <w:rPr>
          <w:rStyle w:val="FootnoteReference"/>
        </w:rPr>
        <w:footnoteReference w:id="37"/>
      </w:r>
      <w:r w:rsidR="002A6DD2">
        <w:t xml:space="preserve"> this does not justify KFWR’s </w:t>
      </w:r>
      <w:r w:rsidR="00983B7C">
        <w:t xml:space="preserve">extra-legal </w:t>
      </w:r>
      <w:r w:rsidR="002A6DD2">
        <w:t>operation</w:t>
      </w:r>
      <w:r w:rsidR="002A6DD2">
        <w:rPr>
          <w:i/>
        </w:rPr>
        <w:t xml:space="preserve">.  </w:t>
      </w:r>
      <w:r w:rsidR="006114A5">
        <w:t xml:space="preserve">Unlike the hypothetical </w:t>
      </w:r>
      <w:r w:rsidR="0082602D">
        <w:t>rule violations</w:t>
      </w:r>
      <w:r w:rsidR="006114A5">
        <w:t xml:space="preserve"> that LKCM assumes </w:t>
      </w:r>
      <w:r w:rsidR="0082602D">
        <w:t xml:space="preserve">must </w:t>
      </w:r>
      <w:r w:rsidR="006114A5">
        <w:t>exist</w:t>
      </w:r>
      <w:r w:rsidR="002A6DD2">
        <w:t>, the rule violations here have been amply documented.</w:t>
      </w:r>
      <w:r w:rsidR="002F1555">
        <w:rPr>
          <w:rStyle w:val="FootnoteReference"/>
        </w:rPr>
        <w:footnoteReference w:id="38"/>
      </w:r>
    </w:p>
    <w:p w:rsidR="00D5754D" w:rsidRDefault="00983B7C" w:rsidP="00F45F9D">
      <w:pPr>
        <w:pStyle w:val="ParaNum"/>
        <w:widowControl/>
      </w:pPr>
      <w:r>
        <w:lastRenderedPageBreak/>
        <w:t>We further</w:t>
      </w:r>
      <w:r w:rsidR="00D5754D">
        <w:t xml:space="preserve"> </w:t>
      </w:r>
      <w:r w:rsidR="008E740A">
        <w:t>reject</w:t>
      </w:r>
      <w:r w:rsidR="00D5754D">
        <w:t xml:space="preserve"> LKCM’s proposed alternatives.  The obvious thrust of these proposals is to maintain the </w:t>
      </w:r>
      <w:r w:rsidR="00D5754D" w:rsidRPr="00983B7C">
        <w:rPr>
          <w:i/>
        </w:rPr>
        <w:t>status quo</w:t>
      </w:r>
      <w:r w:rsidR="00D5754D">
        <w:t xml:space="preserve">, or something </w:t>
      </w:r>
      <w:r w:rsidR="00A308C5">
        <w:t>approaching</w:t>
      </w:r>
      <w:r w:rsidR="00D5754D">
        <w:t xml:space="preserve"> it, while seeking to </w:t>
      </w:r>
      <w:r w:rsidR="00A308C5">
        <w:t>ameliorate</w:t>
      </w:r>
      <w:r w:rsidR="007C014D">
        <w:t xml:space="preserve"> to some extent</w:t>
      </w:r>
      <w:r w:rsidR="00D5754D">
        <w:t xml:space="preserve"> the rule violation</w:t>
      </w:r>
      <w:r>
        <w:t>s</w:t>
      </w:r>
      <w:r w:rsidR="00D5754D">
        <w:t xml:space="preserve"> </w:t>
      </w:r>
      <w:r>
        <w:t>discussed above and</w:t>
      </w:r>
      <w:r w:rsidR="00D5754D">
        <w:t xml:space="preserve"> in the </w:t>
      </w:r>
      <w:r w:rsidR="00D5754D" w:rsidRPr="00983B7C">
        <w:rPr>
          <w:i/>
        </w:rPr>
        <w:t>OSC</w:t>
      </w:r>
      <w:r w:rsidR="00D5754D">
        <w:t>.</w:t>
      </w:r>
      <w:r w:rsidR="00D5754D">
        <w:rPr>
          <w:rStyle w:val="FootnoteReference"/>
        </w:rPr>
        <w:footnoteReference w:id="39"/>
      </w:r>
      <w:r w:rsidR="00D5754D">
        <w:t xml:space="preserve">  </w:t>
      </w:r>
      <w:r w:rsidR="0045417E">
        <w:t xml:space="preserve">LKCM offers a compromise that it believes will </w:t>
      </w:r>
      <w:r w:rsidR="00A308C5">
        <w:t>reduce</w:t>
      </w:r>
      <w:r w:rsidR="0045417E">
        <w:t xml:space="preserve"> some of the effects of KFWR’s operation on KCKL, but with no way of evaluating whether </w:t>
      </w:r>
      <w:r w:rsidR="00032AA8">
        <w:t xml:space="preserve">it has succeeded, and </w:t>
      </w:r>
      <w:r w:rsidR="00426C32">
        <w:t>that stops</w:t>
      </w:r>
      <w:r w:rsidR="00032AA8">
        <w:t xml:space="preserve"> short of bringing KFWR’s operation into </w:t>
      </w:r>
      <w:r w:rsidR="00A308C5">
        <w:t xml:space="preserve">complete </w:t>
      </w:r>
      <w:r w:rsidR="00032AA8">
        <w:t xml:space="preserve">compliance with the Rules.  </w:t>
      </w:r>
      <w:r w:rsidR="00D5754D">
        <w:t xml:space="preserve">Adopting LKCM’s suggested </w:t>
      </w:r>
      <w:r w:rsidR="00032AA8">
        <w:t>approach</w:t>
      </w:r>
      <w:r w:rsidR="00D5754D">
        <w:t xml:space="preserve"> would </w:t>
      </w:r>
      <w:r w:rsidR="00032AA8">
        <w:t xml:space="preserve">likely only </w:t>
      </w:r>
      <w:r w:rsidR="00D5754D">
        <w:t>result in additional delay in correcting the rule violation</w:t>
      </w:r>
      <w:r w:rsidR="00AB1D06">
        <w:t>s</w:t>
      </w:r>
      <w:r w:rsidR="00032AA8">
        <w:t>,</w:t>
      </w:r>
      <w:r w:rsidR="00D5754D">
        <w:t xml:space="preserve"> and</w:t>
      </w:r>
      <w:r w:rsidR="00032AA8">
        <w:t xml:space="preserve"> </w:t>
      </w:r>
      <w:r w:rsidR="00A308C5">
        <w:t xml:space="preserve">would </w:t>
      </w:r>
      <w:r w:rsidR="00032AA8">
        <w:t>ultimately cause LKCM to</w:t>
      </w:r>
      <w:r w:rsidR="00D5754D">
        <w:t xml:space="preserve"> incur substantial cost</w:t>
      </w:r>
      <w:r w:rsidR="00032AA8">
        <w:t>s</w:t>
      </w:r>
      <w:r w:rsidR="00D5754D">
        <w:t xml:space="preserve"> with uncertain results.   The </w:t>
      </w:r>
      <w:r w:rsidR="00032AA8">
        <w:t>most immediate and</w:t>
      </w:r>
      <w:r w:rsidR="00D5754D">
        <w:t xml:space="preserve"> direct way to address </w:t>
      </w:r>
      <w:r w:rsidR="00032AA8">
        <w:t>LKCM’s</w:t>
      </w:r>
      <w:r w:rsidR="00D5754D">
        <w:t xml:space="preserve"> rule violation</w:t>
      </w:r>
      <w:r w:rsidR="00032AA8">
        <w:t xml:space="preserve">s, </w:t>
      </w:r>
      <w:r w:rsidR="00D5754D">
        <w:t xml:space="preserve">and bring KFWR into </w:t>
      </w:r>
      <w:r w:rsidR="00032AA8">
        <w:t>compliance,</w:t>
      </w:r>
      <w:r w:rsidR="00D5754D">
        <w:t xml:space="preserve"> is the method called for in the </w:t>
      </w:r>
      <w:r w:rsidR="00D5754D">
        <w:rPr>
          <w:i/>
        </w:rPr>
        <w:t xml:space="preserve">OSC. </w:t>
      </w:r>
      <w:r w:rsidR="00D5754D">
        <w:t xml:space="preserve"> We therefore will adopt the </w:t>
      </w:r>
      <w:r w:rsidR="0045417E">
        <w:t>involuntar</w:t>
      </w:r>
      <w:r w:rsidR="00D5754D">
        <w:t xml:space="preserve">y license modifications </w:t>
      </w:r>
      <w:r w:rsidR="00837877">
        <w:t>set forth</w:t>
      </w:r>
      <w:r w:rsidR="00D5754D">
        <w:t xml:space="preserve"> in the </w:t>
      </w:r>
      <w:r w:rsidR="00D5754D">
        <w:rPr>
          <w:i/>
        </w:rPr>
        <w:t>OSC</w:t>
      </w:r>
      <w:r w:rsidR="00EB27F6">
        <w:t>, specifically, to reduce KFWR’s TPO so that the maximum ERP is not exceeded along any azimuth</w:t>
      </w:r>
      <w:r w:rsidR="005B3954">
        <w:t>, and to license KFWR as directional</w:t>
      </w:r>
      <w:r w:rsidR="00D5754D">
        <w:t>.</w:t>
      </w:r>
      <w:r w:rsidR="00D5754D">
        <w:rPr>
          <w:rStyle w:val="FootnoteReference"/>
        </w:rPr>
        <w:footnoteReference w:id="40"/>
      </w:r>
    </w:p>
    <w:p w:rsidR="00D5754D" w:rsidRDefault="00D5754D" w:rsidP="00F45F9D">
      <w:pPr>
        <w:pStyle w:val="Heading1"/>
        <w:widowControl/>
      </w:pPr>
      <w:r>
        <w:t>CONCLUSION / ORDERING CLAUSES</w:t>
      </w:r>
    </w:p>
    <w:p w:rsidR="00744538" w:rsidRPr="00744538" w:rsidRDefault="00D5754D" w:rsidP="00BF0C76">
      <w:pPr>
        <w:pStyle w:val="ParaNum"/>
        <w:widowControl/>
      </w:pPr>
      <w:r>
        <w:rPr>
          <w:szCs w:val="22"/>
        </w:rPr>
        <w:t xml:space="preserve">LKCM has not established any grounds </w:t>
      </w:r>
      <w:r w:rsidR="00032AA8">
        <w:rPr>
          <w:szCs w:val="22"/>
        </w:rPr>
        <w:t>justifying deviation</w:t>
      </w:r>
      <w:r>
        <w:rPr>
          <w:szCs w:val="22"/>
        </w:rPr>
        <w:t xml:space="preserve"> from the involuntary </w:t>
      </w:r>
      <w:r w:rsidR="008E740A">
        <w:rPr>
          <w:szCs w:val="22"/>
        </w:rPr>
        <w:t xml:space="preserve">KFWR </w:t>
      </w:r>
      <w:r>
        <w:rPr>
          <w:szCs w:val="22"/>
        </w:rPr>
        <w:t xml:space="preserve">license modifications proposed in the </w:t>
      </w:r>
      <w:r>
        <w:rPr>
          <w:i/>
          <w:szCs w:val="22"/>
        </w:rPr>
        <w:t xml:space="preserve">OSC.  </w:t>
      </w:r>
      <w:r>
        <w:rPr>
          <w:szCs w:val="22"/>
        </w:rPr>
        <w:t>The involuntary license modifications adopted herein p</w:t>
      </w:r>
      <w:r w:rsidR="00032AA8">
        <w:rPr>
          <w:szCs w:val="22"/>
        </w:rPr>
        <w:t xml:space="preserve">rovide immediate relief to Lake’s </w:t>
      </w:r>
      <w:r>
        <w:rPr>
          <w:szCs w:val="22"/>
        </w:rPr>
        <w:t xml:space="preserve">station KCKL, bring KFWR into compliance with the Commission’s </w:t>
      </w:r>
      <w:r w:rsidR="00032AA8">
        <w:rPr>
          <w:szCs w:val="22"/>
        </w:rPr>
        <w:t>R</w:t>
      </w:r>
      <w:r>
        <w:rPr>
          <w:szCs w:val="22"/>
        </w:rPr>
        <w:t xml:space="preserve">ules, and </w:t>
      </w:r>
      <w:r w:rsidR="00032AA8">
        <w:rPr>
          <w:szCs w:val="22"/>
        </w:rPr>
        <w:t>accomplish these goals without requiring LKCM to go to the expense of modifying or replacing its antenna</w:t>
      </w:r>
      <w:r w:rsidR="00A308C5">
        <w:rPr>
          <w:szCs w:val="22"/>
        </w:rPr>
        <w:t xml:space="preserve"> or supporting tower</w:t>
      </w:r>
      <w:r>
        <w:rPr>
          <w:szCs w:val="22"/>
        </w:rPr>
        <w:t xml:space="preserve">.  </w:t>
      </w:r>
    </w:p>
    <w:p w:rsidR="00BF0C76" w:rsidRDefault="00DF41CA" w:rsidP="00F641E9">
      <w:pPr>
        <w:pStyle w:val="ParaNum"/>
        <w:widowControl/>
        <w:spacing w:after="0"/>
      </w:pPr>
      <w:r>
        <w:rPr>
          <w:szCs w:val="22"/>
        </w:rPr>
        <w:t xml:space="preserve">Therefore, </w:t>
      </w:r>
      <w:r w:rsidR="00E15C01">
        <w:rPr>
          <w:szCs w:val="22"/>
        </w:rPr>
        <w:t>IT IS ORDERED that the license of station KFWR(FM),</w:t>
      </w:r>
      <w:r w:rsidR="00D5754D">
        <w:rPr>
          <w:szCs w:val="22"/>
        </w:rPr>
        <w:t xml:space="preserve"> </w:t>
      </w:r>
      <w:r w:rsidR="00E15C01">
        <w:rPr>
          <w:szCs w:val="22"/>
        </w:rPr>
        <w:t>File No.</w:t>
      </w:r>
      <w:r w:rsidR="00D5754D">
        <w:rPr>
          <w:szCs w:val="22"/>
        </w:rPr>
        <w:t xml:space="preserve"> BLH-20130110AFG, </w:t>
      </w:r>
      <w:r w:rsidR="00E15C01">
        <w:rPr>
          <w:szCs w:val="22"/>
        </w:rPr>
        <w:t xml:space="preserve">IS MODIFIED AS SET FORTH IN ATTACHMENT A, </w:t>
      </w:r>
      <w:r w:rsidR="00D5754D">
        <w:rPr>
          <w:szCs w:val="22"/>
        </w:rPr>
        <w:t>ef</w:t>
      </w:r>
      <w:r w:rsidR="00E15C01">
        <w:rPr>
          <w:szCs w:val="22"/>
        </w:rPr>
        <w:t xml:space="preserve">fective as of the </w:t>
      </w:r>
      <w:r w:rsidR="005B0B58">
        <w:rPr>
          <w:szCs w:val="22"/>
        </w:rPr>
        <w:t xml:space="preserve">release </w:t>
      </w:r>
      <w:r w:rsidR="00E15C01">
        <w:rPr>
          <w:szCs w:val="22"/>
        </w:rPr>
        <w:t>date of this O</w:t>
      </w:r>
      <w:r w:rsidR="00D5754D">
        <w:rPr>
          <w:szCs w:val="22"/>
        </w:rPr>
        <w:t xml:space="preserve">rder.  </w:t>
      </w:r>
      <w:r w:rsidR="00171E23">
        <w:rPr>
          <w:szCs w:val="22"/>
        </w:rPr>
        <w:t>IT IS FURTHER ORDERED that LKCM</w:t>
      </w:r>
      <w:r w:rsidR="00D5754D">
        <w:rPr>
          <w:szCs w:val="22"/>
        </w:rPr>
        <w:t xml:space="preserve"> immediately reduce KFWR’s </w:t>
      </w:r>
      <w:r w:rsidR="00032AA8">
        <w:rPr>
          <w:szCs w:val="22"/>
        </w:rPr>
        <w:t>TPO</w:t>
      </w:r>
      <w:r w:rsidR="00D5754D">
        <w:rPr>
          <w:szCs w:val="22"/>
        </w:rPr>
        <w:t xml:space="preserve"> to 9.1 kW.</w:t>
      </w:r>
      <w:r w:rsidR="00D5754D">
        <w:rPr>
          <w:rStyle w:val="FootnoteReference"/>
          <w:szCs w:val="22"/>
        </w:rPr>
        <w:footnoteReference w:id="41"/>
      </w:r>
      <w:r w:rsidR="00D5754D">
        <w:rPr>
          <w:szCs w:val="22"/>
        </w:rPr>
        <w:t xml:space="preserve">  </w:t>
      </w:r>
      <w:r w:rsidR="00171E23">
        <w:rPr>
          <w:szCs w:val="22"/>
        </w:rPr>
        <w:t>IT IS FURTHER ORDERED that the</w:t>
      </w:r>
      <w:r w:rsidR="00D5754D">
        <w:rPr>
          <w:szCs w:val="22"/>
        </w:rPr>
        <w:t xml:space="preserve"> KFWR license </w:t>
      </w:r>
      <w:r w:rsidR="00171E23">
        <w:rPr>
          <w:szCs w:val="22"/>
        </w:rPr>
        <w:t xml:space="preserve">SHALL BE REISSUED </w:t>
      </w:r>
      <w:r w:rsidR="00D5754D">
        <w:rPr>
          <w:szCs w:val="22"/>
        </w:rPr>
        <w:t xml:space="preserve">to reflect the modified TPO, </w:t>
      </w:r>
      <w:r w:rsidR="00171E23">
        <w:rPr>
          <w:szCs w:val="22"/>
        </w:rPr>
        <w:t>to</w:t>
      </w:r>
      <w:r w:rsidR="00D5754D">
        <w:rPr>
          <w:szCs w:val="22"/>
        </w:rPr>
        <w:t xml:space="preserve"> change the </w:t>
      </w:r>
      <w:r w:rsidR="00032AA8">
        <w:rPr>
          <w:szCs w:val="22"/>
        </w:rPr>
        <w:t>designation of KFWR’s</w:t>
      </w:r>
      <w:r w:rsidR="00D5754D">
        <w:rPr>
          <w:szCs w:val="22"/>
        </w:rPr>
        <w:t xml:space="preserve"> antenna system to </w:t>
      </w:r>
      <w:r w:rsidR="00032AA8">
        <w:rPr>
          <w:szCs w:val="22"/>
        </w:rPr>
        <w:t>“</w:t>
      </w:r>
      <w:r w:rsidR="00171E23">
        <w:rPr>
          <w:szCs w:val="22"/>
        </w:rPr>
        <w:t>directional,</w:t>
      </w:r>
      <w:r w:rsidR="00032AA8">
        <w:rPr>
          <w:szCs w:val="22"/>
        </w:rPr>
        <w:t>”</w:t>
      </w:r>
      <w:r w:rsidR="00171E23">
        <w:rPr>
          <w:szCs w:val="22"/>
        </w:rPr>
        <w:t xml:space="preserve"> and to specify </w:t>
      </w:r>
      <w:r w:rsidR="00276134">
        <w:rPr>
          <w:szCs w:val="22"/>
        </w:rPr>
        <w:t>the composite antenna pattern relative field values as set forth in Attachment A.  IT IS FURTHER ORDERED that t</w:t>
      </w:r>
      <w:r w:rsidR="00D5754D">
        <w:rPr>
          <w:szCs w:val="22"/>
        </w:rPr>
        <w:t xml:space="preserve">he </w:t>
      </w:r>
      <w:r w:rsidR="00032AA8">
        <w:rPr>
          <w:szCs w:val="22"/>
        </w:rPr>
        <w:t>Media Bureau’s Consolidated Data Base System</w:t>
      </w:r>
      <w:r w:rsidR="00D5754D">
        <w:rPr>
          <w:szCs w:val="22"/>
        </w:rPr>
        <w:t xml:space="preserve"> shall be modified </w:t>
      </w:r>
      <w:r w:rsidR="00276134">
        <w:rPr>
          <w:szCs w:val="22"/>
        </w:rPr>
        <w:t>in accordance with this Order</w:t>
      </w:r>
      <w:r w:rsidR="00D5754D">
        <w:rPr>
          <w:szCs w:val="22"/>
        </w:rPr>
        <w:t>.</w:t>
      </w:r>
    </w:p>
    <w:p w:rsidR="00BF0C76" w:rsidRPr="00D5754D" w:rsidRDefault="00BF0C76" w:rsidP="00F641E9">
      <w:pPr>
        <w:pStyle w:val="ParaNum"/>
        <w:widowControl/>
        <w:numPr>
          <w:ilvl w:val="0"/>
          <w:numId w:val="0"/>
        </w:numPr>
        <w:spacing w:after="0"/>
        <w:ind w:left="720"/>
      </w:pPr>
    </w:p>
    <w:p w:rsidR="00D5754D" w:rsidRPr="00942D62" w:rsidRDefault="00D5754D" w:rsidP="00F45F9D">
      <w:pPr>
        <w:pStyle w:val="ParaNum"/>
        <w:widowControl/>
        <w:numPr>
          <w:ilvl w:val="0"/>
          <w:numId w:val="0"/>
        </w:numPr>
        <w:spacing w:after="0"/>
        <w:ind w:left="4320"/>
      </w:pPr>
      <w:r w:rsidRPr="00942D62">
        <w:t>FEDERAL COMMUNICATIONS COMMISSION</w:t>
      </w:r>
    </w:p>
    <w:p w:rsidR="00D5754D" w:rsidRPr="00942D62" w:rsidRDefault="00D5754D" w:rsidP="00F45F9D">
      <w:pPr>
        <w:pStyle w:val="ParaNum"/>
        <w:widowControl/>
        <w:numPr>
          <w:ilvl w:val="0"/>
          <w:numId w:val="0"/>
        </w:numPr>
        <w:spacing w:after="0"/>
        <w:ind w:left="4320"/>
      </w:pPr>
    </w:p>
    <w:p w:rsidR="00D5754D" w:rsidRDefault="00D5754D" w:rsidP="00F45F9D">
      <w:pPr>
        <w:pStyle w:val="ParaNum"/>
        <w:widowControl/>
        <w:numPr>
          <w:ilvl w:val="0"/>
          <w:numId w:val="0"/>
        </w:numPr>
        <w:spacing w:after="0"/>
        <w:ind w:left="4320"/>
      </w:pPr>
    </w:p>
    <w:p w:rsidR="00D5754D" w:rsidRDefault="00D5754D" w:rsidP="00F45F9D">
      <w:pPr>
        <w:pStyle w:val="ParaNum"/>
        <w:widowControl/>
        <w:numPr>
          <w:ilvl w:val="0"/>
          <w:numId w:val="0"/>
        </w:numPr>
        <w:spacing w:after="0"/>
        <w:ind w:left="4320"/>
      </w:pPr>
    </w:p>
    <w:p w:rsidR="007D5873" w:rsidRPr="00942D62" w:rsidRDefault="007D5873" w:rsidP="00F45F9D">
      <w:pPr>
        <w:pStyle w:val="ParaNum"/>
        <w:widowControl/>
        <w:numPr>
          <w:ilvl w:val="0"/>
          <w:numId w:val="0"/>
        </w:numPr>
        <w:spacing w:after="0"/>
        <w:ind w:left="4320"/>
      </w:pPr>
    </w:p>
    <w:p w:rsidR="00D5754D" w:rsidRPr="00942D62" w:rsidRDefault="00D5754D" w:rsidP="00F45F9D">
      <w:pPr>
        <w:pStyle w:val="ParaNum"/>
        <w:widowControl/>
        <w:numPr>
          <w:ilvl w:val="0"/>
          <w:numId w:val="0"/>
        </w:numPr>
        <w:spacing w:after="0"/>
        <w:ind w:left="4320"/>
      </w:pPr>
      <w:r w:rsidRPr="00942D62">
        <w:t>Peter H. Doyle</w:t>
      </w:r>
    </w:p>
    <w:p w:rsidR="00D5754D" w:rsidRPr="00942D62" w:rsidRDefault="00D5754D" w:rsidP="00F45F9D">
      <w:pPr>
        <w:pStyle w:val="ParaNum"/>
        <w:widowControl/>
        <w:numPr>
          <w:ilvl w:val="0"/>
          <w:numId w:val="0"/>
        </w:numPr>
        <w:spacing w:after="0"/>
        <w:ind w:left="4320"/>
      </w:pPr>
      <w:r>
        <w:t xml:space="preserve">Chief, </w:t>
      </w:r>
      <w:r w:rsidRPr="00942D62">
        <w:t>Audio Division</w:t>
      </w:r>
    </w:p>
    <w:p w:rsidR="00E55EFB" w:rsidRDefault="00D5754D" w:rsidP="00D24861">
      <w:pPr>
        <w:pStyle w:val="ParaNum"/>
        <w:widowControl/>
        <w:numPr>
          <w:ilvl w:val="0"/>
          <w:numId w:val="0"/>
        </w:numPr>
        <w:spacing w:after="0"/>
        <w:ind w:left="4320"/>
      </w:pPr>
      <w:r w:rsidRPr="00942D62">
        <w:t>Media Bureau</w:t>
      </w:r>
    </w:p>
    <w:p w:rsidR="00762F37" w:rsidRDefault="00762F37" w:rsidP="00762F37">
      <w:pPr>
        <w:pStyle w:val="ParaNum"/>
        <w:numPr>
          <w:ilvl w:val="0"/>
          <w:numId w:val="0"/>
        </w:numPr>
        <w:spacing w:after="0"/>
        <w:jc w:val="center"/>
        <w:rPr>
          <w:b/>
        </w:rPr>
      </w:pPr>
      <w:r w:rsidRPr="00762F37">
        <w:rPr>
          <w:b/>
        </w:rPr>
        <w:t>ATTACHMENT A</w:t>
      </w:r>
    </w:p>
    <w:p w:rsidR="00762F37" w:rsidRDefault="00762F37" w:rsidP="00762F37">
      <w:pPr>
        <w:pStyle w:val="ParaNum"/>
        <w:numPr>
          <w:ilvl w:val="0"/>
          <w:numId w:val="0"/>
        </w:numPr>
        <w:spacing w:after="0"/>
        <w:rPr>
          <w:b/>
        </w:rPr>
      </w:pPr>
    </w:p>
    <w:p w:rsidR="00762F37" w:rsidRPr="00734F80" w:rsidRDefault="00762F37" w:rsidP="00762F37">
      <w:pPr>
        <w:pStyle w:val="BodyText2"/>
        <w:ind w:left="-90"/>
        <w:jc w:val="center"/>
        <w:rPr>
          <w:b/>
          <w:sz w:val="22"/>
          <w:szCs w:val="22"/>
        </w:rPr>
      </w:pPr>
      <w:r w:rsidRPr="00734F80">
        <w:rPr>
          <w:b/>
          <w:sz w:val="22"/>
          <w:szCs w:val="22"/>
        </w:rPr>
        <w:lastRenderedPageBreak/>
        <w:t xml:space="preserve">Modified Station Parameters </w:t>
      </w:r>
      <w:r>
        <w:rPr>
          <w:b/>
          <w:sz w:val="22"/>
          <w:szCs w:val="22"/>
        </w:rPr>
        <w:t>for</w:t>
      </w:r>
      <w:r w:rsidRPr="00734F80">
        <w:rPr>
          <w:b/>
          <w:sz w:val="22"/>
          <w:szCs w:val="22"/>
        </w:rPr>
        <w:t xml:space="preserve"> License BLH-20130110AFG</w:t>
      </w:r>
    </w:p>
    <w:p w:rsidR="00762F37" w:rsidRDefault="00762F37" w:rsidP="00762F37">
      <w:pPr>
        <w:pStyle w:val="BodyText2"/>
        <w:ind w:left="3600"/>
        <w:rPr>
          <w:sz w:val="22"/>
          <w:szCs w:val="22"/>
        </w:rPr>
      </w:pPr>
    </w:p>
    <w:p w:rsidR="00762F37" w:rsidRDefault="00762F37" w:rsidP="00762F37">
      <w:pPr>
        <w:pStyle w:val="BodyText2"/>
        <w:ind w:left="-180"/>
        <w:rPr>
          <w:sz w:val="22"/>
          <w:szCs w:val="22"/>
        </w:rPr>
      </w:pPr>
      <w:r>
        <w:rPr>
          <w:sz w:val="22"/>
          <w:szCs w:val="22"/>
        </w:rPr>
        <w:t>Composite antenna pattern relative field values (entered into the Commission’s CDBS database), where a relative field value of 1.0 is equal to 100 kW ERP:</w:t>
      </w:r>
    </w:p>
    <w:p w:rsidR="00762F37" w:rsidRDefault="00762F37" w:rsidP="00762F37">
      <w:pPr>
        <w:pStyle w:val="BodyText2"/>
        <w:ind w:left="-180"/>
        <w:rPr>
          <w:sz w:val="22"/>
          <w:szCs w:val="22"/>
        </w:rPr>
      </w:pPr>
    </w:p>
    <w:p w:rsidR="00762F37" w:rsidRDefault="00762F37" w:rsidP="00762F37">
      <w:pPr>
        <w:pStyle w:val="BodyText2"/>
        <w:ind w:left="-180"/>
        <w:rPr>
          <w:sz w:val="22"/>
          <w:szCs w:val="22"/>
        </w:rPr>
      </w:pPr>
      <w:r>
        <w:rPr>
          <w:sz w:val="22"/>
          <w:szCs w:val="22"/>
        </w:rPr>
        <w:t xml:space="preserve">0°  </w:t>
      </w:r>
      <w:r>
        <w:rPr>
          <w:sz w:val="22"/>
          <w:szCs w:val="22"/>
        </w:rPr>
        <w:tab/>
        <w:t>0.531</w:t>
      </w:r>
      <w:r>
        <w:rPr>
          <w:sz w:val="22"/>
          <w:szCs w:val="22"/>
        </w:rPr>
        <w:tab/>
      </w:r>
      <w:r>
        <w:rPr>
          <w:sz w:val="22"/>
          <w:szCs w:val="22"/>
        </w:rPr>
        <w:tab/>
      </w:r>
    </w:p>
    <w:p w:rsidR="00762F37" w:rsidRDefault="00762F37" w:rsidP="00762F37">
      <w:pPr>
        <w:pStyle w:val="BodyText2"/>
        <w:ind w:left="-180"/>
        <w:rPr>
          <w:sz w:val="22"/>
          <w:szCs w:val="22"/>
        </w:rPr>
      </w:pPr>
      <w:r>
        <w:rPr>
          <w:noProof/>
          <w:snapToGrid/>
          <w:sz w:val="22"/>
          <w:szCs w:val="22"/>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143510</wp:posOffset>
                </wp:positionV>
                <wp:extent cx="3305175" cy="3552825"/>
                <wp:effectExtent l="9525" t="1016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552825"/>
                        </a:xfrm>
                        <a:prstGeom prst="rect">
                          <a:avLst/>
                        </a:prstGeom>
                        <a:solidFill>
                          <a:srgbClr val="FFFFFF"/>
                        </a:solidFill>
                        <a:ln w="9525" cap="rnd">
                          <a:solidFill>
                            <a:srgbClr val="FFFFFF"/>
                          </a:solidFill>
                          <a:prstDash val="sysDot"/>
                          <a:miter lim="800000"/>
                          <a:headEnd/>
                          <a:tailEnd/>
                        </a:ln>
                      </wps:spPr>
                      <wps:txbx>
                        <w:txbxContent>
                          <w:p w:rsidR="00762F37" w:rsidRDefault="00762F37" w:rsidP="00762F37">
                            <w:pPr>
                              <w:pStyle w:val="BodyText2"/>
                              <w:ind w:left="-180"/>
                              <w:rPr>
                                <w:sz w:val="22"/>
                                <w:szCs w:val="22"/>
                              </w:rPr>
                            </w:pPr>
                            <w:r>
                              <w:rPr>
                                <w:sz w:val="22"/>
                                <w:szCs w:val="22"/>
                              </w:rPr>
                              <w:t xml:space="preserve">    Transmitter output power:    9.1 kW </w:t>
                            </w:r>
                          </w:p>
                          <w:p w:rsidR="00762F37" w:rsidRDefault="00762F37" w:rsidP="00762F37">
                            <w:pPr>
                              <w:pStyle w:val="BodyText2"/>
                              <w:ind w:left="-180"/>
                              <w:rPr>
                                <w:sz w:val="22"/>
                                <w:szCs w:val="22"/>
                              </w:rPr>
                            </w:pPr>
                          </w:p>
                          <w:p w:rsidR="00762F37" w:rsidRDefault="00762F37" w:rsidP="00762F37">
                            <w:pPr>
                              <w:pStyle w:val="BodyText2"/>
                              <w:ind w:left="-180"/>
                              <w:rPr>
                                <w:sz w:val="22"/>
                                <w:szCs w:val="22"/>
                              </w:rPr>
                            </w:pPr>
                            <w:r>
                              <w:rPr>
                                <w:sz w:val="22"/>
                                <w:szCs w:val="22"/>
                              </w:rPr>
                              <w:t xml:space="preserve">    Antenna Type:   Directional</w:t>
                            </w:r>
                          </w:p>
                          <w:p w:rsidR="00762F37" w:rsidRDefault="00762F37" w:rsidP="00762F37">
                            <w:pPr>
                              <w:pStyle w:val="BodyText2"/>
                              <w:ind w:left="-180"/>
                              <w:rPr>
                                <w:sz w:val="22"/>
                                <w:szCs w:val="22"/>
                              </w:rPr>
                            </w:pPr>
                          </w:p>
                          <w:p w:rsidR="00762F37" w:rsidRDefault="00762F37" w:rsidP="00762F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9pt;margin-top:11.3pt;width:260.25pt;height:2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" strokecolor="white">
                <v:stroke dashstyle="1 1" endcap="round"/>
                <v:textbox>
                  <w:txbxContent>
                    <w:p w:rsidR="00762F37" w:rsidRDefault="00762F37" w:rsidP="00762F37">
                      <w:pPr>
                        <w:pStyle w:val="BodyText2"/>
                        <w:ind w:left="-180"/>
                        <w:rPr>
                          <w:sz w:val="22"/>
                          <w:szCs w:val="22"/>
                        </w:rPr>
                      </w:pPr>
                      <w:r>
                        <w:rPr>
                          <w:sz w:val="22"/>
                          <w:szCs w:val="22"/>
                        </w:rPr>
                        <w:t xml:space="preserve">    Transmitter output power:    9.1 kW </w:t>
                      </w:r>
                    </w:p>
                    <w:p w:rsidR="00762F37" w:rsidRDefault="00762F37" w:rsidP="00762F37">
                      <w:pPr>
                        <w:pStyle w:val="BodyText2"/>
                        <w:ind w:left="-180"/>
                        <w:rPr>
                          <w:sz w:val="22"/>
                          <w:szCs w:val="22"/>
                        </w:rPr>
                      </w:pPr>
                    </w:p>
                    <w:p w:rsidR="00762F37" w:rsidRDefault="00762F37" w:rsidP="00762F37">
                      <w:pPr>
                        <w:pStyle w:val="BodyText2"/>
                        <w:ind w:left="-180"/>
                        <w:rPr>
                          <w:sz w:val="22"/>
                          <w:szCs w:val="22"/>
                        </w:rPr>
                      </w:pPr>
                      <w:r>
                        <w:rPr>
                          <w:sz w:val="22"/>
                          <w:szCs w:val="22"/>
                        </w:rPr>
                        <w:t xml:space="preserve">    Antenna Type:   Directional</w:t>
                      </w:r>
                    </w:p>
                    <w:p w:rsidR="00762F37" w:rsidRDefault="00762F37" w:rsidP="00762F37">
                      <w:pPr>
                        <w:pStyle w:val="BodyText2"/>
                        <w:ind w:left="-180"/>
                        <w:rPr>
                          <w:sz w:val="22"/>
                          <w:szCs w:val="22"/>
                        </w:rPr>
                      </w:pPr>
                    </w:p>
                    <w:p w:rsidR="00762F37" w:rsidRDefault="00762F37" w:rsidP="00762F37"/>
                  </w:txbxContent>
                </v:textbox>
              </v:shape>
            </w:pict>
          </mc:Fallback>
        </mc:AlternateContent>
      </w:r>
      <w:r>
        <w:rPr>
          <w:sz w:val="22"/>
          <w:szCs w:val="22"/>
        </w:rPr>
        <w:t>10°</w:t>
      </w:r>
      <w:r>
        <w:rPr>
          <w:sz w:val="22"/>
          <w:szCs w:val="22"/>
        </w:rPr>
        <w:tab/>
        <w:t>0.506</w:t>
      </w:r>
    </w:p>
    <w:p w:rsidR="00762F37" w:rsidRDefault="00762F37" w:rsidP="00762F37">
      <w:pPr>
        <w:pStyle w:val="BodyText2"/>
        <w:ind w:left="-180"/>
        <w:rPr>
          <w:sz w:val="22"/>
          <w:szCs w:val="22"/>
        </w:rPr>
      </w:pPr>
      <w:r>
        <w:rPr>
          <w:sz w:val="22"/>
          <w:szCs w:val="22"/>
        </w:rPr>
        <w:t>20°</w:t>
      </w:r>
      <w:r>
        <w:rPr>
          <w:sz w:val="22"/>
          <w:szCs w:val="22"/>
        </w:rPr>
        <w:tab/>
        <w:t>0.470</w:t>
      </w:r>
      <w:r>
        <w:rPr>
          <w:sz w:val="22"/>
          <w:szCs w:val="22"/>
        </w:rPr>
        <w:tab/>
      </w:r>
    </w:p>
    <w:p w:rsidR="00762F37" w:rsidRDefault="00762F37" w:rsidP="00762F37">
      <w:pPr>
        <w:pStyle w:val="BodyText2"/>
        <w:ind w:left="-180"/>
        <w:rPr>
          <w:sz w:val="22"/>
          <w:szCs w:val="22"/>
        </w:rPr>
      </w:pPr>
      <w:r>
        <w:rPr>
          <w:sz w:val="22"/>
          <w:szCs w:val="22"/>
        </w:rPr>
        <w:t>30°</w:t>
      </w:r>
      <w:r>
        <w:rPr>
          <w:sz w:val="22"/>
          <w:szCs w:val="22"/>
        </w:rPr>
        <w:tab/>
        <w:t>0.459</w:t>
      </w:r>
    </w:p>
    <w:p w:rsidR="00762F37" w:rsidRDefault="00762F37" w:rsidP="00762F37">
      <w:pPr>
        <w:pStyle w:val="BodyText2"/>
        <w:ind w:left="-180"/>
        <w:rPr>
          <w:sz w:val="22"/>
          <w:szCs w:val="22"/>
        </w:rPr>
      </w:pPr>
      <w:r>
        <w:rPr>
          <w:sz w:val="22"/>
          <w:szCs w:val="22"/>
        </w:rPr>
        <w:t>40°</w:t>
      </w:r>
      <w:r>
        <w:rPr>
          <w:sz w:val="22"/>
          <w:szCs w:val="22"/>
        </w:rPr>
        <w:tab/>
        <w:t>0.483</w:t>
      </w:r>
    </w:p>
    <w:p w:rsidR="00762F37" w:rsidRDefault="00762F37" w:rsidP="00762F37">
      <w:pPr>
        <w:pStyle w:val="BodyText2"/>
        <w:ind w:left="-180"/>
        <w:rPr>
          <w:sz w:val="22"/>
          <w:szCs w:val="22"/>
        </w:rPr>
      </w:pPr>
      <w:r>
        <w:rPr>
          <w:sz w:val="22"/>
          <w:szCs w:val="22"/>
        </w:rPr>
        <w:t>50°</w:t>
      </w:r>
      <w:r>
        <w:rPr>
          <w:sz w:val="22"/>
          <w:szCs w:val="22"/>
        </w:rPr>
        <w:tab/>
        <w:t>0.567</w:t>
      </w:r>
    </w:p>
    <w:p w:rsidR="00762F37" w:rsidRDefault="00762F37" w:rsidP="00762F37">
      <w:pPr>
        <w:pStyle w:val="BodyText2"/>
        <w:ind w:left="-180"/>
        <w:rPr>
          <w:sz w:val="22"/>
          <w:szCs w:val="22"/>
        </w:rPr>
      </w:pPr>
      <w:r>
        <w:rPr>
          <w:sz w:val="22"/>
          <w:szCs w:val="22"/>
        </w:rPr>
        <w:t>60°</w:t>
      </w:r>
      <w:r>
        <w:rPr>
          <w:sz w:val="22"/>
          <w:szCs w:val="22"/>
        </w:rPr>
        <w:tab/>
        <w:t>0.664</w:t>
      </w:r>
    </w:p>
    <w:p w:rsidR="00762F37" w:rsidRDefault="00762F37" w:rsidP="00762F37">
      <w:pPr>
        <w:pStyle w:val="BodyText2"/>
        <w:ind w:left="-180"/>
        <w:rPr>
          <w:sz w:val="22"/>
          <w:szCs w:val="22"/>
        </w:rPr>
      </w:pPr>
      <w:r>
        <w:rPr>
          <w:sz w:val="22"/>
          <w:szCs w:val="22"/>
        </w:rPr>
        <w:t>70°</w:t>
      </w:r>
      <w:r>
        <w:rPr>
          <w:sz w:val="22"/>
          <w:szCs w:val="22"/>
        </w:rPr>
        <w:tab/>
        <w:t>0.779</w:t>
      </w:r>
    </w:p>
    <w:p w:rsidR="00762F37" w:rsidRDefault="00762F37" w:rsidP="00762F37">
      <w:pPr>
        <w:pStyle w:val="BodyText2"/>
        <w:ind w:left="-180"/>
        <w:rPr>
          <w:sz w:val="22"/>
          <w:szCs w:val="22"/>
        </w:rPr>
      </w:pPr>
      <w:r>
        <w:rPr>
          <w:sz w:val="22"/>
          <w:szCs w:val="22"/>
        </w:rPr>
        <w:t>80°</w:t>
      </w:r>
      <w:r>
        <w:rPr>
          <w:sz w:val="22"/>
          <w:szCs w:val="22"/>
        </w:rPr>
        <w:tab/>
        <w:t>0.875</w:t>
      </w:r>
    </w:p>
    <w:p w:rsidR="00762F37" w:rsidRDefault="00762F37" w:rsidP="00762F37">
      <w:pPr>
        <w:pStyle w:val="BodyText2"/>
        <w:ind w:left="-180"/>
        <w:rPr>
          <w:sz w:val="22"/>
          <w:szCs w:val="22"/>
        </w:rPr>
      </w:pPr>
      <w:r>
        <w:rPr>
          <w:sz w:val="22"/>
          <w:szCs w:val="22"/>
        </w:rPr>
        <w:t>90°</w:t>
      </w:r>
      <w:r>
        <w:rPr>
          <w:sz w:val="22"/>
          <w:szCs w:val="22"/>
        </w:rPr>
        <w:tab/>
        <w:t>0.954</w:t>
      </w:r>
    </w:p>
    <w:p w:rsidR="00762F37" w:rsidRDefault="00762F37" w:rsidP="00762F37">
      <w:pPr>
        <w:pStyle w:val="BodyText2"/>
        <w:ind w:left="-180"/>
        <w:rPr>
          <w:sz w:val="22"/>
          <w:szCs w:val="22"/>
        </w:rPr>
      </w:pPr>
      <w:r>
        <w:rPr>
          <w:sz w:val="22"/>
          <w:szCs w:val="22"/>
        </w:rPr>
        <w:t>100°</w:t>
      </w:r>
      <w:r>
        <w:rPr>
          <w:sz w:val="22"/>
          <w:szCs w:val="22"/>
        </w:rPr>
        <w:tab/>
        <w:t>0.996</w:t>
      </w:r>
    </w:p>
    <w:p w:rsidR="00762F37" w:rsidRDefault="00762F37" w:rsidP="00762F37">
      <w:pPr>
        <w:pStyle w:val="BodyText2"/>
        <w:ind w:left="-180"/>
        <w:rPr>
          <w:sz w:val="22"/>
          <w:szCs w:val="22"/>
        </w:rPr>
      </w:pPr>
      <w:r>
        <w:rPr>
          <w:sz w:val="22"/>
          <w:szCs w:val="22"/>
        </w:rPr>
        <w:t>105°</w:t>
      </w:r>
      <w:r>
        <w:rPr>
          <w:sz w:val="22"/>
          <w:szCs w:val="22"/>
        </w:rPr>
        <w:tab/>
        <w:t>1.000</w:t>
      </w:r>
      <w:r>
        <w:rPr>
          <w:sz w:val="22"/>
          <w:szCs w:val="22"/>
        </w:rPr>
        <w:tab/>
      </w:r>
    </w:p>
    <w:p w:rsidR="00762F37" w:rsidRDefault="00762F37" w:rsidP="00762F37">
      <w:pPr>
        <w:pStyle w:val="BodyText2"/>
        <w:ind w:left="-180"/>
        <w:rPr>
          <w:sz w:val="22"/>
          <w:szCs w:val="22"/>
        </w:rPr>
      </w:pPr>
      <w:r>
        <w:rPr>
          <w:sz w:val="22"/>
          <w:szCs w:val="22"/>
        </w:rPr>
        <w:t>110°</w:t>
      </w:r>
      <w:r>
        <w:rPr>
          <w:sz w:val="22"/>
          <w:szCs w:val="22"/>
        </w:rPr>
        <w:tab/>
        <w:t>0.996</w:t>
      </w:r>
    </w:p>
    <w:p w:rsidR="00762F37" w:rsidRDefault="00762F37" w:rsidP="00762F37">
      <w:pPr>
        <w:pStyle w:val="BodyText2"/>
        <w:ind w:left="-180"/>
        <w:rPr>
          <w:sz w:val="22"/>
          <w:szCs w:val="22"/>
        </w:rPr>
      </w:pPr>
      <w:r>
        <w:rPr>
          <w:sz w:val="22"/>
          <w:szCs w:val="22"/>
        </w:rPr>
        <w:t>120°</w:t>
      </w:r>
      <w:r>
        <w:rPr>
          <w:sz w:val="22"/>
          <w:szCs w:val="22"/>
        </w:rPr>
        <w:tab/>
        <w:t>0.937</w:t>
      </w:r>
    </w:p>
    <w:p w:rsidR="00762F37" w:rsidRDefault="00762F37" w:rsidP="00762F37">
      <w:pPr>
        <w:pStyle w:val="BodyText2"/>
        <w:ind w:left="-180"/>
        <w:rPr>
          <w:sz w:val="22"/>
          <w:szCs w:val="22"/>
        </w:rPr>
      </w:pPr>
      <w:r>
        <w:rPr>
          <w:sz w:val="22"/>
          <w:szCs w:val="22"/>
        </w:rPr>
        <w:t>130°</w:t>
      </w:r>
      <w:r>
        <w:rPr>
          <w:sz w:val="22"/>
          <w:szCs w:val="22"/>
        </w:rPr>
        <w:tab/>
        <w:t>0.935</w:t>
      </w:r>
    </w:p>
    <w:p w:rsidR="00762F37" w:rsidRDefault="00762F37" w:rsidP="00762F37">
      <w:pPr>
        <w:pStyle w:val="BodyText2"/>
        <w:ind w:left="-180"/>
        <w:rPr>
          <w:sz w:val="22"/>
          <w:szCs w:val="22"/>
        </w:rPr>
      </w:pPr>
      <w:r>
        <w:rPr>
          <w:sz w:val="22"/>
          <w:szCs w:val="22"/>
        </w:rPr>
        <w:t>140°</w:t>
      </w:r>
      <w:r>
        <w:rPr>
          <w:sz w:val="22"/>
          <w:szCs w:val="22"/>
        </w:rPr>
        <w:tab/>
        <w:t>0.869</w:t>
      </w:r>
    </w:p>
    <w:p w:rsidR="00762F37" w:rsidRDefault="00762F37" w:rsidP="00762F37">
      <w:pPr>
        <w:pStyle w:val="BodyText2"/>
        <w:ind w:left="-180"/>
        <w:rPr>
          <w:sz w:val="22"/>
          <w:szCs w:val="22"/>
        </w:rPr>
      </w:pPr>
      <w:r>
        <w:rPr>
          <w:sz w:val="22"/>
          <w:szCs w:val="22"/>
        </w:rPr>
        <w:t>150°</w:t>
      </w:r>
      <w:r>
        <w:rPr>
          <w:sz w:val="22"/>
          <w:szCs w:val="22"/>
        </w:rPr>
        <w:tab/>
        <w:t>0.772</w:t>
      </w:r>
    </w:p>
    <w:p w:rsidR="00762F37" w:rsidRDefault="00762F37" w:rsidP="00762F37">
      <w:pPr>
        <w:pStyle w:val="BodyText2"/>
        <w:ind w:left="-180"/>
        <w:rPr>
          <w:sz w:val="22"/>
          <w:szCs w:val="22"/>
        </w:rPr>
      </w:pPr>
      <w:r>
        <w:rPr>
          <w:sz w:val="22"/>
          <w:szCs w:val="22"/>
        </w:rPr>
        <w:t>160°</w:t>
      </w:r>
      <w:r>
        <w:rPr>
          <w:sz w:val="22"/>
          <w:szCs w:val="22"/>
        </w:rPr>
        <w:tab/>
        <w:t>0.670</w:t>
      </w:r>
    </w:p>
    <w:p w:rsidR="00762F37" w:rsidRDefault="00762F37" w:rsidP="00762F37">
      <w:pPr>
        <w:pStyle w:val="BodyText2"/>
        <w:ind w:left="-180"/>
        <w:rPr>
          <w:sz w:val="22"/>
          <w:szCs w:val="22"/>
        </w:rPr>
      </w:pPr>
      <w:r>
        <w:rPr>
          <w:sz w:val="22"/>
          <w:szCs w:val="22"/>
        </w:rPr>
        <w:t>170°</w:t>
      </w:r>
      <w:r>
        <w:rPr>
          <w:sz w:val="22"/>
          <w:szCs w:val="22"/>
        </w:rPr>
        <w:tab/>
        <w:t>0.579</w:t>
      </w:r>
    </w:p>
    <w:p w:rsidR="00762F37" w:rsidRDefault="00762F37" w:rsidP="00762F37">
      <w:pPr>
        <w:pStyle w:val="BodyText2"/>
        <w:ind w:left="-180"/>
        <w:rPr>
          <w:sz w:val="22"/>
          <w:szCs w:val="22"/>
        </w:rPr>
      </w:pPr>
      <w:r>
        <w:rPr>
          <w:sz w:val="22"/>
          <w:szCs w:val="22"/>
        </w:rPr>
        <w:t>180°</w:t>
      </w:r>
      <w:r>
        <w:rPr>
          <w:sz w:val="22"/>
          <w:szCs w:val="22"/>
        </w:rPr>
        <w:tab/>
        <w:t>0.555</w:t>
      </w:r>
    </w:p>
    <w:p w:rsidR="00762F37" w:rsidRDefault="00762F37" w:rsidP="00762F37">
      <w:pPr>
        <w:pStyle w:val="BodyText2"/>
        <w:ind w:left="-180"/>
        <w:rPr>
          <w:sz w:val="22"/>
          <w:szCs w:val="22"/>
        </w:rPr>
      </w:pPr>
      <w:r>
        <w:rPr>
          <w:sz w:val="22"/>
          <w:szCs w:val="22"/>
        </w:rPr>
        <w:t>190°</w:t>
      </w:r>
      <w:r>
        <w:rPr>
          <w:sz w:val="22"/>
          <w:szCs w:val="22"/>
        </w:rPr>
        <w:tab/>
        <w:t>0.549</w:t>
      </w:r>
    </w:p>
    <w:p w:rsidR="00762F37" w:rsidRDefault="00762F37" w:rsidP="00762F37">
      <w:pPr>
        <w:pStyle w:val="BodyText2"/>
        <w:ind w:left="-180"/>
        <w:rPr>
          <w:sz w:val="22"/>
          <w:szCs w:val="22"/>
        </w:rPr>
      </w:pPr>
      <w:r>
        <w:rPr>
          <w:sz w:val="22"/>
          <w:szCs w:val="22"/>
        </w:rPr>
        <w:t>200°</w:t>
      </w:r>
      <w:r>
        <w:rPr>
          <w:sz w:val="22"/>
          <w:szCs w:val="22"/>
        </w:rPr>
        <w:tab/>
        <w:t>0.543</w:t>
      </w:r>
    </w:p>
    <w:p w:rsidR="00762F37" w:rsidRDefault="00762F37" w:rsidP="00762F37">
      <w:pPr>
        <w:pStyle w:val="BodyText2"/>
        <w:ind w:left="-180"/>
        <w:rPr>
          <w:sz w:val="22"/>
          <w:szCs w:val="22"/>
        </w:rPr>
      </w:pPr>
      <w:r>
        <w:rPr>
          <w:sz w:val="22"/>
          <w:szCs w:val="22"/>
        </w:rPr>
        <w:t>210°</w:t>
      </w:r>
      <w:r>
        <w:rPr>
          <w:sz w:val="22"/>
          <w:szCs w:val="22"/>
        </w:rPr>
        <w:tab/>
        <w:t>0.513</w:t>
      </w:r>
    </w:p>
    <w:p w:rsidR="00762F37" w:rsidRDefault="00762F37" w:rsidP="00762F37">
      <w:pPr>
        <w:pStyle w:val="BodyText2"/>
        <w:ind w:left="-180"/>
        <w:rPr>
          <w:sz w:val="22"/>
          <w:szCs w:val="22"/>
        </w:rPr>
      </w:pPr>
      <w:r>
        <w:rPr>
          <w:sz w:val="22"/>
          <w:szCs w:val="22"/>
        </w:rPr>
        <w:t>220°</w:t>
      </w:r>
      <w:r>
        <w:rPr>
          <w:sz w:val="22"/>
          <w:szCs w:val="22"/>
        </w:rPr>
        <w:tab/>
        <w:t>0.453</w:t>
      </w:r>
    </w:p>
    <w:p w:rsidR="00762F37" w:rsidRDefault="00762F37" w:rsidP="00762F37">
      <w:pPr>
        <w:pStyle w:val="BodyText2"/>
        <w:ind w:left="-180"/>
        <w:rPr>
          <w:sz w:val="22"/>
          <w:szCs w:val="22"/>
        </w:rPr>
      </w:pPr>
      <w:r>
        <w:rPr>
          <w:sz w:val="22"/>
          <w:szCs w:val="22"/>
        </w:rPr>
        <w:t>230°</w:t>
      </w:r>
      <w:r>
        <w:rPr>
          <w:sz w:val="22"/>
          <w:szCs w:val="22"/>
        </w:rPr>
        <w:tab/>
        <w:t>0.368</w:t>
      </w:r>
    </w:p>
    <w:p w:rsidR="00762F37" w:rsidRDefault="00762F37" w:rsidP="00762F37">
      <w:pPr>
        <w:pStyle w:val="BodyText2"/>
        <w:ind w:left="-180"/>
        <w:rPr>
          <w:sz w:val="22"/>
          <w:szCs w:val="22"/>
        </w:rPr>
      </w:pPr>
      <w:r>
        <w:rPr>
          <w:sz w:val="22"/>
          <w:szCs w:val="22"/>
        </w:rPr>
        <w:t>240°</w:t>
      </w:r>
      <w:r>
        <w:rPr>
          <w:sz w:val="22"/>
          <w:szCs w:val="22"/>
        </w:rPr>
        <w:tab/>
        <w:t>0.308</w:t>
      </w:r>
    </w:p>
    <w:p w:rsidR="00762F37" w:rsidRDefault="00762F37" w:rsidP="00762F37">
      <w:pPr>
        <w:pStyle w:val="BodyText2"/>
        <w:ind w:left="-180"/>
        <w:rPr>
          <w:sz w:val="22"/>
          <w:szCs w:val="22"/>
        </w:rPr>
      </w:pPr>
      <w:r>
        <w:rPr>
          <w:sz w:val="22"/>
          <w:szCs w:val="22"/>
        </w:rPr>
        <w:t>250°</w:t>
      </w:r>
      <w:r>
        <w:rPr>
          <w:sz w:val="22"/>
          <w:szCs w:val="22"/>
        </w:rPr>
        <w:tab/>
        <w:t>0.290</w:t>
      </w:r>
    </w:p>
    <w:p w:rsidR="00762F37" w:rsidRDefault="00762F37" w:rsidP="00762F37">
      <w:pPr>
        <w:pStyle w:val="BodyText2"/>
        <w:ind w:left="-180"/>
        <w:rPr>
          <w:sz w:val="22"/>
          <w:szCs w:val="22"/>
        </w:rPr>
      </w:pPr>
      <w:r>
        <w:rPr>
          <w:sz w:val="22"/>
          <w:szCs w:val="22"/>
        </w:rPr>
        <w:t>260°</w:t>
      </w:r>
      <w:r>
        <w:rPr>
          <w:sz w:val="22"/>
          <w:szCs w:val="22"/>
        </w:rPr>
        <w:tab/>
        <w:t>0.386</w:t>
      </w:r>
    </w:p>
    <w:p w:rsidR="00762F37" w:rsidRDefault="00762F37" w:rsidP="00762F37">
      <w:pPr>
        <w:pStyle w:val="BodyText2"/>
        <w:ind w:left="-180"/>
        <w:rPr>
          <w:sz w:val="22"/>
          <w:szCs w:val="22"/>
        </w:rPr>
      </w:pPr>
      <w:r>
        <w:rPr>
          <w:sz w:val="22"/>
          <w:szCs w:val="22"/>
        </w:rPr>
        <w:t>270°</w:t>
      </w:r>
      <w:r>
        <w:rPr>
          <w:sz w:val="22"/>
          <w:szCs w:val="22"/>
        </w:rPr>
        <w:tab/>
        <w:t>0.465</w:t>
      </w:r>
    </w:p>
    <w:p w:rsidR="00762F37" w:rsidRDefault="00762F37" w:rsidP="00762F37">
      <w:pPr>
        <w:pStyle w:val="BodyText2"/>
        <w:ind w:left="-180"/>
        <w:rPr>
          <w:sz w:val="22"/>
          <w:szCs w:val="22"/>
        </w:rPr>
      </w:pPr>
      <w:r>
        <w:rPr>
          <w:sz w:val="22"/>
          <w:szCs w:val="22"/>
        </w:rPr>
        <w:t>280°</w:t>
      </w:r>
      <w:r>
        <w:rPr>
          <w:sz w:val="22"/>
          <w:szCs w:val="22"/>
        </w:rPr>
        <w:tab/>
        <w:t>0.513</w:t>
      </w:r>
      <w:r>
        <w:rPr>
          <w:sz w:val="22"/>
          <w:szCs w:val="22"/>
        </w:rPr>
        <w:tab/>
      </w:r>
    </w:p>
    <w:p w:rsidR="00762F37" w:rsidRDefault="00762F37" w:rsidP="00762F37">
      <w:pPr>
        <w:pStyle w:val="BodyText2"/>
        <w:ind w:left="-180"/>
        <w:rPr>
          <w:sz w:val="22"/>
          <w:szCs w:val="22"/>
        </w:rPr>
      </w:pPr>
      <w:r>
        <w:rPr>
          <w:sz w:val="22"/>
          <w:szCs w:val="22"/>
        </w:rPr>
        <w:t>290°</w:t>
      </w:r>
      <w:r>
        <w:rPr>
          <w:sz w:val="22"/>
          <w:szCs w:val="22"/>
        </w:rPr>
        <w:tab/>
        <w:t>0.537</w:t>
      </w:r>
    </w:p>
    <w:p w:rsidR="00762F37" w:rsidRDefault="00762F37" w:rsidP="00762F37">
      <w:pPr>
        <w:pStyle w:val="BodyText2"/>
        <w:ind w:left="-180"/>
        <w:rPr>
          <w:sz w:val="22"/>
          <w:szCs w:val="22"/>
        </w:rPr>
      </w:pPr>
      <w:r>
        <w:rPr>
          <w:sz w:val="22"/>
          <w:szCs w:val="22"/>
        </w:rPr>
        <w:t>300°</w:t>
      </w:r>
      <w:r>
        <w:rPr>
          <w:sz w:val="22"/>
          <w:szCs w:val="22"/>
        </w:rPr>
        <w:tab/>
        <w:t>0.531</w:t>
      </w:r>
    </w:p>
    <w:p w:rsidR="00762F37" w:rsidRDefault="00762F37" w:rsidP="00762F37">
      <w:pPr>
        <w:pStyle w:val="BodyText2"/>
        <w:ind w:left="-180"/>
        <w:rPr>
          <w:sz w:val="22"/>
          <w:szCs w:val="22"/>
        </w:rPr>
      </w:pPr>
      <w:r>
        <w:rPr>
          <w:sz w:val="22"/>
          <w:szCs w:val="22"/>
        </w:rPr>
        <w:t>310°</w:t>
      </w:r>
      <w:r>
        <w:rPr>
          <w:sz w:val="22"/>
          <w:szCs w:val="22"/>
        </w:rPr>
        <w:tab/>
        <w:t>0.513</w:t>
      </w:r>
    </w:p>
    <w:p w:rsidR="00762F37" w:rsidRDefault="00762F37" w:rsidP="00762F37">
      <w:pPr>
        <w:pStyle w:val="BodyText2"/>
        <w:ind w:left="-180"/>
        <w:rPr>
          <w:sz w:val="22"/>
          <w:szCs w:val="22"/>
        </w:rPr>
      </w:pPr>
      <w:r>
        <w:rPr>
          <w:sz w:val="22"/>
          <w:szCs w:val="22"/>
        </w:rPr>
        <w:t>320°</w:t>
      </w:r>
      <w:r>
        <w:rPr>
          <w:sz w:val="22"/>
          <w:szCs w:val="22"/>
        </w:rPr>
        <w:tab/>
        <w:t>0.513</w:t>
      </w:r>
    </w:p>
    <w:p w:rsidR="00762F37" w:rsidRDefault="00762F37" w:rsidP="00762F37">
      <w:pPr>
        <w:pStyle w:val="BodyText2"/>
        <w:ind w:left="-180"/>
        <w:rPr>
          <w:sz w:val="22"/>
          <w:szCs w:val="22"/>
        </w:rPr>
      </w:pPr>
      <w:r>
        <w:rPr>
          <w:sz w:val="22"/>
          <w:szCs w:val="22"/>
        </w:rPr>
        <w:t>330°</w:t>
      </w:r>
      <w:r>
        <w:rPr>
          <w:sz w:val="22"/>
          <w:szCs w:val="22"/>
        </w:rPr>
        <w:tab/>
        <w:t>0.519</w:t>
      </w:r>
    </w:p>
    <w:p w:rsidR="00762F37" w:rsidRDefault="00762F37" w:rsidP="00762F37">
      <w:pPr>
        <w:pStyle w:val="BodyText2"/>
        <w:ind w:left="-180"/>
        <w:rPr>
          <w:sz w:val="22"/>
          <w:szCs w:val="22"/>
        </w:rPr>
      </w:pPr>
      <w:r>
        <w:rPr>
          <w:sz w:val="22"/>
          <w:szCs w:val="22"/>
        </w:rPr>
        <w:t>340°</w:t>
      </w:r>
      <w:r>
        <w:rPr>
          <w:sz w:val="22"/>
          <w:szCs w:val="22"/>
        </w:rPr>
        <w:tab/>
        <w:t>0.543</w:t>
      </w:r>
    </w:p>
    <w:p w:rsidR="00762F37" w:rsidRPr="00942D62" w:rsidRDefault="00762F37" w:rsidP="00762F37">
      <w:pPr>
        <w:pStyle w:val="BodyText2"/>
        <w:ind w:left="-180"/>
        <w:rPr>
          <w:sz w:val="22"/>
          <w:szCs w:val="22"/>
        </w:rPr>
      </w:pPr>
      <w:r>
        <w:rPr>
          <w:sz w:val="22"/>
          <w:szCs w:val="22"/>
        </w:rPr>
        <w:t>350°</w:t>
      </w:r>
      <w:r>
        <w:rPr>
          <w:sz w:val="22"/>
          <w:szCs w:val="22"/>
        </w:rPr>
        <w:tab/>
        <w:t>0.555</w:t>
      </w:r>
    </w:p>
    <w:p w:rsidR="00762F37" w:rsidRPr="00762F37" w:rsidRDefault="00762F37" w:rsidP="00762F37">
      <w:pPr>
        <w:pStyle w:val="ParaNum"/>
        <w:numPr>
          <w:ilvl w:val="0"/>
          <w:numId w:val="0"/>
        </w:numPr>
        <w:spacing w:after="0"/>
        <w:rPr>
          <w:b/>
        </w:rPr>
      </w:pPr>
    </w:p>
    <w:sectPr w:rsidR="00762F37" w:rsidRPr="00762F3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65" w:rsidRDefault="00950665">
      <w:pPr>
        <w:spacing w:line="20" w:lineRule="exact"/>
      </w:pPr>
    </w:p>
  </w:endnote>
  <w:endnote w:type="continuationSeparator" w:id="0">
    <w:p w:rsidR="00950665" w:rsidRDefault="00950665">
      <w:r>
        <w:t xml:space="preserve"> </w:t>
      </w:r>
    </w:p>
  </w:endnote>
  <w:endnote w:type="continuationNotice" w:id="1">
    <w:p w:rsidR="00950665" w:rsidRDefault="00950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D2646">
      <w:rPr>
        <w:noProof/>
      </w:rPr>
      <w:t>5</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65" w:rsidRDefault="00950665">
      <w:r>
        <w:separator/>
      </w:r>
    </w:p>
  </w:footnote>
  <w:footnote w:type="continuationSeparator" w:id="0">
    <w:p w:rsidR="00950665" w:rsidRDefault="00950665" w:rsidP="00C721AC">
      <w:pPr>
        <w:spacing w:before="120"/>
        <w:rPr>
          <w:sz w:val="20"/>
        </w:rPr>
      </w:pPr>
      <w:r>
        <w:rPr>
          <w:sz w:val="20"/>
        </w:rPr>
        <w:t xml:space="preserve">(Continued from previous page)  </w:t>
      </w:r>
      <w:r>
        <w:rPr>
          <w:sz w:val="20"/>
        </w:rPr>
        <w:separator/>
      </w:r>
    </w:p>
  </w:footnote>
  <w:footnote w:type="continuationNotice" w:id="1">
    <w:p w:rsidR="00950665" w:rsidRDefault="00950665" w:rsidP="00C721AC">
      <w:pPr>
        <w:jc w:val="right"/>
        <w:rPr>
          <w:sz w:val="20"/>
        </w:rPr>
      </w:pPr>
      <w:r>
        <w:rPr>
          <w:sz w:val="20"/>
        </w:rPr>
        <w:t>(continued….)</w:t>
      </w:r>
    </w:p>
  </w:footnote>
  <w:footnote w:id="2">
    <w:p w:rsidR="0016303B" w:rsidRPr="007D5873" w:rsidRDefault="0016303B" w:rsidP="0016303B">
      <w:pPr>
        <w:pStyle w:val="FootnoteText"/>
      </w:pPr>
      <w:r w:rsidRPr="003A71D5">
        <w:rPr>
          <w:rStyle w:val="FootnoteReference"/>
        </w:rPr>
        <w:footnoteRef/>
      </w:r>
      <w:r w:rsidRPr="003A71D5">
        <w:t xml:space="preserve"> </w:t>
      </w:r>
      <w:r w:rsidRPr="003A71D5">
        <w:rPr>
          <w:i/>
        </w:rPr>
        <w:t>Involuntary Modification of License of Station KWFR(FM), Jacksboro, TX</w:t>
      </w:r>
      <w:r w:rsidRPr="003A71D5">
        <w:t xml:space="preserve">, Order to Show Cause, </w:t>
      </w:r>
      <w:r w:rsidR="00CA3615">
        <w:t>30 FCC Rcd 2625 (MB</w:t>
      </w:r>
      <w:r w:rsidRPr="003A71D5">
        <w:t xml:space="preserve"> 2015</w:t>
      </w:r>
      <w:r w:rsidR="00CA3615">
        <w:t>) (“</w:t>
      </w:r>
      <w:r w:rsidR="00CA3615" w:rsidRPr="00CA3615">
        <w:rPr>
          <w:i/>
        </w:rPr>
        <w:t>OSC</w:t>
      </w:r>
      <w:r w:rsidR="00CA3615">
        <w:t>”)</w:t>
      </w:r>
      <w:r w:rsidRPr="003A71D5">
        <w:t xml:space="preserve">.  </w:t>
      </w:r>
    </w:p>
  </w:footnote>
  <w:footnote w:id="3">
    <w:p w:rsidR="0016303B" w:rsidRPr="003A71D5" w:rsidRDefault="0016303B" w:rsidP="0016303B">
      <w:pPr>
        <w:pStyle w:val="FootnoteText"/>
      </w:pPr>
      <w:r w:rsidRPr="003A71D5">
        <w:rPr>
          <w:rStyle w:val="FootnoteReference"/>
        </w:rPr>
        <w:footnoteRef/>
      </w:r>
      <w:r w:rsidRPr="003A71D5">
        <w:t xml:space="preserve"> </w:t>
      </w:r>
      <w:r w:rsidR="00A843A2">
        <w:t>File No.</w:t>
      </w:r>
      <w:r w:rsidRPr="003A71D5">
        <w:t xml:space="preserve"> BLH-20130110AFG, granted February 21, 2013.  </w:t>
      </w:r>
    </w:p>
  </w:footnote>
  <w:footnote w:id="4">
    <w:p w:rsidR="001046BA" w:rsidRDefault="001046BA">
      <w:pPr>
        <w:pStyle w:val="FootnoteText"/>
      </w:pPr>
      <w:r>
        <w:rPr>
          <w:rStyle w:val="FootnoteReference"/>
        </w:rPr>
        <w:footnoteRef/>
      </w:r>
      <w:r>
        <w:t xml:space="preserve"> 47 C.F.R. § 73.211.</w:t>
      </w:r>
    </w:p>
  </w:footnote>
  <w:footnote w:id="5">
    <w:p w:rsidR="002F1555" w:rsidRDefault="002F1555">
      <w:pPr>
        <w:pStyle w:val="FootnoteText"/>
      </w:pPr>
      <w:r>
        <w:rPr>
          <w:rStyle w:val="FootnoteReference"/>
        </w:rPr>
        <w:footnoteRef/>
      </w:r>
      <w:r>
        <w:t xml:space="preserve"> </w:t>
      </w:r>
      <w:r w:rsidRPr="002F1555">
        <w:rPr>
          <w:i/>
        </w:rPr>
        <w:t>OSC</w:t>
      </w:r>
      <w:r>
        <w:t>, 30 FCC Rcd at 2634.</w:t>
      </w:r>
    </w:p>
  </w:footnote>
  <w:footnote w:id="6">
    <w:p w:rsidR="004A040C" w:rsidRDefault="004A040C">
      <w:pPr>
        <w:pStyle w:val="FootnoteText"/>
      </w:pPr>
      <w:r>
        <w:rPr>
          <w:rStyle w:val="FootnoteReference"/>
        </w:rPr>
        <w:footnoteRef/>
      </w:r>
      <w:r w:rsidR="007A149D">
        <w:t xml:space="preserve"> OSC Response at 3-6</w:t>
      </w:r>
      <w:r>
        <w:t>.</w:t>
      </w:r>
    </w:p>
  </w:footnote>
  <w:footnote w:id="7">
    <w:p w:rsidR="001046BA" w:rsidRDefault="001046BA" w:rsidP="001046BA">
      <w:pPr>
        <w:pStyle w:val="FootnoteText"/>
      </w:pPr>
      <w:r>
        <w:rPr>
          <w:rStyle w:val="FootnoteReference"/>
        </w:rPr>
        <w:footnoteRef/>
      </w:r>
      <w:r>
        <w:t xml:space="preserve"> Memorandum Opinion and Order, 53 R.R.2d 635 (1983) (“</w:t>
      </w:r>
      <w:r w:rsidRPr="00415797">
        <w:rPr>
          <w:i/>
        </w:rPr>
        <w:t>Ettlinger</w:t>
      </w:r>
      <w:r>
        <w:t>”).</w:t>
      </w:r>
    </w:p>
  </w:footnote>
  <w:footnote w:id="8">
    <w:p w:rsidR="001340E3" w:rsidRDefault="001340E3">
      <w:pPr>
        <w:pStyle w:val="FootnoteText"/>
      </w:pPr>
      <w:r>
        <w:rPr>
          <w:rStyle w:val="FootnoteReference"/>
        </w:rPr>
        <w:footnoteRef/>
      </w:r>
      <w:r>
        <w:t xml:space="preserve"> Public Notice, FCC 84-437 (rel. Sept.</w:t>
      </w:r>
      <w:r w:rsidRPr="00942D62">
        <w:t xml:space="preserve"> 14, 1984</w:t>
      </w:r>
      <w:r>
        <w:t>) (“</w:t>
      </w:r>
      <w:r w:rsidRPr="00C276D9">
        <w:rPr>
          <w:i/>
        </w:rPr>
        <w:t xml:space="preserve">FM </w:t>
      </w:r>
      <w:r>
        <w:rPr>
          <w:i/>
        </w:rPr>
        <w:t>Antenna</w:t>
      </w:r>
      <w:r w:rsidRPr="00C276D9">
        <w:rPr>
          <w:i/>
        </w:rPr>
        <w:t xml:space="preserve"> Public Notice</w:t>
      </w:r>
      <w:r>
        <w:t>”)</w:t>
      </w:r>
      <w:r w:rsidRPr="00942D62">
        <w:t>.</w:t>
      </w:r>
    </w:p>
  </w:footnote>
  <w:footnote w:id="9">
    <w:p w:rsidR="007A149D" w:rsidRDefault="007A149D">
      <w:pPr>
        <w:pStyle w:val="FootnoteText"/>
      </w:pPr>
      <w:r>
        <w:rPr>
          <w:rStyle w:val="FootnoteReference"/>
        </w:rPr>
        <w:footnoteRef/>
      </w:r>
      <w:r>
        <w:t xml:space="preserve"> OSC Response at 4-5.</w:t>
      </w:r>
    </w:p>
  </w:footnote>
  <w:footnote w:id="10">
    <w:p w:rsidR="008D1A7E" w:rsidRDefault="008D1A7E">
      <w:pPr>
        <w:pStyle w:val="FootnoteText"/>
      </w:pPr>
      <w:r>
        <w:rPr>
          <w:rStyle w:val="FootnoteReference"/>
        </w:rPr>
        <w:footnoteRef/>
      </w:r>
      <w:r>
        <w:t xml:space="preserve"> </w:t>
      </w:r>
      <w:r w:rsidR="007A149D" w:rsidRPr="007A149D">
        <w:rPr>
          <w:i/>
        </w:rPr>
        <w:t>Id</w:t>
      </w:r>
      <w:r w:rsidR="007A149D">
        <w:t>. at 4</w:t>
      </w:r>
      <w:r>
        <w:t>.</w:t>
      </w:r>
    </w:p>
  </w:footnote>
  <w:footnote w:id="11">
    <w:p w:rsidR="008D1A7E" w:rsidRDefault="008D1A7E">
      <w:pPr>
        <w:pStyle w:val="FootnoteText"/>
      </w:pPr>
      <w:r>
        <w:rPr>
          <w:rStyle w:val="FootnoteReference"/>
        </w:rPr>
        <w:footnoteRef/>
      </w:r>
      <w:r>
        <w:t xml:space="preserve"> </w:t>
      </w:r>
      <w:r w:rsidRPr="008D1A7E">
        <w:rPr>
          <w:i/>
        </w:rPr>
        <w:t>Id</w:t>
      </w:r>
      <w:r>
        <w:t xml:space="preserve">. at </w:t>
      </w:r>
      <w:r w:rsidR="00DD2C8E">
        <w:t>4-6</w:t>
      </w:r>
      <w:r>
        <w:t>.</w:t>
      </w:r>
    </w:p>
  </w:footnote>
  <w:footnote w:id="12">
    <w:p w:rsidR="00DB33F3" w:rsidRDefault="00DB33F3">
      <w:pPr>
        <w:pStyle w:val="FootnoteText"/>
      </w:pPr>
      <w:r>
        <w:rPr>
          <w:rStyle w:val="FootnoteReference"/>
        </w:rPr>
        <w:footnoteRef/>
      </w:r>
      <w:r>
        <w:t xml:space="preserve"> </w:t>
      </w:r>
      <w:r w:rsidRPr="00DB33F3">
        <w:rPr>
          <w:i/>
        </w:rPr>
        <w:t>Id</w:t>
      </w:r>
      <w:r w:rsidR="00DD2C8E">
        <w:t>. at 5-6</w:t>
      </w:r>
      <w:r>
        <w:t>.</w:t>
      </w:r>
    </w:p>
  </w:footnote>
  <w:footnote w:id="13">
    <w:p w:rsidR="00DB33F3" w:rsidRDefault="00DB33F3">
      <w:pPr>
        <w:pStyle w:val="FootnoteText"/>
      </w:pPr>
      <w:r>
        <w:rPr>
          <w:rStyle w:val="FootnoteReference"/>
        </w:rPr>
        <w:footnoteRef/>
      </w:r>
      <w:r>
        <w:t xml:space="preserve"> </w:t>
      </w:r>
      <w:r w:rsidRPr="00DB33F3">
        <w:rPr>
          <w:i/>
        </w:rPr>
        <w:t>Id</w:t>
      </w:r>
      <w:r w:rsidR="00DD2C8E">
        <w:t>. at 6</w:t>
      </w:r>
      <w:r>
        <w:t>.</w:t>
      </w:r>
      <w:r w:rsidR="00446508">
        <w:t xml:space="preserve"> LKCM goes on to present a “parade of horribles” that would result if we were to issue further orders to show cause similar to the </w:t>
      </w:r>
      <w:r w:rsidR="00446508" w:rsidRPr="0016476B">
        <w:rPr>
          <w:i/>
        </w:rPr>
        <w:t>OSC</w:t>
      </w:r>
      <w:r w:rsidR="00446508">
        <w:t xml:space="preserve"> here, including (1) defeating the efficiency rationale underlying 47 C.F.R. § 73.207’s spacing requirements; (2) providing “persons with malicious intent” with a tool by which to extort money or other concessions from broadcasters operating side-mounted, nondirectional antennas; and (3) ignoring the fact that “many factors beyond a licensee’s control” can result in distortion of a nondirectional antenna pattern.  OSC Response at 6.  As discussed below, however, our action here is based on extreme violations of two Commission Rules, and the remedy proposed, far from being “beyond a licensee’s control,” involves nothing more than reducing transmitter output power (“TPO”).</w:t>
      </w:r>
    </w:p>
  </w:footnote>
  <w:footnote w:id="14">
    <w:p w:rsidR="00E96390" w:rsidRDefault="00E96390">
      <w:pPr>
        <w:pStyle w:val="FootnoteText"/>
      </w:pPr>
      <w:r>
        <w:rPr>
          <w:rStyle w:val="FootnoteReference"/>
        </w:rPr>
        <w:footnoteRef/>
      </w:r>
      <w:r>
        <w:t xml:space="preserve"> </w:t>
      </w:r>
      <w:r w:rsidRPr="00E96390">
        <w:rPr>
          <w:i/>
        </w:rPr>
        <w:t>Id</w:t>
      </w:r>
      <w:r>
        <w:t>. at 7.</w:t>
      </w:r>
    </w:p>
  </w:footnote>
  <w:footnote w:id="15">
    <w:p w:rsidR="0016303B" w:rsidRDefault="0016303B" w:rsidP="0016303B">
      <w:pPr>
        <w:pStyle w:val="FootnoteText"/>
      </w:pPr>
      <w:r>
        <w:rPr>
          <w:rStyle w:val="FootnoteReference"/>
        </w:rPr>
        <w:footnoteRef/>
      </w:r>
      <w:r>
        <w:t xml:space="preserve"> </w:t>
      </w:r>
      <w:r w:rsidRPr="004805CC">
        <w:t xml:space="preserve">LKCM </w:t>
      </w:r>
      <w:r w:rsidR="00CA3615">
        <w:t>states</w:t>
      </w:r>
      <w:r w:rsidRPr="004805CC">
        <w:t xml:space="preserve"> that requiring the removal of the Lambda section would </w:t>
      </w:r>
      <w:r w:rsidR="00E96390">
        <w:t>be a “purely punitive” act, which would cost the licensee about $71,000</w:t>
      </w:r>
      <w:r w:rsidRPr="004805CC">
        <w:t xml:space="preserve"> and would not make “any tangible difference in the performance of the antenna.”  </w:t>
      </w:r>
      <w:r w:rsidR="002B654A">
        <w:rPr>
          <w:i/>
        </w:rPr>
        <w:t>Id.</w:t>
      </w:r>
      <w:r w:rsidRPr="004805CC">
        <w:t xml:space="preserve"> at 8.</w:t>
      </w:r>
      <w:r>
        <w:t xml:space="preserve"> </w:t>
      </w:r>
    </w:p>
  </w:footnote>
  <w:footnote w:id="16">
    <w:p w:rsidR="00304F3B" w:rsidRDefault="00304F3B">
      <w:pPr>
        <w:pStyle w:val="FootnoteText"/>
      </w:pPr>
      <w:r>
        <w:rPr>
          <w:rStyle w:val="FootnoteReference"/>
        </w:rPr>
        <w:footnoteRef/>
      </w:r>
      <w:r>
        <w:t xml:space="preserve"> </w:t>
      </w:r>
      <w:r w:rsidRPr="00304F3B">
        <w:rPr>
          <w:i/>
        </w:rPr>
        <w:t>Id</w:t>
      </w:r>
      <w:r>
        <w:t>. at 9.</w:t>
      </w:r>
    </w:p>
  </w:footnote>
  <w:footnote w:id="17">
    <w:p w:rsidR="004A040C" w:rsidRDefault="004A040C">
      <w:pPr>
        <w:pStyle w:val="FootnoteText"/>
      </w:pPr>
      <w:r>
        <w:rPr>
          <w:rStyle w:val="FootnoteReference"/>
        </w:rPr>
        <w:footnoteRef/>
      </w:r>
      <w:r>
        <w:t xml:space="preserve"> 47 C.F.R. § 1.87(g)(1).</w:t>
      </w:r>
    </w:p>
  </w:footnote>
  <w:footnote w:id="18">
    <w:p w:rsidR="004A040C" w:rsidRDefault="004A040C">
      <w:pPr>
        <w:pStyle w:val="FootnoteText"/>
      </w:pPr>
      <w:r>
        <w:rPr>
          <w:rStyle w:val="FootnoteReference"/>
        </w:rPr>
        <w:footnoteRef/>
      </w:r>
      <w:r w:rsidR="00330C23">
        <w:t xml:space="preserve"> Comments at 1-2</w:t>
      </w:r>
      <w:r>
        <w:t>.</w:t>
      </w:r>
    </w:p>
  </w:footnote>
  <w:footnote w:id="19">
    <w:p w:rsidR="004A040C" w:rsidRDefault="004A040C">
      <w:pPr>
        <w:pStyle w:val="FootnoteText"/>
      </w:pPr>
      <w:r>
        <w:rPr>
          <w:rStyle w:val="FootnoteReference"/>
        </w:rPr>
        <w:footnoteRef/>
      </w:r>
      <w:r>
        <w:t xml:space="preserve"> 47 C.F.R. § 1.87(d), citing 47 U.S.C. § 309.</w:t>
      </w:r>
    </w:p>
  </w:footnote>
  <w:footnote w:id="20">
    <w:p w:rsidR="004A040C" w:rsidRDefault="004A040C">
      <w:pPr>
        <w:pStyle w:val="FootnoteText"/>
      </w:pPr>
      <w:r>
        <w:rPr>
          <w:rStyle w:val="FootnoteReference"/>
        </w:rPr>
        <w:footnoteRef/>
      </w:r>
      <w:r w:rsidR="00330C23">
        <w:t xml:space="preserve"> Comments at 2</w:t>
      </w:r>
      <w:r>
        <w:t xml:space="preserve">.  </w:t>
      </w:r>
      <w:r w:rsidRPr="004A040C">
        <w:rPr>
          <w:i/>
        </w:rPr>
        <w:t>See</w:t>
      </w:r>
      <w:r>
        <w:t xml:space="preserve"> 47 U.S.C. § 309(d)(1).</w:t>
      </w:r>
    </w:p>
  </w:footnote>
  <w:footnote w:id="21">
    <w:p w:rsidR="004A040C" w:rsidRDefault="004A040C">
      <w:pPr>
        <w:pStyle w:val="FootnoteText"/>
      </w:pPr>
      <w:r>
        <w:rPr>
          <w:rStyle w:val="FootnoteReference"/>
        </w:rPr>
        <w:footnoteRef/>
      </w:r>
      <w:r w:rsidR="00330C23">
        <w:t xml:space="preserve"> Comments at 2</w:t>
      </w:r>
      <w:r>
        <w:t>.</w:t>
      </w:r>
    </w:p>
  </w:footnote>
  <w:footnote w:id="22">
    <w:p w:rsidR="00FF0381" w:rsidRDefault="00FF0381">
      <w:pPr>
        <w:pStyle w:val="FootnoteText"/>
      </w:pPr>
      <w:r>
        <w:rPr>
          <w:rStyle w:val="FootnoteReference"/>
        </w:rPr>
        <w:footnoteRef/>
      </w:r>
      <w:r>
        <w:t xml:space="preserve"> </w:t>
      </w:r>
      <w:r w:rsidRPr="00FF0381">
        <w:rPr>
          <w:i/>
        </w:rPr>
        <w:t>Id</w:t>
      </w:r>
      <w:r w:rsidR="00136D48">
        <w:t>. at 3</w:t>
      </w:r>
      <w:r>
        <w:t>.</w:t>
      </w:r>
    </w:p>
  </w:footnote>
  <w:footnote w:id="23">
    <w:p w:rsidR="00136D48" w:rsidRDefault="00136D48">
      <w:pPr>
        <w:pStyle w:val="FootnoteText"/>
      </w:pPr>
      <w:r>
        <w:rPr>
          <w:rStyle w:val="FootnoteReference"/>
        </w:rPr>
        <w:footnoteRef/>
      </w:r>
      <w:r>
        <w:t xml:space="preserve"> Comment Response at 1-2.</w:t>
      </w:r>
    </w:p>
  </w:footnote>
  <w:footnote w:id="24">
    <w:p w:rsidR="00136D48" w:rsidRDefault="00136D48">
      <w:pPr>
        <w:pStyle w:val="FootnoteText"/>
      </w:pPr>
      <w:r>
        <w:rPr>
          <w:rStyle w:val="FootnoteReference"/>
        </w:rPr>
        <w:footnoteRef/>
      </w:r>
      <w:r>
        <w:t xml:space="preserve"> </w:t>
      </w:r>
      <w:r w:rsidRPr="00136D48">
        <w:rPr>
          <w:i/>
        </w:rPr>
        <w:t>Id</w:t>
      </w:r>
      <w:r>
        <w:t>. at 2-3.</w:t>
      </w:r>
    </w:p>
  </w:footnote>
  <w:footnote w:id="25">
    <w:p w:rsidR="00806261" w:rsidRDefault="00806261">
      <w:pPr>
        <w:pStyle w:val="FootnoteText"/>
      </w:pPr>
      <w:r>
        <w:rPr>
          <w:rStyle w:val="FootnoteReference"/>
        </w:rPr>
        <w:footnoteRef/>
      </w:r>
      <w:r>
        <w:t xml:space="preserve"> Reply Comments at 1.</w:t>
      </w:r>
    </w:p>
  </w:footnote>
  <w:footnote w:id="26">
    <w:p w:rsidR="002C0B3D" w:rsidRDefault="002C0B3D">
      <w:pPr>
        <w:pStyle w:val="FootnoteText"/>
      </w:pPr>
      <w:r>
        <w:rPr>
          <w:rStyle w:val="FootnoteReference"/>
        </w:rPr>
        <w:footnoteRef/>
      </w:r>
      <w:r>
        <w:t xml:space="preserve"> </w:t>
      </w:r>
      <w:r w:rsidR="00806261" w:rsidRPr="00806261">
        <w:rPr>
          <w:i/>
        </w:rPr>
        <w:t>Id</w:t>
      </w:r>
      <w:r w:rsidR="00806261">
        <w:t>. at 2</w:t>
      </w:r>
      <w:r>
        <w:t>.</w:t>
      </w:r>
    </w:p>
  </w:footnote>
  <w:footnote w:id="27">
    <w:p w:rsidR="00CA3615" w:rsidRDefault="00CA3615">
      <w:pPr>
        <w:pStyle w:val="FootnoteText"/>
      </w:pPr>
      <w:r>
        <w:rPr>
          <w:rStyle w:val="FootnoteReference"/>
        </w:rPr>
        <w:footnoteRef/>
      </w:r>
      <w:r>
        <w:t xml:space="preserve"> </w:t>
      </w:r>
      <w:r w:rsidRPr="00CA3615">
        <w:rPr>
          <w:i/>
        </w:rPr>
        <w:t>OSC</w:t>
      </w:r>
      <w:r w:rsidR="00B63251">
        <w:t xml:space="preserve">, 30 FCC Rcd at 2630; </w:t>
      </w:r>
      <w:r w:rsidR="00B63251" w:rsidRPr="00190106">
        <w:rPr>
          <w:i/>
        </w:rPr>
        <w:t>FM Antenna Public Notice</w:t>
      </w:r>
      <w:r w:rsidR="00190106">
        <w:t xml:space="preserve">; </w:t>
      </w:r>
      <w:r w:rsidR="00190106" w:rsidRPr="00F645BF">
        <w:rPr>
          <w:i/>
        </w:rPr>
        <w:t>Ettlinger</w:t>
      </w:r>
      <w:r w:rsidR="00190106">
        <w:t xml:space="preserve">, 53 R.R.2d </w:t>
      </w:r>
      <w:r w:rsidR="00287DEA">
        <w:t>at</w:t>
      </w:r>
      <w:r w:rsidR="00190106">
        <w:t xml:space="preserve"> 637 n.4</w:t>
      </w:r>
      <w:r>
        <w:t>.</w:t>
      </w:r>
    </w:p>
  </w:footnote>
  <w:footnote w:id="28">
    <w:p w:rsidR="00DB4FEC" w:rsidRDefault="00DB4FEC">
      <w:pPr>
        <w:pStyle w:val="FootnoteText"/>
      </w:pPr>
      <w:r>
        <w:rPr>
          <w:rStyle w:val="FootnoteReference"/>
        </w:rPr>
        <w:footnoteRef/>
      </w:r>
      <w:r>
        <w:t xml:space="preserve"> OSC Response at 5 (emphasis in original), citing </w:t>
      </w:r>
      <w:r w:rsidR="008334A2">
        <w:t xml:space="preserve">Statement of Clarence M. Beverage, Communications Technologies, Inc., </w:t>
      </w:r>
      <w:r>
        <w:t>Attachment A to LKCM’s September 2, 2014, Response to Lake (“Beverage Statement”).</w:t>
      </w:r>
    </w:p>
  </w:footnote>
  <w:footnote w:id="29">
    <w:p w:rsidR="00655516" w:rsidRDefault="00655516">
      <w:pPr>
        <w:pStyle w:val="FootnoteText"/>
      </w:pPr>
      <w:r>
        <w:rPr>
          <w:rStyle w:val="FootnoteReference"/>
        </w:rPr>
        <w:footnoteRef/>
      </w:r>
      <w:r>
        <w:t xml:space="preserve"> </w:t>
      </w:r>
      <w:r w:rsidRPr="001A4626">
        <w:rPr>
          <w:i/>
        </w:rPr>
        <w:t>See</w:t>
      </w:r>
      <w:r w:rsidR="001A4626">
        <w:t xml:space="preserve"> </w:t>
      </w:r>
      <w:r>
        <w:t>Beverage Statement at 4-6.</w:t>
      </w:r>
      <w:r w:rsidR="006114A5">
        <w:t xml:space="preserve">  </w:t>
      </w:r>
    </w:p>
  </w:footnote>
  <w:footnote w:id="30">
    <w:p w:rsidR="006D576D" w:rsidRDefault="006D576D">
      <w:pPr>
        <w:pStyle w:val="FootnoteText"/>
      </w:pPr>
      <w:r>
        <w:rPr>
          <w:rStyle w:val="FootnoteReference"/>
        </w:rPr>
        <w:footnoteRef/>
      </w:r>
      <w:r>
        <w:t xml:space="preserve"> 47 C.F.R. § 73.211(b).</w:t>
      </w:r>
    </w:p>
  </w:footnote>
  <w:footnote w:id="31">
    <w:p w:rsidR="00655516" w:rsidRDefault="00655516">
      <w:pPr>
        <w:pStyle w:val="FootnoteText"/>
      </w:pPr>
      <w:r>
        <w:rPr>
          <w:rStyle w:val="FootnoteReference"/>
        </w:rPr>
        <w:footnoteRef/>
      </w:r>
      <w:r>
        <w:t xml:space="preserve"> </w:t>
      </w:r>
      <w:r w:rsidRPr="00655516">
        <w:rPr>
          <w:i/>
        </w:rPr>
        <w:t>OSC</w:t>
      </w:r>
      <w:r>
        <w:t>, 30 FCC Rcd at 2630-31.</w:t>
      </w:r>
    </w:p>
  </w:footnote>
  <w:footnote w:id="32">
    <w:p w:rsidR="00CA3615" w:rsidRDefault="00CA3615">
      <w:pPr>
        <w:pStyle w:val="FootnoteText"/>
      </w:pPr>
      <w:r>
        <w:rPr>
          <w:rStyle w:val="FootnoteReference"/>
        </w:rPr>
        <w:footnoteRef/>
      </w:r>
      <w:r>
        <w:t xml:space="preserve"> </w:t>
      </w:r>
      <w:r w:rsidR="001A4626">
        <w:rPr>
          <w:i/>
        </w:rPr>
        <w:t>See id.</w:t>
      </w:r>
      <w:r w:rsidR="00A66D3D">
        <w:t xml:space="preserve"> at 2631-33</w:t>
      </w:r>
      <w:r>
        <w:t>.</w:t>
      </w:r>
    </w:p>
  </w:footnote>
  <w:footnote w:id="33">
    <w:p w:rsidR="002A6DD2" w:rsidRDefault="002A6DD2">
      <w:pPr>
        <w:pStyle w:val="FootnoteText"/>
      </w:pPr>
      <w:r>
        <w:rPr>
          <w:rStyle w:val="FootnoteReference"/>
        </w:rPr>
        <w:footnoteRef/>
      </w:r>
      <w:r>
        <w:t xml:space="preserve"> OSC Response at 3-6.</w:t>
      </w:r>
    </w:p>
  </w:footnote>
  <w:footnote w:id="34">
    <w:p w:rsidR="00AF0215" w:rsidRDefault="00AF0215">
      <w:pPr>
        <w:pStyle w:val="FootnoteText"/>
      </w:pPr>
      <w:r>
        <w:rPr>
          <w:rStyle w:val="FootnoteReference"/>
        </w:rPr>
        <w:footnoteRef/>
      </w:r>
      <w:r>
        <w:t xml:space="preserve"> 47 C.F.R. § 73.211.</w:t>
      </w:r>
    </w:p>
  </w:footnote>
  <w:footnote w:id="35">
    <w:p w:rsidR="00AF0215" w:rsidRDefault="00AF0215">
      <w:pPr>
        <w:pStyle w:val="FootnoteText"/>
      </w:pPr>
      <w:r>
        <w:rPr>
          <w:rStyle w:val="FootnoteReference"/>
        </w:rPr>
        <w:footnoteRef/>
      </w:r>
      <w:r>
        <w:t xml:space="preserve"> 47 C.F.R. § 73.316(b)(1).</w:t>
      </w:r>
    </w:p>
  </w:footnote>
  <w:footnote w:id="36">
    <w:p w:rsidR="00A145D5" w:rsidRDefault="00A145D5" w:rsidP="00A145D5">
      <w:pPr>
        <w:pStyle w:val="FootnoteText"/>
      </w:pPr>
      <w:r>
        <w:rPr>
          <w:rStyle w:val="FootnoteReference"/>
        </w:rPr>
        <w:footnoteRef/>
      </w:r>
      <w:r>
        <w:t xml:space="preserve"> </w:t>
      </w:r>
      <w:r w:rsidRPr="00A20F06">
        <w:rPr>
          <w:i/>
        </w:rPr>
        <w:t>Ettlinger</w:t>
      </w:r>
      <w:r>
        <w:t>, 53 R.R.2d at 636, citing 47 C.F.R. § 73.211.</w:t>
      </w:r>
    </w:p>
  </w:footnote>
  <w:footnote w:id="37">
    <w:p w:rsidR="0082602D" w:rsidRDefault="0082602D">
      <w:pPr>
        <w:pStyle w:val="FootnoteText"/>
      </w:pPr>
      <w:r>
        <w:rPr>
          <w:rStyle w:val="FootnoteReference"/>
        </w:rPr>
        <w:footnoteRef/>
      </w:r>
      <w:r>
        <w:t xml:space="preserve"> </w:t>
      </w:r>
      <w:r w:rsidRPr="002E12B6">
        <w:rPr>
          <w:i/>
        </w:rPr>
        <w:t>See</w:t>
      </w:r>
      <w:r>
        <w:t xml:space="preserve">, </w:t>
      </w:r>
      <w:r w:rsidRPr="002E12B6">
        <w:rPr>
          <w:i/>
        </w:rPr>
        <w:t>e.g.</w:t>
      </w:r>
      <w:r>
        <w:t>, OSC Response at 2 (“Will the Bureau investigate and potentially reclassify the hundreds or thousands of other stations with side-mounted FM antennas?”).</w:t>
      </w:r>
    </w:p>
  </w:footnote>
  <w:footnote w:id="38">
    <w:p w:rsidR="002F1555" w:rsidRDefault="002F1555">
      <w:pPr>
        <w:pStyle w:val="FootnoteText"/>
      </w:pPr>
      <w:r>
        <w:rPr>
          <w:rStyle w:val="FootnoteReference"/>
        </w:rPr>
        <w:footnoteRef/>
      </w:r>
      <w:r>
        <w:t xml:space="preserve"> </w:t>
      </w:r>
      <w:r w:rsidR="00684CCE">
        <w:t>We also disregard LKCM’s suggestion, in</w:t>
      </w:r>
      <w:r>
        <w:t xml:space="preserve"> the Introduction and Summary to its OSC Response, that the modification proposed in the OSC would come “at the cost of a substantial decrease in coverage,” and that this would occur “in the absence of any proven harmful interference caused by KFWR’s existing operations.”  OSC Response at 2.  </w:t>
      </w:r>
      <w:r w:rsidR="007E0172">
        <w:t>Lake contends</w:t>
      </w:r>
      <w:r w:rsidR="00153B77">
        <w:t xml:space="preserve"> </w:t>
      </w:r>
      <w:r w:rsidR="007E0172">
        <w:t xml:space="preserve">that KCKL has experienced interference from the main lobe of KFWR’s signal, which is aimed in </w:t>
      </w:r>
      <w:r w:rsidR="00E106B7">
        <w:t>KCKL’s</w:t>
      </w:r>
      <w:r w:rsidR="007E0172">
        <w:t xml:space="preserve"> direction (and, as noted in the </w:t>
      </w:r>
      <w:r w:rsidR="007E0172" w:rsidRPr="00983B7C">
        <w:rPr>
          <w:i/>
        </w:rPr>
        <w:t>OSC</w:t>
      </w:r>
      <w:r w:rsidR="007E0172">
        <w:t xml:space="preserve">, away from KFWR’s community of license).  </w:t>
      </w:r>
      <w:r w:rsidR="007E0172" w:rsidRPr="00392E25">
        <w:rPr>
          <w:i/>
        </w:rPr>
        <w:t xml:space="preserve">See </w:t>
      </w:r>
      <w:r w:rsidR="005D6932">
        <w:rPr>
          <w:i/>
        </w:rPr>
        <w:t>O</w:t>
      </w:r>
      <w:r w:rsidR="007E0172" w:rsidRPr="00392E25">
        <w:rPr>
          <w:i/>
        </w:rPr>
        <w:t>SC</w:t>
      </w:r>
      <w:r w:rsidR="007E0172">
        <w:t xml:space="preserve">, 30 FCC Rcd at 2626-27 (Lake complaint included allegations of interference to KCKL); Reply Comments at 2.  </w:t>
      </w:r>
      <w:r w:rsidR="00E93AD2">
        <w:t>Under our Rules,</w:t>
      </w:r>
      <w:r w:rsidR="00153B77">
        <w:t xml:space="preserve"> </w:t>
      </w:r>
      <w:r w:rsidR="00264B43">
        <w:t xml:space="preserve">Lake has a reasonable expectation that KFWR </w:t>
      </w:r>
      <w:r w:rsidR="000F491F">
        <w:t xml:space="preserve">will </w:t>
      </w:r>
      <w:r w:rsidR="00264B43">
        <w:t xml:space="preserve">not radiate more than </w:t>
      </w:r>
      <w:r w:rsidR="00153B77">
        <w:t>100 kW ERP in any direction (</w:t>
      </w:r>
      <w:r w:rsidR="00264B43">
        <w:t>47 C.F.R. §</w:t>
      </w:r>
      <w:r w:rsidR="00741C2B">
        <w:t xml:space="preserve"> 73.211</w:t>
      </w:r>
      <w:r w:rsidR="00153B77">
        <w:t>)</w:t>
      </w:r>
      <w:r w:rsidR="00741C2B">
        <w:t xml:space="preserve">, and to the extent that KFWR loses signal coverage by being required to implement rule-compliant operation, it will be to areas </w:t>
      </w:r>
      <w:r w:rsidR="00014719">
        <w:t>KFWR</w:t>
      </w:r>
      <w:r w:rsidR="00741C2B">
        <w:t xml:space="preserve"> was never authorized to serve.</w:t>
      </w:r>
    </w:p>
  </w:footnote>
  <w:footnote w:id="39">
    <w:p w:rsidR="00D5754D" w:rsidRPr="007D5873" w:rsidRDefault="00D5754D" w:rsidP="00D5754D">
      <w:pPr>
        <w:pStyle w:val="FootnoteText"/>
      </w:pPr>
      <w:r w:rsidRPr="00D45768">
        <w:rPr>
          <w:rStyle w:val="FootnoteReference"/>
        </w:rPr>
        <w:footnoteRef/>
      </w:r>
      <w:r w:rsidRPr="00D45768">
        <w:t xml:space="preserve"> </w:t>
      </w:r>
      <w:r w:rsidR="00E803DA" w:rsidRPr="00E803DA">
        <w:rPr>
          <w:i/>
        </w:rPr>
        <w:t>See supra</w:t>
      </w:r>
      <w:r w:rsidR="00E803DA">
        <w:t xml:space="preserve"> para. 4.  </w:t>
      </w:r>
      <w:r w:rsidRPr="00D45768">
        <w:t>LKCM proposes (1) to remove the vertically polarized parasitic elements and the mounting pole (</w:t>
      </w:r>
      <w:r w:rsidR="00DB06CF">
        <w:t>notwithstanding</w:t>
      </w:r>
      <w:r w:rsidRPr="00D45768">
        <w:t xml:space="preserve"> LKCM’s </w:t>
      </w:r>
      <w:r>
        <w:t xml:space="preserve">prior </w:t>
      </w:r>
      <w:r w:rsidRPr="00D45768">
        <w:t xml:space="preserve">statements that the parasitic elements were added to </w:t>
      </w:r>
      <w:r w:rsidR="00DF41CA">
        <w:rPr>
          <w:i/>
        </w:rPr>
        <w:t>reduce</w:t>
      </w:r>
      <w:r w:rsidRPr="00D45768">
        <w:rPr>
          <w:i/>
        </w:rPr>
        <w:t xml:space="preserve"> </w:t>
      </w:r>
      <w:r w:rsidRPr="00D45768">
        <w:t>the projected vertically polarized component</w:t>
      </w:r>
      <w:r w:rsidR="00DB06CF">
        <w:t xml:space="preserve"> – see </w:t>
      </w:r>
      <w:r w:rsidR="00EF5FFA">
        <w:t>Supplemental Exhibit 4 to LKCM’s December 4, 2013, Response to Complaint (“These [vertical] parasitic elements are not reflectors, but rather they are directors being used to reduce the vertical polarized gain to the east.”)</w:t>
      </w:r>
      <w:r w:rsidRPr="00D45768">
        <w:t>); and (2) to make antenna modifications using “industry standard practices” without requiring measurements (</w:t>
      </w:r>
      <w:r w:rsidR="00E803DA">
        <w:t xml:space="preserve">thus providing </w:t>
      </w:r>
      <w:r w:rsidRPr="00D45768">
        <w:t xml:space="preserve">no way to </w:t>
      </w:r>
      <w:r w:rsidR="00E803DA">
        <w:t>discern</w:t>
      </w:r>
      <w:r w:rsidRPr="00D45768">
        <w:t xml:space="preserve"> the true effects of the antenna modifications on the radiation pattern).  </w:t>
      </w:r>
    </w:p>
  </w:footnote>
  <w:footnote w:id="40">
    <w:p w:rsidR="00D5754D" w:rsidRDefault="00D5754D" w:rsidP="00D5754D">
      <w:pPr>
        <w:pStyle w:val="FootnoteText"/>
      </w:pPr>
      <w:r w:rsidRPr="00D45768">
        <w:rPr>
          <w:rStyle w:val="FootnoteReference"/>
        </w:rPr>
        <w:footnoteRef/>
      </w:r>
      <w:r w:rsidRPr="00D45768">
        <w:t xml:space="preserve"> This does not preclude LKCM from filing a construction permit application for nondirectional facilities with a modified antenna system at some future date.</w:t>
      </w:r>
    </w:p>
  </w:footnote>
  <w:footnote w:id="41">
    <w:p w:rsidR="00D5754D" w:rsidRDefault="00D5754D" w:rsidP="00D5754D">
      <w:pPr>
        <w:pStyle w:val="FootnoteText"/>
      </w:pPr>
      <w:r>
        <w:rPr>
          <w:rStyle w:val="FootnoteReference"/>
        </w:rPr>
        <w:footnoteRef/>
      </w:r>
      <w:r>
        <w:t xml:space="preserve"> The changed station parameters are listed in Attachment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08" w:rsidRDefault="00447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656FE" w:rsidRPr="002656FE">
      <w:t>15-886</w:t>
    </w:r>
  </w:p>
  <w:p w:rsidR="00D25FB5" w:rsidRDefault="0027693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DC6D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76936"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E6CFA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A7217">
      <w:rPr>
        <w:spacing w:val="-2"/>
      </w:rPr>
      <w:t xml:space="preserve">DA </w:t>
    </w:r>
    <w:r w:rsidR="002656FE" w:rsidRPr="002656FE">
      <w:rPr>
        <w:spacing w:val="-2"/>
      </w:rPr>
      <w:t>15-886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36"/>
    <w:rsid w:val="00014719"/>
    <w:rsid w:val="000261B8"/>
    <w:rsid w:val="00030360"/>
    <w:rsid w:val="00032AA8"/>
    <w:rsid w:val="00036039"/>
    <w:rsid w:val="00037F90"/>
    <w:rsid w:val="00046AC0"/>
    <w:rsid w:val="00085AFB"/>
    <w:rsid w:val="000875BF"/>
    <w:rsid w:val="00096D8C"/>
    <w:rsid w:val="000C0B65"/>
    <w:rsid w:val="000E05FE"/>
    <w:rsid w:val="000E3D42"/>
    <w:rsid w:val="000F491F"/>
    <w:rsid w:val="000F6F64"/>
    <w:rsid w:val="001046BA"/>
    <w:rsid w:val="00116990"/>
    <w:rsid w:val="00122BD5"/>
    <w:rsid w:val="00133F79"/>
    <w:rsid w:val="001340E3"/>
    <w:rsid w:val="00136D48"/>
    <w:rsid w:val="00153B77"/>
    <w:rsid w:val="0016303B"/>
    <w:rsid w:val="0016476B"/>
    <w:rsid w:val="00171E23"/>
    <w:rsid w:val="00182B57"/>
    <w:rsid w:val="00190106"/>
    <w:rsid w:val="00191067"/>
    <w:rsid w:val="00194A66"/>
    <w:rsid w:val="00196CD8"/>
    <w:rsid w:val="001A4626"/>
    <w:rsid w:val="001C4ACB"/>
    <w:rsid w:val="001C4FBD"/>
    <w:rsid w:val="001D6BCF"/>
    <w:rsid w:val="001E01CA"/>
    <w:rsid w:val="00215DE9"/>
    <w:rsid w:val="002344E5"/>
    <w:rsid w:val="00264B43"/>
    <w:rsid w:val="002656FE"/>
    <w:rsid w:val="00275CF5"/>
    <w:rsid w:val="00276134"/>
    <w:rsid w:val="00276936"/>
    <w:rsid w:val="0028301F"/>
    <w:rsid w:val="00285017"/>
    <w:rsid w:val="00287DEA"/>
    <w:rsid w:val="002A2D2E"/>
    <w:rsid w:val="002A6DD2"/>
    <w:rsid w:val="002B4121"/>
    <w:rsid w:val="002B654A"/>
    <w:rsid w:val="002C00E8"/>
    <w:rsid w:val="002C0B3D"/>
    <w:rsid w:val="002D3AB1"/>
    <w:rsid w:val="002F1555"/>
    <w:rsid w:val="002F5882"/>
    <w:rsid w:val="00304F3B"/>
    <w:rsid w:val="00330C23"/>
    <w:rsid w:val="00343749"/>
    <w:rsid w:val="003508A3"/>
    <w:rsid w:val="0036088C"/>
    <w:rsid w:val="003660ED"/>
    <w:rsid w:val="00392E25"/>
    <w:rsid w:val="0039657B"/>
    <w:rsid w:val="003A4693"/>
    <w:rsid w:val="003B0550"/>
    <w:rsid w:val="003B694F"/>
    <w:rsid w:val="003F171C"/>
    <w:rsid w:val="003F42C7"/>
    <w:rsid w:val="00412FC5"/>
    <w:rsid w:val="00422276"/>
    <w:rsid w:val="004242F1"/>
    <w:rsid w:val="00426C32"/>
    <w:rsid w:val="00445258"/>
    <w:rsid w:val="00445A00"/>
    <w:rsid w:val="00446508"/>
    <w:rsid w:val="00446892"/>
    <w:rsid w:val="00447408"/>
    <w:rsid w:val="00451B0F"/>
    <w:rsid w:val="0045417E"/>
    <w:rsid w:val="00463A87"/>
    <w:rsid w:val="00475D32"/>
    <w:rsid w:val="00497821"/>
    <w:rsid w:val="004A040C"/>
    <w:rsid w:val="004A1C13"/>
    <w:rsid w:val="004B2F5C"/>
    <w:rsid w:val="004C0A4D"/>
    <w:rsid w:val="004C2EE3"/>
    <w:rsid w:val="004D1632"/>
    <w:rsid w:val="004D55AB"/>
    <w:rsid w:val="004E4A22"/>
    <w:rsid w:val="004F0390"/>
    <w:rsid w:val="004F272D"/>
    <w:rsid w:val="00511968"/>
    <w:rsid w:val="0054330E"/>
    <w:rsid w:val="0054711A"/>
    <w:rsid w:val="0055267A"/>
    <w:rsid w:val="00554A5B"/>
    <w:rsid w:val="0055614C"/>
    <w:rsid w:val="00560D10"/>
    <w:rsid w:val="00585AF1"/>
    <w:rsid w:val="005B0B58"/>
    <w:rsid w:val="005B3954"/>
    <w:rsid w:val="005B4348"/>
    <w:rsid w:val="005D6932"/>
    <w:rsid w:val="005E14C2"/>
    <w:rsid w:val="00603E84"/>
    <w:rsid w:val="00607BA5"/>
    <w:rsid w:val="006114A5"/>
    <w:rsid w:val="0061180A"/>
    <w:rsid w:val="00626EB6"/>
    <w:rsid w:val="00655516"/>
    <w:rsid w:val="00655D03"/>
    <w:rsid w:val="006728D5"/>
    <w:rsid w:val="00683388"/>
    <w:rsid w:val="00683F84"/>
    <w:rsid w:val="00684CCE"/>
    <w:rsid w:val="006A6A81"/>
    <w:rsid w:val="006D06C5"/>
    <w:rsid w:val="006D576D"/>
    <w:rsid w:val="006E6610"/>
    <w:rsid w:val="006F7393"/>
    <w:rsid w:val="0070224F"/>
    <w:rsid w:val="007115F7"/>
    <w:rsid w:val="00741C2B"/>
    <w:rsid w:val="00744538"/>
    <w:rsid w:val="00762137"/>
    <w:rsid w:val="00762F37"/>
    <w:rsid w:val="00785689"/>
    <w:rsid w:val="0079754B"/>
    <w:rsid w:val="007A149D"/>
    <w:rsid w:val="007A1E6D"/>
    <w:rsid w:val="007A7217"/>
    <w:rsid w:val="007B0066"/>
    <w:rsid w:val="007B0EB2"/>
    <w:rsid w:val="007C014D"/>
    <w:rsid w:val="007C1C4C"/>
    <w:rsid w:val="007D5873"/>
    <w:rsid w:val="007E0172"/>
    <w:rsid w:val="007E3CB4"/>
    <w:rsid w:val="00806261"/>
    <w:rsid w:val="00810B6F"/>
    <w:rsid w:val="00822CE0"/>
    <w:rsid w:val="0082602D"/>
    <w:rsid w:val="00827459"/>
    <w:rsid w:val="008334A2"/>
    <w:rsid w:val="00837877"/>
    <w:rsid w:val="00841AB1"/>
    <w:rsid w:val="00866432"/>
    <w:rsid w:val="008C68F1"/>
    <w:rsid w:val="008C7EA8"/>
    <w:rsid w:val="008D1A7E"/>
    <w:rsid w:val="008D2646"/>
    <w:rsid w:val="008D7167"/>
    <w:rsid w:val="008E740A"/>
    <w:rsid w:val="008F0DC6"/>
    <w:rsid w:val="008F5B10"/>
    <w:rsid w:val="00921803"/>
    <w:rsid w:val="00926503"/>
    <w:rsid w:val="0094310B"/>
    <w:rsid w:val="00950665"/>
    <w:rsid w:val="009726D8"/>
    <w:rsid w:val="00980F14"/>
    <w:rsid w:val="0098370C"/>
    <w:rsid w:val="00983B7C"/>
    <w:rsid w:val="009D36FA"/>
    <w:rsid w:val="009F76DB"/>
    <w:rsid w:val="009F7CE6"/>
    <w:rsid w:val="00A06041"/>
    <w:rsid w:val="00A145D5"/>
    <w:rsid w:val="00A20F06"/>
    <w:rsid w:val="00A250A3"/>
    <w:rsid w:val="00A308C5"/>
    <w:rsid w:val="00A32C3B"/>
    <w:rsid w:val="00A45F4F"/>
    <w:rsid w:val="00A600A9"/>
    <w:rsid w:val="00A63E1D"/>
    <w:rsid w:val="00A66D3D"/>
    <w:rsid w:val="00A671ED"/>
    <w:rsid w:val="00A67D02"/>
    <w:rsid w:val="00A843A2"/>
    <w:rsid w:val="00AA55B7"/>
    <w:rsid w:val="00AA5B9E"/>
    <w:rsid w:val="00AB1D06"/>
    <w:rsid w:val="00AB2407"/>
    <w:rsid w:val="00AB53DF"/>
    <w:rsid w:val="00AF0215"/>
    <w:rsid w:val="00B07E5C"/>
    <w:rsid w:val="00B5501D"/>
    <w:rsid w:val="00B63251"/>
    <w:rsid w:val="00B7075F"/>
    <w:rsid w:val="00B811F7"/>
    <w:rsid w:val="00BA5DC6"/>
    <w:rsid w:val="00BA6196"/>
    <w:rsid w:val="00BC2410"/>
    <w:rsid w:val="00BC6D8C"/>
    <w:rsid w:val="00BF0C76"/>
    <w:rsid w:val="00C34006"/>
    <w:rsid w:val="00C35F1B"/>
    <w:rsid w:val="00C426B1"/>
    <w:rsid w:val="00C52265"/>
    <w:rsid w:val="00C538F3"/>
    <w:rsid w:val="00C5692D"/>
    <w:rsid w:val="00C66160"/>
    <w:rsid w:val="00C721AC"/>
    <w:rsid w:val="00C8609A"/>
    <w:rsid w:val="00C90D6A"/>
    <w:rsid w:val="00CA247E"/>
    <w:rsid w:val="00CA3615"/>
    <w:rsid w:val="00CC72B6"/>
    <w:rsid w:val="00CF2D48"/>
    <w:rsid w:val="00D0218D"/>
    <w:rsid w:val="00D24861"/>
    <w:rsid w:val="00D25FB5"/>
    <w:rsid w:val="00D32327"/>
    <w:rsid w:val="00D40C7E"/>
    <w:rsid w:val="00D44223"/>
    <w:rsid w:val="00D5754D"/>
    <w:rsid w:val="00D73CBA"/>
    <w:rsid w:val="00D904CA"/>
    <w:rsid w:val="00DA2529"/>
    <w:rsid w:val="00DB06CF"/>
    <w:rsid w:val="00DB0C79"/>
    <w:rsid w:val="00DB130A"/>
    <w:rsid w:val="00DB2EBB"/>
    <w:rsid w:val="00DB33F3"/>
    <w:rsid w:val="00DB4FEC"/>
    <w:rsid w:val="00DC10A1"/>
    <w:rsid w:val="00DC655F"/>
    <w:rsid w:val="00DD0B59"/>
    <w:rsid w:val="00DD2C8E"/>
    <w:rsid w:val="00DD7EBD"/>
    <w:rsid w:val="00DE3CD5"/>
    <w:rsid w:val="00DF41CA"/>
    <w:rsid w:val="00DF62B6"/>
    <w:rsid w:val="00E011A9"/>
    <w:rsid w:val="00E053AA"/>
    <w:rsid w:val="00E07225"/>
    <w:rsid w:val="00E106B7"/>
    <w:rsid w:val="00E15C01"/>
    <w:rsid w:val="00E5409F"/>
    <w:rsid w:val="00E55EFB"/>
    <w:rsid w:val="00E803DA"/>
    <w:rsid w:val="00E93AD2"/>
    <w:rsid w:val="00E96390"/>
    <w:rsid w:val="00EB27F6"/>
    <w:rsid w:val="00EB57E1"/>
    <w:rsid w:val="00EB6598"/>
    <w:rsid w:val="00EE6488"/>
    <w:rsid w:val="00EF1451"/>
    <w:rsid w:val="00EF5FFA"/>
    <w:rsid w:val="00F021FA"/>
    <w:rsid w:val="00F27B53"/>
    <w:rsid w:val="00F45F9D"/>
    <w:rsid w:val="00F62E97"/>
    <w:rsid w:val="00F641E9"/>
    <w:rsid w:val="00F64209"/>
    <w:rsid w:val="00F645BF"/>
    <w:rsid w:val="00F92937"/>
    <w:rsid w:val="00F93BF5"/>
    <w:rsid w:val="00FB2A87"/>
    <w:rsid w:val="00FB44CD"/>
    <w:rsid w:val="00FC1E0B"/>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646"/>
    <w:pPr>
      <w:widowControl w:val="0"/>
    </w:pPr>
    <w:rPr>
      <w:snapToGrid w:val="0"/>
      <w:kern w:val="28"/>
      <w:sz w:val="22"/>
    </w:rPr>
  </w:style>
  <w:style w:type="paragraph" w:styleId="Heading1">
    <w:name w:val="heading 1"/>
    <w:basedOn w:val="Normal"/>
    <w:next w:val="ParaNum"/>
    <w:qFormat/>
    <w:rsid w:val="008D264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2646"/>
    <w:pPr>
      <w:keepNext/>
      <w:numPr>
        <w:ilvl w:val="1"/>
        <w:numId w:val="3"/>
      </w:numPr>
      <w:spacing w:after="120"/>
      <w:outlineLvl w:val="1"/>
    </w:pPr>
    <w:rPr>
      <w:b/>
    </w:rPr>
  </w:style>
  <w:style w:type="paragraph" w:styleId="Heading3">
    <w:name w:val="heading 3"/>
    <w:basedOn w:val="Normal"/>
    <w:next w:val="ParaNum"/>
    <w:qFormat/>
    <w:rsid w:val="008D2646"/>
    <w:pPr>
      <w:keepNext/>
      <w:numPr>
        <w:ilvl w:val="2"/>
        <w:numId w:val="3"/>
      </w:numPr>
      <w:tabs>
        <w:tab w:val="left" w:pos="2160"/>
      </w:tabs>
      <w:spacing w:after="120"/>
      <w:outlineLvl w:val="2"/>
    </w:pPr>
    <w:rPr>
      <w:b/>
    </w:rPr>
  </w:style>
  <w:style w:type="paragraph" w:styleId="Heading4">
    <w:name w:val="heading 4"/>
    <w:basedOn w:val="Normal"/>
    <w:next w:val="ParaNum"/>
    <w:qFormat/>
    <w:rsid w:val="008D2646"/>
    <w:pPr>
      <w:keepNext/>
      <w:numPr>
        <w:ilvl w:val="3"/>
        <w:numId w:val="3"/>
      </w:numPr>
      <w:tabs>
        <w:tab w:val="left" w:pos="2880"/>
      </w:tabs>
      <w:spacing w:after="120"/>
      <w:outlineLvl w:val="3"/>
    </w:pPr>
    <w:rPr>
      <w:b/>
    </w:rPr>
  </w:style>
  <w:style w:type="paragraph" w:styleId="Heading5">
    <w:name w:val="heading 5"/>
    <w:basedOn w:val="Normal"/>
    <w:next w:val="ParaNum"/>
    <w:qFormat/>
    <w:rsid w:val="008D264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2646"/>
    <w:pPr>
      <w:numPr>
        <w:ilvl w:val="5"/>
        <w:numId w:val="3"/>
      </w:numPr>
      <w:tabs>
        <w:tab w:val="left" w:pos="4320"/>
      </w:tabs>
      <w:spacing w:after="120"/>
      <w:outlineLvl w:val="5"/>
    </w:pPr>
    <w:rPr>
      <w:b/>
    </w:rPr>
  </w:style>
  <w:style w:type="paragraph" w:styleId="Heading7">
    <w:name w:val="heading 7"/>
    <w:basedOn w:val="Normal"/>
    <w:next w:val="ParaNum"/>
    <w:qFormat/>
    <w:rsid w:val="008D264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264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264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26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2646"/>
  </w:style>
  <w:style w:type="paragraph" w:customStyle="1" w:styleId="ParaNum">
    <w:name w:val="ParaNum"/>
    <w:basedOn w:val="Normal"/>
    <w:rsid w:val="008D2646"/>
    <w:pPr>
      <w:numPr>
        <w:numId w:val="2"/>
      </w:numPr>
      <w:tabs>
        <w:tab w:val="clear" w:pos="1080"/>
        <w:tab w:val="num" w:pos="1440"/>
      </w:tabs>
      <w:spacing w:after="120"/>
    </w:pPr>
  </w:style>
  <w:style w:type="paragraph" w:styleId="EndnoteText">
    <w:name w:val="endnote text"/>
    <w:basedOn w:val="Normal"/>
    <w:semiHidden/>
    <w:rsid w:val="008D2646"/>
    <w:rPr>
      <w:sz w:val="20"/>
    </w:rPr>
  </w:style>
  <w:style w:type="character" w:styleId="EndnoteReference">
    <w:name w:val="endnote reference"/>
    <w:semiHidden/>
    <w:rsid w:val="008D2646"/>
    <w:rPr>
      <w:vertAlign w:val="superscript"/>
    </w:rPr>
  </w:style>
  <w:style w:type="paragraph" w:styleId="FootnoteText">
    <w:name w:val="footnote text"/>
    <w:link w:val="FootnoteTextChar"/>
    <w:rsid w:val="008D2646"/>
    <w:pPr>
      <w:spacing w:after="120"/>
    </w:pPr>
  </w:style>
  <w:style w:type="character" w:styleId="FootnoteReference">
    <w:name w:val="footnote reference"/>
    <w:rsid w:val="008D2646"/>
    <w:rPr>
      <w:rFonts w:ascii="Times New Roman" w:hAnsi="Times New Roman"/>
      <w:dstrike w:val="0"/>
      <w:color w:val="auto"/>
      <w:sz w:val="20"/>
      <w:vertAlign w:val="superscript"/>
    </w:rPr>
  </w:style>
  <w:style w:type="paragraph" w:styleId="TOC1">
    <w:name w:val="toc 1"/>
    <w:basedOn w:val="Normal"/>
    <w:next w:val="Normal"/>
    <w:semiHidden/>
    <w:rsid w:val="008D264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2646"/>
    <w:pPr>
      <w:tabs>
        <w:tab w:val="left" w:pos="720"/>
        <w:tab w:val="right" w:leader="dot" w:pos="9360"/>
      </w:tabs>
      <w:suppressAutoHyphens/>
      <w:ind w:left="720" w:right="720" w:hanging="360"/>
    </w:pPr>
    <w:rPr>
      <w:noProof/>
    </w:rPr>
  </w:style>
  <w:style w:type="paragraph" w:styleId="TOC3">
    <w:name w:val="toc 3"/>
    <w:basedOn w:val="Normal"/>
    <w:next w:val="Normal"/>
    <w:semiHidden/>
    <w:rsid w:val="008D264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264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264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264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264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264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264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2646"/>
    <w:pPr>
      <w:tabs>
        <w:tab w:val="right" w:pos="9360"/>
      </w:tabs>
      <w:suppressAutoHyphens/>
    </w:pPr>
  </w:style>
  <w:style w:type="character" w:customStyle="1" w:styleId="EquationCaption">
    <w:name w:val="_Equation Caption"/>
    <w:rsid w:val="008D2646"/>
  </w:style>
  <w:style w:type="paragraph" w:styleId="Header">
    <w:name w:val="header"/>
    <w:basedOn w:val="Normal"/>
    <w:autoRedefine/>
    <w:rsid w:val="008D2646"/>
    <w:pPr>
      <w:tabs>
        <w:tab w:val="center" w:pos="4680"/>
        <w:tab w:val="right" w:pos="9360"/>
      </w:tabs>
    </w:pPr>
    <w:rPr>
      <w:b/>
    </w:rPr>
  </w:style>
  <w:style w:type="paragraph" w:styleId="Footer">
    <w:name w:val="footer"/>
    <w:basedOn w:val="Normal"/>
    <w:rsid w:val="008D2646"/>
    <w:pPr>
      <w:tabs>
        <w:tab w:val="center" w:pos="4320"/>
        <w:tab w:val="right" w:pos="8640"/>
      </w:tabs>
    </w:pPr>
  </w:style>
  <w:style w:type="character" w:styleId="PageNumber">
    <w:name w:val="page number"/>
    <w:basedOn w:val="DefaultParagraphFont"/>
    <w:rsid w:val="008D2646"/>
  </w:style>
  <w:style w:type="paragraph" w:styleId="BlockText">
    <w:name w:val="Block Text"/>
    <w:basedOn w:val="Normal"/>
    <w:rsid w:val="008D2646"/>
    <w:pPr>
      <w:spacing w:after="240"/>
      <w:ind w:left="1440" w:right="1440"/>
    </w:pPr>
  </w:style>
  <w:style w:type="paragraph" w:customStyle="1" w:styleId="Paratitle">
    <w:name w:val="Para title"/>
    <w:basedOn w:val="Normal"/>
    <w:rsid w:val="008D2646"/>
    <w:pPr>
      <w:tabs>
        <w:tab w:val="center" w:pos="9270"/>
      </w:tabs>
      <w:spacing w:after="240"/>
    </w:pPr>
    <w:rPr>
      <w:spacing w:val="-2"/>
    </w:rPr>
  </w:style>
  <w:style w:type="paragraph" w:customStyle="1" w:styleId="Bullet">
    <w:name w:val="Bullet"/>
    <w:basedOn w:val="Normal"/>
    <w:rsid w:val="008D2646"/>
    <w:pPr>
      <w:tabs>
        <w:tab w:val="left" w:pos="2160"/>
      </w:tabs>
      <w:spacing w:after="220"/>
      <w:ind w:left="2160" w:hanging="720"/>
    </w:pPr>
  </w:style>
  <w:style w:type="paragraph" w:customStyle="1" w:styleId="TableFormat">
    <w:name w:val="TableFormat"/>
    <w:basedOn w:val="Bullet"/>
    <w:rsid w:val="008D2646"/>
    <w:pPr>
      <w:tabs>
        <w:tab w:val="clear" w:pos="2160"/>
        <w:tab w:val="left" w:pos="5040"/>
      </w:tabs>
      <w:ind w:left="5040" w:hanging="3600"/>
    </w:pPr>
  </w:style>
  <w:style w:type="paragraph" w:customStyle="1" w:styleId="TOCTitle">
    <w:name w:val="TOC Title"/>
    <w:basedOn w:val="Normal"/>
    <w:rsid w:val="008D264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2646"/>
    <w:pPr>
      <w:jc w:val="center"/>
    </w:pPr>
    <w:rPr>
      <w:rFonts w:ascii="Times New Roman Bold" w:hAnsi="Times New Roman Bold"/>
      <w:b/>
      <w:bCs/>
      <w:caps/>
      <w:szCs w:val="22"/>
    </w:rPr>
  </w:style>
  <w:style w:type="character" w:styleId="Hyperlink">
    <w:name w:val="Hyperlink"/>
    <w:rsid w:val="008D2646"/>
    <w:rPr>
      <w:color w:val="0000FF"/>
      <w:u w:val="single"/>
    </w:rPr>
  </w:style>
  <w:style w:type="character" w:customStyle="1" w:styleId="FootnoteTextChar">
    <w:name w:val="Footnote Text Char"/>
    <w:link w:val="FootnoteText"/>
    <w:rsid w:val="0016303B"/>
  </w:style>
  <w:style w:type="paragraph" w:styleId="BodyText2">
    <w:name w:val="Body Text 2"/>
    <w:basedOn w:val="Normal"/>
    <w:link w:val="BodyText2Char"/>
    <w:rsid w:val="00762F37"/>
    <w:rPr>
      <w:kern w:val="0"/>
      <w:sz w:val="24"/>
    </w:rPr>
  </w:style>
  <w:style w:type="character" w:customStyle="1" w:styleId="BodyText2Char">
    <w:name w:val="Body Text 2 Char"/>
    <w:basedOn w:val="DefaultParagraphFont"/>
    <w:link w:val="BodyText2"/>
    <w:rsid w:val="00762F37"/>
    <w:rPr>
      <w:snapToGrid w:val="0"/>
      <w:sz w:val="24"/>
    </w:rPr>
  </w:style>
  <w:style w:type="paragraph" w:styleId="BalloonText">
    <w:name w:val="Balloon Text"/>
    <w:basedOn w:val="Normal"/>
    <w:link w:val="BalloonTextChar"/>
    <w:rsid w:val="007E3CB4"/>
    <w:rPr>
      <w:rFonts w:ascii="Segoe UI" w:hAnsi="Segoe UI" w:cs="Segoe UI"/>
      <w:sz w:val="18"/>
      <w:szCs w:val="18"/>
    </w:rPr>
  </w:style>
  <w:style w:type="character" w:customStyle="1" w:styleId="BalloonTextChar">
    <w:name w:val="Balloon Text Char"/>
    <w:basedOn w:val="DefaultParagraphFont"/>
    <w:link w:val="BalloonText"/>
    <w:rsid w:val="007E3CB4"/>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646"/>
    <w:pPr>
      <w:widowControl w:val="0"/>
    </w:pPr>
    <w:rPr>
      <w:snapToGrid w:val="0"/>
      <w:kern w:val="28"/>
      <w:sz w:val="22"/>
    </w:rPr>
  </w:style>
  <w:style w:type="paragraph" w:styleId="Heading1">
    <w:name w:val="heading 1"/>
    <w:basedOn w:val="Normal"/>
    <w:next w:val="ParaNum"/>
    <w:qFormat/>
    <w:rsid w:val="008D264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2646"/>
    <w:pPr>
      <w:keepNext/>
      <w:numPr>
        <w:ilvl w:val="1"/>
        <w:numId w:val="3"/>
      </w:numPr>
      <w:spacing w:after="120"/>
      <w:outlineLvl w:val="1"/>
    </w:pPr>
    <w:rPr>
      <w:b/>
    </w:rPr>
  </w:style>
  <w:style w:type="paragraph" w:styleId="Heading3">
    <w:name w:val="heading 3"/>
    <w:basedOn w:val="Normal"/>
    <w:next w:val="ParaNum"/>
    <w:qFormat/>
    <w:rsid w:val="008D2646"/>
    <w:pPr>
      <w:keepNext/>
      <w:numPr>
        <w:ilvl w:val="2"/>
        <w:numId w:val="3"/>
      </w:numPr>
      <w:tabs>
        <w:tab w:val="left" w:pos="2160"/>
      </w:tabs>
      <w:spacing w:after="120"/>
      <w:outlineLvl w:val="2"/>
    </w:pPr>
    <w:rPr>
      <w:b/>
    </w:rPr>
  </w:style>
  <w:style w:type="paragraph" w:styleId="Heading4">
    <w:name w:val="heading 4"/>
    <w:basedOn w:val="Normal"/>
    <w:next w:val="ParaNum"/>
    <w:qFormat/>
    <w:rsid w:val="008D2646"/>
    <w:pPr>
      <w:keepNext/>
      <w:numPr>
        <w:ilvl w:val="3"/>
        <w:numId w:val="3"/>
      </w:numPr>
      <w:tabs>
        <w:tab w:val="left" w:pos="2880"/>
      </w:tabs>
      <w:spacing w:after="120"/>
      <w:outlineLvl w:val="3"/>
    </w:pPr>
    <w:rPr>
      <w:b/>
    </w:rPr>
  </w:style>
  <w:style w:type="paragraph" w:styleId="Heading5">
    <w:name w:val="heading 5"/>
    <w:basedOn w:val="Normal"/>
    <w:next w:val="ParaNum"/>
    <w:qFormat/>
    <w:rsid w:val="008D264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2646"/>
    <w:pPr>
      <w:numPr>
        <w:ilvl w:val="5"/>
        <w:numId w:val="3"/>
      </w:numPr>
      <w:tabs>
        <w:tab w:val="left" w:pos="4320"/>
      </w:tabs>
      <w:spacing w:after="120"/>
      <w:outlineLvl w:val="5"/>
    </w:pPr>
    <w:rPr>
      <w:b/>
    </w:rPr>
  </w:style>
  <w:style w:type="paragraph" w:styleId="Heading7">
    <w:name w:val="heading 7"/>
    <w:basedOn w:val="Normal"/>
    <w:next w:val="ParaNum"/>
    <w:qFormat/>
    <w:rsid w:val="008D264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264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264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26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2646"/>
  </w:style>
  <w:style w:type="paragraph" w:customStyle="1" w:styleId="ParaNum">
    <w:name w:val="ParaNum"/>
    <w:basedOn w:val="Normal"/>
    <w:rsid w:val="008D2646"/>
    <w:pPr>
      <w:numPr>
        <w:numId w:val="2"/>
      </w:numPr>
      <w:tabs>
        <w:tab w:val="clear" w:pos="1080"/>
        <w:tab w:val="num" w:pos="1440"/>
      </w:tabs>
      <w:spacing w:after="120"/>
    </w:pPr>
  </w:style>
  <w:style w:type="paragraph" w:styleId="EndnoteText">
    <w:name w:val="endnote text"/>
    <w:basedOn w:val="Normal"/>
    <w:semiHidden/>
    <w:rsid w:val="008D2646"/>
    <w:rPr>
      <w:sz w:val="20"/>
    </w:rPr>
  </w:style>
  <w:style w:type="character" w:styleId="EndnoteReference">
    <w:name w:val="endnote reference"/>
    <w:semiHidden/>
    <w:rsid w:val="008D2646"/>
    <w:rPr>
      <w:vertAlign w:val="superscript"/>
    </w:rPr>
  </w:style>
  <w:style w:type="paragraph" w:styleId="FootnoteText">
    <w:name w:val="footnote text"/>
    <w:link w:val="FootnoteTextChar"/>
    <w:rsid w:val="008D2646"/>
    <w:pPr>
      <w:spacing w:after="120"/>
    </w:pPr>
  </w:style>
  <w:style w:type="character" w:styleId="FootnoteReference">
    <w:name w:val="footnote reference"/>
    <w:rsid w:val="008D2646"/>
    <w:rPr>
      <w:rFonts w:ascii="Times New Roman" w:hAnsi="Times New Roman"/>
      <w:dstrike w:val="0"/>
      <w:color w:val="auto"/>
      <w:sz w:val="20"/>
      <w:vertAlign w:val="superscript"/>
    </w:rPr>
  </w:style>
  <w:style w:type="paragraph" w:styleId="TOC1">
    <w:name w:val="toc 1"/>
    <w:basedOn w:val="Normal"/>
    <w:next w:val="Normal"/>
    <w:semiHidden/>
    <w:rsid w:val="008D264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2646"/>
    <w:pPr>
      <w:tabs>
        <w:tab w:val="left" w:pos="720"/>
        <w:tab w:val="right" w:leader="dot" w:pos="9360"/>
      </w:tabs>
      <w:suppressAutoHyphens/>
      <w:ind w:left="720" w:right="720" w:hanging="360"/>
    </w:pPr>
    <w:rPr>
      <w:noProof/>
    </w:rPr>
  </w:style>
  <w:style w:type="paragraph" w:styleId="TOC3">
    <w:name w:val="toc 3"/>
    <w:basedOn w:val="Normal"/>
    <w:next w:val="Normal"/>
    <w:semiHidden/>
    <w:rsid w:val="008D264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264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264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264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264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264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264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2646"/>
    <w:pPr>
      <w:tabs>
        <w:tab w:val="right" w:pos="9360"/>
      </w:tabs>
      <w:suppressAutoHyphens/>
    </w:pPr>
  </w:style>
  <w:style w:type="character" w:customStyle="1" w:styleId="EquationCaption">
    <w:name w:val="_Equation Caption"/>
    <w:rsid w:val="008D2646"/>
  </w:style>
  <w:style w:type="paragraph" w:styleId="Header">
    <w:name w:val="header"/>
    <w:basedOn w:val="Normal"/>
    <w:autoRedefine/>
    <w:rsid w:val="008D2646"/>
    <w:pPr>
      <w:tabs>
        <w:tab w:val="center" w:pos="4680"/>
        <w:tab w:val="right" w:pos="9360"/>
      </w:tabs>
    </w:pPr>
    <w:rPr>
      <w:b/>
    </w:rPr>
  </w:style>
  <w:style w:type="paragraph" w:styleId="Footer">
    <w:name w:val="footer"/>
    <w:basedOn w:val="Normal"/>
    <w:rsid w:val="008D2646"/>
    <w:pPr>
      <w:tabs>
        <w:tab w:val="center" w:pos="4320"/>
        <w:tab w:val="right" w:pos="8640"/>
      </w:tabs>
    </w:pPr>
  </w:style>
  <w:style w:type="character" w:styleId="PageNumber">
    <w:name w:val="page number"/>
    <w:basedOn w:val="DefaultParagraphFont"/>
    <w:rsid w:val="008D2646"/>
  </w:style>
  <w:style w:type="paragraph" w:styleId="BlockText">
    <w:name w:val="Block Text"/>
    <w:basedOn w:val="Normal"/>
    <w:rsid w:val="008D2646"/>
    <w:pPr>
      <w:spacing w:after="240"/>
      <w:ind w:left="1440" w:right="1440"/>
    </w:pPr>
  </w:style>
  <w:style w:type="paragraph" w:customStyle="1" w:styleId="Paratitle">
    <w:name w:val="Para title"/>
    <w:basedOn w:val="Normal"/>
    <w:rsid w:val="008D2646"/>
    <w:pPr>
      <w:tabs>
        <w:tab w:val="center" w:pos="9270"/>
      </w:tabs>
      <w:spacing w:after="240"/>
    </w:pPr>
    <w:rPr>
      <w:spacing w:val="-2"/>
    </w:rPr>
  </w:style>
  <w:style w:type="paragraph" w:customStyle="1" w:styleId="Bullet">
    <w:name w:val="Bullet"/>
    <w:basedOn w:val="Normal"/>
    <w:rsid w:val="008D2646"/>
    <w:pPr>
      <w:tabs>
        <w:tab w:val="left" w:pos="2160"/>
      </w:tabs>
      <w:spacing w:after="220"/>
      <w:ind w:left="2160" w:hanging="720"/>
    </w:pPr>
  </w:style>
  <w:style w:type="paragraph" w:customStyle="1" w:styleId="TableFormat">
    <w:name w:val="TableFormat"/>
    <w:basedOn w:val="Bullet"/>
    <w:rsid w:val="008D2646"/>
    <w:pPr>
      <w:tabs>
        <w:tab w:val="clear" w:pos="2160"/>
        <w:tab w:val="left" w:pos="5040"/>
      </w:tabs>
      <w:ind w:left="5040" w:hanging="3600"/>
    </w:pPr>
  </w:style>
  <w:style w:type="paragraph" w:customStyle="1" w:styleId="TOCTitle">
    <w:name w:val="TOC Title"/>
    <w:basedOn w:val="Normal"/>
    <w:rsid w:val="008D264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2646"/>
    <w:pPr>
      <w:jc w:val="center"/>
    </w:pPr>
    <w:rPr>
      <w:rFonts w:ascii="Times New Roman Bold" w:hAnsi="Times New Roman Bold"/>
      <w:b/>
      <w:bCs/>
      <w:caps/>
      <w:szCs w:val="22"/>
    </w:rPr>
  </w:style>
  <w:style w:type="character" w:styleId="Hyperlink">
    <w:name w:val="Hyperlink"/>
    <w:rsid w:val="008D2646"/>
    <w:rPr>
      <w:color w:val="0000FF"/>
      <w:u w:val="single"/>
    </w:rPr>
  </w:style>
  <w:style w:type="character" w:customStyle="1" w:styleId="FootnoteTextChar">
    <w:name w:val="Footnote Text Char"/>
    <w:link w:val="FootnoteText"/>
    <w:rsid w:val="0016303B"/>
  </w:style>
  <w:style w:type="paragraph" w:styleId="BodyText2">
    <w:name w:val="Body Text 2"/>
    <w:basedOn w:val="Normal"/>
    <w:link w:val="BodyText2Char"/>
    <w:rsid w:val="00762F37"/>
    <w:rPr>
      <w:kern w:val="0"/>
      <w:sz w:val="24"/>
    </w:rPr>
  </w:style>
  <w:style w:type="character" w:customStyle="1" w:styleId="BodyText2Char">
    <w:name w:val="Body Text 2 Char"/>
    <w:basedOn w:val="DefaultParagraphFont"/>
    <w:link w:val="BodyText2"/>
    <w:rsid w:val="00762F37"/>
    <w:rPr>
      <w:snapToGrid w:val="0"/>
      <w:sz w:val="24"/>
    </w:rPr>
  </w:style>
  <w:style w:type="paragraph" w:styleId="BalloonText">
    <w:name w:val="Balloon Text"/>
    <w:basedOn w:val="Normal"/>
    <w:link w:val="BalloonTextChar"/>
    <w:rsid w:val="007E3CB4"/>
    <w:rPr>
      <w:rFonts w:ascii="Segoe UI" w:hAnsi="Segoe UI" w:cs="Segoe UI"/>
      <w:sz w:val="18"/>
      <w:szCs w:val="18"/>
    </w:rPr>
  </w:style>
  <w:style w:type="character" w:customStyle="1" w:styleId="BalloonTextChar">
    <w:name w:val="Balloon Text Char"/>
    <w:basedOn w:val="DefaultParagraphFont"/>
    <w:link w:val="BalloonText"/>
    <w:rsid w:val="007E3CB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2184</Words>
  <Characters>11526</Characters>
  <Application>Microsoft Office Word</Application>
  <DocSecurity>0</DocSecurity>
  <Lines>219</Lines>
  <Paragraphs>80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2015-08-05T13:35:00Z</cp:lastPrinted>
  <dcterms:created xsi:type="dcterms:W3CDTF">2015-08-05T17:31:00Z</dcterms:created>
  <dcterms:modified xsi:type="dcterms:W3CDTF">2015-08-05T17:31:00Z</dcterms:modified>
  <cp:category> </cp:category>
  <cp:contentStatus> </cp:contentStatus>
</cp:coreProperties>
</file>