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B8" w:rsidRPr="00E96DA3" w:rsidRDefault="00235EF1" w:rsidP="003770B8">
      <w:pPr>
        <w:ind w:left="6480"/>
        <w:jc w:val="right"/>
        <w:outlineLvl w:val="0"/>
        <w:rPr>
          <w:b/>
          <w:bCs/>
          <w:sz w:val="24"/>
          <w:szCs w:val="24"/>
        </w:rPr>
      </w:pPr>
      <w:bookmarkStart w:id="0" w:name="_GoBack"/>
      <w:bookmarkEnd w:id="0"/>
      <w:r w:rsidRPr="00981F25">
        <w:rPr>
          <w:color w:val="FFFFFF" w:themeColor="background1"/>
          <w:sz w:val="24"/>
          <w:szCs w:val="24"/>
        </w:rPr>
        <w:t>‘</w:t>
      </w:r>
      <w:r w:rsidR="003770B8" w:rsidRPr="00E96DA3">
        <w:rPr>
          <w:b/>
          <w:bCs/>
          <w:sz w:val="24"/>
          <w:szCs w:val="24"/>
        </w:rPr>
        <w:t>DA</w:t>
      </w:r>
      <w:r w:rsidR="003770B8">
        <w:rPr>
          <w:sz w:val="24"/>
          <w:szCs w:val="24"/>
        </w:rPr>
        <w:t xml:space="preserve"> </w:t>
      </w:r>
      <w:r w:rsidR="00EB7AF1">
        <w:rPr>
          <w:b/>
          <w:bCs/>
          <w:sz w:val="24"/>
          <w:szCs w:val="24"/>
        </w:rPr>
        <w:t>15-887</w:t>
      </w:r>
    </w:p>
    <w:p w:rsidR="003770B8" w:rsidRPr="00E96DA3" w:rsidRDefault="003770B8" w:rsidP="003770B8">
      <w:pPr>
        <w:jc w:val="center"/>
        <w:rPr>
          <w:sz w:val="24"/>
          <w:szCs w:val="24"/>
        </w:rPr>
      </w:pPr>
    </w:p>
    <w:p w:rsidR="003770B8" w:rsidRPr="007F0C94" w:rsidRDefault="003770B8" w:rsidP="003770B8">
      <w:pPr>
        <w:jc w:val="center"/>
        <w:rPr>
          <w:b/>
          <w:sz w:val="36"/>
          <w:szCs w:val="36"/>
        </w:rPr>
      </w:pPr>
      <w:r w:rsidRPr="007F0C94">
        <w:rPr>
          <w:b/>
          <w:sz w:val="36"/>
          <w:szCs w:val="36"/>
        </w:rPr>
        <w:t>Small Entity Compliance Guide</w:t>
      </w:r>
    </w:p>
    <w:p w:rsidR="003770B8" w:rsidRPr="00E96DA3" w:rsidRDefault="003770B8" w:rsidP="003770B8">
      <w:pPr>
        <w:jc w:val="center"/>
        <w:rPr>
          <w:b/>
          <w:sz w:val="24"/>
          <w:szCs w:val="24"/>
        </w:rPr>
      </w:pPr>
    </w:p>
    <w:p w:rsidR="003770B8" w:rsidRPr="007F0C94" w:rsidRDefault="003770B8" w:rsidP="003770B8">
      <w:pPr>
        <w:jc w:val="center"/>
        <w:rPr>
          <w:sz w:val="28"/>
          <w:szCs w:val="28"/>
        </w:rPr>
      </w:pPr>
      <w:r>
        <w:rPr>
          <w:b/>
          <w:sz w:val="28"/>
          <w:szCs w:val="28"/>
        </w:rPr>
        <w:t>WRC-07 Implementation</w:t>
      </w:r>
    </w:p>
    <w:p w:rsidR="003770B8" w:rsidRPr="00E96DA3" w:rsidRDefault="003770B8" w:rsidP="003770B8">
      <w:pPr>
        <w:jc w:val="center"/>
        <w:rPr>
          <w:b/>
          <w:sz w:val="24"/>
          <w:szCs w:val="24"/>
        </w:rPr>
      </w:pPr>
    </w:p>
    <w:p w:rsidR="003770B8" w:rsidRPr="00E96DA3" w:rsidRDefault="003770B8" w:rsidP="003770B8">
      <w:pPr>
        <w:jc w:val="center"/>
        <w:rPr>
          <w:sz w:val="24"/>
          <w:szCs w:val="24"/>
        </w:rPr>
      </w:pPr>
      <w:r w:rsidRPr="00E96DA3">
        <w:rPr>
          <w:sz w:val="24"/>
          <w:szCs w:val="24"/>
        </w:rPr>
        <w:t>Report and Order</w:t>
      </w:r>
    </w:p>
    <w:p w:rsidR="003770B8" w:rsidRPr="00E96DA3" w:rsidRDefault="003770B8" w:rsidP="003770B8">
      <w:pPr>
        <w:jc w:val="center"/>
        <w:rPr>
          <w:sz w:val="24"/>
          <w:szCs w:val="24"/>
        </w:rPr>
      </w:pPr>
      <w:r w:rsidRPr="00E96DA3">
        <w:rPr>
          <w:sz w:val="24"/>
          <w:szCs w:val="24"/>
        </w:rPr>
        <w:t>FCC 1</w:t>
      </w:r>
      <w:r>
        <w:rPr>
          <w:sz w:val="24"/>
          <w:szCs w:val="24"/>
        </w:rPr>
        <w:t>5-50</w:t>
      </w:r>
    </w:p>
    <w:p w:rsidR="003770B8" w:rsidRPr="00E96DA3" w:rsidRDefault="003770B8" w:rsidP="003770B8">
      <w:pPr>
        <w:jc w:val="center"/>
        <w:rPr>
          <w:spacing w:val="-2"/>
          <w:sz w:val="24"/>
          <w:szCs w:val="24"/>
        </w:rPr>
      </w:pPr>
      <w:r w:rsidRPr="00E96DA3">
        <w:rPr>
          <w:spacing w:val="-2"/>
          <w:sz w:val="24"/>
          <w:szCs w:val="24"/>
        </w:rPr>
        <w:t>ET Docket No. 1</w:t>
      </w:r>
      <w:r>
        <w:rPr>
          <w:spacing w:val="-2"/>
          <w:sz w:val="24"/>
          <w:szCs w:val="24"/>
        </w:rPr>
        <w:t>2</w:t>
      </w:r>
      <w:r w:rsidRPr="00E96DA3">
        <w:rPr>
          <w:spacing w:val="-2"/>
          <w:sz w:val="24"/>
          <w:szCs w:val="24"/>
        </w:rPr>
        <w:noBreakHyphen/>
      </w:r>
      <w:r>
        <w:rPr>
          <w:spacing w:val="-2"/>
          <w:sz w:val="24"/>
          <w:szCs w:val="24"/>
        </w:rPr>
        <w:t>338</w:t>
      </w:r>
    </w:p>
    <w:p w:rsidR="003770B8" w:rsidRPr="00E96DA3" w:rsidRDefault="003770B8" w:rsidP="003770B8">
      <w:pPr>
        <w:jc w:val="center"/>
        <w:rPr>
          <w:spacing w:val="-2"/>
          <w:sz w:val="24"/>
          <w:szCs w:val="24"/>
        </w:rPr>
      </w:pPr>
      <w:r w:rsidRPr="00E96DA3">
        <w:rPr>
          <w:spacing w:val="-2"/>
          <w:sz w:val="24"/>
          <w:szCs w:val="24"/>
        </w:rPr>
        <w:t xml:space="preserve">Released:  </w:t>
      </w:r>
      <w:r>
        <w:rPr>
          <w:spacing w:val="-2"/>
          <w:sz w:val="24"/>
          <w:szCs w:val="24"/>
        </w:rPr>
        <w:t>April 27</w:t>
      </w:r>
      <w:r w:rsidRPr="00E96DA3">
        <w:rPr>
          <w:spacing w:val="-2"/>
          <w:sz w:val="24"/>
          <w:szCs w:val="24"/>
        </w:rPr>
        <w:t>, 201</w:t>
      </w:r>
      <w:r>
        <w:rPr>
          <w:spacing w:val="-2"/>
          <w:sz w:val="24"/>
          <w:szCs w:val="24"/>
        </w:rPr>
        <w:t>5</w:t>
      </w:r>
    </w:p>
    <w:p w:rsidR="003770B8" w:rsidRPr="00E96DA3" w:rsidRDefault="003770B8" w:rsidP="003770B8">
      <w:pPr>
        <w:jc w:val="center"/>
        <w:rPr>
          <w:b/>
          <w:spacing w:val="-2"/>
          <w:sz w:val="24"/>
          <w:szCs w:val="24"/>
        </w:rPr>
      </w:pPr>
    </w:p>
    <w:p w:rsidR="003770B8" w:rsidRPr="007F0C94" w:rsidRDefault="003770B8" w:rsidP="003770B8">
      <w:pPr>
        <w:tabs>
          <w:tab w:val="left" w:pos="360"/>
        </w:tabs>
        <w:ind w:left="1080" w:right="648"/>
        <w:jc w:val="both"/>
        <w:rPr>
          <w:b/>
          <w:sz w:val="22"/>
          <w:szCs w:val="22"/>
        </w:rPr>
      </w:pPr>
      <w:r w:rsidRPr="007F0C94">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3770B8" w:rsidRPr="007F0C94" w:rsidRDefault="003770B8" w:rsidP="003770B8">
      <w:pPr>
        <w:tabs>
          <w:tab w:val="left" w:pos="360"/>
        </w:tabs>
        <w:ind w:left="1080" w:right="720"/>
        <w:jc w:val="both"/>
        <w:rPr>
          <w:b/>
          <w:sz w:val="22"/>
          <w:szCs w:val="22"/>
        </w:rPr>
      </w:pPr>
    </w:p>
    <w:p w:rsidR="003770B8" w:rsidRPr="007F0C94" w:rsidRDefault="003770B8" w:rsidP="003770B8">
      <w:pPr>
        <w:tabs>
          <w:tab w:val="left" w:pos="360"/>
        </w:tabs>
        <w:ind w:left="1080" w:right="720"/>
        <w:jc w:val="both"/>
        <w:rPr>
          <w:b/>
          <w:sz w:val="22"/>
          <w:szCs w:val="22"/>
        </w:rPr>
      </w:pPr>
      <w:r w:rsidRPr="007F0C94">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3770B8" w:rsidRDefault="003770B8" w:rsidP="003770B8">
      <w:pPr>
        <w:rPr>
          <w:b/>
          <w:sz w:val="22"/>
          <w:szCs w:val="22"/>
        </w:rPr>
      </w:pPr>
    </w:p>
    <w:p w:rsidR="003770B8" w:rsidRDefault="003770B8" w:rsidP="003770B8">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3770B8" w:rsidRDefault="003770B8" w:rsidP="003770B8">
      <w:pPr>
        <w:jc w:val="center"/>
        <w:rPr>
          <w:b/>
          <w:color w:val="000000"/>
          <w:sz w:val="22"/>
          <w:szCs w:val="22"/>
        </w:rPr>
      </w:pPr>
    </w:p>
    <w:p w:rsidR="003770B8" w:rsidRDefault="003770B8" w:rsidP="003770B8">
      <w:pPr>
        <w:spacing w:after="220"/>
        <w:jc w:val="center"/>
        <w:rPr>
          <w:b/>
          <w:sz w:val="24"/>
          <w:szCs w:val="24"/>
          <w:u w:val="single"/>
        </w:rPr>
      </w:pPr>
      <w:r>
        <w:rPr>
          <w:b/>
          <w:color w:val="000000"/>
          <w:sz w:val="22"/>
          <w:szCs w:val="22"/>
        </w:rPr>
        <w:br w:type="page"/>
      </w:r>
      <w:r w:rsidRPr="00E96DA3">
        <w:rPr>
          <w:b/>
          <w:sz w:val="24"/>
          <w:szCs w:val="24"/>
          <w:u w:val="single"/>
        </w:rPr>
        <w:lastRenderedPageBreak/>
        <w:t xml:space="preserve">Compliance Requirements for </w:t>
      </w:r>
      <w:r>
        <w:rPr>
          <w:b/>
          <w:sz w:val="24"/>
          <w:szCs w:val="24"/>
          <w:u w:val="single"/>
        </w:rPr>
        <w:t>WRC-07 Implementation</w:t>
      </w:r>
    </w:p>
    <w:p w:rsidR="003770B8" w:rsidRPr="00E96DA3" w:rsidRDefault="003770B8" w:rsidP="003770B8">
      <w:pPr>
        <w:jc w:val="center"/>
        <w:rPr>
          <w:b/>
          <w:sz w:val="24"/>
          <w:szCs w:val="24"/>
          <w:u w:val="single"/>
        </w:rPr>
      </w:pPr>
    </w:p>
    <w:p w:rsidR="003770B8" w:rsidRPr="00E96DA3" w:rsidRDefault="003770B8" w:rsidP="003770B8">
      <w:pPr>
        <w:pStyle w:val="Heading4"/>
        <w:numPr>
          <w:ilvl w:val="0"/>
          <w:numId w:val="7"/>
        </w:numPr>
        <w:tabs>
          <w:tab w:val="left" w:pos="360"/>
        </w:tabs>
        <w:spacing w:after="0"/>
        <w:ind w:hanging="720"/>
        <w:rPr>
          <w:sz w:val="24"/>
          <w:szCs w:val="24"/>
          <w:u w:val="single"/>
        </w:rPr>
      </w:pPr>
      <w:r w:rsidRPr="00E96DA3">
        <w:rPr>
          <w:sz w:val="24"/>
          <w:szCs w:val="24"/>
          <w:u w:val="single"/>
        </w:rPr>
        <w:t>Objectives of the Proceeding</w:t>
      </w:r>
    </w:p>
    <w:p w:rsidR="003770B8" w:rsidRPr="00E96DA3" w:rsidRDefault="003770B8" w:rsidP="003770B8">
      <w:pPr>
        <w:rPr>
          <w:sz w:val="24"/>
          <w:szCs w:val="24"/>
        </w:rPr>
      </w:pPr>
    </w:p>
    <w:p w:rsidR="003770B8" w:rsidRDefault="003770B8" w:rsidP="003770B8">
      <w:pPr>
        <w:pStyle w:val="ParaNum"/>
        <w:widowControl/>
        <w:numPr>
          <w:ilvl w:val="0"/>
          <w:numId w:val="0"/>
        </w:numPr>
        <w:rPr>
          <w:sz w:val="24"/>
          <w:szCs w:val="24"/>
        </w:rPr>
      </w:pPr>
      <w:r>
        <w:rPr>
          <w:sz w:val="24"/>
          <w:szCs w:val="24"/>
        </w:rPr>
        <w:t>T</w:t>
      </w:r>
      <w:r w:rsidRPr="0064095A">
        <w:rPr>
          <w:sz w:val="24"/>
          <w:szCs w:val="24"/>
        </w:rPr>
        <w:t xml:space="preserve">he </w:t>
      </w:r>
      <w:r>
        <w:rPr>
          <w:sz w:val="24"/>
          <w:szCs w:val="24"/>
        </w:rPr>
        <w:t xml:space="preserve">Commission adopted the </w:t>
      </w:r>
      <w:r w:rsidRPr="0064095A">
        <w:rPr>
          <w:i/>
          <w:sz w:val="24"/>
          <w:szCs w:val="24"/>
        </w:rPr>
        <w:t xml:space="preserve">Report and Order </w:t>
      </w:r>
      <w:r w:rsidRPr="0064095A">
        <w:rPr>
          <w:sz w:val="24"/>
          <w:szCs w:val="24"/>
        </w:rPr>
        <w:t>in ET Docket No. 12</w:t>
      </w:r>
      <w:r w:rsidRPr="0064095A">
        <w:rPr>
          <w:sz w:val="24"/>
          <w:szCs w:val="24"/>
        </w:rPr>
        <w:noBreakHyphen/>
        <w:t>338</w:t>
      </w:r>
      <w:r>
        <w:rPr>
          <w:sz w:val="24"/>
          <w:szCs w:val="24"/>
        </w:rPr>
        <w:t xml:space="preserve"> (</w:t>
      </w:r>
      <w:r w:rsidRPr="00CF5790">
        <w:rPr>
          <w:i/>
          <w:sz w:val="24"/>
          <w:szCs w:val="24"/>
        </w:rPr>
        <w:t>WRC-07 R&amp;O</w:t>
      </w:r>
      <w:r>
        <w:rPr>
          <w:sz w:val="24"/>
          <w:szCs w:val="24"/>
        </w:rPr>
        <w:t xml:space="preserve">) on April 23, 2015 </w:t>
      </w:r>
      <w:r w:rsidRPr="0064095A">
        <w:rPr>
          <w:sz w:val="24"/>
          <w:szCs w:val="24"/>
        </w:rPr>
        <w:t>implementing various allocation decisions from the Final Acts of the World Radiocommunication Conference (Geneva, 2007) (WRC-07) in the Commission’s Table of Frequency Allocations, revis</w:t>
      </w:r>
      <w:r>
        <w:rPr>
          <w:sz w:val="24"/>
          <w:szCs w:val="24"/>
        </w:rPr>
        <w:t xml:space="preserve">ing </w:t>
      </w:r>
      <w:r w:rsidRPr="0064095A">
        <w:rPr>
          <w:sz w:val="24"/>
          <w:szCs w:val="24"/>
        </w:rPr>
        <w:t>certain other allocations in the Table, and updat</w:t>
      </w:r>
      <w:r>
        <w:rPr>
          <w:sz w:val="24"/>
          <w:szCs w:val="24"/>
        </w:rPr>
        <w:t>ing</w:t>
      </w:r>
      <w:r w:rsidRPr="0064095A">
        <w:rPr>
          <w:sz w:val="24"/>
          <w:szCs w:val="24"/>
        </w:rPr>
        <w:t xml:space="preserve"> certain related service rules.</w:t>
      </w:r>
      <w:r>
        <w:rPr>
          <w:rStyle w:val="FootnoteReference"/>
          <w:sz w:val="24"/>
          <w:szCs w:val="24"/>
        </w:rPr>
        <w:footnoteReference w:id="1"/>
      </w:r>
      <w:r w:rsidRPr="0064095A">
        <w:rPr>
          <w:sz w:val="24"/>
          <w:szCs w:val="24"/>
        </w:rPr>
        <w:t xml:space="preserve">  The decisions adopted in th</w:t>
      </w:r>
      <w:r>
        <w:rPr>
          <w:sz w:val="24"/>
          <w:szCs w:val="24"/>
        </w:rPr>
        <w:t xml:space="preserve">e </w:t>
      </w:r>
      <w:r w:rsidRPr="00CF5790">
        <w:rPr>
          <w:i/>
          <w:sz w:val="24"/>
          <w:szCs w:val="24"/>
        </w:rPr>
        <w:t>WRC-07 R&amp;O</w:t>
      </w:r>
      <w:r>
        <w:rPr>
          <w:sz w:val="24"/>
          <w:szCs w:val="24"/>
        </w:rPr>
        <w:t xml:space="preserve"> </w:t>
      </w:r>
      <w:r w:rsidRPr="0064095A">
        <w:rPr>
          <w:sz w:val="24"/>
          <w:szCs w:val="24"/>
        </w:rPr>
        <w:t>conform the Commission’s rules, to the extent practical, to the decisions that the international community made at WRC-07</w:t>
      </w:r>
      <w:r>
        <w:rPr>
          <w:sz w:val="24"/>
          <w:szCs w:val="24"/>
        </w:rPr>
        <w:t>,</w:t>
      </w:r>
      <w:r w:rsidRPr="0064095A">
        <w:rPr>
          <w:sz w:val="24"/>
          <w:szCs w:val="24"/>
        </w:rPr>
        <w:t xml:space="preserve"> and will promote the advancement of new and expanded services and provide significant benefits to the American public.</w:t>
      </w:r>
    </w:p>
    <w:p w:rsidR="003770B8" w:rsidRPr="0064095A" w:rsidRDefault="003770B8" w:rsidP="003770B8">
      <w:pPr>
        <w:pStyle w:val="ParaNum"/>
        <w:widowControl/>
        <w:numPr>
          <w:ilvl w:val="0"/>
          <w:numId w:val="0"/>
        </w:numPr>
        <w:spacing w:after="0"/>
        <w:rPr>
          <w:sz w:val="24"/>
          <w:szCs w:val="24"/>
        </w:rPr>
      </w:pPr>
    </w:p>
    <w:p w:rsidR="003770B8" w:rsidRPr="00E96DA3" w:rsidRDefault="003770B8" w:rsidP="003770B8">
      <w:pPr>
        <w:numPr>
          <w:ilvl w:val="0"/>
          <w:numId w:val="7"/>
        </w:numPr>
        <w:tabs>
          <w:tab w:val="left" w:pos="360"/>
        </w:tabs>
        <w:ind w:hanging="720"/>
        <w:rPr>
          <w:b/>
          <w:sz w:val="24"/>
          <w:szCs w:val="24"/>
        </w:rPr>
      </w:pPr>
      <w:r w:rsidRPr="00E96DA3">
        <w:rPr>
          <w:b/>
          <w:bCs/>
          <w:sz w:val="24"/>
          <w:szCs w:val="24"/>
          <w:u w:val="single"/>
        </w:rPr>
        <w:t>General Information</w:t>
      </w:r>
    </w:p>
    <w:p w:rsidR="003770B8" w:rsidRDefault="003770B8" w:rsidP="003770B8">
      <w:pPr>
        <w:rPr>
          <w:sz w:val="24"/>
          <w:szCs w:val="24"/>
        </w:rPr>
      </w:pPr>
    </w:p>
    <w:p w:rsidR="003770B8" w:rsidRPr="00FB0A30" w:rsidRDefault="003770B8" w:rsidP="003770B8">
      <w:pPr>
        <w:pStyle w:val="ParaNum"/>
        <w:numPr>
          <w:ilvl w:val="0"/>
          <w:numId w:val="0"/>
        </w:numPr>
        <w:rPr>
          <w:sz w:val="24"/>
          <w:szCs w:val="24"/>
        </w:rPr>
      </w:pPr>
      <w:r w:rsidRPr="00FB0A30">
        <w:rPr>
          <w:sz w:val="24"/>
          <w:szCs w:val="24"/>
        </w:rPr>
        <w:t xml:space="preserve">The </w:t>
      </w:r>
      <w:r w:rsidRPr="00CF5790">
        <w:rPr>
          <w:i/>
          <w:sz w:val="24"/>
          <w:szCs w:val="24"/>
        </w:rPr>
        <w:t>WRC-07 R&amp;O</w:t>
      </w:r>
      <w:r w:rsidRPr="00FB0A30">
        <w:rPr>
          <w:sz w:val="24"/>
          <w:szCs w:val="24"/>
        </w:rPr>
        <w:t xml:space="preserve"> did not establish any new reporting or recordkeeping </w:t>
      </w:r>
      <w:r>
        <w:rPr>
          <w:sz w:val="24"/>
          <w:szCs w:val="24"/>
        </w:rPr>
        <w:t xml:space="preserve">requirements for small entities; however, it established technical and operational </w:t>
      </w:r>
      <w:r w:rsidRPr="00FB0A30">
        <w:rPr>
          <w:sz w:val="24"/>
          <w:szCs w:val="24"/>
        </w:rPr>
        <w:t xml:space="preserve">compliance requirements </w:t>
      </w:r>
      <w:r>
        <w:rPr>
          <w:sz w:val="24"/>
          <w:szCs w:val="24"/>
        </w:rPr>
        <w:t xml:space="preserve">that </w:t>
      </w:r>
      <w:r w:rsidRPr="00FB0A30">
        <w:rPr>
          <w:sz w:val="24"/>
          <w:szCs w:val="24"/>
        </w:rPr>
        <w:t>are the same for small and large entities.</w:t>
      </w:r>
      <w:r>
        <w:rPr>
          <w:sz w:val="24"/>
          <w:szCs w:val="24"/>
        </w:rPr>
        <w:t xml:space="preserve">  </w:t>
      </w:r>
      <w:r w:rsidRPr="00FB0A30">
        <w:rPr>
          <w:sz w:val="24"/>
          <w:szCs w:val="24"/>
        </w:rPr>
        <w:t xml:space="preserve">Licensees are required to use equipment and operate </w:t>
      </w:r>
      <w:r>
        <w:rPr>
          <w:sz w:val="24"/>
          <w:szCs w:val="24"/>
        </w:rPr>
        <w:t xml:space="preserve">their </w:t>
      </w:r>
      <w:r w:rsidRPr="00FB0A30">
        <w:rPr>
          <w:sz w:val="24"/>
          <w:szCs w:val="24"/>
        </w:rPr>
        <w:t>stations in a manner that complies with the Commission’s rules.</w:t>
      </w:r>
      <w:r>
        <w:rPr>
          <w:sz w:val="24"/>
          <w:szCs w:val="24"/>
        </w:rPr>
        <w:t xml:space="preserve">  Equipment manufactured, imported, or marketed for use in the United States must comply with the Commission’s rules.</w:t>
      </w:r>
      <w:r w:rsidRPr="00FB0A30">
        <w:rPr>
          <w:sz w:val="24"/>
          <w:szCs w:val="24"/>
        </w:rPr>
        <w:t xml:space="preserve">  </w:t>
      </w:r>
    </w:p>
    <w:p w:rsidR="003770B8" w:rsidRPr="00E96DA3" w:rsidRDefault="003770B8" w:rsidP="003770B8">
      <w:pPr>
        <w:rPr>
          <w:sz w:val="24"/>
          <w:szCs w:val="24"/>
        </w:rPr>
      </w:pPr>
    </w:p>
    <w:p w:rsidR="003770B8" w:rsidRPr="00E96DA3" w:rsidRDefault="003770B8" w:rsidP="003770B8">
      <w:pPr>
        <w:numPr>
          <w:ilvl w:val="0"/>
          <w:numId w:val="7"/>
        </w:numPr>
        <w:tabs>
          <w:tab w:val="left" w:pos="360"/>
        </w:tabs>
        <w:ind w:left="360"/>
        <w:rPr>
          <w:b/>
          <w:sz w:val="24"/>
          <w:szCs w:val="24"/>
          <w:u w:val="single"/>
        </w:rPr>
      </w:pPr>
      <w:r w:rsidRPr="00E96DA3">
        <w:rPr>
          <w:b/>
          <w:sz w:val="24"/>
          <w:szCs w:val="24"/>
          <w:u w:val="single"/>
        </w:rPr>
        <w:t xml:space="preserve">What are the </w:t>
      </w:r>
      <w:r>
        <w:rPr>
          <w:b/>
          <w:sz w:val="24"/>
          <w:szCs w:val="24"/>
          <w:u w:val="single"/>
        </w:rPr>
        <w:t xml:space="preserve">new </w:t>
      </w:r>
      <w:r w:rsidRPr="00E96DA3">
        <w:rPr>
          <w:b/>
          <w:sz w:val="24"/>
          <w:szCs w:val="24"/>
          <w:u w:val="single"/>
        </w:rPr>
        <w:t>compliance requirements</w:t>
      </w:r>
      <w:r w:rsidRPr="002A52DF">
        <w:rPr>
          <w:b/>
          <w:sz w:val="24"/>
          <w:szCs w:val="24"/>
          <w:u w:val="single"/>
        </w:rPr>
        <w:t>?</w:t>
      </w:r>
    </w:p>
    <w:p w:rsidR="003770B8" w:rsidRPr="00E96DA3" w:rsidRDefault="003770B8" w:rsidP="003770B8">
      <w:pPr>
        <w:rPr>
          <w:b/>
          <w:sz w:val="24"/>
          <w:szCs w:val="24"/>
          <w:u w:val="single"/>
        </w:rPr>
      </w:pPr>
    </w:p>
    <w:p w:rsidR="003770B8" w:rsidRPr="008559A6" w:rsidRDefault="003770B8" w:rsidP="003770B8">
      <w:pPr>
        <w:pStyle w:val="ListParagraph"/>
        <w:widowControl w:val="0"/>
        <w:numPr>
          <w:ilvl w:val="1"/>
          <w:numId w:val="8"/>
        </w:numPr>
        <w:shd w:val="clear" w:color="auto" w:fill="FFFFFF"/>
        <w:tabs>
          <w:tab w:val="clear" w:pos="1440"/>
          <w:tab w:val="num" w:pos="360"/>
        </w:tabs>
        <w:spacing w:after="120"/>
        <w:ind w:left="360"/>
        <w:contextualSpacing w:val="0"/>
        <w:rPr>
          <w:color w:val="000000"/>
          <w:sz w:val="24"/>
          <w:szCs w:val="24"/>
        </w:rPr>
      </w:pPr>
      <w:r w:rsidRPr="008559A6">
        <w:rPr>
          <w:sz w:val="24"/>
          <w:szCs w:val="24"/>
        </w:rPr>
        <w:t xml:space="preserve">Aeronautical telemetry stations in the 1435-1452 MHz band are encouraged to take all reasonable steps to ensure that the unwanted emissions power level of the stations does not exceed </w:t>
      </w:r>
      <w:r w:rsidRPr="008559A6">
        <w:rPr>
          <w:sz w:val="24"/>
          <w:szCs w:val="24"/>
        </w:rPr>
        <w:noBreakHyphen/>
        <w:t>28 dBW/27 MHz in the 1400-1427 MHz band.  Aeronautical telemetry stations that do not meet this limit shall first attempt to operate in the 1452</w:t>
      </w:r>
      <w:r w:rsidRPr="008559A6">
        <w:rPr>
          <w:sz w:val="24"/>
          <w:szCs w:val="24"/>
        </w:rPr>
        <w:noBreakHyphen/>
        <w:t>1525 MHz band prior to operating in the 1435-1452 MHz band.</w:t>
      </w:r>
    </w:p>
    <w:p w:rsidR="003770B8" w:rsidRPr="008559A6" w:rsidRDefault="003770B8" w:rsidP="003770B8">
      <w:pPr>
        <w:pStyle w:val="ListParagraph"/>
        <w:widowControl w:val="0"/>
        <w:numPr>
          <w:ilvl w:val="1"/>
          <w:numId w:val="8"/>
        </w:numPr>
        <w:shd w:val="clear" w:color="auto" w:fill="FFFFFF"/>
        <w:tabs>
          <w:tab w:val="clear" w:pos="1440"/>
          <w:tab w:val="num" w:pos="360"/>
        </w:tabs>
        <w:spacing w:after="120"/>
        <w:ind w:left="360"/>
        <w:contextualSpacing w:val="0"/>
        <w:rPr>
          <w:color w:val="000000"/>
          <w:sz w:val="24"/>
          <w:szCs w:val="24"/>
        </w:rPr>
      </w:pPr>
      <w:r w:rsidRPr="008559A6">
        <w:rPr>
          <w:sz w:val="24"/>
          <w:szCs w:val="24"/>
        </w:rPr>
        <w:t>The carrier frequency tolerance of all transmitters that operate in the 1435-1525 MHz or 2345</w:t>
      </w:r>
      <w:r w:rsidRPr="008559A6">
        <w:rPr>
          <w:sz w:val="24"/>
          <w:szCs w:val="24"/>
        </w:rPr>
        <w:noBreakHyphen/>
        <w:t>2395 MHz band is 0.002 percent.  The carrier frequency tolerance of all transmitters that operate in the 5091-5150 MHz band is 0.005 percent.</w:t>
      </w:r>
    </w:p>
    <w:p w:rsidR="003770B8" w:rsidRDefault="003770B8" w:rsidP="003770B8">
      <w:pPr>
        <w:pStyle w:val="ListParagraph"/>
        <w:widowControl w:val="0"/>
        <w:numPr>
          <w:ilvl w:val="1"/>
          <w:numId w:val="8"/>
        </w:numPr>
        <w:tabs>
          <w:tab w:val="clear" w:pos="1440"/>
          <w:tab w:val="left" w:pos="360"/>
          <w:tab w:val="left" w:pos="2160"/>
          <w:tab w:val="left" w:pos="2880"/>
          <w:tab w:val="left" w:pos="3420"/>
          <w:tab w:val="left" w:pos="3690"/>
          <w:tab w:val="left" w:pos="4320"/>
          <w:tab w:val="left" w:pos="4680"/>
          <w:tab w:val="left" w:pos="5760"/>
          <w:tab w:val="left" w:pos="6570"/>
          <w:tab w:val="left" w:pos="7200"/>
        </w:tabs>
        <w:suppressAutoHyphens/>
        <w:spacing w:after="120"/>
        <w:ind w:left="360"/>
        <w:contextualSpacing w:val="0"/>
        <w:rPr>
          <w:sz w:val="24"/>
          <w:szCs w:val="24"/>
        </w:rPr>
      </w:pPr>
      <w:r w:rsidRPr="008559A6">
        <w:rPr>
          <w:sz w:val="24"/>
          <w:szCs w:val="24"/>
        </w:rPr>
        <w:t xml:space="preserve">Aeronautical </w:t>
      </w:r>
      <w:r>
        <w:rPr>
          <w:sz w:val="24"/>
          <w:szCs w:val="24"/>
        </w:rPr>
        <w:t>t</w:t>
      </w:r>
      <w:r w:rsidRPr="008559A6">
        <w:rPr>
          <w:sz w:val="24"/>
          <w:szCs w:val="24"/>
        </w:rPr>
        <w:t xml:space="preserve">elemetry </w:t>
      </w:r>
      <w:r>
        <w:rPr>
          <w:sz w:val="24"/>
          <w:szCs w:val="24"/>
        </w:rPr>
        <w:t xml:space="preserve">stations </w:t>
      </w:r>
      <w:r w:rsidRPr="008559A6">
        <w:rPr>
          <w:sz w:val="24"/>
          <w:szCs w:val="24"/>
        </w:rPr>
        <w:t>in</w:t>
      </w:r>
      <w:r>
        <w:rPr>
          <w:sz w:val="24"/>
          <w:szCs w:val="24"/>
        </w:rPr>
        <w:t xml:space="preserve"> the 5091-5150 MHz band and telemetry </w:t>
      </w:r>
      <w:r w:rsidRPr="008559A6">
        <w:rPr>
          <w:sz w:val="24"/>
          <w:szCs w:val="24"/>
        </w:rPr>
        <w:t>and telecommand operations in the 23</w:t>
      </w:r>
      <w:r>
        <w:rPr>
          <w:sz w:val="24"/>
          <w:szCs w:val="24"/>
        </w:rPr>
        <w:t>45</w:t>
      </w:r>
      <w:r w:rsidRPr="008559A6">
        <w:rPr>
          <w:sz w:val="24"/>
          <w:szCs w:val="24"/>
        </w:rPr>
        <w:t xml:space="preserve">-2395 MHz band must conform with the Commission’s existing emissions limitation requirements.  See 47 C.F.R. § 87.139(a), (d)-(f).  The Commission’s Rules (47 Code of Federal Regulations (47 C.F.R.)) are available at </w:t>
      </w:r>
      <w:hyperlink r:id="rId8" w:history="1">
        <w:r w:rsidRPr="008559A6">
          <w:rPr>
            <w:rStyle w:val="Hyperlink"/>
            <w:sz w:val="24"/>
            <w:szCs w:val="24"/>
          </w:rPr>
          <w:t>http://wireless.fcc.gov/index.htm?job=rules_and_regulations</w:t>
        </w:r>
      </w:hyperlink>
      <w:r w:rsidRPr="008559A6">
        <w:rPr>
          <w:sz w:val="24"/>
          <w:szCs w:val="24"/>
        </w:rPr>
        <w:t xml:space="preserve">.     </w:t>
      </w:r>
    </w:p>
    <w:p w:rsidR="003770B8" w:rsidRPr="008559A6" w:rsidRDefault="003770B8" w:rsidP="003770B8">
      <w:pPr>
        <w:pStyle w:val="ListParagraph"/>
        <w:widowControl w:val="0"/>
        <w:tabs>
          <w:tab w:val="left" w:pos="360"/>
          <w:tab w:val="left" w:pos="2160"/>
          <w:tab w:val="left" w:pos="2880"/>
          <w:tab w:val="left" w:pos="3420"/>
          <w:tab w:val="left" w:pos="3690"/>
          <w:tab w:val="left" w:pos="4320"/>
          <w:tab w:val="left" w:pos="4680"/>
          <w:tab w:val="left" w:pos="5760"/>
          <w:tab w:val="left" w:pos="6570"/>
          <w:tab w:val="left" w:pos="7200"/>
        </w:tabs>
        <w:suppressAutoHyphens/>
        <w:spacing w:after="120"/>
        <w:rPr>
          <w:sz w:val="24"/>
          <w:szCs w:val="24"/>
        </w:rPr>
      </w:pPr>
      <w:r w:rsidRPr="008559A6">
        <w:rPr>
          <w:sz w:val="24"/>
          <w:szCs w:val="24"/>
        </w:rPr>
        <w:t xml:space="preserve">                                </w:t>
      </w:r>
    </w:p>
    <w:p w:rsidR="003770B8" w:rsidRPr="008559A6" w:rsidRDefault="003770B8" w:rsidP="003770B8">
      <w:pPr>
        <w:pStyle w:val="ListParagraph"/>
        <w:numPr>
          <w:ilvl w:val="1"/>
          <w:numId w:val="8"/>
        </w:numPr>
        <w:shd w:val="clear" w:color="auto" w:fill="FFFFFF"/>
        <w:tabs>
          <w:tab w:val="clear" w:pos="1440"/>
          <w:tab w:val="num" w:pos="360"/>
        </w:tabs>
        <w:spacing w:after="120"/>
        <w:ind w:left="360"/>
        <w:contextualSpacing w:val="0"/>
        <w:rPr>
          <w:color w:val="000000"/>
          <w:sz w:val="24"/>
          <w:szCs w:val="24"/>
        </w:rPr>
      </w:pPr>
      <w:r w:rsidRPr="008559A6">
        <w:rPr>
          <w:sz w:val="24"/>
          <w:szCs w:val="24"/>
        </w:rPr>
        <w:lastRenderedPageBreak/>
        <w:t>Applications for a new station license in the 1435-1525 MHz, 2345-2360 MHz (only until January 1, 2020), 2360</w:t>
      </w:r>
      <w:r w:rsidRPr="008559A6">
        <w:rPr>
          <w:sz w:val="24"/>
          <w:szCs w:val="24"/>
        </w:rPr>
        <w:noBreakHyphen/>
        <w:t>2395 MHz, and 5091</w:t>
      </w:r>
      <w:r w:rsidRPr="008559A6">
        <w:rPr>
          <w:sz w:val="24"/>
          <w:szCs w:val="24"/>
        </w:rPr>
        <w:noBreakHyphen/>
        <w:t>5150 MHz bands, or renewal or modification of an existing license concerning flight test frequencies, except as provided in paragraph (b) of Section 87.305, must be accompanied by a statement from a frequency advisory committee on the frequency(ies) requested or the proposed changes in the authorized station and the probable interference to existing stations.  The committee must consider all stations operating on the frequencies requested or assigned within 320 km (200 mi) of the proposed area of operation and all prior coordinations and assignments on the proposed frequency(ies).  The committee must also recommend frequencies that would result in the least interference.  The committee must coordinate in writing all requests for frequencies or proposed operating changes in the</w:t>
      </w:r>
      <w:r>
        <w:rPr>
          <w:sz w:val="24"/>
          <w:szCs w:val="24"/>
        </w:rPr>
        <w:t xml:space="preserve">se </w:t>
      </w:r>
      <w:r w:rsidRPr="008559A6">
        <w:rPr>
          <w:sz w:val="24"/>
          <w:szCs w:val="24"/>
        </w:rPr>
        <w:t>bands with the responsible Government Area Frequency Coordinators listed in the NTIA “Manual of Regulations and Procedures for Federal Radio Frequency Management.”  In addition, committee recommendations may include comments on other technical factors and contain restrictions that would appear on the license.</w:t>
      </w:r>
    </w:p>
    <w:p w:rsidR="003770B8" w:rsidRPr="008559A6" w:rsidRDefault="003770B8" w:rsidP="003770B8">
      <w:pPr>
        <w:pStyle w:val="ListParagraph"/>
        <w:numPr>
          <w:ilvl w:val="1"/>
          <w:numId w:val="8"/>
        </w:numPr>
        <w:shd w:val="clear" w:color="auto" w:fill="FFFFFF"/>
        <w:tabs>
          <w:tab w:val="clear" w:pos="1440"/>
          <w:tab w:val="num" w:pos="360"/>
        </w:tabs>
        <w:spacing w:after="120"/>
        <w:ind w:left="360"/>
        <w:contextualSpacing w:val="0"/>
        <w:rPr>
          <w:color w:val="000000"/>
          <w:sz w:val="24"/>
          <w:szCs w:val="24"/>
        </w:rPr>
      </w:pPr>
      <w:r w:rsidRPr="008559A6">
        <w:rPr>
          <w:sz w:val="24"/>
          <w:szCs w:val="24"/>
        </w:rPr>
        <w:t>New fixed stations in the 10.6-10.68 GHz band are restricted to point-to-point operations, with each station supplying not more than -3 dBW of transmitter power to the antenna</w:t>
      </w:r>
      <w:r w:rsidRPr="008559A6">
        <w:rPr>
          <w:bCs/>
          <w:sz w:val="24"/>
          <w:szCs w:val="24"/>
        </w:rPr>
        <w:t>,</w:t>
      </w:r>
      <w:r w:rsidRPr="008559A6">
        <w:rPr>
          <w:sz w:val="24"/>
          <w:szCs w:val="24"/>
        </w:rPr>
        <w:t xml:space="preserve"> producing not more than 40 dBW of equivalent isotropically radiated power (EIRP)</w:t>
      </w:r>
      <w:r w:rsidRPr="008559A6">
        <w:rPr>
          <w:bCs/>
          <w:sz w:val="24"/>
          <w:szCs w:val="24"/>
        </w:rPr>
        <w:t>, and radiating at an antenna main beam e</w:t>
      </w:r>
      <w:r w:rsidRPr="008559A6">
        <w:rPr>
          <w:sz w:val="24"/>
          <w:szCs w:val="24"/>
        </w:rPr>
        <w:t xml:space="preserve">levation angle of </w:t>
      </w:r>
      <w:r w:rsidRPr="008559A6">
        <w:rPr>
          <w:bCs/>
          <w:sz w:val="24"/>
          <w:szCs w:val="24"/>
        </w:rPr>
        <w:t>20° or less</w:t>
      </w:r>
      <w:r w:rsidRPr="008559A6">
        <w:rPr>
          <w:sz w:val="24"/>
          <w:szCs w:val="24"/>
        </w:rPr>
        <w:t>.</w:t>
      </w:r>
    </w:p>
    <w:p w:rsidR="003770B8" w:rsidRPr="008559A6" w:rsidRDefault="003770B8" w:rsidP="003770B8">
      <w:pPr>
        <w:pStyle w:val="ListParagraph"/>
        <w:widowControl w:val="0"/>
        <w:numPr>
          <w:ilvl w:val="1"/>
          <w:numId w:val="8"/>
        </w:numPr>
        <w:tabs>
          <w:tab w:val="clear" w:pos="1440"/>
          <w:tab w:val="left" w:pos="360"/>
          <w:tab w:val="left" w:pos="2160"/>
          <w:tab w:val="left" w:pos="2880"/>
          <w:tab w:val="left" w:pos="3420"/>
          <w:tab w:val="left" w:pos="3690"/>
          <w:tab w:val="left" w:pos="4320"/>
          <w:tab w:val="left" w:pos="4680"/>
          <w:tab w:val="left" w:pos="5760"/>
          <w:tab w:val="left" w:pos="6570"/>
          <w:tab w:val="left" w:pos="7200"/>
        </w:tabs>
        <w:suppressAutoHyphens/>
        <w:spacing w:after="120"/>
        <w:ind w:left="360"/>
        <w:contextualSpacing w:val="0"/>
        <w:rPr>
          <w:sz w:val="24"/>
          <w:szCs w:val="24"/>
        </w:rPr>
      </w:pPr>
      <w:r w:rsidRPr="008559A6">
        <w:rPr>
          <w:rFonts w:eastAsia="MS Mincho"/>
          <w:sz w:val="24"/>
          <w:szCs w:val="24"/>
          <w:lang w:eastAsia="ja-JP"/>
        </w:rPr>
        <w:t>N</w:t>
      </w:r>
      <w:r w:rsidRPr="008559A6">
        <w:rPr>
          <w:sz w:val="24"/>
          <w:szCs w:val="24"/>
        </w:rPr>
        <w:t>on-geostationary satellites in the 22.55</w:t>
      </w:r>
      <w:r w:rsidRPr="008559A6">
        <w:rPr>
          <w:sz w:val="24"/>
          <w:szCs w:val="24"/>
        </w:rPr>
        <w:noBreakHyphen/>
        <w:t>23.55 GHz band operating in the inter</w:t>
      </w:r>
      <w:r w:rsidRPr="008559A6">
        <w:rPr>
          <w:sz w:val="24"/>
          <w:szCs w:val="24"/>
        </w:rPr>
        <w:noBreakHyphen/>
        <w:t xml:space="preserve">satellite service shall meet </w:t>
      </w:r>
      <w:r w:rsidRPr="008559A6">
        <w:rPr>
          <w:rFonts w:eastAsia="MS Mincho"/>
          <w:sz w:val="24"/>
          <w:szCs w:val="24"/>
          <w:lang w:eastAsia="ja-JP"/>
        </w:rPr>
        <w:t xml:space="preserve">the </w:t>
      </w:r>
      <w:r w:rsidRPr="008559A6">
        <w:rPr>
          <w:sz w:val="24"/>
          <w:szCs w:val="24"/>
        </w:rPr>
        <w:t>following unwanted emissions power limits in any 200 megahertz of the 23.6</w:t>
      </w:r>
      <w:r w:rsidRPr="008559A6">
        <w:rPr>
          <w:sz w:val="24"/>
          <w:szCs w:val="24"/>
        </w:rPr>
        <w:noBreakHyphen/>
        <w:t>24 GHz passive band, based on the receipt date of the complete advance publication information by the ITU’s Radiocommunication Bureau: For information received before January 1, 2020: -36 dBW/200 MHz.  For information received on or after January 1, 2020:                -46 dBW/200 MHz.</w:t>
      </w:r>
    </w:p>
    <w:p w:rsidR="003770B8" w:rsidRPr="008559A6" w:rsidRDefault="003770B8" w:rsidP="003770B8">
      <w:pPr>
        <w:pStyle w:val="ListParagraph"/>
        <w:widowControl w:val="0"/>
        <w:numPr>
          <w:ilvl w:val="1"/>
          <w:numId w:val="8"/>
        </w:numPr>
        <w:tabs>
          <w:tab w:val="clear" w:pos="1440"/>
          <w:tab w:val="left" w:pos="360"/>
          <w:tab w:val="left" w:pos="1224"/>
          <w:tab w:val="left" w:pos="2160"/>
          <w:tab w:val="left" w:pos="2880"/>
          <w:tab w:val="left" w:pos="3420"/>
          <w:tab w:val="left" w:pos="3690"/>
          <w:tab w:val="left" w:pos="4320"/>
          <w:tab w:val="left" w:pos="4680"/>
          <w:tab w:val="left" w:pos="5760"/>
          <w:tab w:val="left" w:pos="6570"/>
          <w:tab w:val="left" w:pos="7200"/>
        </w:tabs>
        <w:suppressAutoHyphens/>
        <w:spacing w:after="120"/>
        <w:ind w:left="360"/>
        <w:contextualSpacing w:val="0"/>
        <w:rPr>
          <w:sz w:val="24"/>
          <w:szCs w:val="24"/>
        </w:rPr>
      </w:pPr>
      <w:r w:rsidRPr="008559A6">
        <w:rPr>
          <w:sz w:val="24"/>
          <w:szCs w:val="24"/>
        </w:rPr>
        <w:t>For new fixed stations in the 31-31.3 GHz band authorized after August 6, 2018, the unwanted emissions power in any 100 megahertz of the 31.3</w:t>
      </w:r>
      <w:r w:rsidRPr="008559A6">
        <w:rPr>
          <w:sz w:val="24"/>
          <w:szCs w:val="24"/>
        </w:rPr>
        <w:noBreakHyphen/>
        <w:t>31.5 GHz band shall be limited to -38 dBW (</w:t>
      </w:r>
      <w:r w:rsidRPr="008559A6">
        <w:rPr>
          <w:sz w:val="24"/>
          <w:szCs w:val="24"/>
        </w:rPr>
        <w:noBreakHyphen/>
        <w:t>38 dBW/100 MHz), as measured at the input to the antenna.</w:t>
      </w:r>
    </w:p>
    <w:p w:rsidR="003770B8" w:rsidRPr="008559A6" w:rsidRDefault="003770B8" w:rsidP="003770B8">
      <w:pPr>
        <w:pStyle w:val="ListParagraph"/>
        <w:widowControl w:val="0"/>
        <w:numPr>
          <w:ilvl w:val="1"/>
          <w:numId w:val="8"/>
        </w:numPr>
        <w:tabs>
          <w:tab w:val="clear" w:pos="1440"/>
          <w:tab w:val="left" w:pos="360"/>
          <w:tab w:val="left" w:pos="2160"/>
          <w:tab w:val="left" w:pos="2880"/>
          <w:tab w:val="left" w:pos="3420"/>
          <w:tab w:val="left" w:pos="3690"/>
          <w:tab w:val="left" w:pos="4320"/>
          <w:tab w:val="left" w:pos="4680"/>
          <w:tab w:val="left" w:pos="5760"/>
          <w:tab w:val="left" w:pos="6570"/>
          <w:tab w:val="left" w:pos="7200"/>
        </w:tabs>
        <w:suppressAutoHyphens/>
        <w:spacing w:after="120"/>
        <w:ind w:left="360"/>
        <w:contextualSpacing w:val="0"/>
        <w:rPr>
          <w:sz w:val="24"/>
          <w:szCs w:val="24"/>
        </w:rPr>
      </w:pPr>
      <w:r w:rsidRPr="008559A6">
        <w:rPr>
          <w:sz w:val="24"/>
          <w:szCs w:val="24"/>
          <w:shd w:val="clear" w:color="auto" w:fill="FFFFFF"/>
        </w:rPr>
        <w:t>F</w:t>
      </w:r>
      <w:r w:rsidRPr="008559A6">
        <w:rPr>
          <w:sz w:val="24"/>
          <w:szCs w:val="24"/>
        </w:rPr>
        <w:t>or earth stations in the Fixed-Satellite Service (Earth-to-space) that transmit in the 49.7</w:t>
      </w:r>
      <w:r w:rsidRPr="008559A6">
        <w:rPr>
          <w:sz w:val="24"/>
          <w:szCs w:val="24"/>
        </w:rPr>
        <w:noBreakHyphen/>
        <w:t>50.2 GHz and 50.4-50.9 GHz bands, the unwanted emissions power in the 50.2</w:t>
      </w:r>
      <w:r w:rsidRPr="008559A6">
        <w:rPr>
          <w:sz w:val="24"/>
          <w:szCs w:val="24"/>
        </w:rPr>
        <w:noBreakHyphen/>
        <w:t xml:space="preserve">50.4 GHz band shall not exceed </w:t>
      </w:r>
      <w:r w:rsidRPr="008559A6">
        <w:rPr>
          <w:sz w:val="24"/>
          <w:szCs w:val="24"/>
        </w:rPr>
        <w:noBreakHyphen/>
        <w:t xml:space="preserve">20 dBW/200 MHz (measured at the input of the antenna), except that the maximum unwanted emissions power may be increased to </w:t>
      </w:r>
      <w:r w:rsidRPr="008559A6">
        <w:rPr>
          <w:sz w:val="24"/>
          <w:szCs w:val="24"/>
        </w:rPr>
        <w:noBreakHyphen/>
        <w:t>10 dBW/200 MHz for earth stations having an antenna gain greater than or equal to 57 dBi.  These limits apply under clear-sky conditions.  During fading conditions, the limits may be exceeded by earth stations when using uplink power control.</w:t>
      </w:r>
    </w:p>
    <w:p w:rsidR="003770B8" w:rsidRPr="00E96DA3" w:rsidRDefault="003770B8" w:rsidP="003770B8">
      <w:pPr>
        <w:rPr>
          <w:b/>
          <w:sz w:val="24"/>
          <w:szCs w:val="24"/>
        </w:rPr>
      </w:pPr>
    </w:p>
    <w:p w:rsidR="003770B8" w:rsidRPr="00E96DA3" w:rsidRDefault="003770B8" w:rsidP="003770B8">
      <w:pPr>
        <w:numPr>
          <w:ilvl w:val="0"/>
          <w:numId w:val="7"/>
        </w:numPr>
        <w:tabs>
          <w:tab w:val="left" w:pos="360"/>
        </w:tabs>
        <w:ind w:left="360"/>
        <w:rPr>
          <w:b/>
          <w:sz w:val="24"/>
          <w:szCs w:val="24"/>
        </w:rPr>
      </w:pPr>
      <w:r w:rsidRPr="00E96DA3">
        <w:rPr>
          <w:b/>
          <w:sz w:val="24"/>
          <w:szCs w:val="24"/>
          <w:u w:val="single"/>
        </w:rPr>
        <w:t xml:space="preserve">What </w:t>
      </w:r>
      <w:r>
        <w:rPr>
          <w:b/>
          <w:sz w:val="24"/>
          <w:szCs w:val="24"/>
          <w:u w:val="single"/>
        </w:rPr>
        <w:t>p</w:t>
      </w:r>
      <w:r w:rsidRPr="00E96DA3">
        <w:rPr>
          <w:b/>
          <w:sz w:val="24"/>
          <w:szCs w:val="24"/>
          <w:u w:val="single"/>
        </w:rPr>
        <w:t>rocedures may be used to demonstrate compliance with the requirements?</w:t>
      </w:r>
    </w:p>
    <w:p w:rsidR="003770B8" w:rsidRPr="00E96DA3" w:rsidRDefault="003770B8" w:rsidP="003770B8">
      <w:pPr>
        <w:rPr>
          <w:b/>
          <w:sz w:val="24"/>
          <w:szCs w:val="24"/>
        </w:rPr>
      </w:pPr>
    </w:p>
    <w:p w:rsidR="003770B8" w:rsidRDefault="003770B8" w:rsidP="003770B8">
      <w:pPr>
        <w:ind w:right="-90"/>
        <w:rPr>
          <w:sz w:val="24"/>
          <w:szCs w:val="24"/>
        </w:rPr>
      </w:pPr>
      <w:r w:rsidRPr="00FF10CE">
        <w:rPr>
          <w:sz w:val="24"/>
          <w:szCs w:val="24"/>
        </w:rPr>
        <w:t xml:space="preserve">For </w:t>
      </w:r>
      <w:r>
        <w:rPr>
          <w:sz w:val="24"/>
          <w:szCs w:val="24"/>
        </w:rPr>
        <w:t xml:space="preserve">Part 2 </w:t>
      </w:r>
      <w:r w:rsidRPr="00FF10CE">
        <w:rPr>
          <w:sz w:val="24"/>
          <w:szCs w:val="24"/>
        </w:rPr>
        <w:t>equipment authorization proc</w:t>
      </w:r>
      <w:r>
        <w:rPr>
          <w:sz w:val="24"/>
          <w:szCs w:val="24"/>
        </w:rPr>
        <w:t xml:space="preserve">edures, see 47 C.F.R. Part 2, Subpart J, available at </w:t>
      </w:r>
      <w:hyperlink r:id="rId9" w:anchor="sp47.1.2.j" w:history="1">
        <w:r w:rsidRPr="009068B0">
          <w:rPr>
            <w:rStyle w:val="Hyperlink"/>
            <w:sz w:val="24"/>
            <w:szCs w:val="24"/>
          </w:rPr>
          <w:t>http://www.ecfr.gov/cgi-bin/text-idx?SID=b18ca9e5287ca1e998ab4677bb146dcb&amp;mc=true&amp;node=pt47.1.2&amp;rgn=div5#sp47.1.2.j</w:t>
        </w:r>
      </w:hyperlink>
      <w:r>
        <w:rPr>
          <w:sz w:val="24"/>
          <w:szCs w:val="24"/>
        </w:rPr>
        <w:t xml:space="preserve">.  </w:t>
      </w:r>
    </w:p>
    <w:p w:rsidR="003770B8" w:rsidRDefault="003770B8" w:rsidP="003770B8">
      <w:pPr>
        <w:spacing w:after="120"/>
        <w:ind w:right="-86"/>
        <w:rPr>
          <w:sz w:val="24"/>
          <w:szCs w:val="24"/>
        </w:rPr>
      </w:pPr>
      <w:r>
        <w:rPr>
          <w:sz w:val="24"/>
          <w:szCs w:val="24"/>
        </w:rPr>
        <w:t xml:space="preserve">Equipment authorization and service requirements for devices affected by the </w:t>
      </w:r>
      <w:r>
        <w:rPr>
          <w:i/>
          <w:sz w:val="24"/>
          <w:szCs w:val="24"/>
        </w:rPr>
        <w:t>WRC-</w:t>
      </w:r>
      <w:r w:rsidRPr="003739BC">
        <w:rPr>
          <w:i/>
          <w:sz w:val="24"/>
          <w:szCs w:val="24"/>
        </w:rPr>
        <w:t>07 R&amp;O</w:t>
      </w:r>
      <w:r>
        <w:rPr>
          <w:sz w:val="24"/>
          <w:szCs w:val="24"/>
        </w:rPr>
        <w:t xml:space="preserve"> </w:t>
      </w:r>
      <w:r w:rsidRPr="0035621E">
        <w:rPr>
          <w:sz w:val="24"/>
          <w:szCs w:val="24"/>
        </w:rPr>
        <w:t>can</w:t>
      </w:r>
      <w:r>
        <w:rPr>
          <w:sz w:val="24"/>
          <w:szCs w:val="24"/>
        </w:rPr>
        <w:t xml:space="preserve"> be found in Parts 2, 25, 87, and 101 of the Commission’s rules.  For measurement procedures applicable to equipment other than satellite communications equipment, see Sections 2.947 and 2.1041 of the Commission’s rules, 47 C.F.R. §§ 2.947 and 2.1041.  However, see 47 C.F.R. Part 25 for Satellite Communications measurement procedures.</w:t>
      </w:r>
    </w:p>
    <w:p w:rsidR="003770B8" w:rsidRDefault="003770B8" w:rsidP="003770B8">
      <w:pPr>
        <w:ind w:right="-86"/>
        <w:rPr>
          <w:sz w:val="24"/>
          <w:szCs w:val="24"/>
        </w:rPr>
      </w:pPr>
    </w:p>
    <w:p w:rsidR="003770B8" w:rsidRPr="00E96DA3" w:rsidRDefault="003770B8" w:rsidP="003770B8">
      <w:pPr>
        <w:numPr>
          <w:ilvl w:val="0"/>
          <w:numId w:val="7"/>
        </w:numPr>
        <w:ind w:left="360"/>
        <w:rPr>
          <w:b/>
          <w:sz w:val="24"/>
          <w:szCs w:val="24"/>
          <w:u w:val="single"/>
        </w:rPr>
      </w:pPr>
      <w:r w:rsidRPr="00E96DA3">
        <w:rPr>
          <w:b/>
          <w:sz w:val="24"/>
          <w:szCs w:val="24"/>
          <w:u w:val="single"/>
        </w:rPr>
        <w:t>What are the penalties for non-compliance with the rules?</w:t>
      </w:r>
    </w:p>
    <w:p w:rsidR="003770B8" w:rsidRPr="00E96DA3" w:rsidRDefault="003770B8" w:rsidP="003770B8">
      <w:pPr>
        <w:rPr>
          <w:b/>
          <w:sz w:val="24"/>
          <w:szCs w:val="24"/>
          <w:u w:val="single"/>
        </w:rPr>
      </w:pPr>
    </w:p>
    <w:p w:rsidR="003770B8" w:rsidRPr="00412122" w:rsidRDefault="003770B8" w:rsidP="003770B8">
      <w:pPr>
        <w:spacing w:after="120"/>
        <w:rPr>
          <w:rFonts w:ascii="Arial" w:hAnsi="Arial"/>
          <w:sz w:val="25"/>
        </w:rPr>
      </w:pPr>
      <w:r w:rsidRPr="000766FE">
        <w:rPr>
          <w:sz w:val="24"/>
          <w:szCs w:val="24"/>
        </w:rPr>
        <w:t xml:space="preserve">The Commission has the authority to investigate violations and </w:t>
      </w:r>
      <w:r>
        <w:rPr>
          <w:sz w:val="24"/>
          <w:szCs w:val="24"/>
        </w:rPr>
        <w:t xml:space="preserve">to </w:t>
      </w:r>
      <w:r w:rsidRPr="000766FE">
        <w:rPr>
          <w:sz w:val="24"/>
          <w:szCs w:val="24"/>
        </w:rPr>
        <w:t xml:space="preserve">take action </w:t>
      </w:r>
      <w:r>
        <w:rPr>
          <w:sz w:val="24"/>
          <w:szCs w:val="24"/>
        </w:rPr>
        <w:t>as appropriate</w:t>
      </w:r>
      <w:r w:rsidRPr="000766FE">
        <w:rPr>
          <w:sz w:val="24"/>
          <w:szCs w:val="24"/>
        </w:rPr>
        <w:t xml:space="preserve">, including </w:t>
      </w:r>
      <w:r>
        <w:rPr>
          <w:sz w:val="24"/>
          <w:szCs w:val="24"/>
        </w:rPr>
        <w:t xml:space="preserve">the </w:t>
      </w:r>
      <w:r w:rsidRPr="000766FE">
        <w:rPr>
          <w:sz w:val="24"/>
          <w:szCs w:val="24"/>
        </w:rPr>
        <w:t>impos</w:t>
      </w:r>
      <w:r>
        <w:rPr>
          <w:sz w:val="24"/>
          <w:szCs w:val="24"/>
        </w:rPr>
        <w:t xml:space="preserve">ition of forfeiture </w:t>
      </w:r>
      <w:r w:rsidRPr="000766FE">
        <w:rPr>
          <w:sz w:val="24"/>
          <w:szCs w:val="24"/>
        </w:rPr>
        <w:t>penalties.  Willful or repeated violations of the FCC’s equipment authorization</w:t>
      </w:r>
      <w:r>
        <w:rPr>
          <w:sz w:val="24"/>
          <w:szCs w:val="24"/>
        </w:rPr>
        <w:t xml:space="preserve"> and/or</w:t>
      </w:r>
      <w:r w:rsidRPr="000766FE">
        <w:rPr>
          <w:sz w:val="24"/>
          <w:szCs w:val="24"/>
        </w:rPr>
        <w:t xml:space="preserve"> importation and marketing</w:t>
      </w:r>
      <w:r w:rsidRPr="00E96DA3">
        <w:rPr>
          <w:sz w:val="24"/>
          <w:szCs w:val="24"/>
        </w:rPr>
        <w:t xml:space="preserve"> rules, including but not limited to operation of communications equipment that does not comply with one or more of those rules, can result in </w:t>
      </w:r>
      <w:r>
        <w:rPr>
          <w:sz w:val="24"/>
          <w:szCs w:val="24"/>
        </w:rPr>
        <w:t xml:space="preserve">significant </w:t>
      </w:r>
      <w:r w:rsidRPr="00E96DA3">
        <w:rPr>
          <w:sz w:val="24"/>
          <w:szCs w:val="24"/>
        </w:rPr>
        <w:t>forfeitures</w:t>
      </w:r>
      <w:r>
        <w:rPr>
          <w:sz w:val="24"/>
          <w:szCs w:val="24"/>
        </w:rPr>
        <w:t>.</w:t>
      </w:r>
      <w:r w:rsidRPr="00E96DA3">
        <w:rPr>
          <w:sz w:val="24"/>
          <w:szCs w:val="24"/>
        </w:rPr>
        <w:t xml:space="preserve">  </w:t>
      </w:r>
      <w:r w:rsidRPr="00E96DA3">
        <w:rPr>
          <w:i/>
          <w:sz w:val="24"/>
          <w:szCs w:val="24"/>
        </w:rPr>
        <w:t>See</w:t>
      </w:r>
      <w:r w:rsidRPr="00E96DA3">
        <w:rPr>
          <w:sz w:val="24"/>
          <w:szCs w:val="24"/>
        </w:rPr>
        <w:t xml:space="preserve"> § 1.80</w:t>
      </w:r>
      <w:r>
        <w:rPr>
          <w:sz w:val="24"/>
          <w:szCs w:val="24"/>
        </w:rPr>
        <w:t xml:space="preserve"> of the FCC rules, 47 C.F.R. </w:t>
      </w:r>
      <w:r w:rsidRPr="00E96DA3">
        <w:rPr>
          <w:sz w:val="24"/>
          <w:szCs w:val="24"/>
        </w:rPr>
        <w:t>§ 1.80.  Individuals or organizations may also be subject to criminal penalties under Title 18 of the U.S. Code.  FCC field personnel, working in conjunction with the Attorney General of the United States, may</w:t>
      </w:r>
      <w:r>
        <w:rPr>
          <w:sz w:val="24"/>
          <w:szCs w:val="24"/>
        </w:rPr>
        <w:t xml:space="preserve"> </w:t>
      </w:r>
      <w:r w:rsidRPr="00E96DA3">
        <w:rPr>
          <w:sz w:val="24"/>
          <w:szCs w:val="24"/>
        </w:rPr>
        <w:t xml:space="preserve">seize illegal equipment.  </w:t>
      </w:r>
      <w:r w:rsidRPr="00381C3B">
        <w:rPr>
          <w:i/>
          <w:sz w:val="24"/>
        </w:rPr>
        <w:t>See</w:t>
      </w:r>
      <w:r w:rsidRPr="00E96DA3">
        <w:rPr>
          <w:sz w:val="24"/>
          <w:szCs w:val="24"/>
        </w:rPr>
        <w:t xml:space="preserve"> 47</w:t>
      </w:r>
      <w:r>
        <w:rPr>
          <w:sz w:val="24"/>
          <w:szCs w:val="24"/>
        </w:rPr>
        <w:t> </w:t>
      </w:r>
      <w:r w:rsidRPr="00E96DA3">
        <w:rPr>
          <w:sz w:val="24"/>
          <w:szCs w:val="24"/>
        </w:rPr>
        <w:t>U.S.C</w:t>
      </w:r>
      <w:r>
        <w:rPr>
          <w:sz w:val="24"/>
          <w:szCs w:val="24"/>
        </w:rPr>
        <w:t>.</w:t>
      </w:r>
      <w:r w:rsidRPr="00E96DA3">
        <w:rPr>
          <w:sz w:val="24"/>
          <w:szCs w:val="24"/>
        </w:rPr>
        <w:t xml:space="preserve"> § 510(b).</w:t>
      </w:r>
    </w:p>
    <w:p w:rsidR="003770B8" w:rsidRPr="00E96DA3" w:rsidRDefault="003770B8" w:rsidP="003770B8">
      <w:pPr>
        <w:rPr>
          <w:sz w:val="24"/>
          <w:szCs w:val="24"/>
        </w:rPr>
      </w:pPr>
    </w:p>
    <w:p w:rsidR="003770B8" w:rsidRPr="00AF3AF3" w:rsidRDefault="003770B8" w:rsidP="003770B8">
      <w:pPr>
        <w:numPr>
          <w:ilvl w:val="0"/>
          <w:numId w:val="7"/>
        </w:numPr>
        <w:autoSpaceDE w:val="0"/>
        <w:autoSpaceDN w:val="0"/>
        <w:adjustRightInd w:val="0"/>
        <w:spacing w:after="240"/>
        <w:ind w:left="360"/>
        <w:rPr>
          <w:sz w:val="24"/>
          <w:szCs w:val="24"/>
        </w:rPr>
      </w:pPr>
      <w:r w:rsidRPr="00AF3AF3">
        <w:rPr>
          <w:b/>
          <w:sz w:val="24"/>
          <w:szCs w:val="24"/>
          <w:u w:val="single"/>
        </w:rPr>
        <w:t xml:space="preserve">Where can I find additional </w:t>
      </w:r>
      <w:r w:rsidRPr="00AF3AF3">
        <w:rPr>
          <w:b/>
          <w:bCs/>
          <w:sz w:val="24"/>
          <w:szCs w:val="24"/>
          <w:u w:val="single"/>
        </w:rPr>
        <w:t>information</w:t>
      </w:r>
      <w:r w:rsidRPr="00AF3AF3">
        <w:rPr>
          <w:b/>
          <w:sz w:val="24"/>
          <w:szCs w:val="24"/>
          <w:u w:val="single"/>
        </w:rPr>
        <w:t>?</w:t>
      </w:r>
    </w:p>
    <w:p w:rsidR="003770B8" w:rsidRPr="00AF3AF3" w:rsidRDefault="003770B8" w:rsidP="003770B8">
      <w:pPr>
        <w:rPr>
          <w:sz w:val="22"/>
          <w:szCs w:val="22"/>
        </w:rPr>
      </w:pPr>
      <w:r w:rsidRPr="00AF3AF3">
        <w:rPr>
          <w:i/>
          <w:sz w:val="24"/>
          <w:szCs w:val="24"/>
        </w:rPr>
        <w:t>Report and Order, Order, and Notice of Proposed Rulemaking</w:t>
      </w:r>
      <w:r w:rsidRPr="00AF3AF3">
        <w:rPr>
          <w:sz w:val="24"/>
          <w:szCs w:val="24"/>
        </w:rPr>
        <w:t>, ET Docket No. 12</w:t>
      </w:r>
      <w:r w:rsidRPr="00AF3AF3">
        <w:rPr>
          <w:sz w:val="24"/>
          <w:szCs w:val="24"/>
        </w:rPr>
        <w:noBreakHyphen/>
        <w:t>338, FCC</w:t>
      </w:r>
      <w:r>
        <w:rPr>
          <w:sz w:val="24"/>
          <w:szCs w:val="24"/>
        </w:rPr>
        <w:t> </w:t>
      </w:r>
      <w:r w:rsidRPr="00AF3AF3">
        <w:rPr>
          <w:sz w:val="24"/>
          <w:szCs w:val="24"/>
        </w:rPr>
        <w:t>15</w:t>
      </w:r>
      <w:r>
        <w:rPr>
          <w:sz w:val="24"/>
          <w:szCs w:val="24"/>
        </w:rPr>
        <w:noBreakHyphen/>
      </w:r>
      <w:r w:rsidRPr="00AF3AF3">
        <w:rPr>
          <w:sz w:val="24"/>
          <w:szCs w:val="24"/>
        </w:rPr>
        <w:t>50, 30 FCC Rcd 4183 (2015</w:t>
      </w:r>
      <w:r w:rsidRPr="00AF3AF3">
        <w:rPr>
          <w:sz w:val="22"/>
          <w:szCs w:val="22"/>
        </w:rPr>
        <w:t>).</w:t>
      </w:r>
    </w:p>
    <w:p w:rsidR="003770B8" w:rsidRDefault="003770B8" w:rsidP="003770B8">
      <w:pPr>
        <w:rPr>
          <w:sz w:val="24"/>
          <w:szCs w:val="24"/>
        </w:rPr>
      </w:pPr>
    </w:p>
    <w:p w:rsidR="003770B8" w:rsidRDefault="00361B27" w:rsidP="003770B8">
      <w:pPr>
        <w:rPr>
          <w:sz w:val="24"/>
          <w:szCs w:val="24"/>
        </w:rPr>
      </w:pPr>
      <w:hyperlink r:id="rId10" w:history="1">
        <w:r w:rsidR="003770B8" w:rsidRPr="009068B0">
          <w:rPr>
            <w:rStyle w:val="Hyperlink"/>
            <w:sz w:val="24"/>
            <w:szCs w:val="24"/>
          </w:rPr>
          <w:t>https://apps.fcc.gov/edocs_public/attachmatch/FCC-15-50A1.docx</w:t>
        </w:r>
      </w:hyperlink>
      <w:r w:rsidR="003770B8">
        <w:rPr>
          <w:sz w:val="24"/>
          <w:szCs w:val="24"/>
        </w:rPr>
        <w:t xml:space="preserve"> (Word)</w:t>
      </w:r>
    </w:p>
    <w:p w:rsidR="003770B8" w:rsidRDefault="00361B27" w:rsidP="003770B8">
      <w:pPr>
        <w:rPr>
          <w:sz w:val="24"/>
          <w:szCs w:val="24"/>
        </w:rPr>
      </w:pPr>
      <w:hyperlink r:id="rId11" w:history="1">
        <w:r w:rsidR="003770B8" w:rsidRPr="009068B0">
          <w:rPr>
            <w:rStyle w:val="Hyperlink"/>
            <w:sz w:val="24"/>
            <w:szCs w:val="24"/>
          </w:rPr>
          <w:t>https://apps.fcc.gov/edocs_public/attachmatch/FCC-15-50A1.pdf</w:t>
        </w:r>
      </w:hyperlink>
      <w:r w:rsidR="003770B8">
        <w:rPr>
          <w:sz w:val="24"/>
          <w:szCs w:val="24"/>
        </w:rPr>
        <w:t xml:space="preserve"> (Acrobat)</w:t>
      </w:r>
    </w:p>
    <w:p w:rsidR="003770B8" w:rsidRDefault="00361B27" w:rsidP="003770B8">
      <w:pPr>
        <w:rPr>
          <w:sz w:val="24"/>
          <w:szCs w:val="24"/>
        </w:rPr>
      </w:pPr>
      <w:hyperlink r:id="rId12" w:history="1">
        <w:r w:rsidR="003770B8" w:rsidRPr="009068B0">
          <w:rPr>
            <w:rStyle w:val="Hyperlink"/>
            <w:sz w:val="24"/>
            <w:szCs w:val="24"/>
          </w:rPr>
          <w:t>https://apps.fcc.gov/edocs_public/attachmatch/FCC-15-50A1.txt</w:t>
        </w:r>
      </w:hyperlink>
      <w:r w:rsidR="003770B8">
        <w:rPr>
          <w:sz w:val="24"/>
          <w:szCs w:val="24"/>
        </w:rPr>
        <w:t xml:space="preserve"> (Text)</w:t>
      </w:r>
    </w:p>
    <w:p w:rsidR="003770B8" w:rsidRDefault="003770B8" w:rsidP="003770B8">
      <w:pPr>
        <w:rPr>
          <w:sz w:val="24"/>
          <w:szCs w:val="24"/>
        </w:rPr>
      </w:pPr>
    </w:p>
    <w:p w:rsidR="003770B8" w:rsidRDefault="003770B8" w:rsidP="003770B8">
      <w:pPr>
        <w:jc w:val="both"/>
        <w:rPr>
          <w:rStyle w:val="Hyperlink"/>
          <w:sz w:val="24"/>
          <w:szCs w:val="24"/>
        </w:rPr>
      </w:pPr>
      <w:r w:rsidRPr="00E96DA3">
        <w:rPr>
          <w:sz w:val="24"/>
          <w:szCs w:val="24"/>
        </w:rPr>
        <w:t>Equipment authorization information:</w:t>
      </w:r>
      <w:r>
        <w:rPr>
          <w:sz w:val="24"/>
          <w:szCs w:val="24"/>
        </w:rPr>
        <w:t xml:space="preserve"> </w:t>
      </w:r>
      <w:hyperlink r:id="rId13" w:history="1">
        <w:r w:rsidRPr="00E96DA3">
          <w:rPr>
            <w:rStyle w:val="Hyperlink"/>
            <w:sz w:val="24"/>
            <w:szCs w:val="24"/>
          </w:rPr>
          <w:t>http://www.fcc.gov/oet/ea/</w:t>
        </w:r>
      </w:hyperlink>
    </w:p>
    <w:p w:rsidR="003770B8" w:rsidRPr="00E96DA3" w:rsidRDefault="003770B8" w:rsidP="003770B8">
      <w:pPr>
        <w:rPr>
          <w:sz w:val="24"/>
          <w:szCs w:val="24"/>
        </w:rPr>
      </w:pPr>
    </w:p>
    <w:p w:rsidR="003770B8" w:rsidRDefault="003770B8" w:rsidP="003770B8">
      <w:pPr>
        <w:tabs>
          <w:tab w:val="left" w:pos="360"/>
        </w:tabs>
        <w:rPr>
          <w:sz w:val="24"/>
          <w:szCs w:val="24"/>
        </w:rPr>
      </w:pPr>
      <w:r>
        <w:rPr>
          <w:sz w:val="24"/>
          <w:szCs w:val="24"/>
        </w:rPr>
        <w:t xml:space="preserve">For questions concerning Satellite Communications (Part 25 of the Commission’s rules), contact the International Bureau at (202) 418-0437 or </w:t>
      </w:r>
      <w:hyperlink r:id="rId14" w:history="1">
        <w:r w:rsidRPr="009D52C8">
          <w:rPr>
            <w:rStyle w:val="Hyperlink"/>
            <w:sz w:val="24"/>
            <w:szCs w:val="24"/>
          </w:rPr>
          <w:t>contact_ib@fcc.gov</w:t>
        </w:r>
      </w:hyperlink>
      <w:r>
        <w:rPr>
          <w:sz w:val="24"/>
          <w:szCs w:val="24"/>
        </w:rPr>
        <w:t xml:space="preserve">. </w:t>
      </w:r>
    </w:p>
    <w:p w:rsidR="003770B8" w:rsidRDefault="003770B8" w:rsidP="003770B8">
      <w:pPr>
        <w:tabs>
          <w:tab w:val="left" w:pos="360"/>
        </w:tabs>
        <w:rPr>
          <w:sz w:val="24"/>
          <w:szCs w:val="24"/>
        </w:rPr>
      </w:pPr>
    </w:p>
    <w:p w:rsidR="003770B8" w:rsidRDefault="003770B8" w:rsidP="003770B8">
      <w:pPr>
        <w:tabs>
          <w:tab w:val="left" w:pos="360"/>
        </w:tabs>
        <w:spacing w:after="120"/>
        <w:rPr>
          <w:sz w:val="24"/>
          <w:szCs w:val="24"/>
        </w:rPr>
      </w:pPr>
      <w:r w:rsidRPr="000F75E8">
        <w:rPr>
          <w:sz w:val="24"/>
          <w:szCs w:val="24"/>
        </w:rPr>
        <w:t xml:space="preserve">For questions concerning </w:t>
      </w:r>
      <w:r>
        <w:rPr>
          <w:sz w:val="24"/>
          <w:szCs w:val="24"/>
        </w:rPr>
        <w:t>Aviation Services (Part 87 of the Commission’s rules) and Fixed Microwave Service (</w:t>
      </w:r>
      <w:r w:rsidRPr="000F75E8">
        <w:rPr>
          <w:sz w:val="24"/>
          <w:szCs w:val="24"/>
        </w:rPr>
        <w:t xml:space="preserve">Part 101 </w:t>
      </w:r>
      <w:r>
        <w:rPr>
          <w:sz w:val="24"/>
          <w:szCs w:val="24"/>
        </w:rPr>
        <w:t xml:space="preserve">of the Commission’s </w:t>
      </w:r>
      <w:r w:rsidRPr="000F75E8">
        <w:rPr>
          <w:sz w:val="24"/>
          <w:szCs w:val="24"/>
        </w:rPr>
        <w:t>rules</w:t>
      </w:r>
      <w:r>
        <w:rPr>
          <w:sz w:val="24"/>
          <w:szCs w:val="24"/>
        </w:rPr>
        <w:t>)</w:t>
      </w:r>
      <w:r w:rsidRPr="000F75E8">
        <w:rPr>
          <w:sz w:val="24"/>
          <w:szCs w:val="24"/>
        </w:rPr>
        <w:t>, cont</w:t>
      </w:r>
      <w:r>
        <w:rPr>
          <w:sz w:val="24"/>
          <w:szCs w:val="24"/>
        </w:rPr>
        <w:t>act the Wireless Telecommunications Bureau at (202) 418-0600.</w:t>
      </w:r>
    </w:p>
    <w:p w:rsidR="003770B8" w:rsidRDefault="003770B8" w:rsidP="003770B8">
      <w:pPr>
        <w:tabs>
          <w:tab w:val="left" w:pos="360"/>
        </w:tabs>
        <w:rPr>
          <w:sz w:val="24"/>
          <w:szCs w:val="24"/>
        </w:rPr>
      </w:pPr>
    </w:p>
    <w:p w:rsidR="003770B8" w:rsidRPr="00E96DA3" w:rsidRDefault="003770B8" w:rsidP="003770B8">
      <w:pPr>
        <w:numPr>
          <w:ilvl w:val="0"/>
          <w:numId w:val="7"/>
        </w:numPr>
        <w:tabs>
          <w:tab w:val="left" w:pos="360"/>
        </w:tabs>
        <w:ind w:left="360"/>
        <w:rPr>
          <w:b/>
          <w:sz w:val="24"/>
          <w:szCs w:val="24"/>
          <w:u w:val="single"/>
        </w:rPr>
      </w:pPr>
      <w:r w:rsidRPr="00E96DA3">
        <w:rPr>
          <w:b/>
          <w:sz w:val="24"/>
          <w:szCs w:val="24"/>
          <w:u w:val="single"/>
        </w:rPr>
        <w:t xml:space="preserve">What if I have </w:t>
      </w:r>
      <w:r w:rsidRPr="00633D97">
        <w:rPr>
          <w:b/>
          <w:sz w:val="24"/>
          <w:szCs w:val="24"/>
          <w:u w:val="single"/>
        </w:rPr>
        <w:t xml:space="preserve">further questions </w:t>
      </w:r>
      <w:r w:rsidRPr="00633D97">
        <w:rPr>
          <w:b/>
          <w:bCs/>
          <w:sz w:val="24"/>
          <w:szCs w:val="24"/>
          <w:u w:val="single"/>
        </w:rPr>
        <w:t>on</w:t>
      </w:r>
      <w:r w:rsidRPr="00633D97">
        <w:rPr>
          <w:b/>
          <w:sz w:val="24"/>
          <w:szCs w:val="24"/>
          <w:u w:val="single"/>
        </w:rPr>
        <w:t xml:space="preserve"> the</w:t>
      </w:r>
      <w:r w:rsidRPr="00E96DA3">
        <w:rPr>
          <w:b/>
          <w:sz w:val="24"/>
          <w:szCs w:val="24"/>
          <w:u w:val="single"/>
        </w:rPr>
        <w:t xml:space="preserve"> </w:t>
      </w:r>
      <w:r>
        <w:rPr>
          <w:b/>
          <w:sz w:val="24"/>
          <w:szCs w:val="24"/>
          <w:u w:val="single"/>
        </w:rPr>
        <w:t xml:space="preserve">technical </w:t>
      </w:r>
      <w:r w:rsidRPr="00E96DA3">
        <w:rPr>
          <w:b/>
          <w:sz w:val="24"/>
          <w:szCs w:val="24"/>
          <w:u w:val="single"/>
        </w:rPr>
        <w:t>rules?</w:t>
      </w:r>
    </w:p>
    <w:p w:rsidR="003770B8" w:rsidRPr="00E96DA3" w:rsidRDefault="003770B8" w:rsidP="003770B8">
      <w:pPr>
        <w:jc w:val="both"/>
        <w:rPr>
          <w:b/>
          <w:sz w:val="24"/>
          <w:szCs w:val="24"/>
          <w:u w:val="single"/>
        </w:rPr>
      </w:pPr>
    </w:p>
    <w:p w:rsidR="003770B8" w:rsidRPr="00E96DA3" w:rsidRDefault="003770B8" w:rsidP="003770B8">
      <w:pPr>
        <w:rPr>
          <w:sz w:val="24"/>
          <w:szCs w:val="24"/>
        </w:rPr>
      </w:pPr>
      <w:r w:rsidRPr="00E96DA3">
        <w:rPr>
          <w:sz w:val="24"/>
          <w:szCs w:val="24"/>
        </w:rPr>
        <w:t xml:space="preserve">The FCC maintains a web-based system that is used to submit inquiries to its Laboratory, as well as to search for previous rule interpretations and frequently asked questions.  This system, called the OET Knowledge Database (KDB), can be accessed at </w:t>
      </w:r>
      <w:hyperlink r:id="rId15" w:history="1">
        <w:r w:rsidRPr="00E96DA3">
          <w:rPr>
            <w:rStyle w:val="Hyperlink"/>
            <w:sz w:val="24"/>
            <w:szCs w:val="24"/>
          </w:rPr>
          <w:t>www.fcc.gov/labhelp</w:t>
        </w:r>
      </w:hyperlink>
      <w:r w:rsidRPr="00E96DA3">
        <w:rPr>
          <w:sz w:val="24"/>
          <w:szCs w:val="24"/>
        </w:rPr>
        <w:t>.</w:t>
      </w:r>
    </w:p>
    <w:p w:rsidR="00441EE5" w:rsidRDefault="00441EE5" w:rsidP="003770B8">
      <w:pPr>
        <w:jc w:val="center"/>
        <w:rPr>
          <w:sz w:val="22"/>
          <w:szCs w:val="22"/>
        </w:rPr>
      </w:pPr>
    </w:p>
    <w:sectPr w:rsidR="00441EE5" w:rsidSect="0060023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04" w:rsidRDefault="00192C04">
      <w:r>
        <w:separator/>
      </w:r>
    </w:p>
  </w:endnote>
  <w:endnote w:type="continuationSeparator" w:id="0">
    <w:p w:rsidR="00192C04" w:rsidRDefault="0019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5E34D4">
    <w:pPr>
      <w:pStyle w:val="Footer"/>
      <w:framePr w:wrap="around" w:vAnchor="text" w:hAnchor="margin" w:xAlign="center" w:y="1"/>
      <w:rPr>
        <w:rStyle w:val="PageNumber"/>
      </w:rPr>
    </w:pPr>
    <w:r>
      <w:rPr>
        <w:rStyle w:val="PageNumber"/>
      </w:rPr>
      <w:fldChar w:fldCharType="begin"/>
    </w:r>
    <w:r w:rsidR="00441EE5">
      <w:rPr>
        <w:rStyle w:val="PageNumber"/>
      </w:rPr>
      <w:instrText xml:space="preserve">PAGE  </w:instrText>
    </w:r>
    <w:r>
      <w:rPr>
        <w:rStyle w:val="PageNumber"/>
      </w:rPr>
      <w:fldChar w:fldCharType="separate"/>
    </w:r>
    <w:r w:rsidR="00BA5AE2">
      <w:rPr>
        <w:rStyle w:val="PageNumber"/>
        <w:noProof/>
      </w:rPr>
      <w:t>3</w:t>
    </w:r>
    <w:r>
      <w:rPr>
        <w:rStyle w:val="PageNumber"/>
      </w:rPr>
      <w:fldChar w:fldCharType="end"/>
    </w:r>
  </w:p>
  <w:p w:rsidR="00441EE5" w:rsidRDefault="0044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5E34D4">
    <w:pPr>
      <w:pStyle w:val="Footer"/>
      <w:framePr w:wrap="around" w:vAnchor="text" w:hAnchor="margin" w:xAlign="center" w:y="1"/>
      <w:rPr>
        <w:rStyle w:val="PageNumber"/>
      </w:rPr>
    </w:pPr>
    <w:r>
      <w:rPr>
        <w:rStyle w:val="PageNumber"/>
      </w:rPr>
      <w:fldChar w:fldCharType="begin"/>
    </w:r>
    <w:r w:rsidR="00441EE5">
      <w:rPr>
        <w:rStyle w:val="PageNumber"/>
      </w:rPr>
      <w:instrText xml:space="preserve">PAGE  </w:instrText>
    </w:r>
    <w:r>
      <w:rPr>
        <w:rStyle w:val="PageNumber"/>
      </w:rPr>
      <w:fldChar w:fldCharType="separate"/>
    </w:r>
    <w:r w:rsidR="00361B27">
      <w:rPr>
        <w:rStyle w:val="PageNumber"/>
        <w:noProof/>
      </w:rPr>
      <w:t>2</w:t>
    </w:r>
    <w:r>
      <w:rPr>
        <w:rStyle w:val="PageNumber"/>
      </w:rPr>
      <w:fldChar w:fldCharType="end"/>
    </w:r>
  </w:p>
  <w:p w:rsidR="00441EE5" w:rsidRDefault="0044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2" w:rsidRDefault="00BA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04" w:rsidRDefault="00192C04">
      <w:r>
        <w:separator/>
      </w:r>
    </w:p>
  </w:footnote>
  <w:footnote w:type="continuationSeparator" w:id="0">
    <w:p w:rsidR="00192C04" w:rsidRDefault="00192C04">
      <w:r>
        <w:continuationSeparator/>
      </w:r>
    </w:p>
  </w:footnote>
  <w:footnote w:id="1">
    <w:p w:rsidR="003770B8" w:rsidRDefault="003770B8" w:rsidP="003770B8">
      <w:pPr>
        <w:tabs>
          <w:tab w:val="center" w:pos="4680"/>
        </w:tabs>
        <w:suppressAutoHyphens/>
        <w:spacing w:after="100"/>
      </w:pPr>
      <w:r>
        <w:rPr>
          <w:rStyle w:val="FootnoteReference"/>
        </w:rPr>
        <w:footnoteRef/>
      </w:r>
      <w:r>
        <w:t xml:space="preserve"> </w:t>
      </w:r>
      <w:r w:rsidRPr="006477DC">
        <w:t xml:space="preserve">Amendment of Parts 1, 2, 15, </w:t>
      </w:r>
      <w:r>
        <w:t xml:space="preserve">25, 27, </w:t>
      </w:r>
      <w:r w:rsidRPr="006477DC">
        <w:t xml:space="preserve">74, 78, </w:t>
      </w:r>
      <w:r>
        <w:t xml:space="preserve">80, </w:t>
      </w:r>
      <w:r w:rsidRPr="006477DC">
        <w:t>87, 90,</w:t>
      </w:r>
      <w:r>
        <w:t xml:space="preserve"> 97, and 101 </w:t>
      </w:r>
      <w:r w:rsidRPr="006477DC">
        <w:t>of the Commission’s Rules Regarding Implementation of the Final Acts of the World Radiocommunication Conference (Geneva, 2007) (WRC-07), Other Allocation Issues, and Related Rule Updates</w:t>
      </w:r>
      <w:r>
        <w:rPr>
          <w:spacing w:val="-2"/>
          <w:szCs w:val="22"/>
        </w:rPr>
        <w:t xml:space="preserve">, </w:t>
      </w:r>
      <w:r w:rsidRPr="006477DC">
        <w:t>ET Docket No. 12-338</w:t>
      </w:r>
      <w:r>
        <w:t xml:space="preserve">, </w:t>
      </w:r>
      <w:r w:rsidRPr="00F45EAB">
        <w:rPr>
          <w:i/>
        </w:rPr>
        <w:t>Report and Order, Order, and Notice of Proposed Rulemaking</w:t>
      </w:r>
      <w:r>
        <w:t>, 30 FCC Rcd 4183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2" w:rsidRDefault="00BA5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2" w:rsidRDefault="00BA5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D50A1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anchor>
      </w:drawing>
    </w:r>
    <w:r w:rsidR="00441EE5">
      <w:rPr>
        <w:rFonts w:ascii="CG Times (W1)" w:hAnsi="CG Times (W1)"/>
        <w:sz w:val="28"/>
      </w:rPr>
      <w:t>Federal Communications Commission</w:t>
    </w:r>
  </w:p>
  <w:p w:rsidR="00441EE5" w:rsidRDefault="00441EE5">
    <w:pPr>
      <w:jc w:val="center"/>
      <w:rPr>
        <w:rFonts w:ascii="CG Times (W1)" w:hAnsi="CG Times (W1)"/>
        <w:sz w:val="28"/>
      </w:rPr>
    </w:pPr>
    <w:r>
      <w:rPr>
        <w:rFonts w:ascii="CG Times (W1)" w:hAnsi="CG Times (W1)"/>
        <w:sz w:val="28"/>
      </w:rPr>
      <w:t>Washington, D.C. 20554</w:t>
    </w:r>
  </w:p>
  <w:p w:rsidR="0060023B" w:rsidRDefault="0060023B">
    <w:pPr>
      <w:jc w:val="center"/>
      <w:rPr>
        <w:rFonts w:ascii="CG Times (W1)" w:hAnsi="CG Times (W1)"/>
        <w:sz w:val="28"/>
      </w:rPr>
    </w:pPr>
  </w:p>
  <w:p w:rsidR="0060023B" w:rsidRPr="0060023B" w:rsidRDefault="0060023B">
    <w:pPr>
      <w:jc w:val="center"/>
      <w:rPr>
        <w:sz w:val="24"/>
        <w:szCs w:val="24"/>
      </w:rPr>
    </w:pPr>
    <w:r w:rsidRPr="00F50270">
      <w:rPr>
        <w:sz w:val="24"/>
        <w:szCs w:val="24"/>
      </w:rPr>
      <w:t>August 5, 2015</w:t>
    </w:r>
  </w:p>
  <w:p w:rsidR="00441EE5" w:rsidRPr="00725F05" w:rsidRDefault="00441EE5" w:rsidP="00A12B6D">
    <w:pPr>
      <w:pStyle w:val="Header"/>
      <w:tabs>
        <w:tab w:val="clear" w:pos="432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D94556"/>
    <w:multiLevelType w:val="hybridMultilevel"/>
    <w:tmpl w:val="E326A604"/>
    <w:lvl w:ilvl="0" w:tplc="0409000B">
      <w:start w:val="1"/>
      <w:numFmt w:val="bullet"/>
      <w:lvlText w:val=""/>
      <w:lvlJc w:val="left"/>
      <w:pPr>
        <w:tabs>
          <w:tab w:val="num" w:pos="720"/>
        </w:tabs>
        <w:ind w:left="720" w:hanging="360"/>
      </w:pPr>
      <w:rPr>
        <w:rFonts w:ascii="Wingdings" w:hAnsi="Wingdings" w:hint="default"/>
      </w:rPr>
    </w:lvl>
    <w:lvl w:ilvl="1" w:tplc="46E2AC88">
      <w:numFmt w:val="bullet"/>
      <w:lvlText w:val="•"/>
      <w:lvlJc w:val="left"/>
      <w:pPr>
        <w:tabs>
          <w:tab w:val="num" w:pos="1440"/>
        </w:tabs>
        <w:ind w:left="1440" w:hanging="360"/>
      </w:pPr>
      <w:rPr>
        <w:rFonts w:ascii="Times New Roman" w:eastAsia="Times New Roman" w:hAnsi="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7C3E69"/>
    <w:multiLevelType w:val="hybridMultilevel"/>
    <w:tmpl w:val="3BC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E1940"/>
    <w:multiLevelType w:val="hybridMultilevel"/>
    <w:tmpl w:val="F7ECAE56"/>
    <w:lvl w:ilvl="0" w:tplc="ABBA6960">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6">
    <w:nsid w:val="6AEC3732"/>
    <w:multiLevelType w:val="hybridMultilevel"/>
    <w:tmpl w:val="F0FED02A"/>
    <w:lvl w:ilvl="0" w:tplc="F9722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93B52"/>
    <w:multiLevelType w:val="hybridMultilevel"/>
    <w:tmpl w:val="E14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96071"/>
    <w:rsid w:val="000A436F"/>
    <w:rsid w:val="000A516E"/>
    <w:rsid w:val="000C5F84"/>
    <w:rsid w:val="000F1CCD"/>
    <w:rsid w:val="000F7F7B"/>
    <w:rsid w:val="001004BB"/>
    <w:rsid w:val="001355DF"/>
    <w:rsid w:val="00140F35"/>
    <w:rsid w:val="00161296"/>
    <w:rsid w:val="001646FB"/>
    <w:rsid w:val="0018094B"/>
    <w:rsid w:val="00192C04"/>
    <w:rsid w:val="001E74B9"/>
    <w:rsid w:val="00222546"/>
    <w:rsid w:val="00233AD4"/>
    <w:rsid w:val="00235EF1"/>
    <w:rsid w:val="00247597"/>
    <w:rsid w:val="002F0ADD"/>
    <w:rsid w:val="00334521"/>
    <w:rsid w:val="00361B27"/>
    <w:rsid w:val="00364716"/>
    <w:rsid w:val="00376F42"/>
    <w:rsid w:val="003770B8"/>
    <w:rsid w:val="00397E63"/>
    <w:rsid w:val="003F58BD"/>
    <w:rsid w:val="00441EE5"/>
    <w:rsid w:val="00487668"/>
    <w:rsid w:val="00492553"/>
    <w:rsid w:val="004926F2"/>
    <w:rsid w:val="004B76DC"/>
    <w:rsid w:val="004E705C"/>
    <w:rsid w:val="00542114"/>
    <w:rsid w:val="005441FA"/>
    <w:rsid w:val="00566F9B"/>
    <w:rsid w:val="00567C22"/>
    <w:rsid w:val="005A218D"/>
    <w:rsid w:val="005B2AC1"/>
    <w:rsid w:val="005B5CDB"/>
    <w:rsid w:val="005E34D4"/>
    <w:rsid w:val="005F2E09"/>
    <w:rsid w:val="005F66FF"/>
    <w:rsid w:val="0060023B"/>
    <w:rsid w:val="006360EC"/>
    <w:rsid w:val="0064637F"/>
    <w:rsid w:val="00670DB1"/>
    <w:rsid w:val="006B4D6B"/>
    <w:rsid w:val="006D404A"/>
    <w:rsid w:val="006D4987"/>
    <w:rsid w:val="006F2594"/>
    <w:rsid w:val="0072495A"/>
    <w:rsid w:val="00725F05"/>
    <w:rsid w:val="007363D9"/>
    <w:rsid w:val="00743567"/>
    <w:rsid w:val="00745B63"/>
    <w:rsid w:val="00775051"/>
    <w:rsid w:val="007A3A15"/>
    <w:rsid w:val="007B17F4"/>
    <w:rsid w:val="007C796A"/>
    <w:rsid w:val="007E62CE"/>
    <w:rsid w:val="0083387C"/>
    <w:rsid w:val="008372E1"/>
    <w:rsid w:val="0084186F"/>
    <w:rsid w:val="00841FD6"/>
    <w:rsid w:val="008435AF"/>
    <w:rsid w:val="00861E5F"/>
    <w:rsid w:val="0089543A"/>
    <w:rsid w:val="008B6B57"/>
    <w:rsid w:val="008F0FC0"/>
    <w:rsid w:val="008F1FE7"/>
    <w:rsid w:val="00907B92"/>
    <w:rsid w:val="00924CF3"/>
    <w:rsid w:val="009425C7"/>
    <w:rsid w:val="00942AC0"/>
    <w:rsid w:val="00960583"/>
    <w:rsid w:val="009776E7"/>
    <w:rsid w:val="00981F25"/>
    <w:rsid w:val="009A54C2"/>
    <w:rsid w:val="009D6A44"/>
    <w:rsid w:val="009F3C63"/>
    <w:rsid w:val="00A12B6D"/>
    <w:rsid w:val="00A81C44"/>
    <w:rsid w:val="00AB322B"/>
    <w:rsid w:val="00AC1A6F"/>
    <w:rsid w:val="00AD07E6"/>
    <w:rsid w:val="00AE5F63"/>
    <w:rsid w:val="00B3480A"/>
    <w:rsid w:val="00B7718C"/>
    <w:rsid w:val="00B87666"/>
    <w:rsid w:val="00BA5AE2"/>
    <w:rsid w:val="00C00B2E"/>
    <w:rsid w:val="00C26806"/>
    <w:rsid w:val="00C27405"/>
    <w:rsid w:val="00C359D0"/>
    <w:rsid w:val="00C41A11"/>
    <w:rsid w:val="00C67A74"/>
    <w:rsid w:val="00C83BFE"/>
    <w:rsid w:val="00C96978"/>
    <w:rsid w:val="00CA13C4"/>
    <w:rsid w:val="00CA4BCB"/>
    <w:rsid w:val="00CB21AD"/>
    <w:rsid w:val="00CF7F0B"/>
    <w:rsid w:val="00D124DB"/>
    <w:rsid w:val="00D3412F"/>
    <w:rsid w:val="00D50A14"/>
    <w:rsid w:val="00D97105"/>
    <w:rsid w:val="00DC304A"/>
    <w:rsid w:val="00DC6B62"/>
    <w:rsid w:val="00DD4A6D"/>
    <w:rsid w:val="00DE6BE2"/>
    <w:rsid w:val="00E2797D"/>
    <w:rsid w:val="00E36656"/>
    <w:rsid w:val="00E72F73"/>
    <w:rsid w:val="00E7551A"/>
    <w:rsid w:val="00E76894"/>
    <w:rsid w:val="00E86082"/>
    <w:rsid w:val="00E969CA"/>
    <w:rsid w:val="00EB7AF1"/>
    <w:rsid w:val="00EC44C6"/>
    <w:rsid w:val="00EC7514"/>
    <w:rsid w:val="00EE2A23"/>
    <w:rsid w:val="00EE7635"/>
    <w:rsid w:val="00EE7702"/>
    <w:rsid w:val="00F05D07"/>
    <w:rsid w:val="00F227EC"/>
    <w:rsid w:val="00F31549"/>
    <w:rsid w:val="00F33939"/>
    <w:rsid w:val="00F50270"/>
    <w:rsid w:val="00F548D8"/>
    <w:rsid w:val="00F62BFF"/>
    <w:rsid w:val="00F64247"/>
    <w:rsid w:val="00FC2882"/>
    <w:rsid w:val="00FC579B"/>
    <w:rsid w:val="00FD4F7B"/>
    <w:rsid w:val="00FD7625"/>
    <w:rsid w:val="00FE7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basedOn w:val="Normal"/>
    <w:link w:val="FootnoteTextChar"/>
    <w:uiPriority w:val="99"/>
    <w:semiHidden/>
    <w:unhideWhenUsed/>
    <w:rsid w:val="000A516E"/>
  </w:style>
  <w:style w:type="character" w:customStyle="1" w:styleId="FootnoteTextChar">
    <w:name w:val="Footnote Text Char"/>
    <w:basedOn w:val="DefaultParagraphFont"/>
    <w:link w:val="FootnoteText"/>
    <w:uiPriority w:val="99"/>
    <w:semiHidden/>
    <w:rsid w:val="000A516E"/>
  </w:style>
  <w:style w:type="character" w:styleId="FootnoteReference">
    <w:name w:val="footnote reference"/>
    <w:aliases w:val="Appel note de bas de p,o,fr,(NECG) Footnote Reference,Style 12,Style 124,Style 3,Style 17,FR,Style 13,Footnote Reference/,Style 6"/>
    <w:rsid w:val="000A516E"/>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9D6A44"/>
    <w:rPr>
      <w:sz w:val="16"/>
      <w:szCs w:val="16"/>
    </w:rPr>
  </w:style>
  <w:style w:type="paragraph" w:styleId="CommentText">
    <w:name w:val="annotation text"/>
    <w:basedOn w:val="Normal"/>
    <w:link w:val="CommentTextChar"/>
    <w:uiPriority w:val="99"/>
    <w:semiHidden/>
    <w:unhideWhenUsed/>
    <w:rsid w:val="009D6A44"/>
  </w:style>
  <w:style w:type="character" w:customStyle="1" w:styleId="CommentTextChar">
    <w:name w:val="Comment Text Char"/>
    <w:basedOn w:val="DefaultParagraphFont"/>
    <w:link w:val="CommentText"/>
    <w:uiPriority w:val="99"/>
    <w:semiHidden/>
    <w:rsid w:val="009D6A44"/>
  </w:style>
  <w:style w:type="paragraph" w:styleId="CommentSubject">
    <w:name w:val="annotation subject"/>
    <w:basedOn w:val="CommentText"/>
    <w:next w:val="CommentText"/>
    <w:link w:val="CommentSubjectChar"/>
    <w:uiPriority w:val="99"/>
    <w:semiHidden/>
    <w:unhideWhenUsed/>
    <w:rsid w:val="009D6A44"/>
    <w:rPr>
      <w:b/>
      <w:bCs/>
    </w:rPr>
  </w:style>
  <w:style w:type="character" w:customStyle="1" w:styleId="CommentSubjectChar">
    <w:name w:val="Comment Subject Char"/>
    <w:basedOn w:val="CommentTextChar"/>
    <w:link w:val="CommentSubject"/>
    <w:uiPriority w:val="99"/>
    <w:semiHidden/>
    <w:rsid w:val="009D6A44"/>
    <w:rPr>
      <w:b/>
      <w:bCs/>
    </w:rPr>
  </w:style>
  <w:style w:type="character" w:customStyle="1" w:styleId="ParaNumChar1">
    <w:name w:val="ParaNum Char1"/>
    <w:link w:val="ParaNum"/>
    <w:rsid w:val="003770B8"/>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basedOn w:val="Normal"/>
    <w:link w:val="FootnoteTextChar"/>
    <w:uiPriority w:val="99"/>
    <w:semiHidden/>
    <w:unhideWhenUsed/>
    <w:rsid w:val="000A516E"/>
  </w:style>
  <w:style w:type="character" w:customStyle="1" w:styleId="FootnoteTextChar">
    <w:name w:val="Footnote Text Char"/>
    <w:basedOn w:val="DefaultParagraphFont"/>
    <w:link w:val="FootnoteText"/>
    <w:uiPriority w:val="99"/>
    <w:semiHidden/>
    <w:rsid w:val="000A516E"/>
  </w:style>
  <w:style w:type="character" w:styleId="FootnoteReference">
    <w:name w:val="footnote reference"/>
    <w:aliases w:val="Appel note de bas de p,o,fr,(NECG) Footnote Reference,Style 12,Style 124,Style 3,Style 17,FR,Style 13,Footnote Reference/,Style 6"/>
    <w:rsid w:val="000A516E"/>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9D6A44"/>
    <w:rPr>
      <w:sz w:val="16"/>
      <w:szCs w:val="16"/>
    </w:rPr>
  </w:style>
  <w:style w:type="paragraph" w:styleId="CommentText">
    <w:name w:val="annotation text"/>
    <w:basedOn w:val="Normal"/>
    <w:link w:val="CommentTextChar"/>
    <w:uiPriority w:val="99"/>
    <w:semiHidden/>
    <w:unhideWhenUsed/>
    <w:rsid w:val="009D6A44"/>
  </w:style>
  <w:style w:type="character" w:customStyle="1" w:styleId="CommentTextChar">
    <w:name w:val="Comment Text Char"/>
    <w:basedOn w:val="DefaultParagraphFont"/>
    <w:link w:val="CommentText"/>
    <w:uiPriority w:val="99"/>
    <w:semiHidden/>
    <w:rsid w:val="009D6A44"/>
  </w:style>
  <w:style w:type="paragraph" w:styleId="CommentSubject">
    <w:name w:val="annotation subject"/>
    <w:basedOn w:val="CommentText"/>
    <w:next w:val="CommentText"/>
    <w:link w:val="CommentSubjectChar"/>
    <w:uiPriority w:val="99"/>
    <w:semiHidden/>
    <w:unhideWhenUsed/>
    <w:rsid w:val="009D6A44"/>
    <w:rPr>
      <w:b/>
      <w:bCs/>
    </w:rPr>
  </w:style>
  <w:style w:type="character" w:customStyle="1" w:styleId="CommentSubjectChar">
    <w:name w:val="Comment Subject Char"/>
    <w:basedOn w:val="CommentTextChar"/>
    <w:link w:val="CommentSubject"/>
    <w:uiPriority w:val="99"/>
    <w:semiHidden/>
    <w:rsid w:val="009D6A44"/>
    <w:rPr>
      <w:b/>
      <w:bCs/>
    </w:rPr>
  </w:style>
  <w:style w:type="character" w:customStyle="1" w:styleId="ParaNumChar1">
    <w:name w:val="ParaNum Char1"/>
    <w:link w:val="ParaNum"/>
    <w:rsid w:val="003770B8"/>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6103">
      <w:bodyDiv w:val="1"/>
      <w:marLeft w:val="0"/>
      <w:marRight w:val="0"/>
      <w:marTop w:val="30"/>
      <w:marBottom w:val="750"/>
      <w:divBdr>
        <w:top w:val="none" w:sz="0" w:space="0" w:color="auto"/>
        <w:left w:val="none" w:sz="0" w:space="0" w:color="auto"/>
        <w:bottom w:val="none" w:sz="0" w:space="0" w:color="auto"/>
        <w:right w:val="none" w:sz="0" w:space="0" w:color="auto"/>
      </w:divBdr>
      <w:divsChild>
        <w:div w:id="124106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index.htm?job=rules_and_regulations" TargetMode="External"/><Relationship Id="rId13" Type="http://schemas.openxmlformats.org/officeDocument/2006/relationships/hyperlink" Target="http://www.fcc.gov/oet/e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pps.fcc.gov/edocs_public/attachmatch/FCC-15-50A1.tx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5-50A1.pdf" TargetMode="External"/><Relationship Id="rId5" Type="http://schemas.openxmlformats.org/officeDocument/2006/relationships/webSettings" Target="webSettings.xml"/><Relationship Id="rId15" Type="http://schemas.openxmlformats.org/officeDocument/2006/relationships/hyperlink" Target="http://www.fcc.gov/labhelp" TargetMode="External"/><Relationship Id="rId23" Type="http://schemas.openxmlformats.org/officeDocument/2006/relationships/theme" Target="theme/theme1.xml"/><Relationship Id="rId10" Type="http://schemas.openxmlformats.org/officeDocument/2006/relationships/hyperlink" Target="https://apps.fcc.gov/edocs_public/attachmatch/FCC-15-50A1.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cfr.gov/cgi-bin/text-idx?SID=b18ca9e5287ca1e998ab4677bb146dcb&amp;mc=true&amp;node=pt47.1.2&amp;rgn=div5" TargetMode="External"/><Relationship Id="rId14" Type="http://schemas.openxmlformats.org/officeDocument/2006/relationships/hyperlink" Target="mailto:contact_ib@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8259</Characters>
  <Application>Microsoft Office Word</Application>
  <DocSecurity>0</DocSecurity>
  <Lines>157</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2015-08-05T19:18:00Z</dcterms:created>
  <dcterms:modified xsi:type="dcterms:W3CDTF">2015-08-05T19:18:00Z</dcterms:modified>
  <cp:category> </cp:category>
  <cp:contentStatus> </cp:contentStatus>
</cp:coreProperties>
</file>