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1BE8BF" w14:textId="780EE7FC" w:rsidR="00C82B6B" w:rsidRPr="00854B58" w:rsidRDefault="00587053" w:rsidP="00C82B6B">
      <w:pPr>
        <w:jc w:val="right"/>
        <w:rPr>
          <w:b/>
          <w:sz w:val="24"/>
        </w:rPr>
      </w:pPr>
      <w:bookmarkStart w:id="0" w:name="_GoBack"/>
      <w:bookmarkEnd w:id="0"/>
      <w:r>
        <w:rPr>
          <w:b/>
          <w:sz w:val="24"/>
        </w:rPr>
        <w:t>DA 15-</w:t>
      </w:r>
      <w:r w:rsidR="00B2240E">
        <w:rPr>
          <w:b/>
          <w:sz w:val="24"/>
        </w:rPr>
        <w:t>904</w:t>
      </w:r>
    </w:p>
    <w:p w14:paraId="03BC85E3" w14:textId="12792706" w:rsidR="00C82B6B" w:rsidRPr="00854B58" w:rsidRDefault="00DF439E" w:rsidP="00C82B6B">
      <w:pPr>
        <w:spacing w:before="60"/>
        <w:jc w:val="right"/>
        <w:rPr>
          <w:b/>
          <w:sz w:val="24"/>
        </w:rPr>
      </w:pPr>
      <w:r>
        <w:rPr>
          <w:b/>
          <w:sz w:val="24"/>
        </w:rPr>
        <w:t>August</w:t>
      </w:r>
      <w:r w:rsidR="00587053">
        <w:rPr>
          <w:b/>
          <w:sz w:val="24"/>
        </w:rPr>
        <w:t xml:space="preserve"> </w:t>
      </w:r>
      <w:r w:rsidR="00C636A3">
        <w:rPr>
          <w:b/>
          <w:sz w:val="24"/>
        </w:rPr>
        <w:t>1</w:t>
      </w:r>
      <w:r w:rsidR="001D188F">
        <w:rPr>
          <w:b/>
          <w:sz w:val="24"/>
        </w:rPr>
        <w:t>2</w:t>
      </w:r>
      <w:r w:rsidR="00587053">
        <w:rPr>
          <w:b/>
          <w:sz w:val="24"/>
        </w:rPr>
        <w:t>, 2015</w:t>
      </w:r>
    </w:p>
    <w:p w14:paraId="7269062B" w14:textId="77777777" w:rsidR="00C82B6B" w:rsidRPr="00854B58" w:rsidRDefault="00C82B6B" w:rsidP="00C82B6B">
      <w:pPr>
        <w:jc w:val="right"/>
        <w:rPr>
          <w:b/>
          <w:sz w:val="24"/>
        </w:rPr>
      </w:pPr>
    </w:p>
    <w:p w14:paraId="421E9300" w14:textId="77777777" w:rsidR="00587053" w:rsidRDefault="00587053" w:rsidP="00587053">
      <w:pPr>
        <w:widowControl/>
        <w:suppressAutoHyphens/>
        <w:jc w:val="center"/>
        <w:rPr>
          <w:b/>
          <w:sz w:val="24"/>
          <w:szCs w:val="24"/>
        </w:rPr>
      </w:pPr>
      <w:r w:rsidRPr="00195766">
        <w:rPr>
          <w:b/>
          <w:sz w:val="24"/>
          <w:szCs w:val="24"/>
        </w:rPr>
        <w:t xml:space="preserve">AUCTION OF </w:t>
      </w:r>
      <w:r>
        <w:rPr>
          <w:b/>
          <w:sz w:val="24"/>
          <w:szCs w:val="24"/>
        </w:rPr>
        <w:t>FM BROADCAST</w:t>
      </w:r>
      <w:r w:rsidRPr="00195766">
        <w:rPr>
          <w:b/>
          <w:sz w:val="24"/>
          <w:szCs w:val="24"/>
        </w:rPr>
        <w:t xml:space="preserve"> CONSTRUCTION PERMITS CLOSES</w:t>
      </w:r>
    </w:p>
    <w:p w14:paraId="10265F0C" w14:textId="77777777" w:rsidR="002F16CE" w:rsidRPr="00195766" w:rsidRDefault="002F16CE" w:rsidP="00587053">
      <w:pPr>
        <w:widowControl/>
        <w:suppressAutoHyphens/>
        <w:jc w:val="center"/>
        <w:rPr>
          <w:b/>
          <w:sz w:val="24"/>
          <w:szCs w:val="24"/>
        </w:rPr>
      </w:pPr>
    </w:p>
    <w:p w14:paraId="29FA4D94" w14:textId="77777777" w:rsidR="00C82B6B" w:rsidRDefault="00587053" w:rsidP="00C82B6B">
      <w:pPr>
        <w:spacing w:after="240"/>
        <w:jc w:val="center"/>
        <w:rPr>
          <w:b/>
          <w:sz w:val="24"/>
        </w:rPr>
      </w:pPr>
      <w:r w:rsidRPr="00587053">
        <w:rPr>
          <w:b/>
          <w:sz w:val="24"/>
        </w:rPr>
        <w:t>WINNING BIDDERS ANNOUNCED FOR AUCTION 9</w:t>
      </w:r>
      <w:r w:rsidR="00824FAC">
        <w:rPr>
          <w:b/>
          <w:sz w:val="24"/>
        </w:rPr>
        <w:t>8</w:t>
      </w:r>
    </w:p>
    <w:p w14:paraId="027EF3CC" w14:textId="742D9632" w:rsidR="00587053" w:rsidRPr="00587053" w:rsidRDefault="00587053" w:rsidP="00307010">
      <w:pPr>
        <w:spacing w:before="120"/>
        <w:jc w:val="center"/>
        <w:rPr>
          <w:b/>
          <w:sz w:val="24"/>
        </w:rPr>
      </w:pPr>
      <w:r w:rsidRPr="00587053">
        <w:rPr>
          <w:b/>
          <w:sz w:val="24"/>
        </w:rPr>
        <w:t xml:space="preserve">Down Payments Due </w:t>
      </w:r>
      <w:r w:rsidR="00DF439E">
        <w:rPr>
          <w:b/>
          <w:sz w:val="24"/>
        </w:rPr>
        <w:t>August</w:t>
      </w:r>
      <w:r w:rsidR="007D36D8">
        <w:rPr>
          <w:b/>
          <w:sz w:val="24"/>
        </w:rPr>
        <w:t xml:space="preserve"> </w:t>
      </w:r>
      <w:r w:rsidR="007536D4">
        <w:rPr>
          <w:b/>
          <w:sz w:val="24"/>
        </w:rPr>
        <w:t>2</w:t>
      </w:r>
      <w:r w:rsidR="001D188F">
        <w:rPr>
          <w:b/>
          <w:sz w:val="24"/>
        </w:rPr>
        <w:t>6</w:t>
      </w:r>
      <w:r w:rsidRPr="00587053">
        <w:rPr>
          <w:b/>
          <w:sz w:val="24"/>
        </w:rPr>
        <w:t>, 201</w:t>
      </w:r>
      <w:r w:rsidR="00F058E1">
        <w:rPr>
          <w:b/>
          <w:sz w:val="24"/>
        </w:rPr>
        <w:t>5</w:t>
      </w:r>
    </w:p>
    <w:p w14:paraId="5B5B8218" w14:textId="2C2B2BB7" w:rsidR="00587053" w:rsidRPr="00587053" w:rsidRDefault="00587053" w:rsidP="00587053">
      <w:pPr>
        <w:jc w:val="center"/>
        <w:rPr>
          <w:b/>
          <w:sz w:val="24"/>
        </w:rPr>
      </w:pPr>
      <w:r w:rsidRPr="00587053">
        <w:rPr>
          <w:b/>
          <w:sz w:val="24"/>
        </w:rPr>
        <w:t xml:space="preserve">Final Payments Due </w:t>
      </w:r>
      <w:r w:rsidR="00DF439E">
        <w:rPr>
          <w:b/>
          <w:sz w:val="24"/>
        </w:rPr>
        <w:t>September</w:t>
      </w:r>
      <w:r w:rsidR="007D36D8">
        <w:rPr>
          <w:b/>
          <w:sz w:val="24"/>
        </w:rPr>
        <w:t xml:space="preserve"> </w:t>
      </w:r>
      <w:r w:rsidR="001D188F">
        <w:rPr>
          <w:b/>
          <w:sz w:val="24"/>
        </w:rPr>
        <w:t>10</w:t>
      </w:r>
      <w:r w:rsidR="007D36D8">
        <w:rPr>
          <w:b/>
          <w:sz w:val="24"/>
        </w:rPr>
        <w:t>,</w:t>
      </w:r>
      <w:r w:rsidRPr="00587053">
        <w:rPr>
          <w:b/>
          <w:sz w:val="24"/>
        </w:rPr>
        <w:t xml:space="preserve"> 201</w:t>
      </w:r>
      <w:r w:rsidR="00F058E1">
        <w:rPr>
          <w:b/>
          <w:sz w:val="24"/>
        </w:rPr>
        <w:t>5</w:t>
      </w:r>
    </w:p>
    <w:p w14:paraId="609ABA45" w14:textId="4E97A4EE" w:rsidR="00C82B6B" w:rsidRDefault="00587053" w:rsidP="00307010">
      <w:pPr>
        <w:spacing w:after="240"/>
        <w:jc w:val="center"/>
        <w:rPr>
          <w:b/>
          <w:sz w:val="24"/>
        </w:rPr>
      </w:pPr>
      <w:r w:rsidRPr="00587053">
        <w:rPr>
          <w:b/>
          <w:sz w:val="24"/>
        </w:rPr>
        <w:t xml:space="preserve">FCC Form 301 Filing Window </w:t>
      </w:r>
      <w:r w:rsidR="00D55DE7">
        <w:rPr>
          <w:b/>
          <w:sz w:val="24"/>
        </w:rPr>
        <w:t>September</w:t>
      </w:r>
      <w:r w:rsidRPr="00587053">
        <w:rPr>
          <w:b/>
          <w:sz w:val="24"/>
        </w:rPr>
        <w:t xml:space="preserve"> </w:t>
      </w:r>
      <w:r w:rsidR="00D55DE7">
        <w:rPr>
          <w:b/>
          <w:sz w:val="24"/>
        </w:rPr>
        <w:t>10</w:t>
      </w:r>
      <w:r w:rsidR="00DF439E">
        <w:rPr>
          <w:b/>
          <w:sz w:val="24"/>
        </w:rPr>
        <w:t xml:space="preserve"> </w:t>
      </w:r>
      <w:r w:rsidR="002E4104">
        <w:rPr>
          <w:b/>
          <w:sz w:val="24"/>
        </w:rPr>
        <w:t>through</w:t>
      </w:r>
      <w:r w:rsidRPr="00587053">
        <w:rPr>
          <w:b/>
          <w:sz w:val="24"/>
        </w:rPr>
        <w:t xml:space="preserve"> </w:t>
      </w:r>
      <w:r w:rsidR="00D55DE7">
        <w:rPr>
          <w:b/>
          <w:sz w:val="24"/>
        </w:rPr>
        <w:t>October 13</w:t>
      </w:r>
      <w:r w:rsidRPr="00587053">
        <w:rPr>
          <w:b/>
          <w:sz w:val="24"/>
        </w:rPr>
        <w:t>, 201</w:t>
      </w:r>
      <w:r w:rsidR="00F058E1">
        <w:rPr>
          <w:b/>
          <w:sz w:val="24"/>
        </w:rPr>
        <w:t>5</w:t>
      </w:r>
    </w:p>
    <w:p w14:paraId="17DDA3F0" w14:textId="77777777" w:rsidR="00587053" w:rsidRPr="00195766" w:rsidRDefault="00587053" w:rsidP="00307010">
      <w:pPr>
        <w:pStyle w:val="Heading1"/>
        <w:widowControl/>
        <w:tabs>
          <w:tab w:val="num" w:pos="720"/>
        </w:tabs>
      </w:pPr>
      <w:r w:rsidRPr="00195766">
        <w:t>INTRODUCTION</w:t>
      </w:r>
    </w:p>
    <w:p w14:paraId="2CE6DB39" w14:textId="2C3F6846" w:rsidR="00587053" w:rsidRPr="00195766" w:rsidRDefault="00587053" w:rsidP="00145E93">
      <w:pPr>
        <w:pStyle w:val="ParaNum"/>
      </w:pPr>
      <w:r w:rsidRPr="00205E83">
        <w:t xml:space="preserve">On </w:t>
      </w:r>
      <w:r w:rsidR="00DF439E">
        <w:t>August</w:t>
      </w:r>
      <w:r w:rsidR="001B2659">
        <w:t xml:space="preserve"> </w:t>
      </w:r>
      <w:r w:rsidR="0023491B">
        <w:t>6</w:t>
      </w:r>
      <w:r w:rsidR="001B2659">
        <w:t>, 2015</w:t>
      </w:r>
      <w:r w:rsidRPr="00205E83">
        <w:t>, the Federal</w:t>
      </w:r>
      <w:r w:rsidRPr="00195766">
        <w:t xml:space="preserve"> Communications Commission completed an auction of </w:t>
      </w:r>
      <w:r w:rsidR="00F058E1">
        <w:t>131</w:t>
      </w:r>
      <w:r>
        <w:t xml:space="preserve"> construction permits in the FM broadcast service</w:t>
      </w:r>
      <w:r w:rsidRPr="00195766">
        <w:t>.  This auction, which was designated Auction 9</w:t>
      </w:r>
      <w:r w:rsidR="00F058E1">
        <w:t>8</w:t>
      </w:r>
      <w:r w:rsidRPr="00195766">
        <w:t>, raised (in net bids) a total of $</w:t>
      </w:r>
      <w:r w:rsidR="0023491B">
        <w:t>4</w:t>
      </w:r>
      <w:r w:rsidR="00F058E1">
        <w:t>,</w:t>
      </w:r>
      <w:r w:rsidR="0023491B">
        <w:t>121</w:t>
      </w:r>
      <w:r w:rsidR="00F058E1">
        <w:t>,</w:t>
      </w:r>
      <w:r w:rsidR="0023491B">
        <w:t>140</w:t>
      </w:r>
      <w:r w:rsidRPr="002C2B5F">
        <w:t>.</w:t>
      </w:r>
      <w:r w:rsidRPr="008471C8">
        <w:t>00,</w:t>
      </w:r>
      <w:r w:rsidRPr="00195766">
        <w:t xml:space="preserve"> with </w:t>
      </w:r>
      <w:r w:rsidR="0023491B">
        <w:t>59</w:t>
      </w:r>
      <w:r w:rsidRPr="00195766">
        <w:t xml:space="preserve"> bidder</w:t>
      </w:r>
      <w:r>
        <w:t>s</w:t>
      </w:r>
      <w:r w:rsidRPr="00195766">
        <w:t xml:space="preserve"> winning </w:t>
      </w:r>
      <w:r>
        <w:t xml:space="preserve">a total of </w:t>
      </w:r>
      <w:r w:rsidR="0023491B">
        <w:t>102</w:t>
      </w:r>
      <w:r w:rsidRPr="00195766">
        <w:t xml:space="preserve"> construction permits.  </w:t>
      </w:r>
    </w:p>
    <w:p w14:paraId="2FE4AAC1" w14:textId="77777777" w:rsidR="00587053" w:rsidRPr="00195766" w:rsidRDefault="00587053" w:rsidP="00307010">
      <w:pPr>
        <w:pStyle w:val="Heading1"/>
        <w:widowControl/>
        <w:tabs>
          <w:tab w:val="num" w:pos="720"/>
        </w:tabs>
      </w:pPr>
      <w:r w:rsidRPr="00195766">
        <w:t>aUCTION RESULTS</w:t>
      </w:r>
    </w:p>
    <w:p w14:paraId="7277827B" w14:textId="77777777" w:rsidR="00587053" w:rsidRPr="00195766" w:rsidRDefault="00587053" w:rsidP="00145E93">
      <w:pPr>
        <w:pStyle w:val="ParaNum"/>
      </w:pPr>
      <w:r w:rsidRPr="00195766">
        <w:t>This Public Notice provides detailed information concerning winning bidder</w:t>
      </w:r>
      <w:r>
        <w:t>s</w:t>
      </w:r>
      <w:r w:rsidRPr="00195766">
        <w:t>, down payments, final payments</w:t>
      </w:r>
      <w:r>
        <w:t>,</w:t>
      </w:r>
      <w:r w:rsidRPr="00195766">
        <w:t xml:space="preserve"> refunds, long-form application (FCC Form 301) filing requirements, and licensing matters.  Key information appears in the following attachments:</w:t>
      </w:r>
    </w:p>
    <w:p w14:paraId="6DD596C0" w14:textId="77777777" w:rsidR="00587053" w:rsidRPr="00195766" w:rsidRDefault="00587053" w:rsidP="00587053">
      <w:pPr>
        <w:pStyle w:val="BodyTextIndent"/>
        <w:widowControl/>
        <w:rPr>
          <w:b/>
        </w:rPr>
      </w:pPr>
    </w:p>
    <w:p w14:paraId="36053D82" w14:textId="57ADBAAA" w:rsidR="00587053" w:rsidRPr="00195766" w:rsidRDefault="00587053" w:rsidP="00587053">
      <w:pPr>
        <w:pStyle w:val="BodyTextIndent"/>
        <w:widowControl/>
      </w:pPr>
      <w:r w:rsidRPr="00195766">
        <w:rPr>
          <w:b/>
        </w:rPr>
        <w:t>Attachment A:</w:t>
      </w:r>
      <w:r w:rsidRPr="00195766">
        <w:tab/>
        <w:t>“Winning Bids” lists winning bidder</w:t>
      </w:r>
      <w:r>
        <w:t>s</w:t>
      </w:r>
      <w:r w:rsidRPr="00195766">
        <w:t xml:space="preserve"> and both </w:t>
      </w:r>
      <w:r>
        <w:t>their</w:t>
      </w:r>
      <w:r w:rsidRPr="00195766">
        <w:t xml:space="preserve"> total gross and net winning bid amounts.</w:t>
      </w:r>
    </w:p>
    <w:p w14:paraId="02158483" w14:textId="77777777" w:rsidR="00587053" w:rsidRPr="00195766" w:rsidRDefault="00587053" w:rsidP="00587053">
      <w:pPr>
        <w:widowControl/>
        <w:ind w:left="2880" w:hanging="2160"/>
      </w:pPr>
    </w:p>
    <w:p w14:paraId="0E8958BB" w14:textId="3EDEE021" w:rsidR="00587053" w:rsidRDefault="00587053" w:rsidP="00587053">
      <w:pPr>
        <w:widowControl/>
        <w:ind w:left="2880" w:hanging="2160"/>
      </w:pPr>
      <w:r w:rsidRPr="00195766">
        <w:rPr>
          <w:b/>
        </w:rPr>
        <w:t>Attachment B:</w:t>
      </w:r>
      <w:r w:rsidRPr="00195766">
        <w:rPr>
          <w:b/>
        </w:rPr>
        <w:tab/>
      </w:r>
      <w:r w:rsidRPr="00195766">
        <w:t>“Bidder Payment/Refund” lists down payments and final payments owed by winning bidder</w:t>
      </w:r>
      <w:r>
        <w:t>s</w:t>
      </w:r>
      <w:r w:rsidRPr="00195766">
        <w:t xml:space="preserve"> and refunds due, if any.</w:t>
      </w:r>
      <w:r w:rsidRPr="00195766">
        <w:rPr>
          <w:rStyle w:val="FootnoteReference"/>
        </w:rPr>
        <w:footnoteReference w:id="2"/>
      </w:r>
    </w:p>
    <w:p w14:paraId="461DA7D2" w14:textId="77777777" w:rsidR="00587053" w:rsidRDefault="00587053" w:rsidP="00587053">
      <w:pPr>
        <w:widowControl/>
        <w:ind w:left="2880" w:hanging="2160"/>
      </w:pPr>
    </w:p>
    <w:p w14:paraId="7ABC025F" w14:textId="25F9A0BF" w:rsidR="00587053" w:rsidRDefault="00587053" w:rsidP="00587053">
      <w:pPr>
        <w:widowControl/>
        <w:ind w:left="2880" w:hanging="2160"/>
      </w:pPr>
      <w:r w:rsidRPr="003C6E47">
        <w:rPr>
          <w:b/>
        </w:rPr>
        <w:t>Attachment C:</w:t>
      </w:r>
      <w:r>
        <w:t xml:space="preserve"> </w:t>
      </w:r>
      <w:r>
        <w:tab/>
        <w:t>“</w:t>
      </w:r>
      <w:r w:rsidRPr="002C2B5F">
        <w:t>Default Payment Report</w:t>
      </w:r>
      <w:r w:rsidRPr="00205E83">
        <w:t>” contains</w:t>
      </w:r>
      <w:r>
        <w:t xml:space="preserve"> default </w:t>
      </w:r>
      <w:r w:rsidRPr="0081691F">
        <w:t>payments based</w:t>
      </w:r>
      <w:r>
        <w:t xml:space="preserve"> upon reconciliation of final results of </w:t>
      </w:r>
      <w:r w:rsidR="007D36D8">
        <w:t>Auction 62,</w:t>
      </w:r>
      <w:r w:rsidRPr="00205E83">
        <w:t xml:space="preserve"> </w:t>
      </w:r>
      <w:r w:rsidR="00F15947">
        <w:t xml:space="preserve">Auction 94, </w:t>
      </w:r>
      <w:r w:rsidRPr="00205E83">
        <w:t>and</w:t>
      </w:r>
      <w:r>
        <w:t xml:space="preserve"> </w:t>
      </w:r>
      <w:r w:rsidRPr="004616BC">
        <w:t>Auction 9</w:t>
      </w:r>
      <w:r w:rsidR="00F15947">
        <w:t>8</w:t>
      </w:r>
      <w:r w:rsidRPr="004616BC">
        <w:t>.</w:t>
      </w:r>
    </w:p>
    <w:p w14:paraId="19B3E39C" w14:textId="77777777" w:rsidR="00587053" w:rsidRDefault="00587053" w:rsidP="00587053">
      <w:pPr>
        <w:widowControl/>
        <w:ind w:left="2880" w:hanging="2160"/>
      </w:pPr>
    </w:p>
    <w:p w14:paraId="252F9D22" w14:textId="77777777" w:rsidR="00587053" w:rsidRDefault="00587053" w:rsidP="00307010">
      <w:pPr>
        <w:widowControl/>
        <w:spacing w:after="120"/>
      </w:pPr>
      <w:r w:rsidRPr="00545F16">
        <w:t xml:space="preserve">A copy of this </w:t>
      </w:r>
      <w:r>
        <w:t>P</w:t>
      </w:r>
      <w:r w:rsidRPr="00E93129">
        <w:t xml:space="preserve">ublic </w:t>
      </w:r>
      <w:r>
        <w:t>N</w:t>
      </w:r>
      <w:r w:rsidRPr="00E93129">
        <w:t>otice</w:t>
      </w:r>
      <w:r w:rsidRPr="00545F16">
        <w:t xml:space="preserve"> will be sent via overnight delivery to each </w:t>
      </w:r>
      <w:r>
        <w:t>qualified</w:t>
      </w:r>
      <w:r w:rsidRPr="00545F16">
        <w:t xml:space="preserve"> bidder.</w:t>
      </w:r>
    </w:p>
    <w:p w14:paraId="13412179" w14:textId="77777777" w:rsidR="00587053" w:rsidRPr="00195766" w:rsidRDefault="00587053" w:rsidP="00307010">
      <w:pPr>
        <w:pStyle w:val="Heading1"/>
        <w:widowControl/>
        <w:tabs>
          <w:tab w:val="num" w:pos="720"/>
        </w:tabs>
      </w:pPr>
      <w:r w:rsidRPr="00195766">
        <w:t>POST-AUCTION PROCEDURES</w:t>
      </w:r>
    </w:p>
    <w:p w14:paraId="44ADD402" w14:textId="77777777" w:rsidR="00587053" w:rsidRPr="00195766" w:rsidRDefault="00587053" w:rsidP="005A36A0">
      <w:pPr>
        <w:pStyle w:val="Heading2"/>
      </w:pPr>
      <w:r w:rsidRPr="00195766">
        <w:t>Down Payments</w:t>
      </w:r>
    </w:p>
    <w:p w14:paraId="5BAB1B47" w14:textId="7571E630" w:rsidR="00587053" w:rsidRPr="00226613" w:rsidRDefault="00587053" w:rsidP="00145E93">
      <w:pPr>
        <w:pStyle w:val="ParaNum"/>
        <w:widowControl/>
      </w:pPr>
      <w:r w:rsidRPr="00195766">
        <w:t xml:space="preserve">The Commission’s rules require that </w:t>
      </w:r>
      <w:r>
        <w:t xml:space="preserve">within </w:t>
      </w:r>
      <w:r w:rsidR="002F2176">
        <w:t>10</w:t>
      </w:r>
      <w:r>
        <w:t xml:space="preserve"> business days after the release of this Public Notice, </w:t>
      </w:r>
      <w:r w:rsidRPr="00226613">
        <w:t xml:space="preserve">in this case by </w:t>
      </w:r>
      <w:r w:rsidRPr="00226613">
        <w:rPr>
          <w:b/>
        </w:rPr>
        <w:t xml:space="preserve">6:00 p.m. Eastern Time (ET) </w:t>
      </w:r>
      <w:r w:rsidRPr="00834FB6">
        <w:rPr>
          <w:b/>
        </w:rPr>
        <w:t xml:space="preserve">on </w:t>
      </w:r>
      <w:r w:rsidR="00DF439E">
        <w:rPr>
          <w:b/>
        </w:rPr>
        <w:t xml:space="preserve">August </w:t>
      </w:r>
      <w:r w:rsidR="007536D4">
        <w:rPr>
          <w:b/>
        </w:rPr>
        <w:t>2</w:t>
      </w:r>
      <w:r w:rsidR="001D188F">
        <w:rPr>
          <w:b/>
        </w:rPr>
        <w:t>6</w:t>
      </w:r>
      <w:r w:rsidRPr="00834FB6">
        <w:rPr>
          <w:b/>
          <w:szCs w:val="22"/>
        </w:rPr>
        <w:t>, 201</w:t>
      </w:r>
      <w:r w:rsidR="007D36D8">
        <w:rPr>
          <w:b/>
          <w:szCs w:val="22"/>
        </w:rPr>
        <w:t>5</w:t>
      </w:r>
      <w:r w:rsidRPr="00834FB6">
        <w:rPr>
          <w:szCs w:val="22"/>
        </w:rPr>
        <w:t>, each</w:t>
      </w:r>
      <w:r>
        <w:rPr>
          <w:szCs w:val="22"/>
        </w:rPr>
        <w:t xml:space="preserve"> winning bidder in Auction 9</w:t>
      </w:r>
      <w:r w:rsidR="007D36D8">
        <w:rPr>
          <w:szCs w:val="22"/>
        </w:rPr>
        <w:t>8</w:t>
      </w:r>
      <w:r>
        <w:rPr>
          <w:szCs w:val="22"/>
        </w:rPr>
        <w:t xml:space="preserve"> must have on deposit with the Commission enough funds to cover the down payment on its winning bid(s)</w:t>
      </w:r>
      <w:r w:rsidRPr="00226613">
        <w:t>.</w:t>
      </w:r>
      <w:r w:rsidRPr="00226613">
        <w:rPr>
          <w:rStyle w:val="FootnoteReference"/>
        </w:rPr>
        <w:footnoteReference w:id="3"/>
      </w:r>
      <w:r w:rsidRPr="00226613">
        <w:t xml:space="preserve">  Specifically, each winning bidder’s total deposit must be </w:t>
      </w:r>
      <w:r w:rsidR="002F2176">
        <w:t>20</w:t>
      </w:r>
      <w:r w:rsidRPr="00226613">
        <w:t xml:space="preserve"> percent of the aggregate net </w:t>
      </w:r>
      <w:r w:rsidRPr="00226613">
        <w:lastRenderedPageBreak/>
        <w:t xml:space="preserve">amount of its winning bids.  If a winning bidder’s upfront payment is not sufficient to meet this requirement, </w:t>
      </w:r>
      <w:r>
        <w:t xml:space="preserve">it must deposit </w:t>
      </w:r>
      <w:r w:rsidRPr="00226613">
        <w:t>additional funds to meet its required down payment.</w:t>
      </w:r>
      <w:r w:rsidRPr="00226613">
        <w:rPr>
          <w:rStyle w:val="FootnoteReference"/>
        </w:rPr>
        <w:footnoteReference w:id="4"/>
      </w:r>
    </w:p>
    <w:p w14:paraId="64B8A406" w14:textId="67B95361" w:rsidR="00587053" w:rsidRPr="00226613" w:rsidRDefault="00587053" w:rsidP="00145E93">
      <w:pPr>
        <w:pStyle w:val="ParaNum"/>
      </w:pPr>
      <w:r w:rsidRPr="00226613">
        <w:t xml:space="preserve">The amount due from each winning bidder, if any, is set out in the “Additional Amount Due after Upfront Payment Balance Applied Due </w:t>
      </w:r>
      <w:r w:rsidRPr="00834FB6">
        <w:t xml:space="preserve">by </w:t>
      </w:r>
      <w:r w:rsidR="00DF439E">
        <w:t>August</w:t>
      </w:r>
      <w:r w:rsidRPr="00834FB6">
        <w:t xml:space="preserve"> </w:t>
      </w:r>
      <w:r w:rsidR="007536D4">
        <w:t>2</w:t>
      </w:r>
      <w:r w:rsidR="001D188F">
        <w:t>6</w:t>
      </w:r>
      <w:r w:rsidRPr="00834FB6">
        <w:rPr>
          <w:szCs w:val="22"/>
        </w:rPr>
        <w:t>, 201</w:t>
      </w:r>
      <w:r w:rsidR="007D36D8">
        <w:rPr>
          <w:szCs w:val="22"/>
        </w:rPr>
        <w:t>5</w:t>
      </w:r>
      <w:r w:rsidRPr="00834FB6">
        <w:t>” column of</w:t>
      </w:r>
      <w:r w:rsidRPr="00226613">
        <w:t xml:space="preserve"> Attachment B.  Note that a payment and FCC Remittance Advice Form (FCC Form 159) are necessary only if a winning bidder’s upfront payment does not cover the required total down payment (as reflected in Attachment B).</w:t>
      </w:r>
    </w:p>
    <w:p w14:paraId="3FA6C6CD" w14:textId="2CD31469" w:rsidR="00587053" w:rsidRPr="00195766" w:rsidRDefault="00587053" w:rsidP="00145E93">
      <w:pPr>
        <w:pStyle w:val="ParaNum"/>
      </w:pPr>
      <w:r>
        <w:t>W</w:t>
      </w:r>
      <w:r w:rsidRPr="00226613">
        <w:t>ire transfers for down payment</w:t>
      </w:r>
      <w:r>
        <w:t>s</w:t>
      </w:r>
      <w:r w:rsidRPr="00226613">
        <w:t xml:space="preserve"> must be received by the Commission by</w:t>
      </w:r>
      <w:r w:rsidRPr="00226613">
        <w:rPr>
          <w:b/>
        </w:rPr>
        <w:t xml:space="preserve"> 6:00 p.m. ET on </w:t>
      </w:r>
      <w:r w:rsidR="00DF439E">
        <w:rPr>
          <w:b/>
        </w:rPr>
        <w:t>August</w:t>
      </w:r>
      <w:r w:rsidRPr="00834FB6">
        <w:rPr>
          <w:b/>
        </w:rPr>
        <w:t xml:space="preserve"> </w:t>
      </w:r>
      <w:r w:rsidR="007536D4">
        <w:rPr>
          <w:b/>
        </w:rPr>
        <w:t>2</w:t>
      </w:r>
      <w:r w:rsidR="001D188F">
        <w:rPr>
          <w:b/>
        </w:rPr>
        <w:t>6</w:t>
      </w:r>
      <w:r w:rsidRPr="00834FB6">
        <w:rPr>
          <w:b/>
          <w:szCs w:val="22"/>
        </w:rPr>
        <w:t>, 201</w:t>
      </w:r>
      <w:r w:rsidR="007D36D8">
        <w:rPr>
          <w:b/>
          <w:szCs w:val="22"/>
        </w:rPr>
        <w:t>5</w:t>
      </w:r>
      <w:r w:rsidRPr="00834FB6">
        <w:t>.  If a winning</w:t>
      </w:r>
      <w:r>
        <w:t xml:space="preserve"> bidder fails </w:t>
      </w:r>
      <w:r w:rsidRPr="00226613">
        <w:t xml:space="preserve">to complete this down payment process, consistent with the payment method described in this Public Notice, by 6:00 p.m. ET </w:t>
      </w:r>
      <w:r w:rsidRPr="00834FB6">
        <w:t xml:space="preserve">on </w:t>
      </w:r>
      <w:r w:rsidR="00DF439E">
        <w:t>August</w:t>
      </w:r>
      <w:r w:rsidRPr="00834FB6">
        <w:t xml:space="preserve"> </w:t>
      </w:r>
      <w:r w:rsidR="00C636A3">
        <w:t>2</w:t>
      </w:r>
      <w:r w:rsidR="001D188F">
        <w:t>6</w:t>
      </w:r>
      <w:r w:rsidRPr="00834FB6">
        <w:rPr>
          <w:szCs w:val="22"/>
        </w:rPr>
        <w:t>, 201</w:t>
      </w:r>
      <w:r w:rsidR="007D36D8">
        <w:rPr>
          <w:szCs w:val="22"/>
        </w:rPr>
        <w:t>5</w:t>
      </w:r>
      <w:r w:rsidRPr="00834FB6">
        <w:t>, it will be in</w:t>
      </w:r>
      <w:r w:rsidRPr="00195766">
        <w:t xml:space="preserve"> default.</w:t>
      </w:r>
      <w:r w:rsidRPr="00195766">
        <w:rPr>
          <w:rStyle w:val="FootnoteReference"/>
        </w:rPr>
        <w:footnoteReference w:id="5"/>
      </w:r>
      <w:r w:rsidRPr="00195766">
        <w:t xml:space="preserve"> </w:t>
      </w:r>
    </w:p>
    <w:p w14:paraId="46EBE0E5" w14:textId="77777777" w:rsidR="00587053" w:rsidRPr="00195766" w:rsidRDefault="00587053" w:rsidP="005A36A0">
      <w:pPr>
        <w:pStyle w:val="Heading2"/>
      </w:pPr>
      <w:r w:rsidRPr="00195766">
        <w:t>Final Payments</w:t>
      </w:r>
    </w:p>
    <w:p w14:paraId="621F9E0F" w14:textId="49F29F96" w:rsidR="00587053" w:rsidRPr="00226613" w:rsidRDefault="00587053" w:rsidP="00145E93">
      <w:pPr>
        <w:pStyle w:val="ParaNum"/>
      </w:pPr>
      <w:r>
        <w:t>Each</w:t>
      </w:r>
      <w:r w:rsidRPr="00195766">
        <w:t xml:space="preserve"> </w:t>
      </w:r>
      <w:r w:rsidRPr="00226613">
        <w:t xml:space="preserve">winning bidder will be required to submit the balance of the net amount of its winning </w:t>
      </w:r>
      <w:r w:rsidRPr="002678A8">
        <w:t xml:space="preserve">bid(s) as set out in the “Final Balance Due </w:t>
      </w:r>
      <w:r w:rsidRPr="00465638">
        <w:t xml:space="preserve">By </w:t>
      </w:r>
      <w:r w:rsidR="00DF439E">
        <w:t>September</w:t>
      </w:r>
      <w:r w:rsidRPr="00465638">
        <w:t xml:space="preserve"> </w:t>
      </w:r>
      <w:r w:rsidR="001D188F">
        <w:t>10</w:t>
      </w:r>
      <w:r w:rsidRPr="00465638">
        <w:rPr>
          <w:szCs w:val="22"/>
        </w:rPr>
        <w:t>, 201</w:t>
      </w:r>
      <w:r w:rsidR="007D36D8">
        <w:rPr>
          <w:szCs w:val="22"/>
        </w:rPr>
        <w:t>5</w:t>
      </w:r>
      <w:r w:rsidRPr="00465638">
        <w:rPr>
          <w:szCs w:val="22"/>
        </w:rPr>
        <w:t xml:space="preserve"> </w:t>
      </w:r>
      <w:r w:rsidRPr="00465638">
        <w:t>or (Refund)” column of Attachment B.</w:t>
      </w:r>
      <w:r w:rsidRPr="00465638">
        <w:rPr>
          <w:rStyle w:val="FootnoteReference"/>
        </w:rPr>
        <w:footnoteReference w:id="6"/>
      </w:r>
      <w:r w:rsidRPr="00465638">
        <w:t xml:space="preserve">  Each winning bidder must pay the full amount of the Final Balance Due shown</w:t>
      </w:r>
      <w:r w:rsidRPr="002678A8">
        <w:t xml:space="preserve"> in Attachment B by </w:t>
      </w:r>
      <w:r w:rsidRPr="002678A8">
        <w:rPr>
          <w:b/>
        </w:rPr>
        <w:t xml:space="preserve">6:00 p.m. ET </w:t>
      </w:r>
      <w:r w:rsidRPr="00465638">
        <w:rPr>
          <w:b/>
        </w:rPr>
        <w:t xml:space="preserve">on </w:t>
      </w:r>
      <w:r w:rsidR="00DF439E">
        <w:rPr>
          <w:b/>
        </w:rPr>
        <w:t>September</w:t>
      </w:r>
      <w:r w:rsidRPr="00465638">
        <w:rPr>
          <w:b/>
        </w:rPr>
        <w:t xml:space="preserve"> </w:t>
      </w:r>
      <w:r w:rsidR="001D188F">
        <w:rPr>
          <w:b/>
        </w:rPr>
        <w:t>10</w:t>
      </w:r>
      <w:r w:rsidRPr="00465638">
        <w:rPr>
          <w:b/>
          <w:szCs w:val="22"/>
        </w:rPr>
        <w:t>, 201</w:t>
      </w:r>
      <w:r w:rsidR="007D36D8">
        <w:rPr>
          <w:b/>
          <w:szCs w:val="22"/>
        </w:rPr>
        <w:t>5</w:t>
      </w:r>
      <w:r w:rsidRPr="00465638">
        <w:t xml:space="preserve"> (or by 6:00 p.m. ET on </w:t>
      </w:r>
      <w:r w:rsidR="00DF439E">
        <w:t>September</w:t>
      </w:r>
      <w:r w:rsidRPr="00465638">
        <w:t xml:space="preserve"> </w:t>
      </w:r>
      <w:r w:rsidR="00C636A3">
        <w:t>2</w:t>
      </w:r>
      <w:r w:rsidR="001D188F">
        <w:t>4</w:t>
      </w:r>
      <w:r w:rsidRPr="00465638">
        <w:rPr>
          <w:szCs w:val="22"/>
        </w:rPr>
        <w:t>, 201</w:t>
      </w:r>
      <w:r w:rsidR="007D36D8">
        <w:rPr>
          <w:szCs w:val="22"/>
        </w:rPr>
        <w:t>5</w:t>
      </w:r>
      <w:r w:rsidRPr="00465638">
        <w:rPr>
          <w:szCs w:val="22"/>
        </w:rPr>
        <w:t>, along with</w:t>
      </w:r>
      <w:r w:rsidRPr="002678A8">
        <w:rPr>
          <w:szCs w:val="22"/>
        </w:rPr>
        <w:t xml:space="preserve"> </w:t>
      </w:r>
      <w:r w:rsidRPr="002678A8">
        <w:t>the five percent late fee required</w:t>
      </w:r>
      <w:r w:rsidRPr="0081691F">
        <w:t xml:space="preserve"> by section 1.2109(a) of the Commission’s rules).</w:t>
      </w:r>
      <w:r w:rsidRPr="0081691F">
        <w:rPr>
          <w:rStyle w:val="FootnoteReference"/>
        </w:rPr>
        <w:footnoteReference w:id="7"/>
      </w:r>
      <w:r w:rsidRPr="00226613">
        <w:t xml:space="preserve">  Full and timely payment of winning bids and any applicable late fees must be made in accordance with section 1.2109(a) of the Commission’s rules and must occur before action will be taken upon the winning bidder’s long-form application (FCC Form 301).</w:t>
      </w:r>
      <w:r w:rsidRPr="00226613">
        <w:rPr>
          <w:rStyle w:val="FootnoteReference"/>
        </w:rPr>
        <w:footnoteReference w:id="8"/>
      </w:r>
      <w:r w:rsidRPr="00226613">
        <w:t xml:space="preserve">  Specifically, construction permits will be granted only after the full and timely payment of winning bids and any applicable late fees, in accordance with section 1.2109(a).</w:t>
      </w:r>
      <w:r w:rsidRPr="00226613">
        <w:rPr>
          <w:rStyle w:val="FootnoteReference"/>
        </w:rPr>
        <w:footnoteReference w:id="9"/>
      </w:r>
    </w:p>
    <w:p w14:paraId="7712AE61" w14:textId="64E5A0FA" w:rsidR="00587053" w:rsidRDefault="00587053" w:rsidP="00145E93">
      <w:pPr>
        <w:pStyle w:val="ParaNum"/>
      </w:pPr>
      <w:r>
        <w:t>W</w:t>
      </w:r>
      <w:r w:rsidRPr="00226613">
        <w:t xml:space="preserve">ire transfers of final payments must be received by the Commission by </w:t>
      </w:r>
      <w:r w:rsidRPr="00226613">
        <w:rPr>
          <w:b/>
        </w:rPr>
        <w:t xml:space="preserve">6:00 p.m. ET on </w:t>
      </w:r>
      <w:r w:rsidR="00DF439E">
        <w:rPr>
          <w:b/>
        </w:rPr>
        <w:t>September</w:t>
      </w:r>
      <w:r w:rsidRPr="00465638">
        <w:rPr>
          <w:b/>
        </w:rPr>
        <w:t xml:space="preserve"> </w:t>
      </w:r>
      <w:r w:rsidR="001D188F">
        <w:rPr>
          <w:b/>
        </w:rPr>
        <w:t>10</w:t>
      </w:r>
      <w:r w:rsidRPr="00465638">
        <w:rPr>
          <w:b/>
        </w:rPr>
        <w:t>,</w:t>
      </w:r>
      <w:r w:rsidRPr="00465638">
        <w:rPr>
          <w:b/>
          <w:szCs w:val="22"/>
        </w:rPr>
        <w:t xml:space="preserve"> 201</w:t>
      </w:r>
      <w:r w:rsidR="007D36D8">
        <w:rPr>
          <w:b/>
          <w:szCs w:val="22"/>
        </w:rPr>
        <w:t>5</w:t>
      </w:r>
      <w:r w:rsidRPr="00465638">
        <w:t xml:space="preserve"> (or by 6:00 p.m. ET on </w:t>
      </w:r>
      <w:r w:rsidR="00DF439E">
        <w:t>September</w:t>
      </w:r>
      <w:r w:rsidR="007D36D8">
        <w:t xml:space="preserve"> </w:t>
      </w:r>
      <w:r w:rsidR="00C636A3">
        <w:t>2</w:t>
      </w:r>
      <w:r w:rsidR="001D188F">
        <w:t>4</w:t>
      </w:r>
      <w:r w:rsidRPr="00465638">
        <w:t>,</w:t>
      </w:r>
      <w:r w:rsidRPr="00465638">
        <w:rPr>
          <w:szCs w:val="22"/>
        </w:rPr>
        <w:t xml:space="preserve"> 201</w:t>
      </w:r>
      <w:r w:rsidR="007D36D8">
        <w:rPr>
          <w:szCs w:val="22"/>
        </w:rPr>
        <w:t>5</w:t>
      </w:r>
      <w:r w:rsidRPr="00465638">
        <w:t>, along</w:t>
      </w:r>
      <w:r w:rsidRPr="0081691F">
        <w:t xml:space="preserve"> with the five percent late fee required by section 1.2109(a) of the Commission’s rules).</w:t>
      </w:r>
      <w:r w:rsidRPr="0081691F">
        <w:rPr>
          <w:rStyle w:val="FootnoteReference"/>
        </w:rPr>
        <w:footnoteReference w:id="10"/>
      </w:r>
      <w:r w:rsidRPr="0081691F">
        <w:t xml:space="preserve">  If </w:t>
      </w:r>
      <w:r w:rsidR="008A39FA">
        <w:t>a</w:t>
      </w:r>
      <w:r w:rsidRPr="0081691F">
        <w:t xml:space="preserve"> winning bidder fails to complete the final payment consistent with the payment method described in this Public Notice by 6:00 p.m. </w:t>
      </w:r>
      <w:r w:rsidRPr="00465638">
        <w:t xml:space="preserve">ET on </w:t>
      </w:r>
      <w:r w:rsidR="00DF439E">
        <w:t>September</w:t>
      </w:r>
      <w:r w:rsidRPr="00465638">
        <w:t xml:space="preserve"> </w:t>
      </w:r>
      <w:r w:rsidR="001D188F">
        <w:t>10</w:t>
      </w:r>
      <w:r w:rsidRPr="00465638">
        <w:rPr>
          <w:szCs w:val="22"/>
        </w:rPr>
        <w:t>, 201</w:t>
      </w:r>
      <w:r w:rsidR="0059753C">
        <w:rPr>
          <w:szCs w:val="22"/>
        </w:rPr>
        <w:t>5</w:t>
      </w:r>
      <w:r w:rsidRPr="0081691F">
        <w:t xml:space="preserve"> (or by</w:t>
      </w:r>
      <w:r w:rsidRPr="0081691F">
        <w:rPr>
          <w:b/>
        </w:rPr>
        <w:t xml:space="preserve"> </w:t>
      </w:r>
      <w:r w:rsidRPr="0081691F">
        <w:t xml:space="preserve">6:00 p.m. ET </w:t>
      </w:r>
      <w:r w:rsidRPr="00465638">
        <w:t xml:space="preserve">on </w:t>
      </w:r>
      <w:r w:rsidR="00DF439E">
        <w:t>September</w:t>
      </w:r>
      <w:r w:rsidRPr="00465638">
        <w:t xml:space="preserve"> </w:t>
      </w:r>
      <w:r w:rsidR="00C636A3">
        <w:t>2</w:t>
      </w:r>
      <w:r w:rsidR="001D188F">
        <w:t>4</w:t>
      </w:r>
      <w:r w:rsidRPr="00465638">
        <w:rPr>
          <w:szCs w:val="22"/>
        </w:rPr>
        <w:t>, 201</w:t>
      </w:r>
      <w:r w:rsidR="0059753C">
        <w:rPr>
          <w:szCs w:val="22"/>
        </w:rPr>
        <w:t>5</w:t>
      </w:r>
      <w:r w:rsidRPr="00465638">
        <w:rPr>
          <w:szCs w:val="22"/>
        </w:rPr>
        <w:t>, along with</w:t>
      </w:r>
      <w:r w:rsidRPr="0081691F">
        <w:rPr>
          <w:szCs w:val="22"/>
        </w:rPr>
        <w:t xml:space="preserve"> the five percent late fee</w:t>
      </w:r>
      <w:r w:rsidRPr="0081691F">
        <w:t>)</w:t>
      </w:r>
      <w:r w:rsidR="00AC6E96">
        <w:t>,</w:t>
      </w:r>
      <w:r w:rsidRPr="0081691F">
        <w:t xml:space="preserve"> it will be in default.</w:t>
      </w:r>
      <w:r w:rsidRPr="0081691F">
        <w:rPr>
          <w:rStyle w:val="FootnoteReference"/>
        </w:rPr>
        <w:footnoteReference w:id="11"/>
      </w:r>
    </w:p>
    <w:p w14:paraId="259D97E7" w14:textId="77777777" w:rsidR="00587053" w:rsidRDefault="00587053" w:rsidP="005A36A0">
      <w:pPr>
        <w:pStyle w:val="Heading2"/>
      </w:pPr>
      <w:bookmarkStart w:id="1" w:name="_Toc124648777"/>
      <w:bookmarkStart w:id="2" w:name="_Toc124649151"/>
      <w:bookmarkStart w:id="3" w:name="_Toc124649222"/>
      <w:bookmarkStart w:id="4" w:name="_Toc124649413"/>
      <w:bookmarkStart w:id="5" w:name="_Toc124650000"/>
      <w:bookmarkStart w:id="6" w:name="_Toc124650094"/>
      <w:bookmarkStart w:id="7" w:name="_Toc124661262"/>
      <w:bookmarkStart w:id="8" w:name="_Toc124661377"/>
      <w:bookmarkStart w:id="9" w:name="_Toc124661472"/>
      <w:r w:rsidRPr="004415E6">
        <w:t>Method of Payment</w:t>
      </w:r>
      <w:bookmarkEnd w:id="1"/>
      <w:bookmarkEnd w:id="2"/>
      <w:bookmarkEnd w:id="3"/>
      <w:bookmarkEnd w:id="4"/>
      <w:bookmarkEnd w:id="5"/>
      <w:bookmarkEnd w:id="6"/>
      <w:bookmarkEnd w:id="7"/>
      <w:bookmarkEnd w:id="8"/>
      <w:bookmarkEnd w:id="9"/>
      <w:r w:rsidRPr="004415E6">
        <w:t xml:space="preserve"> for Down and Final Payments</w:t>
      </w:r>
    </w:p>
    <w:p w14:paraId="29D93769" w14:textId="5A406016" w:rsidR="00587053" w:rsidRPr="00DB33C5" w:rsidRDefault="00587053" w:rsidP="00145E93">
      <w:pPr>
        <w:pStyle w:val="ParaNum"/>
      </w:pPr>
      <w:r>
        <w:t xml:space="preserve">All </w:t>
      </w:r>
      <w:r w:rsidRPr="00067D3E">
        <w:t xml:space="preserve">payments must be </w:t>
      </w:r>
      <w:r w:rsidRPr="002438B3">
        <w:t>in</w:t>
      </w:r>
      <w:r w:rsidRPr="00067D3E">
        <w:t xml:space="preserve"> U.S. dollars and made in the form of a wire transfer.  No checks, credit card payments, </w:t>
      </w:r>
      <w:r>
        <w:t xml:space="preserve">automated clearing house (“ACH”), </w:t>
      </w:r>
      <w:r w:rsidRPr="00067D3E">
        <w:t xml:space="preserve">or other forms of payment will be accepted.  </w:t>
      </w:r>
      <w:r>
        <w:t xml:space="preserve">   </w:t>
      </w:r>
    </w:p>
    <w:p w14:paraId="71E8C719" w14:textId="53AFF92D" w:rsidR="00587053" w:rsidRDefault="00587053" w:rsidP="00145E93">
      <w:pPr>
        <w:pStyle w:val="ParaNum"/>
      </w:pPr>
      <w:r>
        <w:t xml:space="preserve">Each </w:t>
      </w:r>
      <w:r w:rsidRPr="00552DCB">
        <w:t xml:space="preserve">winning </w:t>
      </w:r>
      <w:r w:rsidRPr="002678A8">
        <w:t>bidder is responsible for ensuring timely submission of its</w:t>
      </w:r>
      <w:r w:rsidR="00964A4A">
        <w:t xml:space="preserve"> payment</w:t>
      </w:r>
      <w:r w:rsidRPr="002678A8">
        <w:t xml:space="preserve">.  </w:t>
      </w:r>
      <w:r>
        <w:t>Each winning b</w:t>
      </w:r>
      <w:r w:rsidRPr="002678A8">
        <w:t xml:space="preserve">idder should coordinate with </w:t>
      </w:r>
      <w:r>
        <w:t xml:space="preserve">its </w:t>
      </w:r>
      <w:r w:rsidRPr="002678A8">
        <w:t xml:space="preserve">financial institution well ahead of the due date regarding </w:t>
      </w:r>
      <w:r>
        <w:t>its</w:t>
      </w:r>
      <w:r w:rsidRPr="002678A8">
        <w:t xml:space="preserve"> wire transfer and should allow sufficient time for each wire transfer to be initiated and completed prior to the deadline.  The Commission repeatedly has cautioned auction participants about the importance of planning ahead to prepare for unforeseen last-minute difficulties in making payments by wire transfer.</w:t>
      </w:r>
      <w:r w:rsidRPr="002678A8">
        <w:rPr>
          <w:rStyle w:val="FootnoteReference"/>
        </w:rPr>
        <w:footnoteReference w:id="12"/>
      </w:r>
      <w:r w:rsidRPr="002678A8">
        <w:t xml:space="preserve">  A winning bidder should obtain confirmation from its financial institution that its wire transfer to U.S. Bank was successful.</w:t>
      </w:r>
      <w:r>
        <w:t xml:space="preserve">  It should also confirm with Commission staff that its payment has been received by the Commission in the proper account by the specified deadline.</w:t>
      </w:r>
      <w:r w:rsidRPr="002678A8">
        <w:t xml:space="preserve">  </w:t>
      </w:r>
      <w:r>
        <w:t xml:space="preserve">Such </w:t>
      </w:r>
      <w:r w:rsidRPr="002678A8">
        <w:t xml:space="preserve">confirmation may </w:t>
      </w:r>
      <w:r>
        <w:t xml:space="preserve">be obtained by </w:t>
      </w:r>
      <w:r w:rsidRPr="002678A8">
        <w:t>contact</w:t>
      </w:r>
      <w:r>
        <w:t>ing</w:t>
      </w:r>
      <w:r w:rsidRPr="002678A8">
        <w:t xml:space="preserve"> Gail Glasser of the Office of Managing</w:t>
      </w:r>
      <w:r>
        <w:t xml:space="preserve"> Director’s </w:t>
      </w:r>
      <w:r w:rsidR="001B2659">
        <w:t>FCC Revenue &amp; Receivables Operations Group/Auctions</w:t>
      </w:r>
      <w:r>
        <w:t xml:space="preserve"> at (202) 418-0578, or Theresa Meeks at (202) 418-2945</w:t>
      </w:r>
      <w:r w:rsidRPr="00274FDF">
        <w:t>.</w:t>
      </w:r>
      <w:r w:rsidR="002C290B">
        <w:t xml:space="preserve">  </w:t>
      </w:r>
      <w:r w:rsidR="002C290B" w:rsidRPr="002C290B">
        <w:rPr>
          <w:color w:val="000000"/>
          <w:szCs w:val="22"/>
        </w:rPr>
        <w:t>OMD staff may also be reached through the FCC Auctions Hotline at (888) 225-5322, option two; or (717) 338-2868.</w:t>
      </w:r>
    </w:p>
    <w:p w14:paraId="5DC42EB4" w14:textId="5F954519" w:rsidR="00587053" w:rsidRDefault="008A39FA" w:rsidP="00485C11">
      <w:pPr>
        <w:pStyle w:val="ParaNum"/>
      </w:pPr>
      <w:r>
        <w:t xml:space="preserve">Each payer must include certain information in its wire transfer instructions (OBI field) provided to its bank, as described below.  In a change of practice from prior auctions, the Commission no longer requires the submission of a completed FCC Remittance Advice Form (Form 159) with down </w:t>
      </w:r>
      <w:r w:rsidR="002F2176">
        <w:t xml:space="preserve">payments </w:t>
      </w:r>
      <w:r>
        <w:t>or final payments.</w:t>
      </w:r>
      <w:r>
        <w:rPr>
          <w:rStyle w:val="FootnoteReference"/>
        </w:rPr>
        <w:footnoteReference w:id="13"/>
      </w:r>
      <w:r>
        <w:t xml:space="preserve">  The Commission will credit any such payments based on the information accompanying the wire transfer.  </w:t>
      </w:r>
      <w:r w:rsidR="00587053" w:rsidRPr="00CE72F1">
        <w:t xml:space="preserve">To submit funds by wire transfer, </w:t>
      </w:r>
      <w:r w:rsidR="00587053">
        <w:t xml:space="preserve">the </w:t>
      </w:r>
      <w:r w:rsidR="00587053" w:rsidRPr="00CE72F1">
        <w:t xml:space="preserve">winning bidder will need </w:t>
      </w:r>
      <w:r>
        <w:t xml:space="preserve">to include </w:t>
      </w:r>
      <w:r w:rsidR="00587053" w:rsidRPr="00CE72F1">
        <w:t>the following information</w:t>
      </w:r>
      <w:r>
        <w:t xml:space="preserve"> in its wire transfer instructions</w:t>
      </w:r>
      <w:r w:rsidR="003310EC">
        <w:t>:</w:t>
      </w:r>
      <w:r w:rsidR="00587053">
        <w:t xml:space="preserve">   </w:t>
      </w:r>
    </w:p>
    <w:p w14:paraId="3A1360FE" w14:textId="77777777" w:rsidR="001630DA" w:rsidRPr="00CE72F1" w:rsidRDefault="001630DA" w:rsidP="001630DA">
      <w:pPr>
        <w:pStyle w:val="ParaNum"/>
        <w:keepNext/>
        <w:keepLines/>
        <w:widowControl/>
        <w:numPr>
          <w:ilvl w:val="0"/>
          <w:numId w:val="0"/>
        </w:numPr>
        <w:tabs>
          <w:tab w:val="num" w:pos="1440"/>
        </w:tabs>
        <w:spacing w:after="0"/>
        <w:ind w:left="720"/>
      </w:pPr>
    </w:p>
    <w:p w14:paraId="4A4098AA" w14:textId="77777777" w:rsidR="00587053" w:rsidRPr="00BF6C25" w:rsidRDefault="00587053" w:rsidP="00587053">
      <w:pPr>
        <w:pStyle w:val="TOAHeading"/>
        <w:widowControl/>
        <w:tabs>
          <w:tab w:val="clear" w:pos="9360"/>
        </w:tabs>
        <w:suppressAutoHyphens w:val="0"/>
        <w:ind w:left="720"/>
      </w:pPr>
      <w:r w:rsidRPr="00DA6FFB">
        <w:t xml:space="preserve">ABA Routing </w:t>
      </w:r>
      <w:r w:rsidRPr="00BF6C25">
        <w:t xml:space="preserve">Number:  </w:t>
      </w:r>
      <w:r w:rsidRPr="00BF6C25">
        <w:rPr>
          <w:b/>
        </w:rPr>
        <w:t>021030004</w:t>
      </w:r>
    </w:p>
    <w:p w14:paraId="2B2D9377" w14:textId="77777777" w:rsidR="00587053" w:rsidRPr="00BF6C25" w:rsidRDefault="00587053" w:rsidP="00587053">
      <w:pPr>
        <w:widowControl/>
        <w:tabs>
          <w:tab w:val="left" w:pos="2250"/>
        </w:tabs>
        <w:ind w:left="720"/>
      </w:pPr>
      <w:r w:rsidRPr="00BF6C25">
        <w:t>Receiving Bank:</w:t>
      </w:r>
      <w:r w:rsidRPr="00BF6C25">
        <w:tab/>
      </w:r>
      <w:r w:rsidRPr="00BF6C25">
        <w:rPr>
          <w:b/>
        </w:rPr>
        <w:t>TREAS NYC</w:t>
      </w:r>
    </w:p>
    <w:p w14:paraId="0E7F10AE" w14:textId="77777777" w:rsidR="00587053" w:rsidRPr="00BF6C25" w:rsidRDefault="00587053" w:rsidP="00587053">
      <w:pPr>
        <w:widowControl/>
        <w:ind w:left="1440" w:firstLine="810"/>
      </w:pPr>
      <w:r w:rsidRPr="00BF6C25">
        <w:t>33 Liberty Street</w:t>
      </w:r>
    </w:p>
    <w:p w14:paraId="3BAF8B86" w14:textId="77777777" w:rsidR="00587053" w:rsidRPr="00BF6C25" w:rsidRDefault="00587053" w:rsidP="00587053">
      <w:pPr>
        <w:widowControl/>
        <w:ind w:left="1440" w:firstLine="810"/>
      </w:pPr>
      <w:r w:rsidRPr="00BF6C25">
        <w:t>New York, NY  10045</w:t>
      </w:r>
    </w:p>
    <w:p w14:paraId="588862E1" w14:textId="77777777" w:rsidR="00587053" w:rsidRPr="00BF6C25" w:rsidRDefault="00587053" w:rsidP="00587053">
      <w:pPr>
        <w:widowControl/>
        <w:ind w:left="720"/>
        <w:rPr>
          <w:b/>
        </w:rPr>
      </w:pPr>
      <w:r w:rsidRPr="00BF6C25">
        <w:t xml:space="preserve">ACCOUNT NAME:  </w:t>
      </w:r>
      <w:r w:rsidRPr="00BF6C25">
        <w:rPr>
          <w:b/>
        </w:rPr>
        <w:t>FCC</w:t>
      </w:r>
    </w:p>
    <w:p w14:paraId="03462B5B" w14:textId="77777777" w:rsidR="00587053" w:rsidRPr="00DA6FFB" w:rsidRDefault="00587053" w:rsidP="00587053">
      <w:pPr>
        <w:pStyle w:val="TOAHeading"/>
        <w:widowControl/>
        <w:tabs>
          <w:tab w:val="clear" w:pos="9360"/>
        </w:tabs>
        <w:suppressAutoHyphens w:val="0"/>
        <w:ind w:left="720"/>
      </w:pPr>
      <w:r w:rsidRPr="00BF6C25">
        <w:t xml:space="preserve">ACCOUNT NUMBER:  </w:t>
      </w:r>
      <w:r w:rsidRPr="00BF6C25">
        <w:rPr>
          <w:b/>
        </w:rPr>
        <w:t>27000001</w:t>
      </w:r>
      <w:r w:rsidRPr="00DA6FFB">
        <w:t xml:space="preserve"> </w:t>
      </w:r>
    </w:p>
    <w:p w14:paraId="35F9FED4" w14:textId="77777777" w:rsidR="00587053" w:rsidRPr="00DA6FFB" w:rsidRDefault="00587053" w:rsidP="00587053">
      <w:pPr>
        <w:widowControl/>
        <w:ind w:left="720"/>
      </w:pPr>
      <w:r w:rsidRPr="00DA6FFB">
        <w:t>OBI Field:  (Skip one space between each information item) “AUCTIONPAY”</w:t>
      </w:r>
    </w:p>
    <w:p w14:paraId="52B1CA68" w14:textId="380B3B63" w:rsidR="00587053" w:rsidRPr="00DA6FFB" w:rsidRDefault="00587053" w:rsidP="00587053">
      <w:pPr>
        <w:widowControl/>
        <w:ind w:left="720"/>
      </w:pPr>
      <w:r w:rsidRPr="00DA6FFB">
        <w:t xml:space="preserve">APPLICANT FRN:  (same as FCC Form </w:t>
      </w:r>
      <w:r w:rsidR="008A39FA">
        <w:t>175</w:t>
      </w:r>
      <w:r w:rsidRPr="00DA6FFB">
        <w:t>)</w:t>
      </w:r>
    </w:p>
    <w:p w14:paraId="09AEDBE4" w14:textId="21F21391" w:rsidR="00587053" w:rsidRPr="00DA6FFB" w:rsidRDefault="00587053" w:rsidP="00587053">
      <w:pPr>
        <w:widowControl/>
        <w:ind w:left="720"/>
      </w:pPr>
      <w:r w:rsidRPr="00DA6FFB">
        <w:t>PAYMENT TYPE CODE:  (“</w:t>
      </w:r>
      <w:r w:rsidRPr="00104EC3">
        <w:t>D09</w:t>
      </w:r>
      <w:r w:rsidR="001B2659">
        <w:t>8</w:t>
      </w:r>
      <w:r w:rsidRPr="00104EC3">
        <w:t>”)</w:t>
      </w:r>
    </w:p>
    <w:p w14:paraId="143660B8" w14:textId="221CC705" w:rsidR="00587053" w:rsidRPr="00DA6FFB" w:rsidRDefault="00587053" w:rsidP="00587053">
      <w:pPr>
        <w:widowControl/>
        <w:ind w:left="720"/>
      </w:pPr>
      <w:r w:rsidRPr="00DA6FFB">
        <w:t>PAY</w:t>
      </w:r>
      <w:r>
        <w:t>E</w:t>
      </w:r>
      <w:r w:rsidRPr="00DA6FFB">
        <w:t xml:space="preserve">R NAME  </w:t>
      </w:r>
    </w:p>
    <w:p w14:paraId="42D47D11" w14:textId="5495650E" w:rsidR="001630DA" w:rsidRDefault="008A39FA" w:rsidP="002D497D">
      <w:pPr>
        <w:widowControl/>
        <w:spacing w:after="120"/>
        <w:ind w:firstLine="720"/>
        <w:rPr>
          <w:b/>
        </w:rPr>
      </w:pPr>
      <w:r>
        <w:rPr>
          <w:b/>
        </w:rPr>
        <w:t>CONTACT NAME AND PHONE NUMBER OR E-MAIL ADDRESS</w:t>
      </w:r>
    </w:p>
    <w:p w14:paraId="0119C489" w14:textId="77777777" w:rsidR="008A39FA" w:rsidRDefault="008A39FA" w:rsidP="001630DA">
      <w:pPr>
        <w:widowControl/>
        <w:ind w:firstLine="720"/>
        <w:rPr>
          <w:b/>
        </w:rPr>
      </w:pPr>
    </w:p>
    <w:p w14:paraId="183F777D" w14:textId="573BA130" w:rsidR="00587053" w:rsidRPr="00E93512" w:rsidRDefault="00922F52" w:rsidP="00145E93">
      <w:pPr>
        <w:pStyle w:val="ParaNum"/>
      </w:pPr>
      <w:r>
        <w:t>A partially completed Form 159, R</w:t>
      </w:r>
      <w:r w:rsidR="00627A2B">
        <w:t>e</w:t>
      </w:r>
      <w:r>
        <w:t xml:space="preserve">mittance Advice will be provided to confirm the amount to be remitted in the wire transfer information and the Form 159 should be retained for your records.  It is not necessary for you to fax or e-mail a copy to the FCC or the Commission’s bank.  </w:t>
      </w:r>
      <w:r w:rsidR="00587053">
        <w:t xml:space="preserve">Please direct questions concerning the calculation and submission of down payments, final payments, </w:t>
      </w:r>
      <w:r w:rsidR="00587053" w:rsidRPr="00E93512">
        <w:t>and refunds to Gail Glasser at (202) 418-0578</w:t>
      </w:r>
      <w:r>
        <w:t xml:space="preserve"> or Theresa Meeks at (202) 418-2945</w:t>
      </w:r>
      <w:r w:rsidR="00587053" w:rsidRPr="00E93512">
        <w:t>.</w:t>
      </w:r>
      <w:r w:rsidR="002C290B">
        <w:t xml:space="preserve">  </w:t>
      </w:r>
      <w:r w:rsidR="002C290B" w:rsidRPr="002C290B">
        <w:rPr>
          <w:color w:val="000000"/>
          <w:szCs w:val="22"/>
        </w:rPr>
        <w:t>OMD staff may also be reached through the FCC Auctions Hotline at (888) 225-5322, option two; or (717) 338-2868.</w:t>
      </w:r>
      <w:r w:rsidR="00587053" w:rsidRPr="00E93512">
        <w:t xml:space="preserve">  </w:t>
      </w:r>
    </w:p>
    <w:p w14:paraId="4DF09763" w14:textId="77777777" w:rsidR="00587053" w:rsidRPr="00E93512" w:rsidRDefault="00587053" w:rsidP="005A36A0">
      <w:pPr>
        <w:pStyle w:val="Heading2"/>
      </w:pPr>
      <w:bookmarkStart w:id="10" w:name="_Toc124648778"/>
      <w:bookmarkStart w:id="11" w:name="_Toc124649152"/>
      <w:bookmarkStart w:id="12" w:name="_Toc124649223"/>
      <w:bookmarkStart w:id="13" w:name="_Toc124649414"/>
      <w:bookmarkStart w:id="14" w:name="_Toc124650001"/>
      <w:bookmarkStart w:id="15" w:name="_Toc124650095"/>
      <w:bookmarkStart w:id="16" w:name="_Toc124661263"/>
      <w:bookmarkStart w:id="17" w:name="_Toc124661378"/>
      <w:bookmarkStart w:id="18" w:name="_Toc124661473"/>
      <w:r w:rsidRPr="00E93512">
        <w:t>Default and Disqualification Payments</w:t>
      </w:r>
      <w:bookmarkEnd w:id="10"/>
      <w:bookmarkEnd w:id="11"/>
      <w:bookmarkEnd w:id="12"/>
      <w:bookmarkEnd w:id="13"/>
      <w:bookmarkEnd w:id="14"/>
      <w:bookmarkEnd w:id="15"/>
      <w:bookmarkEnd w:id="16"/>
      <w:bookmarkEnd w:id="17"/>
      <w:bookmarkEnd w:id="18"/>
    </w:p>
    <w:p w14:paraId="21EC85F0" w14:textId="77777777" w:rsidR="00587053" w:rsidRPr="000F2253" w:rsidRDefault="00587053" w:rsidP="00145E93">
      <w:pPr>
        <w:pStyle w:val="ParaNum"/>
        <w:widowControl/>
      </w:pPr>
      <w:r w:rsidRPr="00E93512">
        <w:t>The Commission imposes payment obligations on bidders that</w:t>
      </w:r>
      <w:r>
        <w:t>, after an auction closes,</w:t>
      </w:r>
      <w:r w:rsidRPr="00E93512">
        <w:t xml:space="preserve"> default</w:t>
      </w:r>
      <w:r>
        <w:t xml:space="preserve"> </w:t>
      </w:r>
      <w:r w:rsidRPr="00E93512">
        <w:t xml:space="preserve">on payments due </w:t>
      </w:r>
      <w:r>
        <w:t xml:space="preserve">or </w:t>
      </w:r>
      <w:r w:rsidRPr="00E93512">
        <w:t>are disqualified.</w:t>
      </w:r>
      <w:r w:rsidRPr="00E93512">
        <w:rPr>
          <w:rStyle w:val="FootnoteReference"/>
        </w:rPr>
        <w:footnoteReference w:id="14"/>
      </w:r>
      <w:r w:rsidRPr="00E93512">
        <w:t xml:space="preserve">  </w:t>
      </w:r>
      <w:r w:rsidRPr="000F2253">
        <w:t xml:space="preserve">  </w:t>
      </w:r>
    </w:p>
    <w:p w14:paraId="30D8BBB9" w14:textId="5436BF46" w:rsidR="00587053" w:rsidRPr="000F2253" w:rsidRDefault="00587053" w:rsidP="001471DF">
      <w:pPr>
        <w:pStyle w:val="ParaNum"/>
        <w:widowControl/>
      </w:pPr>
      <w:r w:rsidRPr="000F2253">
        <w:t>Because Auction 9</w:t>
      </w:r>
      <w:r w:rsidR="0059753C">
        <w:t>8</w:t>
      </w:r>
      <w:r w:rsidRPr="000F2253">
        <w:t xml:space="preserve"> is now closed, the Commission is in a position to calculate final default payment</w:t>
      </w:r>
      <w:r w:rsidR="00035323">
        <w:t>s</w:t>
      </w:r>
      <w:r w:rsidRPr="000F2253">
        <w:t xml:space="preserve"> owed as a result of default</w:t>
      </w:r>
      <w:r w:rsidR="00035323">
        <w:t>s</w:t>
      </w:r>
      <w:r w:rsidRPr="000F2253">
        <w:t xml:space="preserve"> on construction permit</w:t>
      </w:r>
      <w:r w:rsidR="00627A2B">
        <w:t>s</w:t>
      </w:r>
      <w:r w:rsidRPr="000F2253">
        <w:t xml:space="preserve"> won in</w:t>
      </w:r>
      <w:r w:rsidR="0059753C">
        <w:t xml:space="preserve"> Auction 62</w:t>
      </w:r>
      <w:r w:rsidR="00627A2B">
        <w:t xml:space="preserve"> and</w:t>
      </w:r>
      <w:r w:rsidR="00F15947">
        <w:t xml:space="preserve"> Auction 94</w:t>
      </w:r>
      <w:r w:rsidRPr="002C2B5F">
        <w:t>.</w:t>
      </w:r>
      <w:r w:rsidRPr="006625D5">
        <w:t xml:space="preserve">  Such</w:t>
      </w:r>
      <w:r w:rsidRPr="0081691F">
        <w:t xml:space="preserve"> payments</w:t>
      </w:r>
      <w:r w:rsidRPr="000F2253">
        <w:t xml:space="preserve"> </w:t>
      </w:r>
      <w:r>
        <w:t>are</w:t>
      </w:r>
      <w:r w:rsidRPr="000F2253">
        <w:t xml:space="preserve"> identified </w:t>
      </w:r>
      <w:r w:rsidRPr="006625D5">
        <w:t xml:space="preserve">in </w:t>
      </w:r>
      <w:r w:rsidRPr="002C2B5F">
        <w:rPr>
          <w:b/>
        </w:rPr>
        <w:t>Attachment C</w:t>
      </w:r>
      <w:r w:rsidRPr="006625D5">
        <w:t>.  Forthcoming</w:t>
      </w:r>
      <w:r w:rsidRPr="000F2253">
        <w:t xml:space="preserve"> orders will assess such payments, and will specify due dates for the payment of any such obligations.  </w:t>
      </w:r>
    </w:p>
    <w:p w14:paraId="6033D3E4" w14:textId="33337A31" w:rsidR="00587053" w:rsidRDefault="00587053" w:rsidP="005A36A0">
      <w:pPr>
        <w:pStyle w:val="Heading2"/>
      </w:pPr>
      <w:r>
        <w:t>Bid Default/Disqualification Payments from Auction 9</w:t>
      </w:r>
      <w:r w:rsidR="0059753C">
        <w:t>8</w:t>
      </w:r>
    </w:p>
    <w:p w14:paraId="3F54C0CC" w14:textId="467A0D9E" w:rsidR="00587053" w:rsidRPr="0081691F" w:rsidRDefault="00587053" w:rsidP="00145E93">
      <w:pPr>
        <w:pStyle w:val="ParaNum"/>
      </w:pPr>
      <w:r w:rsidRPr="0075740E">
        <w:t xml:space="preserve">If </w:t>
      </w:r>
      <w:r>
        <w:t>a</w:t>
      </w:r>
      <w:r w:rsidRPr="0075740E">
        <w:t xml:space="preserve"> winning bidder defaults or is disqualified after the close of the auction (i.e., fails to remit the required down </w:t>
      </w:r>
      <w:r w:rsidRPr="0081691F">
        <w:t>payment by the specified deadline, fails to submit a timely long-form application, fails to make full payment of the balance of its winning bid(s) by the specified deadline, or is otherwise disqualified for any reason), the defaulting bidder will be subject to the payment obligations described in section 1.2104(g)(2).</w:t>
      </w:r>
      <w:r w:rsidRPr="0081691F">
        <w:rPr>
          <w:rStyle w:val="FootnoteReference"/>
        </w:rPr>
        <w:footnoteReference w:id="15"/>
      </w:r>
      <w:r w:rsidRPr="0081691F">
        <w:t xml:space="preserve">  These payment obligations include both a deficiency payment, equal to the difference between the amount of the defaulter’s bid and the amount of the winning bid the next time a permit or license covering the same spectrum is won in an auction, plus an additional payment equal to a percent of the defaulter’s bid or the subsequent winning bid, whichever is less.</w:t>
      </w:r>
      <w:r w:rsidRPr="0081691F">
        <w:rPr>
          <w:rStyle w:val="FootnoteReference"/>
        </w:rPr>
        <w:footnoteReference w:id="16"/>
      </w:r>
      <w:r w:rsidRPr="0081691F">
        <w:t xml:space="preserve">  The additional default payment for Auction 9</w:t>
      </w:r>
      <w:r w:rsidR="0059753C">
        <w:t>8</w:t>
      </w:r>
      <w:r w:rsidRPr="0081691F">
        <w:t xml:space="preserve"> permits was set at </w:t>
      </w:r>
      <w:r w:rsidR="002E4104">
        <w:t>20</w:t>
      </w:r>
      <w:r w:rsidRPr="0081691F">
        <w:t xml:space="preserve"> percent of the applicable bid.</w:t>
      </w:r>
      <w:r w:rsidRPr="0081691F">
        <w:rPr>
          <w:rStyle w:val="FootnoteReference"/>
        </w:rPr>
        <w:footnoteReference w:id="17"/>
      </w:r>
    </w:p>
    <w:p w14:paraId="77323A4D" w14:textId="4D4211D6" w:rsidR="00587053" w:rsidRPr="0081691F" w:rsidRDefault="00587053" w:rsidP="00145E93">
      <w:pPr>
        <w:pStyle w:val="ParaNum"/>
      </w:pPr>
      <w:r w:rsidRPr="0081691F">
        <w:t xml:space="preserve">If a winning bidder fails to remit the required down payment within </w:t>
      </w:r>
      <w:r w:rsidR="002E4104">
        <w:t xml:space="preserve">10 </w:t>
      </w:r>
      <w:r w:rsidRPr="0081691F">
        <w:t xml:space="preserve">business days after the Commission has released this Public Notice, in this </w:t>
      </w:r>
      <w:r w:rsidRPr="00465638">
        <w:t xml:space="preserve">case by </w:t>
      </w:r>
      <w:r w:rsidR="00DF439E">
        <w:t>August</w:t>
      </w:r>
      <w:r w:rsidRPr="00465638">
        <w:t xml:space="preserve"> </w:t>
      </w:r>
      <w:r w:rsidR="00C636A3">
        <w:t>2</w:t>
      </w:r>
      <w:r w:rsidR="001D188F">
        <w:t>6</w:t>
      </w:r>
      <w:r w:rsidRPr="00465638">
        <w:rPr>
          <w:szCs w:val="22"/>
        </w:rPr>
        <w:t>, 201</w:t>
      </w:r>
      <w:r w:rsidR="0059753C">
        <w:rPr>
          <w:szCs w:val="22"/>
        </w:rPr>
        <w:t>5</w:t>
      </w:r>
      <w:r w:rsidRPr="00465638">
        <w:t>, the bidder</w:t>
      </w:r>
      <w:r w:rsidRPr="0081691F">
        <w:t xml:space="preserve"> will be deemed to have defaulted, its long-form application will be dismissed, and it will be liable for a default payment as described above.</w:t>
      </w:r>
      <w:r w:rsidRPr="0081691F">
        <w:rPr>
          <w:rStyle w:val="FootnoteReference"/>
        </w:rPr>
        <w:footnoteReference w:id="18"/>
      </w:r>
    </w:p>
    <w:p w14:paraId="05938084" w14:textId="20A95A00" w:rsidR="00587053" w:rsidRPr="00465638" w:rsidRDefault="00587053" w:rsidP="00145E93">
      <w:pPr>
        <w:pStyle w:val="ParaNum"/>
      </w:pPr>
      <w:r w:rsidRPr="0081691F">
        <w:t xml:space="preserve">If a winning bidder fails to pay the balance of its winning bid in a lump sum by the deadline specified in this public notice, it will be allowed to make a late payment within </w:t>
      </w:r>
      <w:r w:rsidR="002E4104">
        <w:t>10</w:t>
      </w:r>
      <w:r w:rsidRPr="0081691F">
        <w:t xml:space="preserve"> business days after the payment deadline, provided that it also pays a late fee equal to five percent of the </w:t>
      </w:r>
      <w:r w:rsidRPr="00465638">
        <w:t>amount due.</w:t>
      </w:r>
      <w:r w:rsidRPr="00465638">
        <w:rPr>
          <w:rStyle w:val="FootnoteReference"/>
        </w:rPr>
        <w:footnoteReference w:id="19"/>
      </w:r>
      <w:r w:rsidRPr="00465638">
        <w:t xml:space="preserve">  If a winning bidder fails to pay (a) the balance of its winning bid by the payment deadline on </w:t>
      </w:r>
      <w:r w:rsidR="00DF439E">
        <w:t>September</w:t>
      </w:r>
      <w:r w:rsidRPr="00465638">
        <w:t xml:space="preserve"> </w:t>
      </w:r>
      <w:r w:rsidR="001D188F">
        <w:t>10</w:t>
      </w:r>
      <w:r w:rsidRPr="00465638">
        <w:t>, 201</w:t>
      </w:r>
      <w:r w:rsidR="0059753C">
        <w:t>5</w:t>
      </w:r>
      <w:r w:rsidRPr="00465638">
        <w:t xml:space="preserve">, or (b) the balance of its winning bid plus the late fee by the late payment deadline on </w:t>
      </w:r>
      <w:r w:rsidR="00C636A3">
        <w:t xml:space="preserve">September </w:t>
      </w:r>
      <w:r w:rsidR="001D188F">
        <w:t>24</w:t>
      </w:r>
      <w:r w:rsidRPr="00465638">
        <w:t>, 201</w:t>
      </w:r>
      <w:r w:rsidR="00C636A3">
        <w:t>5</w:t>
      </w:r>
      <w:r w:rsidRPr="00465638">
        <w:t>, it will be deemed to have defaulted, and it will be subject to applicable default payments.</w:t>
      </w:r>
      <w:r w:rsidRPr="00465638">
        <w:rPr>
          <w:rStyle w:val="FootnoteReference"/>
        </w:rPr>
        <w:footnoteReference w:id="20"/>
      </w:r>
    </w:p>
    <w:p w14:paraId="0BD23B49" w14:textId="77777777" w:rsidR="00587053" w:rsidRDefault="00587053" w:rsidP="00145E93">
      <w:pPr>
        <w:pStyle w:val="ParaNum"/>
      </w:pPr>
      <w:r>
        <w:t>The Commission will review an applicant’s long-form application only after receipt of full and timely payment for the winning bid amount and any applicable late fees.  The relevant construction permit will be granted after determination that the long-form application meets the Commission’s</w:t>
      </w:r>
      <w:r w:rsidRPr="00067D3E">
        <w:t xml:space="preserve"> requirements for grant.</w:t>
      </w:r>
      <w:r w:rsidRPr="00067D3E">
        <w:rPr>
          <w:rStyle w:val="FootnoteReference"/>
        </w:rPr>
        <w:footnoteReference w:id="21"/>
      </w:r>
      <w:r w:rsidRPr="00067D3E">
        <w:t xml:space="preserve">  </w:t>
      </w:r>
    </w:p>
    <w:p w14:paraId="7A2CD4B1" w14:textId="77777777" w:rsidR="00587053" w:rsidRPr="00545F16" w:rsidRDefault="00587053" w:rsidP="00145E93">
      <w:pPr>
        <w:pStyle w:val="ParaNum"/>
      </w:pPr>
      <w:r w:rsidRPr="00545F16">
        <w:t>A</w:t>
      </w:r>
      <w:r>
        <w:t xml:space="preserve"> </w:t>
      </w:r>
      <w:r w:rsidRPr="00545F16">
        <w:t xml:space="preserve">bidder that </w:t>
      </w:r>
      <w:r>
        <w:t>is</w:t>
      </w:r>
      <w:r w:rsidRPr="00545F16">
        <w:t xml:space="preserve"> found to have violated the antitrust laws or the Commission’s rules in connection with </w:t>
      </w:r>
      <w:r>
        <w:t>i</w:t>
      </w:r>
      <w:r w:rsidRPr="00545F16">
        <w:t>t</w:t>
      </w:r>
      <w:r>
        <w:t>s</w:t>
      </w:r>
      <w:r w:rsidRPr="00545F16">
        <w:t xml:space="preserve"> participation in the competitive bidding process </w:t>
      </w:r>
      <w:r>
        <w:t>may</w:t>
      </w:r>
      <w:r w:rsidRPr="00545F16">
        <w:t xml:space="preserve"> be subject, in addition to any other applicable sanctions, to forfeiture of </w:t>
      </w:r>
      <w:r>
        <w:t>i</w:t>
      </w:r>
      <w:r w:rsidRPr="00545F16">
        <w:t>t</w:t>
      </w:r>
      <w:r>
        <w:t>s</w:t>
      </w:r>
      <w:r w:rsidRPr="00545F16">
        <w:t xml:space="preserve"> upfront payment, down payment, or full bid amount, and </w:t>
      </w:r>
      <w:r>
        <w:t>may</w:t>
      </w:r>
      <w:r w:rsidRPr="00545F16">
        <w:t xml:space="preserve"> be prohibited from participating in future auctions.</w:t>
      </w:r>
      <w:r w:rsidRPr="00545F16">
        <w:rPr>
          <w:rStyle w:val="FootnoteReference"/>
        </w:rPr>
        <w:footnoteReference w:id="22"/>
      </w:r>
    </w:p>
    <w:p w14:paraId="0492912B" w14:textId="77777777" w:rsidR="00587053" w:rsidRPr="00545F16" w:rsidRDefault="00587053" w:rsidP="005A36A0">
      <w:pPr>
        <w:pStyle w:val="Heading2"/>
      </w:pPr>
      <w:r w:rsidRPr="00545F16">
        <w:t>Refund of Excess Payments</w:t>
      </w:r>
    </w:p>
    <w:p w14:paraId="05D7D120" w14:textId="31E0037E" w:rsidR="00587053" w:rsidRPr="0081691F" w:rsidRDefault="00587053" w:rsidP="00145E93">
      <w:pPr>
        <w:pStyle w:val="ParaNum"/>
      </w:pPr>
      <w:r w:rsidRPr="00545F16">
        <w:t>Upfront monies on deposit that are in excess of</w:t>
      </w:r>
      <w:r>
        <w:t xml:space="preserve"> an applicant’s Auction 9</w:t>
      </w:r>
      <w:r w:rsidR="0059753C">
        <w:t>8</w:t>
      </w:r>
      <w:r>
        <w:t xml:space="preserve"> obligations may</w:t>
      </w:r>
      <w:r w:rsidRPr="00545F16">
        <w:t xml:space="preserve"> be refunded to the </w:t>
      </w:r>
      <w:r>
        <w:t xml:space="preserve">payer </w:t>
      </w:r>
      <w:r w:rsidRPr="00545F16">
        <w:t xml:space="preserve">of record as identified on </w:t>
      </w:r>
      <w:r>
        <w:t xml:space="preserve">the </w:t>
      </w:r>
      <w:r w:rsidR="00922F52">
        <w:t>upfront payment wire transfer</w:t>
      </w:r>
      <w:r>
        <w:t xml:space="preserve">.  To receive a refund, an </w:t>
      </w:r>
      <w:r w:rsidRPr="00226613">
        <w:t xml:space="preserve">applicant must submit a refund request and provide wire transfer instructions.  Each applicant can provide this information by using the </w:t>
      </w:r>
      <w:r w:rsidR="0059753C">
        <w:t>FCC</w:t>
      </w:r>
      <w:r w:rsidRPr="00226613">
        <w:t xml:space="preserve"> Auction System (“ISAS”) </w:t>
      </w:r>
      <w:r>
        <w:t>to file its refund</w:t>
      </w:r>
      <w:r w:rsidRPr="0081691F">
        <w:t xml:space="preserve"> </w:t>
      </w:r>
      <w:r>
        <w:t xml:space="preserve">information electronically using the “Refund Information” icon found on the Auction Application Manager page </w:t>
      </w:r>
      <w:r w:rsidRPr="00465638">
        <w:t xml:space="preserve">by </w:t>
      </w:r>
      <w:r w:rsidR="00DF439E">
        <w:rPr>
          <w:b/>
        </w:rPr>
        <w:t>August</w:t>
      </w:r>
      <w:r w:rsidRPr="00465638">
        <w:rPr>
          <w:b/>
        </w:rPr>
        <w:t xml:space="preserve"> </w:t>
      </w:r>
      <w:r w:rsidR="00987FD2">
        <w:rPr>
          <w:b/>
        </w:rPr>
        <w:t>2</w:t>
      </w:r>
      <w:r w:rsidR="001D188F">
        <w:rPr>
          <w:b/>
        </w:rPr>
        <w:t>6</w:t>
      </w:r>
      <w:r w:rsidRPr="00465638">
        <w:rPr>
          <w:b/>
          <w:szCs w:val="22"/>
        </w:rPr>
        <w:t>, 201</w:t>
      </w:r>
      <w:r w:rsidR="0059753C">
        <w:rPr>
          <w:b/>
          <w:szCs w:val="22"/>
        </w:rPr>
        <w:t>5</w:t>
      </w:r>
      <w:r w:rsidRPr="00465638">
        <w:t>.  After</w:t>
      </w:r>
      <w:r w:rsidRPr="0081691F">
        <w:t xml:space="preserve"> this date, an applicant must send a written request for refund, along with the necessary wire transfer instructions and FRN, by fax to Gail Glasser of the </w:t>
      </w:r>
      <w:r w:rsidRPr="001B2659">
        <w:t>Office of the Managing Director</w:t>
      </w:r>
      <w:r w:rsidRPr="0081691F">
        <w:t xml:space="preserve"> at (202) 418-2843 (FAX).  Any questions concerning refunds should be </w:t>
      </w:r>
      <w:r w:rsidR="00922F52">
        <w:t>directed</w:t>
      </w:r>
      <w:r w:rsidR="00922F52" w:rsidRPr="0081691F">
        <w:t xml:space="preserve"> </w:t>
      </w:r>
      <w:r w:rsidRPr="0081691F">
        <w:t>to Gail Glasser at (202) 418-0578</w:t>
      </w:r>
      <w:r w:rsidR="00922F52">
        <w:t xml:space="preserve"> or Theresa Meeks at (202) 418-2945</w:t>
      </w:r>
      <w:r w:rsidRPr="0081691F">
        <w:t>.</w:t>
      </w:r>
      <w:r w:rsidR="00922F52">
        <w:t xml:space="preserve">  </w:t>
      </w:r>
      <w:r w:rsidR="002C290B" w:rsidRPr="002C290B">
        <w:rPr>
          <w:color w:val="000000"/>
          <w:szCs w:val="22"/>
        </w:rPr>
        <w:t>OMD staff may also be reached through the FCC Auctions Hotline at (888) 225-5322, option two; or (717) 338-2868.</w:t>
      </w:r>
      <w:r w:rsidR="002C290B">
        <w:rPr>
          <w:color w:val="000000"/>
          <w:szCs w:val="22"/>
        </w:rPr>
        <w:t xml:space="preserve">  </w:t>
      </w:r>
      <w:r w:rsidR="00922F52">
        <w:t xml:space="preserve">An applicant seeking a refund should verify that the Tax </w:t>
      </w:r>
      <w:r w:rsidR="00964A4A">
        <w:t>Identification</w:t>
      </w:r>
      <w:r w:rsidR="00922F52">
        <w:t xml:space="preserve"> Number (“TIN”) associated with its FRN is correct by visiting the FCC Registration Number website</w:t>
      </w:r>
      <w:r w:rsidR="00B642D3">
        <w:t xml:space="preserve"> </w:t>
      </w:r>
      <w:hyperlink r:id="rId9" w:history="1">
        <w:r w:rsidR="00B642D3" w:rsidRPr="008A322E">
          <w:rPr>
            <w:rStyle w:val="Hyperlink"/>
          </w:rPr>
          <w:t>https://apps.fcc.gov/coresWeb/publicHome.do</w:t>
        </w:r>
      </w:hyperlink>
      <w:r w:rsidR="00B642D3">
        <w:t xml:space="preserve"> to update its records before submitting a refund request.  An FRN with no TIN on file cannot be processed until a TIN is provided.</w:t>
      </w:r>
    </w:p>
    <w:p w14:paraId="667896EC" w14:textId="77777777" w:rsidR="00587053" w:rsidRPr="0081691F" w:rsidRDefault="00587053" w:rsidP="005A36A0">
      <w:pPr>
        <w:pStyle w:val="Heading2"/>
      </w:pPr>
      <w:r w:rsidRPr="0081691F">
        <w:t>FCC Form 301</w:t>
      </w:r>
    </w:p>
    <w:p w14:paraId="3B42CB74" w14:textId="1ABB1AF1" w:rsidR="00587053" w:rsidRPr="00465638" w:rsidRDefault="00587053" w:rsidP="00145E93">
      <w:pPr>
        <w:pStyle w:val="ParaNum"/>
      </w:pPr>
      <w:r w:rsidRPr="00B1519F">
        <w:t>Prior to</w:t>
      </w:r>
      <w:r>
        <w:rPr>
          <w:b/>
        </w:rPr>
        <w:t xml:space="preserve"> midnight ET on </w:t>
      </w:r>
      <w:r w:rsidR="00D55DE7">
        <w:rPr>
          <w:b/>
        </w:rPr>
        <w:t>October 13</w:t>
      </w:r>
      <w:r>
        <w:rPr>
          <w:b/>
        </w:rPr>
        <w:t xml:space="preserve"> , 201</w:t>
      </w:r>
      <w:r w:rsidR="009A5255">
        <w:rPr>
          <w:b/>
        </w:rPr>
        <w:t>5</w:t>
      </w:r>
      <w:r>
        <w:rPr>
          <w:b/>
        </w:rPr>
        <w:t xml:space="preserve">, </w:t>
      </w:r>
      <w:r>
        <w:t>e</w:t>
      </w:r>
      <w:r w:rsidRPr="0081691F">
        <w:t>ach winning</w:t>
      </w:r>
      <w:r w:rsidRPr="00226613">
        <w:t xml:space="preserve"> bidder must submit electronically a properly-completed long-form application (FCC Form 301, Application for Construction Permit for Commercial Broadcast Station), including all required exhibits, for each construction permit for which it was the winning bidder in Auction 9</w:t>
      </w:r>
      <w:r w:rsidR="009A5255">
        <w:t>8</w:t>
      </w:r>
      <w:r w:rsidRPr="00226613">
        <w:t>.</w:t>
      </w:r>
      <w:r w:rsidRPr="00226613">
        <w:rPr>
          <w:rStyle w:val="FootnoteReference"/>
        </w:rPr>
        <w:footnoteReference w:id="23"/>
      </w:r>
      <w:r w:rsidRPr="00226613">
        <w:t xml:space="preserve">    </w:t>
      </w:r>
      <w:r w:rsidRPr="002C2B5F">
        <w:rPr>
          <w:b/>
        </w:rPr>
        <w:t xml:space="preserve">The FCC Form 301 filing window will open on </w:t>
      </w:r>
      <w:r w:rsidR="00D55DE7">
        <w:rPr>
          <w:b/>
        </w:rPr>
        <w:t>September</w:t>
      </w:r>
      <w:r w:rsidRPr="002C2B5F">
        <w:rPr>
          <w:b/>
        </w:rPr>
        <w:t xml:space="preserve"> </w:t>
      </w:r>
      <w:r w:rsidR="00D55DE7">
        <w:rPr>
          <w:b/>
        </w:rPr>
        <w:t>10</w:t>
      </w:r>
      <w:r w:rsidRPr="002C2B5F">
        <w:rPr>
          <w:b/>
        </w:rPr>
        <w:t>, 201</w:t>
      </w:r>
      <w:r w:rsidR="009A5255">
        <w:rPr>
          <w:b/>
        </w:rPr>
        <w:t>5</w:t>
      </w:r>
      <w:r w:rsidRPr="002C2B5F">
        <w:rPr>
          <w:b/>
        </w:rPr>
        <w:t xml:space="preserve">, and close at </w:t>
      </w:r>
      <w:r w:rsidRPr="00597B82">
        <w:rPr>
          <w:b/>
        </w:rPr>
        <w:t>midnight</w:t>
      </w:r>
      <w:r w:rsidRPr="0081691F">
        <w:rPr>
          <w:b/>
        </w:rPr>
        <w:t xml:space="preserve"> ET </w:t>
      </w:r>
      <w:r w:rsidRPr="00465638">
        <w:rPr>
          <w:b/>
        </w:rPr>
        <w:t xml:space="preserve">on </w:t>
      </w:r>
      <w:r w:rsidR="001D188F">
        <w:rPr>
          <w:b/>
        </w:rPr>
        <w:t>O</w:t>
      </w:r>
      <w:r w:rsidR="00D55DE7">
        <w:rPr>
          <w:b/>
        </w:rPr>
        <w:t>ctober</w:t>
      </w:r>
      <w:r w:rsidRPr="00465638">
        <w:rPr>
          <w:b/>
        </w:rPr>
        <w:t xml:space="preserve"> </w:t>
      </w:r>
      <w:r w:rsidR="00D55DE7">
        <w:rPr>
          <w:b/>
        </w:rPr>
        <w:t>13</w:t>
      </w:r>
      <w:r w:rsidRPr="00465638">
        <w:rPr>
          <w:b/>
        </w:rPr>
        <w:t>, 201</w:t>
      </w:r>
      <w:r w:rsidR="009A5255">
        <w:rPr>
          <w:b/>
        </w:rPr>
        <w:t>5</w:t>
      </w:r>
      <w:r w:rsidRPr="00465638">
        <w:rPr>
          <w:b/>
        </w:rPr>
        <w:t xml:space="preserve">.  </w:t>
      </w:r>
    </w:p>
    <w:p w14:paraId="3D406C5E" w14:textId="5E9CCD8A" w:rsidR="00587053" w:rsidRPr="00226613" w:rsidRDefault="00587053" w:rsidP="00145E93">
      <w:pPr>
        <w:pStyle w:val="ParaNum"/>
      </w:pPr>
      <w:r w:rsidRPr="00226613">
        <w:t>An applicant that fails to submit the required long-form application before the specified deadline and fails to establish good cause for any late-filed submission shall be deemed to have defaulted and shall be subject to the payments set forth in section 1.2104(g) of the Commission’s rules.</w:t>
      </w:r>
      <w:r w:rsidRPr="00226613">
        <w:rPr>
          <w:rStyle w:val="FootnoteReference"/>
        </w:rPr>
        <w:footnoteReference w:id="24"/>
      </w:r>
      <w:r w:rsidRPr="00226613">
        <w:t xml:space="preserve">  Each Auction 9</w:t>
      </w:r>
      <w:r w:rsidR="009A5255">
        <w:t>8</w:t>
      </w:r>
      <w:r w:rsidRPr="00226613">
        <w:t xml:space="preserve"> winning bidder must file an accurate and complete long-form application</w:t>
      </w:r>
      <w:r>
        <w:t xml:space="preserve"> (FCC Form 301) </w:t>
      </w:r>
      <w:r w:rsidRPr="00226613">
        <w:t>for each construction permit for which it was the winning bidder in Auction 9</w:t>
      </w:r>
      <w:r w:rsidR="009A5255">
        <w:t>8</w:t>
      </w:r>
      <w:r w:rsidRPr="00226613">
        <w:t xml:space="preserve">.  </w:t>
      </w:r>
      <w:r>
        <w:t>However, a winning bidder that filed FCC Form 301 simultaneously with the Petition for Rule Making or counterproposal to allot the channel for which it submitted the winning bid need only file an amendment to its existing FCC Form 301 application for that channel, if necessary.</w:t>
      </w:r>
      <w:r>
        <w:rPr>
          <w:rStyle w:val="FootnoteReference"/>
        </w:rPr>
        <w:footnoteReference w:id="25"/>
      </w:r>
      <w:r>
        <w:t xml:space="preserve">  </w:t>
      </w:r>
      <w:r w:rsidRPr="00226613">
        <w:t>The long-form applications must be filed electronically through the Media Bureau’s Consolidated Database System (CDBS) online electronic filing system.</w:t>
      </w:r>
      <w:r w:rsidRPr="00226613">
        <w:rPr>
          <w:rStyle w:val="FootnoteReference"/>
        </w:rPr>
        <w:footnoteReference w:id="26"/>
      </w:r>
      <w:r w:rsidRPr="00226613">
        <w:t xml:space="preserve">  </w:t>
      </w:r>
      <w:r>
        <w:t>In accordance with the Commission’s rules, electronic filing of the FCC Form 301 must be accompanied by the appropriate application filing fee.</w:t>
      </w:r>
      <w:r>
        <w:rPr>
          <w:rStyle w:val="FootnoteReference"/>
        </w:rPr>
        <w:footnoteReference w:id="27"/>
      </w:r>
      <w:r>
        <w:t xml:space="preserve"> </w:t>
      </w:r>
      <w:r w:rsidR="00E601B1">
        <w:t xml:space="preserve">If </w:t>
      </w:r>
      <w:r w:rsidRPr="00226613">
        <w:rPr>
          <w:snapToGrid/>
          <w:kern w:val="0"/>
        </w:rPr>
        <w:t xml:space="preserve">information submitted </w:t>
      </w:r>
      <w:r w:rsidRPr="008471C8">
        <w:rPr>
          <w:snapToGrid/>
          <w:kern w:val="0"/>
        </w:rPr>
        <w:t xml:space="preserve">on the </w:t>
      </w:r>
      <w:r w:rsidRPr="002C2B5F">
        <w:rPr>
          <w:snapToGrid/>
          <w:kern w:val="0"/>
        </w:rPr>
        <w:t>new</w:t>
      </w:r>
      <w:r w:rsidRPr="008471C8">
        <w:rPr>
          <w:snapToGrid/>
          <w:kern w:val="0"/>
        </w:rPr>
        <w:t xml:space="preserve"> FCC Form 301</w:t>
      </w:r>
      <w:r w:rsidRPr="00B03E6F">
        <w:rPr>
          <w:snapToGrid/>
          <w:kern w:val="0"/>
        </w:rPr>
        <w:t xml:space="preserve"> application</w:t>
      </w:r>
      <w:r w:rsidRPr="00226613">
        <w:rPr>
          <w:snapToGrid/>
          <w:kern w:val="0"/>
        </w:rPr>
        <w:t xml:space="preserve"> by the winning bidder </w:t>
      </w:r>
      <w:r w:rsidR="00E601B1">
        <w:rPr>
          <w:snapToGrid/>
          <w:kern w:val="0"/>
        </w:rPr>
        <w:t xml:space="preserve">indicates that the applicant has effected </w:t>
      </w:r>
      <w:r w:rsidRPr="00226613">
        <w:rPr>
          <w:snapToGrid/>
          <w:kern w:val="0"/>
        </w:rPr>
        <w:t>a major change</w:t>
      </w:r>
      <w:r w:rsidR="00E601B1">
        <w:rPr>
          <w:snapToGrid/>
          <w:kern w:val="0"/>
        </w:rPr>
        <w:t xml:space="preserve"> relative to</w:t>
      </w:r>
      <w:r w:rsidRPr="00226613">
        <w:rPr>
          <w:snapToGrid/>
          <w:kern w:val="0"/>
        </w:rPr>
        <w:t xml:space="preserve"> information </w:t>
      </w:r>
      <w:r w:rsidR="00E601B1">
        <w:rPr>
          <w:snapToGrid/>
          <w:kern w:val="0"/>
        </w:rPr>
        <w:t xml:space="preserve">reported on the applicant’s </w:t>
      </w:r>
      <w:r>
        <w:rPr>
          <w:snapToGrid/>
          <w:kern w:val="0"/>
        </w:rPr>
        <w:t>short-form application (</w:t>
      </w:r>
      <w:r w:rsidRPr="00226613">
        <w:rPr>
          <w:snapToGrid/>
          <w:kern w:val="0"/>
        </w:rPr>
        <w:t>FCC Form 175</w:t>
      </w:r>
      <w:r>
        <w:rPr>
          <w:snapToGrid/>
          <w:kern w:val="0"/>
        </w:rPr>
        <w:t>)</w:t>
      </w:r>
      <w:r w:rsidR="00E601B1">
        <w:rPr>
          <w:snapToGrid/>
          <w:kern w:val="0"/>
        </w:rPr>
        <w:t>, the long-form application will be dismissed and the applicant will be in default</w:t>
      </w:r>
      <w:r w:rsidRPr="00226613">
        <w:rPr>
          <w:snapToGrid/>
          <w:kern w:val="0"/>
        </w:rPr>
        <w:t>.</w:t>
      </w:r>
      <w:r w:rsidRPr="00226613">
        <w:rPr>
          <w:rStyle w:val="FootnoteReference"/>
          <w:snapToGrid/>
          <w:kern w:val="0"/>
        </w:rPr>
        <w:footnoteReference w:id="28"/>
      </w:r>
      <w:r w:rsidRPr="00226613">
        <w:rPr>
          <w:snapToGrid/>
          <w:kern w:val="0"/>
        </w:rPr>
        <w:t xml:space="preserve"> </w:t>
      </w:r>
    </w:p>
    <w:p w14:paraId="2C2E5875" w14:textId="5DE4EC1E" w:rsidR="00587053" w:rsidRPr="00D60EDB" w:rsidRDefault="00587053" w:rsidP="00145E93">
      <w:pPr>
        <w:pStyle w:val="ParaNum"/>
      </w:pPr>
      <w:r>
        <w:t>For i</w:t>
      </w:r>
      <w:r w:rsidRPr="008576DF">
        <w:t xml:space="preserve">nstructions </w:t>
      </w:r>
      <w:r>
        <w:t xml:space="preserve">and technical requirements </w:t>
      </w:r>
      <w:r w:rsidRPr="008576DF">
        <w:t>for us</w:t>
      </w:r>
      <w:r>
        <w:t>ing</w:t>
      </w:r>
      <w:r w:rsidRPr="008576DF">
        <w:t xml:space="preserve"> the Media Bureau</w:t>
      </w:r>
      <w:r>
        <w:t>’</w:t>
      </w:r>
      <w:r w:rsidRPr="008576DF">
        <w:t>s electronic filing system</w:t>
      </w:r>
      <w:r>
        <w:t>, go to</w:t>
      </w:r>
      <w:r w:rsidRPr="00067D3E">
        <w:t xml:space="preserve"> the electronic filing web site at</w:t>
      </w:r>
      <w:r>
        <w:t xml:space="preserve"> </w:t>
      </w:r>
      <w:hyperlink r:id="rId10" w:history="1">
        <w:r w:rsidRPr="00C05FDF">
          <w:rPr>
            <w:rStyle w:val="Hyperlink"/>
          </w:rPr>
          <w:t>http://www.fcc.gov/mb/cdbs.html</w:t>
        </w:r>
      </w:hyperlink>
      <w:r>
        <w:t xml:space="preserve">.  In the CDBS Electronic Filing System section of the page, </w:t>
      </w:r>
      <w:r w:rsidRPr="00D60EDB">
        <w:t xml:space="preserve">click on the </w:t>
      </w:r>
      <w:hyperlink r:id="rId11" w:history="1">
        <w:r w:rsidRPr="007F7458">
          <w:rPr>
            <w:rStyle w:val="Hyperlink"/>
          </w:rPr>
          <w:t>CDBS Electronic Filing User’s Guide</w:t>
        </w:r>
      </w:hyperlink>
      <w:r>
        <w:t xml:space="preserve"> link.  </w:t>
      </w:r>
      <w:r w:rsidRPr="00D60EDB">
        <w:t>When filing FCC Form 301, an applicant must select “Long Form Application for Auction 9</w:t>
      </w:r>
      <w:r w:rsidR="009A5255">
        <w:t>8</w:t>
      </w:r>
      <w:r w:rsidRPr="00D60EDB">
        <w:t>” on the Pre-form</w:t>
      </w:r>
      <w:r>
        <w:t xml:space="preserve"> and enter the relevant short-form application file number from CDBS (Question 2)</w:t>
      </w:r>
      <w:r w:rsidRPr="00D60EDB">
        <w:t>.</w:t>
      </w:r>
      <w:r>
        <w:rPr>
          <w:rStyle w:val="FootnoteReference"/>
        </w:rPr>
        <w:footnoteReference w:id="29"/>
      </w:r>
      <w:r w:rsidRPr="00D60EDB">
        <w:t xml:space="preserve">  For assistance with electronic filing, call the CDBS Help Desk at (202) 418-2662. </w:t>
      </w:r>
    </w:p>
    <w:p w14:paraId="05EB4094" w14:textId="77777777" w:rsidR="00587053" w:rsidRPr="00B627BE" w:rsidRDefault="00587053" w:rsidP="00145E93">
      <w:pPr>
        <w:pStyle w:val="ParaNum"/>
      </w:pPr>
      <w:r w:rsidRPr="00B627BE">
        <w:t>Commission staff will return application</w:t>
      </w:r>
      <w:r>
        <w:t>s</w:t>
      </w:r>
      <w:r w:rsidRPr="00B627BE">
        <w:t xml:space="preserve"> not submitted in accordance with the procedures described in this Public Notice.  </w:t>
      </w:r>
      <w:r>
        <w:t>A</w:t>
      </w:r>
      <w:r w:rsidRPr="00B627BE">
        <w:t>pplicant</w:t>
      </w:r>
      <w:r>
        <w:t>s are</w:t>
      </w:r>
      <w:r w:rsidRPr="00B627BE">
        <w:t xml:space="preserve"> encouraged to pay the FCC Form 301</w:t>
      </w:r>
      <w:r>
        <w:t xml:space="preserve"> </w:t>
      </w:r>
      <w:r w:rsidRPr="00B627BE">
        <w:t>application filing fee electronically using the CDBS filing system in order to avoid processing delays</w:t>
      </w:r>
      <w:r>
        <w:t>.</w:t>
      </w:r>
    </w:p>
    <w:p w14:paraId="36906B0B" w14:textId="77777777" w:rsidR="00587053" w:rsidRDefault="00587053" w:rsidP="005A36A0">
      <w:pPr>
        <w:pStyle w:val="Heading2"/>
      </w:pPr>
      <w:r>
        <w:t>Additional Post-Auction Filing Requirements</w:t>
      </w:r>
    </w:p>
    <w:p w14:paraId="5D6757A4" w14:textId="54767DB5" w:rsidR="00587053" w:rsidRDefault="00B642D3" w:rsidP="00145E93">
      <w:pPr>
        <w:pStyle w:val="ParaNum"/>
      </w:pPr>
      <w:r>
        <w:t xml:space="preserve">To </w:t>
      </w:r>
      <w:r w:rsidR="00587053" w:rsidRPr="008576DF">
        <w:t>fil</w:t>
      </w:r>
      <w:r>
        <w:t>e a</w:t>
      </w:r>
      <w:r w:rsidR="00587053" w:rsidRPr="008576DF">
        <w:t xml:space="preserve"> complete FCC Form 301</w:t>
      </w:r>
      <w:r w:rsidR="00587053">
        <w:t xml:space="preserve"> </w:t>
      </w:r>
      <w:r w:rsidR="00587053" w:rsidRPr="008576DF">
        <w:t>application</w:t>
      </w:r>
      <w:r w:rsidR="00587053">
        <w:t>, each Auction 9</w:t>
      </w:r>
      <w:r w:rsidR="009A5255">
        <w:t>8</w:t>
      </w:r>
      <w:r w:rsidR="00587053">
        <w:t xml:space="preserve"> winning bidder</w:t>
      </w:r>
      <w:r w:rsidR="00587053" w:rsidRPr="008576DF">
        <w:t xml:space="preserve"> must submit the post-auction exhibits required by </w:t>
      </w:r>
      <w:r w:rsidR="00587053">
        <w:t>s</w:t>
      </w:r>
      <w:r w:rsidR="00587053" w:rsidRPr="008576DF">
        <w:t xml:space="preserve">ection 73.5005(a) of the Commission’s rules.  Specifically, </w:t>
      </w:r>
      <w:r w:rsidR="00587053">
        <w:t>s</w:t>
      </w:r>
      <w:r w:rsidR="00587053" w:rsidRPr="008576DF">
        <w:t>ection</w:t>
      </w:r>
      <w:r w:rsidR="00587053" w:rsidRPr="00067D3E">
        <w:t xml:space="preserve"> 73.5005(a)</w:t>
      </w:r>
      <w:r w:rsidR="00587053" w:rsidRPr="00067D3E">
        <w:rPr>
          <w:rStyle w:val="FootnoteReference"/>
          <w:szCs w:val="22"/>
        </w:rPr>
        <w:footnoteReference w:id="30"/>
      </w:r>
      <w:r w:rsidR="00587053" w:rsidRPr="00067D3E">
        <w:t xml:space="preserve"> requires that post-auction long-form applications include the exhibits mandated by </w:t>
      </w:r>
      <w:r w:rsidR="00587053">
        <w:t>s</w:t>
      </w:r>
      <w:r w:rsidR="00587053" w:rsidRPr="00067D3E">
        <w:t>ection 1.2107(d) (providing a detailed explanation of the terms, conditions, and parties involved in any bidding consortium, joint venture, partnership, or other agreement or arrangement the applicant had entered into relating to the competitive bidding process);</w:t>
      </w:r>
      <w:r w:rsidR="00587053" w:rsidRPr="00067D3E">
        <w:rPr>
          <w:rStyle w:val="FootnoteReference"/>
          <w:szCs w:val="22"/>
        </w:rPr>
        <w:footnoteReference w:id="31"/>
      </w:r>
      <w:r w:rsidR="00587053">
        <w:t xml:space="preserve"> s</w:t>
      </w:r>
      <w:r w:rsidR="00587053" w:rsidRPr="00067D3E">
        <w:t xml:space="preserve">ection 1.2110(j) (requiring an applicant claiming </w:t>
      </w:r>
      <w:r w:rsidR="00587053">
        <w:t>bidding credit eligibility</w:t>
      </w:r>
      <w:r w:rsidR="00587053" w:rsidRPr="00067D3E">
        <w:t xml:space="preserve"> to describe how it satisfies the eligibility requirements for such </w:t>
      </w:r>
      <w:r w:rsidR="00587053">
        <w:t>bidding credit</w:t>
      </w:r>
      <w:r w:rsidR="00587053" w:rsidRPr="00067D3E">
        <w:t xml:space="preserve">, and to list and summarize all agreements that affect </w:t>
      </w:r>
      <w:r w:rsidR="00587053">
        <w:t>such</w:t>
      </w:r>
      <w:r w:rsidR="00587053" w:rsidRPr="00067D3E">
        <w:t xml:space="preserve"> status, such as partnership agreements, shareholder agreements, management agreements, </w:t>
      </w:r>
      <w:r w:rsidR="00587053">
        <w:t xml:space="preserve">resale arrangements, </w:t>
      </w:r>
      <w:r w:rsidR="00587053" w:rsidRPr="00067D3E">
        <w:t xml:space="preserve">and any other agreements, including oral agreements, that establish that the </w:t>
      </w:r>
      <w:r w:rsidR="00587053">
        <w:t>auction applicant</w:t>
      </w:r>
      <w:r w:rsidR="00587053" w:rsidRPr="00067D3E">
        <w:t xml:space="preserve"> will have both </w:t>
      </w:r>
      <w:r w:rsidR="00587053" w:rsidRPr="00067D3E">
        <w:rPr>
          <w:i/>
        </w:rPr>
        <w:t>de facto</w:t>
      </w:r>
      <w:r w:rsidR="00587053" w:rsidRPr="00067D3E">
        <w:t xml:space="preserve"> and </w:t>
      </w:r>
      <w:r w:rsidR="00587053" w:rsidRPr="00067D3E">
        <w:rPr>
          <w:i/>
        </w:rPr>
        <w:t>de jure</w:t>
      </w:r>
      <w:r w:rsidR="00587053" w:rsidRPr="00067D3E">
        <w:t xml:space="preserve"> control of the entity);</w:t>
      </w:r>
      <w:r w:rsidR="00587053" w:rsidRPr="00067D3E">
        <w:rPr>
          <w:rStyle w:val="FootnoteReference"/>
          <w:szCs w:val="22"/>
        </w:rPr>
        <w:footnoteReference w:id="32"/>
      </w:r>
      <w:r w:rsidR="00587053">
        <w:t xml:space="preserve"> and s</w:t>
      </w:r>
      <w:r w:rsidR="00587053" w:rsidRPr="00067D3E">
        <w:t xml:space="preserve">ection 1.2112(a) (requiring that </w:t>
      </w:r>
      <w:r w:rsidR="00587053">
        <w:t>each</w:t>
      </w:r>
      <w:r w:rsidR="00587053" w:rsidRPr="00067D3E">
        <w:t xml:space="preserve"> long-form application fully disclose ownership information and the real party or parties in interest in the applicant or application)</w:t>
      </w:r>
      <w:r w:rsidR="00587053">
        <w:t>.</w:t>
      </w:r>
      <w:r w:rsidR="00587053">
        <w:rPr>
          <w:rStyle w:val="FootnoteReference"/>
        </w:rPr>
        <w:footnoteReference w:id="33"/>
      </w:r>
    </w:p>
    <w:p w14:paraId="12444B66" w14:textId="6333E615" w:rsidR="00587053" w:rsidRPr="0081691F" w:rsidRDefault="00587053" w:rsidP="00145E93">
      <w:pPr>
        <w:pStyle w:val="ParaNum"/>
      </w:pPr>
      <w:r>
        <w:t xml:space="preserve">An </w:t>
      </w:r>
      <w:r w:rsidRPr="0081691F">
        <w:t>applicant claiming new entrant bidding credit eligibility must also provide information establishing its eligibility in its long-form application,</w:t>
      </w:r>
      <w:r w:rsidRPr="0081691F">
        <w:rPr>
          <w:rStyle w:val="FootnoteReference"/>
          <w:szCs w:val="22"/>
        </w:rPr>
        <w:footnoteReference w:id="34"/>
      </w:r>
      <w:r w:rsidRPr="0081691F">
        <w:t xml:space="preserve"> including, where relevant, the submission of a response to the multiple ownership question on Form 301.</w:t>
      </w:r>
      <w:r w:rsidRPr="0081691F">
        <w:rPr>
          <w:rStyle w:val="FootnoteReference"/>
          <w:szCs w:val="22"/>
        </w:rPr>
        <w:footnoteReference w:id="35"/>
      </w:r>
      <w:r w:rsidRPr="0081691F">
        <w:t xml:space="preserve"> Generally, media interests will be attributable for purposes of the new entrant bidding credit to the same extent that such other media interests are considered attributable for purposes of the broadcast multiple ownership rules. The Commission also attributes the media interests held by substantial investors in, or creditors of, an applicant claiming new entrant status.</w:t>
      </w:r>
      <w:r w:rsidRPr="0081691F">
        <w:rPr>
          <w:rStyle w:val="FootnoteReference"/>
          <w:szCs w:val="22"/>
        </w:rPr>
        <w:footnoteReference w:id="36"/>
      </w:r>
      <w:r w:rsidRPr="0081691F">
        <w:t xml:space="preserve">  Specifically, the attributable mass media interests held by an individual or entity with an equity and/or debt interest in an applicant are attributed to that bidder for purposes of determining its eligibility for the new entrant bidding credit, if the equity and debt interests, in the aggregate, exceed 33 percent of the total asset value of the applicant, even if such an interest is non-voting.</w:t>
      </w:r>
      <w:r w:rsidRPr="0081691F">
        <w:rPr>
          <w:rStyle w:val="FootnoteReference"/>
          <w:szCs w:val="22"/>
        </w:rPr>
        <w:footnoteReference w:id="37"/>
      </w:r>
      <w:r w:rsidRPr="0081691F">
        <w:t xml:space="preserve">  However, the relaxed equity/debt plus attribution standard for “eligible entities”</w:t>
      </w:r>
      <w:r w:rsidRPr="0081691F">
        <w:rPr>
          <w:rStyle w:val="FootnoteReference"/>
          <w:szCs w:val="22"/>
        </w:rPr>
        <w:footnoteReference w:id="38"/>
      </w:r>
      <w:r w:rsidRPr="0081691F">
        <w:t xml:space="preserve"> as the basis for the new entrant bidding credit is unavailable in Auction 9</w:t>
      </w:r>
      <w:r w:rsidR="009A5255">
        <w:t>8</w:t>
      </w:r>
      <w:r w:rsidRPr="0081691F">
        <w:t>.</w:t>
      </w:r>
      <w:r w:rsidRPr="0081691F">
        <w:rPr>
          <w:rStyle w:val="FootnoteReference"/>
          <w:szCs w:val="22"/>
        </w:rPr>
        <w:footnoteReference w:id="39"/>
      </w:r>
    </w:p>
    <w:p w14:paraId="525011FC" w14:textId="77777777" w:rsidR="00587053" w:rsidRDefault="00587053" w:rsidP="00145E93">
      <w:pPr>
        <w:pStyle w:val="ParaNum"/>
      </w:pPr>
      <w:r>
        <w:t>The Commission’s “red light rule” implementing the Debt Collection Improvement Act will be enforced.</w:t>
      </w:r>
      <w:r>
        <w:rPr>
          <w:rStyle w:val="FootnoteReference"/>
        </w:rPr>
        <w:footnoteReference w:id="40"/>
      </w:r>
      <w:r>
        <w:t xml:space="preserve">  Under the red light rule, the Commission will not process applications or other requests for benefits filed by parties that have outstanding debts owed to the Commission.</w:t>
      </w:r>
      <w:r>
        <w:rPr>
          <w:rStyle w:val="FootnoteReference"/>
        </w:rPr>
        <w:footnoteReference w:id="41"/>
      </w:r>
    </w:p>
    <w:p w14:paraId="6D5F1C50" w14:textId="77777777" w:rsidR="00587053" w:rsidRPr="00545F16" w:rsidRDefault="00587053" w:rsidP="005A36A0">
      <w:pPr>
        <w:pStyle w:val="Heading2"/>
      </w:pPr>
      <w:r w:rsidRPr="00545F16">
        <w:t>Maintaining Accuracy of Information</w:t>
      </w:r>
    </w:p>
    <w:p w14:paraId="74CE2657" w14:textId="77777777" w:rsidR="00587053" w:rsidRDefault="00587053" w:rsidP="00145E93">
      <w:pPr>
        <w:pStyle w:val="ParaNum"/>
      </w:pPr>
      <w:r w:rsidRPr="00545F16">
        <w:t xml:space="preserve">After the auction closes, </w:t>
      </w:r>
      <w:r>
        <w:t xml:space="preserve">all required changes to an </w:t>
      </w:r>
      <w:r w:rsidRPr="00545F16">
        <w:t>applicant</w:t>
      </w:r>
      <w:r>
        <w:t>’</w:t>
      </w:r>
      <w:r w:rsidRPr="00545F16">
        <w:t>s</w:t>
      </w:r>
      <w:r>
        <w:t xml:space="preserve"> information must be made by filing or amending the applicant’s long-</w:t>
      </w:r>
      <w:r w:rsidRPr="0081691F">
        <w:t>form application(s) (FCC Form 301).  With</w:t>
      </w:r>
      <w:r>
        <w:t xml:space="preserve"> the release of this Public Notice, a</w:t>
      </w:r>
      <w:r w:rsidRPr="00545F16">
        <w:t xml:space="preserve">pplicants are no longer required to maintain </w:t>
      </w:r>
      <w:r>
        <w:t xml:space="preserve">the </w:t>
      </w:r>
      <w:r w:rsidRPr="00545F16">
        <w:t xml:space="preserve">accuracy and completeness of information furnished on </w:t>
      </w:r>
      <w:r w:rsidRPr="00A96909">
        <w:t>their short-form applications and exhibits.</w:t>
      </w:r>
      <w:r w:rsidRPr="00721099">
        <w:rPr>
          <w:rStyle w:val="FootnoteReference"/>
        </w:rPr>
        <w:footnoteReference w:id="42"/>
      </w:r>
    </w:p>
    <w:p w14:paraId="112C059B" w14:textId="77777777" w:rsidR="00587053" w:rsidRPr="00236B89" w:rsidRDefault="00587053" w:rsidP="005A36A0">
      <w:pPr>
        <w:pStyle w:val="Heading2"/>
      </w:pPr>
      <w:r w:rsidRPr="00236B89">
        <w:t>Application Processing</w:t>
      </w:r>
      <w:r>
        <w:t>, Petitions to Deny</w:t>
      </w:r>
      <w:r w:rsidRPr="00236B89">
        <w:t xml:space="preserve"> and Construction Permit Grant</w:t>
      </w:r>
    </w:p>
    <w:p w14:paraId="60DFD1E4" w14:textId="50B54F3E" w:rsidR="00587053" w:rsidRPr="00195F4D" w:rsidRDefault="00587053" w:rsidP="00C621C8">
      <w:pPr>
        <w:pStyle w:val="ParaNum"/>
        <w:widowControl/>
      </w:pPr>
      <w:r w:rsidRPr="00236B89">
        <w:t>After its initial review of the long-</w:t>
      </w:r>
      <w:r w:rsidRPr="00D74CB2">
        <w:t>form applications, the</w:t>
      </w:r>
      <w:r w:rsidRPr="00236B89">
        <w:t xml:space="preserve"> Media Bureau will issue public </w:t>
      </w:r>
      <w:r w:rsidRPr="008C1E06">
        <w:t>notice</w:t>
      </w:r>
      <w:r>
        <w:t>s</w:t>
      </w:r>
      <w:r w:rsidRPr="008C1E06">
        <w:t xml:space="preserve"> listing </w:t>
      </w:r>
      <w:r w:rsidRPr="00D74CB2">
        <w:t xml:space="preserve">the applications </w:t>
      </w:r>
      <w:r>
        <w:t>as they</w:t>
      </w:r>
      <w:r w:rsidRPr="00D74CB2">
        <w:t xml:space="preserve"> are accept</w:t>
      </w:r>
      <w:r>
        <w:t xml:space="preserve">ed </w:t>
      </w:r>
      <w:r w:rsidRPr="00D74CB2">
        <w:t>for filing.  Pursuant to sections 1.2108(b) and 73.5006 of the Commission’s rules,</w:t>
      </w:r>
      <w:r w:rsidRPr="00D74CB2">
        <w:rPr>
          <w:rStyle w:val="FootnoteReference"/>
        </w:rPr>
        <w:footnoteReference w:id="43"/>
      </w:r>
      <w:r w:rsidRPr="00D74CB2">
        <w:t xml:space="preserve"> interested parties will have </w:t>
      </w:r>
      <w:r w:rsidR="008E06E2">
        <w:t>10</w:t>
      </w:r>
      <w:r w:rsidRPr="00D74CB2">
        <w:t xml:space="preserve"> days from release of that public notice to file petitions to deny </w:t>
      </w:r>
      <w:r>
        <w:t>the</w:t>
      </w:r>
      <w:r w:rsidRPr="00D74CB2">
        <w:t xml:space="preserve"> application.</w:t>
      </w:r>
      <w:r w:rsidRPr="00D74CB2">
        <w:rPr>
          <w:rStyle w:val="FootnoteReference"/>
        </w:rPr>
        <w:footnoteReference w:id="44"/>
      </w:r>
      <w:r w:rsidRPr="00D74CB2">
        <w:t xml:space="preserve">  The Media Bureau will use public notices generated by CDBS to start the </w:t>
      </w:r>
      <w:r w:rsidR="008E06E2">
        <w:t>10</w:t>
      </w:r>
      <w:r w:rsidRPr="00D74CB2">
        <w:t xml:space="preserve">-day period for filing petitions to deny.  </w:t>
      </w:r>
      <w:r>
        <w:t>A</w:t>
      </w:r>
      <w:r w:rsidRPr="00D74CB2">
        <w:t xml:space="preserve"> public notice entitled “Broadcast Applications” will list such applications as “Accepted for Filing.”  An applicant may file an opposition to any petition to deny within five days </w:t>
      </w:r>
      <w:r>
        <w:t>after</w:t>
      </w:r>
      <w:r w:rsidRPr="00D74CB2">
        <w:t xml:space="preserve"> the</w:t>
      </w:r>
      <w:r w:rsidRPr="008C1E06">
        <w:t xml:space="preserve"> filing deadline for petitions to deny its long-form application.</w:t>
      </w:r>
      <w:r w:rsidRPr="008C1E06">
        <w:rPr>
          <w:rStyle w:val="FootnoteReference"/>
        </w:rPr>
        <w:footnoteReference w:id="45"/>
      </w:r>
      <w:r w:rsidRPr="008C1E06">
        <w:t xml:space="preserve"> </w:t>
      </w:r>
      <w:r w:rsidRPr="008C1E06">
        <w:rPr>
          <w:i/>
        </w:rPr>
        <w:t xml:space="preserve"> </w:t>
      </w:r>
      <w:r w:rsidRPr="008C1E06">
        <w:t xml:space="preserve">Replies must be filed within five days </w:t>
      </w:r>
      <w:r>
        <w:t>after</w:t>
      </w:r>
      <w:r w:rsidRPr="008C1E06">
        <w:t xml:space="preserve"> the filing deadline for oppositions to a petition to deny a long-form application.</w:t>
      </w:r>
      <w:r w:rsidRPr="008C1E06">
        <w:rPr>
          <w:rStyle w:val="FootnoteReference"/>
        </w:rPr>
        <w:footnoteReference w:id="46"/>
      </w:r>
      <w:r w:rsidRPr="008C1E06">
        <w:t xml:space="preserve">  The Commission reminds all parties and their counsel that the Commission intends to use its authority</w:t>
      </w:r>
      <w:r w:rsidRPr="00195F4D">
        <w:t xml:space="preserve"> fully to deter the filing of frivolous pleadings.</w:t>
      </w:r>
      <w:r w:rsidRPr="00195F4D">
        <w:rPr>
          <w:rStyle w:val="FootnoteReference"/>
        </w:rPr>
        <w:footnoteReference w:id="47"/>
      </w:r>
      <w:r w:rsidRPr="00195F4D">
        <w:t xml:space="preserve">  </w:t>
      </w:r>
    </w:p>
    <w:p w14:paraId="327637CF" w14:textId="77777777" w:rsidR="00587053" w:rsidRPr="00E66A9A" w:rsidRDefault="00587053" w:rsidP="00145E93">
      <w:pPr>
        <w:pStyle w:val="ParaNum"/>
      </w:pPr>
      <w:r w:rsidRPr="00E66A9A">
        <w:t xml:space="preserve">After the long-form </w:t>
      </w:r>
      <w:r>
        <w:t xml:space="preserve">application </w:t>
      </w:r>
      <w:r w:rsidRPr="00E66A9A">
        <w:t xml:space="preserve">review process, if the Commission determines that </w:t>
      </w:r>
      <w:r>
        <w:t>additional payment from an applicant is due, the Media Bureau will provide further instructions in a future public notice or by demand letter.</w:t>
      </w:r>
      <w:r w:rsidRPr="00104EC3">
        <w:rPr>
          <w:rStyle w:val="FootnoteReference"/>
        </w:rPr>
        <w:t xml:space="preserve"> </w:t>
      </w:r>
      <w:r>
        <w:rPr>
          <w:rStyle w:val="FootnoteReference"/>
        </w:rPr>
        <w:footnoteReference w:id="48"/>
      </w:r>
      <w:r>
        <w:t xml:space="preserve">  If the Commission determines that </w:t>
      </w:r>
      <w:r w:rsidRPr="00E66A9A">
        <w:t xml:space="preserve">an applicant is otherwise qualified, that there are no substantial and material issues of fact, and that no additional payments are due, </w:t>
      </w:r>
      <w:r>
        <w:t>the Commission will grant the construction permit</w:t>
      </w:r>
      <w:r w:rsidRPr="00E66A9A">
        <w:t>.</w:t>
      </w:r>
      <w:r w:rsidRPr="00E66A9A">
        <w:rPr>
          <w:rStyle w:val="FootnoteReference"/>
        </w:rPr>
        <w:footnoteReference w:id="49"/>
      </w:r>
    </w:p>
    <w:p w14:paraId="6C9876E3" w14:textId="77777777" w:rsidR="00587053" w:rsidRPr="00545F16" w:rsidRDefault="00587053" w:rsidP="005A36A0">
      <w:pPr>
        <w:pStyle w:val="Heading1"/>
        <w:widowControl/>
        <w:tabs>
          <w:tab w:val="num" w:pos="720"/>
        </w:tabs>
      </w:pPr>
      <w:r>
        <w:t>OTHER IMPORTANT INFORMATION</w:t>
      </w:r>
    </w:p>
    <w:p w14:paraId="3015D661" w14:textId="77777777" w:rsidR="00587053" w:rsidRPr="00545F16" w:rsidRDefault="00587053" w:rsidP="005A36A0">
      <w:pPr>
        <w:pStyle w:val="Heading2"/>
      </w:pPr>
      <w:r>
        <w:t>Maintaining Prohibition on Certain Communications</w:t>
      </w:r>
    </w:p>
    <w:p w14:paraId="50CE2114" w14:textId="2C516489" w:rsidR="00587053" w:rsidRPr="00465638" w:rsidRDefault="00587053" w:rsidP="00145E93">
      <w:pPr>
        <w:pStyle w:val="ParaNum"/>
      </w:pPr>
      <w:r w:rsidRPr="00545F16">
        <w:t xml:space="preserve">To ensure the competitiveness of the auction process, the Commission’s rules prohibit </w:t>
      </w:r>
      <w:r w:rsidRPr="001C2E9C">
        <w:rPr>
          <w:szCs w:val="22"/>
        </w:rPr>
        <w:t xml:space="preserve">applicants for </w:t>
      </w:r>
      <w:r>
        <w:rPr>
          <w:szCs w:val="22"/>
        </w:rPr>
        <w:t>construction permits</w:t>
      </w:r>
      <w:r w:rsidRPr="001C2E9C">
        <w:rPr>
          <w:szCs w:val="22"/>
        </w:rPr>
        <w:t xml:space="preserve"> in any of the same geographic </w:t>
      </w:r>
      <w:r w:rsidRPr="003023B4">
        <w:rPr>
          <w:szCs w:val="22"/>
        </w:rPr>
        <w:t>license areas</w:t>
      </w:r>
      <w:r w:rsidRPr="001C2E9C">
        <w:rPr>
          <w:szCs w:val="22"/>
        </w:rPr>
        <w:t xml:space="preserve"> </w:t>
      </w:r>
      <w:r w:rsidRPr="00545F16">
        <w:t xml:space="preserve">from communicating with each other about bids, bidding strategies, or settlements, unless such applicants have identified each other on their </w:t>
      </w:r>
      <w:r>
        <w:t xml:space="preserve">short-form </w:t>
      </w:r>
      <w:r w:rsidRPr="00545F16">
        <w:t xml:space="preserve">applications as parties with whom they have entered into agreements under </w:t>
      </w:r>
      <w:r>
        <w:t>s</w:t>
      </w:r>
      <w:r w:rsidRPr="00545F16">
        <w:t>ection 1.2105(a)(2)(viii).</w:t>
      </w:r>
      <w:r w:rsidRPr="00553218">
        <w:rPr>
          <w:rStyle w:val="FootnoteReference"/>
        </w:rPr>
        <w:footnoteReference w:id="50"/>
      </w:r>
      <w:r>
        <w:t xml:space="preserve">  As explained </w:t>
      </w:r>
      <w:r w:rsidRPr="00226613">
        <w:t xml:space="preserve">more fully in the </w:t>
      </w:r>
      <w:r w:rsidRPr="00226613">
        <w:rPr>
          <w:i/>
        </w:rPr>
        <w:t>Auction 9</w:t>
      </w:r>
      <w:r w:rsidR="00D4294C">
        <w:rPr>
          <w:i/>
        </w:rPr>
        <w:t>8</w:t>
      </w:r>
      <w:r w:rsidRPr="00226613">
        <w:rPr>
          <w:i/>
        </w:rPr>
        <w:t xml:space="preserve"> Procedures Public Notice,</w:t>
      </w:r>
      <w:r w:rsidRPr="00226613">
        <w:t xml:space="preserve"> this prohibition began at the short-form application filing deadline at 6:00 p.m. ET on </w:t>
      </w:r>
      <w:r w:rsidR="00D4294C">
        <w:t>May</w:t>
      </w:r>
      <w:r w:rsidRPr="00226613">
        <w:t xml:space="preserve"> </w:t>
      </w:r>
      <w:r w:rsidR="00D4294C">
        <w:t>28</w:t>
      </w:r>
      <w:r w:rsidRPr="00226613">
        <w:t>, 201</w:t>
      </w:r>
      <w:r w:rsidR="00D4294C">
        <w:t>5</w:t>
      </w:r>
      <w:r w:rsidRPr="00226613">
        <w:t xml:space="preserve">, and continues until the down payment deadline, which is </w:t>
      </w:r>
      <w:r w:rsidRPr="00717CE1">
        <w:rPr>
          <w:b/>
        </w:rPr>
        <w:t>6:00 p</w:t>
      </w:r>
      <w:r w:rsidRPr="0081691F">
        <w:rPr>
          <w:b/>
        </w:rPr>
        <w:t xml:space="preserve">.m. ET </w:t>
      </w:r>
      <w:r w:rsidRPr="00465638">
        <w:rPr>
          <w:b/>
        </w:rPr>
        <w:t xml:space="preserve">on </w:t>
      </w:r>
      <w:r w:rsidR="00DF439E">
        <w:rPr>
          <w:b/>
        </w:rPr>
        <w:t>August</w:t>
      </w:r>
      <w:r w:rsidRPr="00465638">
        <w:rPr>
          <w:b/>
        </w:rPr>
        <w:t xml:space="preserve"> </w:t>
      </w:r>
      <w:r w:rsidR="00987FD2">
        <w:rPr>
          <w:b/>
        </w:rPr>
        <w:t>2</w:t>
      </w:r>
      <w:r w:rsidR="009C7AE1">
        <w:rPr>
          <w:b/>
        </w:rPr>
        <w:t>6</w:t>
      </w:r>
      <w:r w:rsidRPr="00465638">
        <w:rPr>
          <w:b/>
          <w:szCs w:val="22"/>
        </w:rPr>
        <w:t>, 201</w:t>
      </w:r>
      <w:r w:rsidR="00D4294C">
        <w:rPr>
          <w:b/>
          <w:szCs w:val="22"/>
        </w:rPr>
        <w:t>5</w:t>
      </w:r>
      <w:r w:rsidRPr="00465638">
        <w:t>.</w:t>
      </w:r>
      <w:r w:rsidRPr="00465638">
        <w:rPr>
          <w:rStyle w:val="FootnoteReference"/>
        </w:rPr>
        <w:footnoteReference w:id="51"/>
      </w:r>
    </w:p>
    <w:p w14:paraId="08044995" w14:textId="3533E7E5" w:rsidR="00587053" w:rsidRPr="0081691F" w:rsidRDefault="00587053" w:rsidP="002D497D">
      <w:pPr>
        <w:pStyle w:val="ParaNum"/>
        <w:widowControl/>
      </w:pPr>
      <w:r w:rsidRPr="0081691F">
        <w:t>The prohibition on certain communications applies to all applicants in Auction 9</w:t>
      </w:r>
      <w:r w:rsidR="00D4294C">
        <w:t>8</w:t>
      </w:r>
      <w:r w:rsidRPr="0081691F">
        <w:t xml:space="preserve"> (unless they have identified each other on their short-form applications as parties with whom they have entered into agreements under section 1.2105(a)(2)(viii)), regardless of whether an applicant became a qualified bidder or actually participated in the bidding.</w:t>
      </w:r>
      <w:r w:rsidRPr="0081691F">
        <w:rPr>
          <w:rStyle w:val="FootnoteReference"/>
        </w:rPr>
        <w:footnoteReference w:id="52"/>
      </w:r>
      <w:r w:rsidRPr="0081691F">
        <w:t xml:space="preserve">  This prohibition continues for all applicants until the down payment deadline regardless of whether an applicant is a winning bidder or needs to make an</w:t>
      </w:r>
      <w:r w:rsidRPr="00226613">
        <w:t xml:space="preserve"> additional payment by the down payment deadline.</w:t>
      </w:r>
      <w:r>
        <w:rPr>
          <w:rStyle w:val="FootnoteReference"/>
        </w:rPr>
        <w:footnoteReference w:id="53"/>
      </w:r>
      <w:r w:rsidRPr="00226613">
        <w:t xml:space="preserve">  Each applicant in this auction certified its compliance with section 1.2105</w:t>
      </w:r>
      <w:r w:rsidRPr="0081691F">
        <w:t>(c) when it filed its short-form application.</w:t>
      </w:r>
      <w:r w:rsidRPr="0081691F">
        <w:rPr>
          <w:rStyle w:val="FootnoteReference"/>
        </w:rPr>
        <w:footnoteReference w:id="54"/>
      </w:r>
    </w:p>
    <w:p w14:paraId="146C5C07" w14:textId="77777777" w:rsidR="00587053" w:rsidRPr="0081691F" w:rsidRDefault="00587053" w:rsidP="005A36A0">
      <w:pPr>
        <w:pStyle w:val="Heading2"/>
      </w:pPr>
      <w:r w:rsidRPr="0081691F">
        <w:t>Return of SecurID</w:t>
      </w:r>
      <w:r w:rsidRPr="0081691F">
        <w:rPr>
          <w:rFonts w:ascii="Times New Roman Bold" w:hAnsi="Times New Roman Bold"/>
          <w:vertAlign w:val="superscript"/>
        </w:rPr>
        <w:t>®</w:t>
      </w:r>
      <w:r w:rsidRPr="0081691F">
        <w:t xml:space="preserve"> Tokens</w:t>
      </w:r>
    </w:p>
    <w:p w14:paraId="1C134486" w14:textId="40FD208F" w:rsidR="00587053" w:rsidRPr="00465638" w:rsidRDefault="00587053" w:rsidP="00C621C8">
      <w:pPr>
        <w:pStyle w:val="ParaNum"/>
        <w:widowControl/>
      </w:pPr>
      <w:r w:rsidRPr="0081691F">
        <w:t xml:space="preserve">The </w:t>
      </w:r>
      <w:r w:rsidRPr="0081691F">
        <w:rPr>
          <w:szCs w:val="22"/>
        </w:rPr>
        <w:t>SecurID</w:t>
      </w:r>
      <w:r w:rsidRPr="0081691F">
        <w:rPr>
          <w:szCs w:val="22"/>
          <w:vertAlign w:val="superscript"/>
        </w:rPr>
        <w:t xml:space="preserve">® </w:t>
      </w:r>
      <w:r w:rsidRPr="0081691F">
        <w:t xml:space="preserve">tokens distributed to qualified bidders are tailored to this auction and will not work for future auctions.  The Commission will send each bidder, along with a copy of this Public Notice, a pre-addressed, stamped envelope to return its </w:t>
      </w:r>
      <w:r w:rsidRPr="0081691F">
        <w:rPr>
          <w:szCs w:val="22"/>
        </w:rPr>
        <w:t>SecurID</w:t>
      </w:r>
      <w:r w:rsidRPr="0081691F">
        <w:rPr>
          <w:szCs w:val="22"/>
          <w:vertAlign w:val="superscript"/>
        </w:rPr>
        <w:t xml:space="preserve">® </w:t>
      </w:r>
      <w:r w:rsidRPr="0081691F">
        <w:t xml:space="preserve">tokens.  Each bidder should return its </w:t>
      </w:r>
      <w:r w:rsidRPr="0081691F">
        <w:rPr>
          <w:szCs w:val="22"/>
        </w:rPr>
        <w:t>SecurID</w:t>
      </w:r>
      <w:r w:rsidRPr="0081691F">
        <w:rPr>
          <w:szCs w:val="22"/>
          <w:vertAlign w:val="superscript"/>
        </w:rPr>
        <w:t xml:space="preserve">® </w:t>
      </w:r>
      <w:r w:rsidRPr="0081691F">
        <w:t>tokens to the Commission for recycling</w:t>
      </w:r>
      <w:r>
        <w:t xml:space="preserve"> </w:t>
      </w:r>
      <w:r w:rsidRPr="00465638">
        <w:t xml:space="preserve">by </w:t>
      </w:r>
      <w:r w:rsidR="00DF439E">
        <w:rPr>
          <w:b/>
        </w:rPr>
        <w:t>August</w:t>
      </w:r>
      <w:r w:rsidRPr="00465638">
        <w:rPr>
          <w:b/>
        </w:rPr>
        <w:t xml:space="preserve"> </w:t>
      </w:r>
      <w:r w:rsidR="001D188F">
        <w:rPr>
          <w:b/>
        </w:rPr>
        <w:t>26</w:t>
      </w:r>
      <w:r w:rsidRPr="00465638">
        <w:rPr>
          <w:b/>
          <w:szCs w:val="22"/>
        </w:rPr>
        <w:t>, 201</w:t>
      </w:r>
      <w:r w:rsidR="00D4294C">
        <w:rPr>
          <w:b/>
          <w:szCs w:val="22"/>
        </w:rPr>
        <w:t>5</w:t>
      </w:r>
      <w:r w:rsidRPr="00465638">
        <w:rPr>
          <w:szCs w:val="22"/>
        </w:rPr>
        <w:t>.</w:t>
      </w:r>
    </w:p>
    <w:p w14:paraId="550E100C" w14:textId="77777777" w:rsidR="00587053" w:rsidRPr="00226613" w:rsidRDefault="00587053" w:rsidP="005A36A0">
      <w:pPr>
        <w:pStyle w:val="Heading2"/>
      </w:pPr>
      <w:r w:rsidRPr="00226613">
        <w:t>Contact Information</w:t>
      </w:r>
    </w:p>
    <w:p w14:paraId="178A7201" w14:textId="77777777" w:rsidR="00587053" w:rsidRPr="00226613" w:rsidRDefault="00587053" w:rsidP="00145E93">
      <w:pPr>
        <w:pStyle w:val="ParaNum"/>
      </w:pPr>
      <w:r w:rsidRPr="00226613">
        <w:t>For further information, contact:</w:t>
      </w:r>
    </w:p>
    <w:tbl>
      <w:tblPr>
        <w:tblW w:w="9828" w:type="dxa"/>
        <w:tblLayout w:type="fixed"/>
        <w:tblLook w:val="0000" w:firstRow="0" w:lastRow="0" w:firstColumn="0" w:lastColumn="0" w:noHBand="0" w:noVBand="0"/>
      </w:tblPr>
      <w:tblGrid>
        <w:gridCol w:w="4968"/>
        <w:gridCol w:w="4860"/>
      </w:tblGrid>
      <w:tr w:rsidR="00587053" w:rsidRPr="00545F16" w14:paraId="204498F5" w14:textId="77777777" w:rsidTr="00D86615">
        <w:trPr>
          <w:cantSplit/>
          <w:trHeight w:val="788"/>
        </w:trPr>
        <w:tc>
          <w:tcPr>
            <w:tcW w:w="4968" w:type="dxa"/>
          </w:tcPr>
          <w:p w14:paraId="1A74D80B" w14:textId="77777777" w:rsidR="00587053" w:rsidRPr="003314CD" w:rsidRDefault="00587053" w:rsidP="00D86615">
            <w:pPr>
              <w:widowControl/>
              <w:rPr>
                <w:b/>
                <w:szCs w:val="22"/>
              </w:rPr>
            </w:pPr>
            <w:r w:rsidRPr="003314CD">
              <w:rPr>
                <w:b/>
                <w:szCs w:val="22"/>
              </w:rPr>
              <w:t>News Media</w:t>
            </w:r>
          </w:p>
        </w:tc>
        <w:tc>
          <w:tcPr>
            <w:tcW w:w="4860" w:type="dxa"/>
          </w:tcPr>
          <w:p w14:paraId="0F90D73F" w14:textId="77777777" w:rsidR="00587053" w:rsidRPr="003314CD" w:rsidRDefault="00587053" w:rsidP="00D86615">
            <w:pPr>
              <w:widowControl/>
              <w:rPr>
                <w:b/>
                <w:szCs w:val="22"/>
              </w:rPr>
            </w:pPr>
            <w:r w:rsidRPr="003314CD">
              <w:rPr>
                <w:b/>
                <w:szCs w:val="22"/>
              </w:rPr>
              <w:t xml:space="preserve">Wireless Telecommunications Bureau </w:t>
            </w:r>
          </w:p>
          <w:p w14:paraId="429E36AC" w14:textId="77777777" w:rsidR="00587053" w:rsidRPr="003314CD" w:rsidRDefault="00587053" w:rsidP="00D86615">
            <w:pPr>
              <w:widowControl/>
              <w:rPr>
                <w:szCs w:val="22"/>
              </w:rPr>
            </w:pPr>
            <w:r w:rsidRPr="0081691F">
              <w:rPr>
                <w:szCs w:val="22"/>
              </w:rPr>
              <w:t>Cecilia Sulhoff at (202) 418-0587</w:t>
            </w:r>
          </w:p>
          <w:p w14:paraId="4AA43375" w14:textId="77777777" w:rsidR="00587053" w:rsidRPr="003314CD" w:rsidRDefault="00587053" w:rsidP="00D86615">
            <w:pPr>
              <w:widowControl/>
              <w:rPr>
                <w:szCs w:val="22"/>
              </w:rPr>
            </w:pPr>
          </w:p>
          <w:p w14:paraId="1856FA94" w14:textId="77777777" w:rsidR="00587053" w:rsidRPr="003314CD" w:rsidRDefault="00587053" w:rsidP="00D86615">
            <w:pPr>
              <w:widowControl/>
              <w:rPr>
                <w:b/>
                <w:szCs w:val="22"/>
              </w:rPr>
            </w:pPr>
            <w:r w:rsidRPr="003314CD">
              <w:rPr>
                <w:b/>
                <w:szCs w:val="22"/>
              </w:rPr>
              <w:t>Media Bureau</w:t>
            </w:r>
          </w:p>
          <w:p w14:paraId="5BD7C8E5" w14:textId="77777777" w:rsidR="00587053" w:rsidRDefault="00587053" w:rsidP="00D86615">
            <w:pPr>
              <w:widowControl/>
              <w:rPr>
                <w:szCs w:val="22"/>
              </w:rPr>
            </w:pPr>
            <w:r w:rsidRPr="00051E4F">
              <w:rPr>
                <w:szCs w:val="22"/>
              </w:rPr>
              <w:t>Janice Wise at (202) 418-8165</w:t>
            </w:r>
          </w:p>
          <w:p w14:paraId="0042DDD3" w14:textId="77777777" w:rsidR="00587053" w:rsidRPr="003314CD" w:rsidRDefault="00587053" w:rsidP="00D86615">
            <w:pPr>
              <w:widowControl/>
              <w:rPr>
                <w:szCs w:val="22"/>
              </w:rPr>
            </w:pPr>
          </w:p>
        </w:tc>
      </w:tr>
      <w:tr w:rsidR="00587053" w:rsidRPr="00545F16" w14:paraId="7FFF13A1" w14:textId="77777777" w:rsidTr="00D86615">
        <w:trPr>
          <w:cantSplit/>
          <w:trHeight w:val="1303"/>
        </w:trPr>
        <w:tc>
          <w:tcPr>
            <w:tcW w:w="4968" w:type="dxa"/>
          </w:tcPr>
          <w:p w14:paraId="02ACB66B" w14:textId="77777777" w:rsidR="00587053" w:rsidRPr="005F7DCE" w:rsidRDefault="00587053" w:rsidP="00D86615">
            <w:pPr>
              <w:widowControl/>
              <w:rPr>
                <w:b/>
                <w:i/>
                <w:szCs w:val="22"/>
              </w:rPr>
            </w:pPr>
            <w:r w:rsidRPr="005F7DCE">
              <w:rPr>
                <w:b/>
                <w:szCs w:val="22"/>
              </w:rPr>
              <w:t xml:space="preserve">Licensing Information </w:t>
            </w:r>
          </w:p>
          <w:p w14:paraId="36DEC658" w14:textId="77777777" w:rsidR="00587053" w:rsidRPr="005F7DCE" w:rsidRDefault="00587053" w:rsidP="00D86615">
            <w:pPr>
              <w:widowControl/>
              <w:ind w:left="360"/>
              <w:rPr>
                <w:szCs w:val="22"/>
              </w:rPr>
            </w:pPr>
            <w:r w:rsidRPr="005F7DCE">
              <w:rPr>
                <w:szCs w:val="22"/>
              </w:rPr>
              <w:t xml:space="preserve">Service Rules, Policies, Regulations </w:t>
            </w:r>
          </w:p>
          <w:p w14:paraId="1B6BDC8A" w14:textId="77777777" w:rsidR="00587053" w:rsidRPr="005F7DCE" w:rsidRDefault="00587053" w:rsidP="00D86615">
            <w:pPr>
              <w:widowControl/>
              <w:ind w:left="360"/>
              <w:rPr>
                <w:szCs w:val="22"/>
              </w:rPr>
            </w:pPr>
            <w:r w:rsidRPr="005F7DCE">
              <w:rPr>
                <w:szCs w:val="22"/>
              </w:rPr>
              <w:t xml:space="preserve">Licensing Issues, Engineering Issues </w:t>
            </w:r>
          </w:p>
          <w:p w14:paraId="13F857F4" w14:textId="77777777" w:rsidR="00587053" w:rsidRDefault="00587053" w:rsidP="00D86615">
            <w:pPr>
              <w:widowControl/>
              <w:ind w:left="360"/>
              <w:rPr>
                <w:szCs w:val="22"/>
              </w:rPr>
            </w:pPr>
            <w:r w:rsidRPr="005F7DCE">
              <w:rPr>
                <w:szCs w:val="22"/>
              </w:rPr>
              <w:t>Due Diligence, Incumbency Issues</w:t>
            </w:r>
            <w:r>
              <w:rPr>
                <w:szCs w:val="22"/>
              </w:rPr>
              <w:t xml:space="preserve">, </w:t>
            </w:r>
          </w:p>
          <w:p w14:paraId="3952D97F" w14:textId="77777777" w:rsidR="00587053" w:rsidRPr="005F7DCE" w:rsidRDefault="00587053" w:rsidP="00D86615">
            <w:pPr>
              <w:widowControl/>
              <w:ind w:left="360"/>
              <w:rPr>
                <w:szCs w:val="22"/>
              </w:rPr>
            </w:pPr>
            <w:r>
              <w:rPr>
                <w:szCs w:val="22"/>
              </w:rPr>
              <w:t>FCC Form 301 questions</w:t>
            </w:r>
          </w:p>
          <w:p w14:paraId="3A6EBD45" w14:textId="77777777" w:rsidR="00587053" w:rsidRPr="005F7DCE" w:rsidRDefault="00587053" w:rsidP="00D86615">
            <w:pPr>
              <w:widowControl/>
              <w:rPr>
                <w:b/>
                <w:i/>
                <w:szCs w:val="22"/>
              </w:rPr>
            </w:pPr>
          </w:p>
        </w:tc>
        <w:tc>
          <w:tcPr>
            <w:tcW w:w="4860" w:type="dxa"/>
          </w:tcPr>
          <w:p w14:paraId="455FDBA1" w14:textId="77777777" w:rsidR="00587053" w:rsidRPr="005F7DCE" w:rsidRDefault="00587053" w:rsidP="00D86615">
            <w:pPr>
              <w:widowControl/>
              <w:rPr>
                <w:b/>
                <w:szCs w:val="22"/>
              </w:rPr>
            </w:pPr>
            <w:r>
              <w:rPr>
                <w:b/>
                <w:szCs w:val="22"/>
              </w:rPr>
              <w:t>Media Bureau, Audio</w:t>
            </w:r>
            <w:r w:rsidRPr="005F7DCE">
              <w:rPr>
                <w:b/>
                <w:szCs w:val="22"/>
              </w:rPr>
              <w:t xml:space="preserve"> Division </w:t>
            </w:r>
          </w:p>
          <w:p w14:paraId="097987FB" w14:textId="77777777" w:rsidR="00587053" w:rsidRDefault="00587053" w:rsidP="00D86615">
            <w:pPr>
              <w:widowControl/>
              <w:rPr>
                <w:szCs w:val="22"/>
              </w:rPr>
            </w:pPr>
            <w:r>
              <w:rPr>
                <w:szCs w:val="22"/>
              </w:rPr>
              <w:t xml:space="preserve">Lisa Scanlan (Attorney) or </w:t>
            </w:r>
          </w:p>
          <w:p w14:paraId="16626F85" w14:textId="77777777" w:rsidR="00587053" w:rsidRDefault="00587053" w:rsidP="00D86615">
            <w:pPr>
              <w:widowControl/>
              <w:rPr>
                <w:szCs w:val="22"/>
              </w:rPr>
            </w:pPr>
            <w:r>
              <w:rPr>
                <w:szCs w:val="22"/>
              </w:rPr>
              <w:t xml:space="preserve">Tom Nessinger (Attorney), at </w:t>
            </w:r>
          </w:p>
          <w:p w14:paraId="595CF1CB" w14:textId="77777777" w:rsidR="00587053" w:rsidRPr="005F7DCE" w:rsidRDefault="00587053" w:rsidP="00D86615">
            <w:pPr>
              <w:widowControl/>
              <w:rPr>
                <w:szCs w:val="22"/>
              </w:rPr>
            </w:pPr>
            <w:r>
              <w:rPr>
                <w:szCs w:val="22"/>
              </w:rPr>
              <w:t>(202) 418-2700</w:t>
            </w:r>
          </w:p>
          <w:p w14:paraId="5DB4E697" w14:textId="77777777" w:rsidR="00587053" w:rsidRPr="005F7DCE" w:rsidRDefault="00587053" w:rsidP="00D86615">
            <w:pPr>
              <w:widowControl/>
              <w:rPr>
                <w:b/>
                <w:szCs w:val="22"/>
              </w:rPr>
            </w:pPr>
          </w:p>
        </w:tc>
      </w:tr>
      <w:tr w:rsidR="00587053" w:rsidRPr="00545F16" w14:paraId="67FBA512" w14:textId="77777777" w:rsidTr="00D86615">
        <w:trPr>
          <w:cantSplit/>
        </w:trPr>
        <w:tc>
          <w:tcPr>
            <w:tcW w:w="4968" w:type="dxa"/>
          </w:tcPr>
          <w:p w14:paraId="77A11374" w14:textId="77777777" w:rsidR="00587053" w:rsidRPr="005F7DCE" w:rsidRDefault="00587053" w:rsidP="00D86615">
            <w:pPr>
              <w:widowControl/>
              <w:rPr>
                <w:b/>
                <w:szCs w:val="22"/>
              </w:rPr>
            </w:pPr>
            <w:r w:rsidRPr="005F7DCE">
              <w:rPr>
                <w:b/>
                <w:szCs w:val="22"/>
              </w:rPr>
              <w:t>Auction Payment Information</w:t>
            </w:r>
          </w:p>
          <w:p w14:paraId="79742EAA" w14:textId="77777777" w:rsidR="00587053" w:rsidRPr="005F7DCE" w:rsidRDefault="00587053" w:rsidP="00D86615">
            <w:pPr>
              <w:widowControl/>
              <w:ind w:left="360"/>
              <w:rPr>
                <w:szCs w:val="22"/>
              </w:rPr>
            </w:pPr>
            <w:r w:rsidRPr="005F7DCE">
              <w:rPr>
                <w:szCs w:val="22"/>
              </w:rPr>
              <w:t>Wire Transfers</w:t>
            </w:r>
          </w:p>
          <w:p w14:paraId="792F34C1" w14:textId="77777777" w:rsidR="00587053" w:rsidRPr="005F7DCE" w:rsidRDefault="00587053" w:rsidP="00D86615">
            <w:pPr>
              <w:widowControl/>
              <w:ind w:left="360"/>
              <w:rPr>
                <w:b/>
                <w:szCs w:val="22"/>
              </w:rPr>
            </w:pPr>
            <w:r w:rsidRPr="005F7DCE">
              <w:rPr>
                <w:szCs w:val="22"/>
              </w:rPr>
              <w:t>Refunds</w:t>
            </w:r>
          </w:p>
        </w:tc>
        <w:tc>
          <w:tcPr>
            <w:tcW w:w="4860" w:type="dxa"/>
          </w:tcPr>
          <w:p w14:paraId="2307B9D7" w14:textId="0AB28BB2" w:rsidR="00587053" w:rsidRPr="005F7DCE" w:rsidRDefault="00587053" w:rsidP="00D86615">
            <w:pPr>
              <w:widowControl/>
              <w:rPr>
                <w:b/>
                <w:szCs w:val="22"/>
              </w:rPr>
            </w:pPr>
            <w:r w:rsidRPr="005F7DCE">
              <w:rPr>
                <w:b/>
                <w:szCs w:val="22"/>
              </w:rPr>
              <w:t xml:space="preserve">FCC </w:t>
            </w:r>
            <w:r w:rsidR="00667AFB">
              <w:rPr>
                <w:b/>
                <w:szCs w:val="22"/>
              </w:rPr>
              <w:t>Revenue &amp; Receivables Operations Group/Auctions</w:t>
            </w:r>
          </w:p>
          <w:p w14:paraId="7A712BF8" w14:textId="77777777" w:rsidR="00587053" w:rsidRPr="005F7DCE" w:rsidRDefault="00587053" w:rsidP="00D86615">
            <w:pPr>
              <w:widowControl/>
              <w:rPr>
                <w:szCs w:val="22"/>
              </w:rPr>
            </w:pPr>
            <w:r w:rsidRPr="005F7DCE">
              <w:rPr>
                <w:szCs w:val="22"/>
              </w:rPr>
              <w:t>Gail Glasser</w:t>
            </w:r>
            <w:r>
              <w:rPr>
                <w:szCs w:val="22"/>
              </w:rPr>
              <w:t xml:space="preserve"> at </w:t>
            </w:r>
            <w:r w:rsidRPr="005F7DCE">
              <w:rPr>
                <w:szCs w:val="22"/>
              </w:rPr>
              <w:t>(202) 418-0578</w:t>
            </w:r>
            <w:r>
              <w:rPr>
                <w:szCs w:val="22"/>
              </w:rPr>
              <w:t xml:space="preserve">, or </w:t>
            </w:r>
          </w:p>
          <w:p w14:paraId="62B0B224" w14:textId="57329EA9" w:rsidR="00587053" w:rsidRDefault="00587053" w:rsidP="00D86615">
            <w:pPr>
              <w:widowControl/>
              <w:rPr>
                <w:szCs w:val="22"/>
              </w:rPr>
            </w:pPr>
            <w:r>
              <w:t>Theresa Meeks at (202) 418-2945,</w:t>
            </w:r>
            <w:r w:rsidRPr="005F7DCE">
              <w:rPr>
                <w:szCs w:val="22"/>
              </w:rPr>
              <w:t xml:space="preserve"> </w:t>
            </w:r>
            <w:r>
              <w:rPr>
                <w:szCs w:val="22"/>
              </w:rPr>
              <w:t xml:space="preserve">or </w:t>
            </w:r>
            <w:r w:rsidR="004A3D27">
              <w:rPr>
                <w:szCs w:val="22"/>
              </w:rPr>
              <w:t xml:space="preserve">                 </w:t>
            </w:r>
            <w:r w:rsidRPr="005F7DCE">
              <w:rPr>
                <w:szCs w:val="22"/>
              </w:rPr>
              <w:t>(202) 418-2843 (fax)</w:t>
            </w:r>
            <w:r>
              <w:rPr>
                <w:szCs w:val="22"/>
              </w:rPr>
              <w:t xml:space="preserve"> </w:t>
            </w:r>
          </w:p>
          <w:p w14:paraId="600FD4B6" w14:textId="77777777" w:rsidR="00587053" w:rsidRDefault="00587053" w:rsidP="00D86615">
            <w:pPr>
              <w:widowControl/>
              <w:rPr>
                <w:b/>
                <w:szCs w:val="22"/>
              </w:rPr>
            </w:pPr>
          </w:p>
          <w:p w14:paraId="5A603AF5" w14:textId="77777777" w:rsidR="002C290B" w:rsidRDefault="002C290B" w:rsidP="00D86615">
            <w:pPr>
              <w:widowControl/>
              <w:rPr>
                <w:b/>
                <w:szCs w:val="22"/>
              </w:rPr>
            </w:pPr>
            <w:r>
              <w:rPr>
                <w:b/>
                <w:szCs w:val="22"/>
              </w:rPr>
              <w:t xml:space="preserve">FCC Auctions Hotline at (888) 225-5322, option two; or (717) 338-2868 </w:t>
            </w:r>
          </w:p>
          <w:p w14:paraId="2FAF0265" w14:textId="77777777" w:rsidR="002C290B" w:rsidRPr="005F7DCE" w:rsidRDefault="002C290B" w:rsidP="00D86615">
            <w:pPr>
              <w:widowControl/>
              <w:rPr>
                <w:b/>
                <w:szCs w:val="22"/>
              </w:rPr>
            </w:pPr>
          </w:p>
        </w:tc>
      </w:tr>
      <w:tr w:rsidR="00587053" w:rsidRPr="00545F16" w14:paraId="2B9298C6" w14:textId="77777777" w:rsidTr="00D86615">
        <w:trPr>
          <w:cantSplit/>
        </w:trPr>
        <w:tc>
          <w:tcPr>
            <w:tcW w:w="4968" w:type="dxa"/>
          </w:tcPr>
          <w:p w14:paraId="3BF88F36" w14:textId="38C2B7F9" w:rsidR="00587053" w:rsidRPr="005F7DCE" w:rsidRDefault="00587053" w:rsidP="00D86615">
            <w:pPr>
              <w:widowControl/>
              <w:rPr>
                <w:b/>
                <w:szCs w:val="22"/>
              </w:rPr>
            </w:pPr>
            <w:r w:rsidRPr="005F7DCE">
              <w:rPr>
                <w:b/>
                <w:szCs w:val="22"/>
              </w:rPr>
              <w:t xml:space="preserve">Auction </w:t>
            </w:r>
            <w:r w:rsidR="00DF439E">
              <w:rPr>
                <w:b/>
                <w:szCs w:val="22"/>
              </w:rPr>
              <w:t>98</w:t>
            </w:r>
            <w:r w:rsidRPr="005F7DCE">
              <w:rPr>
                <w:b/>
                <w:szCs w:val="22"/>
              </w:rPr>
              <w:t xml:space="preserve"> Information</w:t>
            </w:r>
          </w:p>
          <w:p w14:paraId="499AE521" w14:textId="77A69FA7" w:rsidR="00587053" w:rsidRPr="005F7DCE" w:rsidRDefault="00587053" w:rsidP="00D86615">
            <w:pPr>
              <w:widowControl/>
              <w:ind w:left="360"/>
              <w:rPr>
                <w:szCs w:val="22"/>
              </w:rPr>
            </w:pPr>
            <w:r w:rsidRPr="005F7DCE">
              <w:rPr>
                <w:szCs w:val="22"/>
              </w:rPr>
              <w:t>General Auction Information, Process and Procedures</w:t>
            </w:r>
          </w:p>
          <w:p w14:paraId="56550D03" w14:textId="77777777" w:rsidR="00587053" w:rsidRDefault="00587053" w:rsidP="00D86615">
            <w:pPr>
              <w:widowControl/>
              <w:ind w:left="360"/>
              <w:rPr>
                <w:szCs w:val="22"/>
              </w:rPr>
            </w:pPr>
          </w:p>
          <w:p w14:paraId="17E106C1" w14:textId="77777777" w:rsidR="00587053" w:rsidRPr="005F7DCE" w:rsidRDefault="00587053" w:rsidP="00D86615">
            <w:pPr>
              <w:widowControl/>
              <w:ind w:left="360"/>
              <w:rPr>
                <w:szCs w:val="22"/>
              </w:rPr>
            </w:pPr>
            <w:r w:rsidRPr="005F7DCE">
              <w:rPr>
                <w:szCs w:val="22"/>
              </w:rPr>
              <w:t>Auction Rules, Policies, and Regulations</w:t>
            </w:r>
          </w:p>
          <w:p w14:paraId="2ECCEBB6" w14:textId="77777777" w:rsidR="00587053" w:rsidRPr="005F7DCE" w:rsidRDefault="00587053" w:rsidP="00D86615">
            <w:pPr>
              <w:widowControl/>
              <w:ind w:left="360"/>
              <w:rPr>
                <w:b/>
                <w:szCs w:val="22"/>
              </w:rPr>
            </w:pPr>
          </w:p>
        </w:tc>
        <w:tc>
          <w:tcPr>
            <w:tcW w:w="4860" w:type="dxa"/>
          </w:tcPr>
          <w:p w14:paraId="067B778B" w14:textId="77777777" w:rsidR="00587053" w:rsidRPr="005F7DCE" w:rsidRDefault="00587053" w:rsidP="00D86615">
            <w:pPr>
              <w:widowControl/>
              <w:rPr>
                <w:b/>
                <w:szCs w:val="22"/>
              </w:rPr>
            </w:pPr>
            <w:r w:rsidRPr="005F7DCE">
              <w:rPr>
                <w:b/>
                <w:szCs w:val="22"/>
              </w:rPr>
              <w:t xml:space="preserve">Auctions and Spectrum Access Division </w:t>
            </w:r>
          </w:p>
          <w:p w14:paraId="49A5BB7B" w14:textId="3D8DACD1" w:rsidR="00587053" w:rsidRPr="005F7DCE" w:rsidRDefault="00667AFB" w:rsidP="00D86615">
            <w:pPr>
              <w:widowControl/>
              <w:rPr>
                <w:szCs w:val="22"/>
              </w:rPr>
            </w:pPr>
            <w:r>
              <w:rPr>
                <w:szCs w:val="22"/>
              </w:rPr>
              <w:t>Sue Sterner</w:t>
            </w:r>
            <w:r w:rsidR="00587053" w:rsidRPr="005F7DCE">
              <w:rPr>
                <w:szCs w:val="22"/>
              </w:rPr>
              <w:t xml:space="preserve">, Project Manager, </w:t>
            </w:r>
            <w:r w:rsidR="00587053">
              <w:rPr>
                <w:szCs w:val="22"/>
              </w:rPr>
              <w:t>or</w:t>
            </w:r>
          </w:p>
          <w:p w14:paraId="7616290F" w14:textId="77777777" w:rsidR="00587053" w:rsidRDefault="00587053" w:rsidP="00D86615">
            <w:pPr>
              <w:widowControl/>
              <w:rPr>
                <w:szCs w:val="22"/>
              </w:rPr>
            </w:pPr>
            <w:smartTag w:uri="urn:schemas-microsoft-com:office:smarttags" w:element="PersonName">
              <w:r>
                <w:rPr>
                  <w:szCs w:val="22"/>
                </w:rPr>
                <w:t>Jeff Crooks</w:t>
              </w:r>
            </w:smartTag>
            <w:r w:rsidRPr="005F7DCE">
              <w:rPr>
                <w:szCs w:val="22"/>
              </w:rPr>
              <w:t xml:space="preserve">, Auction Analyst, at </w:t>
            </w:r>
            <w:r>
              <w:rPr>
                <w:szCs w:val="22"/>
              </w:rPr>
              <w:t>(202) 418-0660</w:t>
            </w:r>
          </w:p>
          <w:p w14:paraId="4B321A50" w14:textId="77777777" w:rsidR="00587053" w:rsidRPr="005F7DCE" w:rsidRDefault="00587053" w:rsidP="00D86615">
            <w:pPr>
              <w:widowControl/>
              <w:rPr>
                <w:szCs w:val="22"/>
              </w:rPr>
            </w:pPr>
          </w:p>
          <w:p w14:paraId="112EEDD4" w14:textId="60C160F1" w:rsidR="001932C6" w:rsidRDefault="00667AFB" w:rsidP="00D86615">
            <w:pPr>
              <w:widowControl/>
              <w:rPr>
                <w:szCs w:val="22"/>
              </w:rPr>
            </w:pPr>
            <w:r>
              <w:rPr>
                <w:szCs w:val="22"/>
              </w:rPr>
              <w:t>Lynne Milne</w:t>
            </w:r>
            <w:r w:rsidR="00587053">
              <w:rPr>
                <w:szCs w:val="22"/>
              </w:rPr>
              <w:t xml:space="preserve">, Attorney, </w:t>
            </w:r>
            <w:r>
              <w:rPr>
                <w:szCs w:val="22"/>
              </w:rPr>
              <w:t>or Howard Davenport, Attorney at (202) 418-0660</w:t>
            </w:r>
          </w:p>
          <w:p w14:paraId="0EE969F5" w14:textId="77777777" w:rsidR="00667AFB" w:rsidRPr="005F7DCE" w:rsidRDefault="00667AFB" w:rsidP="00667AFB">
            <w:pPr>
              <w:widowControl/>
              <w:rPr>
                <w:b/>
                <w:szCs w:val="22"/>
              </w:rPr>
            </w:pPr>
          </w:p>
        </w:tc>
      </w:tr>
      <w:tr w:rsidR="00587053" w:rsidRPr="005F7DCE" w14:paraId="120917B7" w14:textId="77777777" w:rsidTr="00D86615">
        <w:trPr>
          <w:cantSplit/>
          <w:trHeight w:val="1104"/>
        </w:trPr>
        <w:tc>
          <w:tcPr>
            <w:tcW w:w="4968" w:type="dxa"/>
          </w:tcPr>
          <w:p w14:paraId="31FBA352" w14:textId="77777777" w:rsidR="00587053" w:rsidRPr="005F7DCE" w:rsidRDefault="00587053" w:rsidP="00D86615">
            <w:pPr>
              <w:widowControl/>
              <w:rPr>
                <w:b/>
                <w:szCs w:val="22"/>
              </w:rPr>
            </w:pPr>
            <w:r w:rsidRPr="005F7DCE">
              <w:rPr>
                <w:b/>
                <w:szCs w:val="22"/>
              </w:rPr>
              <w:t>Accessible Formats</w:t>
            </w:r>
          </w:p>
          <w:p w14:paraId="1DB54DE5" w14:textId="77777777" w:rsidR="00587053" w:rsidRPr="005F7DCE" w:rsidRDefault="00587053" w:rsidP="00D86615">
            <w:pPr>
              <w:widowControl/>
              <w:ind w:left="360"/>
              <w:rPr>
                <w:szCs w:val="22"/>
              </w:rPr>
            </w:pPr>
            <w:r w:rsidRPr="005F7DCE">
              <w:rPr>
                <w:szCs w:val="22"/>
              </w:rPr>
              <w:t xml:space="preserve">Braille, large print, electronic files, or </w:t>
            </w:r>
          </w:p>
          <w:p w14:paraId="4F79FA25" w14:textId="77777777" w:rsidR="00587053" w:rsidRPr="005F7DCE" w:rsidRDefault="00587053" w:rsidP="00D86615">
            <w:pPr>
              <w:widowControl/>
              <w:ind w:left="360"/>
              <w:rPr>
                <w:b/>
                <w:szCs w:val="22"/>
              </w:rPr>
            </w:pPr>
            <w:r w:rsidRPr="005F7DCE">
              <w:rPr>
                <w:szCs w:val="22"/>
              </w:rPr>
              <w:t>audio</w:t>
            </w:r>
            <w:r w:rsidRPr="005F7DCE" w:rsidDel="00E50789">
              <w:rPr>
                <w:szCs w:val="22"/>
              </w:rPr>
              <w:t xml:space="preserve"> </w:t>
            </w:r>
            <w:r w:rsidRPr="005F7DCE">
              <w:rPr>
                <w:szCs w:val="22"/>
              </w:rPr>
              <w:t>format for people with disabilities</w:t>
            </w:r>
          </w:p>
        </w:tc>
        <w:tc>
          <w:tcPr>
            <w:tcW w:w="4860" w:type="dxa"/>
          </w:tcPr>
          <w:p w14:paraId="157E40E0" w14:textId="77777777" w:rsidR="00587053" w:rsidRPr="005F7DCE" w:rsidRDefault="00587053" w:rsidP="00D86615">
            <w:pPr>
              <w:widowControl/>
              <w:rPr>
                <w:b/>
                <w:szCs w:val="22"/>
              </w:rPr>
            </w:pPr>
            <w:r w:rsidRPr="005F7DCE">
              <w:rPr>
                <w:b/>
                <w:szCs w:val="22"/>
              </w:rPr>
              <w:t>Consumer and Governmental Affairs Bureau</w:t>
            </w:r>
          </w:p>
          <w:p w14:paraId="278B8647" w14:textId="77777777" w:rsidR="00587053" w:rsidRPr="005F7DCE" w:rsidRDefault="00587053" w:rsidP="00D86615">
            <w:pPr>
              <w:widowControl/>
              <w:rPr>
                <w:szCs w:val="22"/>
              </w:rPr>
            </w:pPr>
            <w:r w:rsidRPr="005F7DCE">
              <w:rPr>
                <w:szCs w:val="22"/>
              </w:rPr>
              <w:t>(202) 418-0530</w:t>
            </w:r>
            <w:r>
              <w:rPr>
                <w:szCs w:val="22"/>
              </w:rPr>
              <w:t>,</w:t>
            </w:r>
            <w:r w:rsidRPr="005F7DCE">
              <w:rPr>
                <w:szCs w:val="22"/>
              </w:rPr>
              <w:t xml:space="preserve"> or (202) 418-0432 (TTY)</w:t>
            </w:r>
          </w:p>
          <w:p w14:paraId="2EAB0E69" w14:textId="25D97AED" w:rsidR="00587053" w:rsidRPr="005F7DCE" w:rsidRDefault="00B42CE8" w:rsidP="00D86615">
            <w:pPr>
              <w:widowControl/>
              <w:rPr>
                <w:szCs w:val="22"/>
              </w:rPr>
            </w:pPr>
            <w:hyperlink r:id="rId12" w:history="1">
              <w:r w:rsidR="00587053" w:rsidRPr="005F7DCE">
                <w:rPr>
                  <w:rStyle w:val="Hyperlink"/>
                  <w:szCs w:val="22"/>
                </w:rPr>
                <w:t>fcc504@fcc.gov</w:t>
              </w:r>
            </w:hyperlink>
          </w:p>
          <w:p w14:paraId="7354A9F5" w14:textId="77777777" w:rsidR="00587053" w:rsidRPr="005F7DCE" w:rsidRDefault="00587053" w:rsidP="00D86615">
            <w:pPr>
              <w:widowControl/>
              <w:rPr>
                <w:b/>
                <w:szCs w:val="22"/>
              </w:rPr>
            </w:pPr>
          </w:p>
        </w:tc>
      </w:tr>
      <w:tr w:rsidR="00587053" w:rsidRPr="005F7DCE" w14:paraId="67250F7E" w14:textId="77777777" w:rsidTr="00D86615">
        <w:trPr>
          <w:cantSplit/>
        </w:trPr>
        <w:tc>
          <w:tcPr>
            <w:tcW w:w="4968" w:type="dxa"/>
          </w:tcPr>
          <w:p w14:paraId="01DF76C4" w14:textId="77777777" w:rsidR="00587053" w:rsidRPr="005F7DCE" w:rsidRDefault="00587053" w:rsidP="00D86615">
            <w:pPr>
              <w:widowControl/>
              <w:rPr>
                <w:b/>
                <w:szCs w:val="22"/>
              </w:rPr>
            </w:pPr>
            <w:r w:rsidRPr="005F7DCE">
              <w:rPr>
                <w:b/>
                <w:szCs w:val="22"/>
              </w:rPr>
              <w:t>FCC Internet Sites</w:t>
            </w:r>
          </w:p>
          <w:p w14:paraId="74DBE1EA" w14:textId="77777777" w:rsidR="00587053" w:rsidRPr="005F7DCE" w:rsidRDefault="00587053" w:rsidP="00D86615">
            <w:pPr>
              <w:widowControl/>
              <w:rPr>
                <w:szCs w:val="22"/>
              </w:rPr>
            </w:pPr>
          </w:p>
        </w:tc>
        <w:tc>
          <w:tcPr>
            <w:tcW w:w="4860" w:type="dxa"/>
          </w:tcPr>
          <w:p w14:paraId="3276CE5D" w14:textId="580D2E55" w:rsidR="00587053" w:rsidRPr="005F7DCE" w:rsidRDefault="00B42CE8" w:rsidP="00D86615">
            <w:pPr>
              <w:widowControl/>
              <w:rPr>
                <w:szCs w:val="22"/>
              </w:rPr>
            </w:pPr>
            <w:hyperlink r:id="rId13" w:history="1">
              <w:r w:rsidR="00587053" w:rsidRPr="005F7DCE">
                <w:rPr>
                  <w:rStyle w:val="Hyperlink"/>
                  <w:szCs w:val="22"/>
                </w:rPr>
                <w:t>http://www.fcc.gov</w:t>
              </w:r>
            </w:hyperlink>
          </w:p>
          <w:p w14:paraId="12D79609" w14:textId="2727961B" w:rsidR="00587053" w:rsidRPr="005F7DCE" w:rsidRDefault="00B42CE8" w:rsidP="00D86615">
            <w:pPr>
              <w:widowControl/>
              <w:rPr>
                <w:szCs w:val="22"/>
              </w:rPr>
            </w:pPr>
            <w:hyperlink r:id="rId14" w:history="1">
              <w:r w:rsidR="00587053" w:rsidRPr="005F7DCE">
                <w:rPr>
                  <w:rStyle w:val="Hyperlink"/>
                  <w:szCs w:val="22"/>
                </w:rPr>
                <w:t>http://wireless.fcc.gov/auctions</w:t>
              </w:r>
            </w:hyperlink>
          </w:p>
          <w:p w14:paraId="73A39F59" w14:textId="7B9AB999" w:rsidR="00587053" w:rsidRPr="005F7DCE" w:rsidRDefault="00B42CE8" w:rsidP="00D86615">
            <w:pPr>
              <w:widowControl/>
              <w:rPr>
                <w:szCs w:val="22"/>
              </w:rPr>
            </w:pPr>
            <w:hyperlink r:id="rId15" w:history="1">
              <w:r w:rsidR="00587053" w:rsidRPr="00AE43BB">
                <w:rPr>
                  <w:rStyle w:val="Hyperlink"/>
                  <w:szCs w:val="22"/>
                </w:rPr>
                <w:t>http://www.fcc.gov/mb/cdbs.html</w:t>
              </w:r>
            </w:hyperlink>
          </w:p>
        </w:tc>
      </w:tr>
    </w:tbl>
    <w:p w14:paraId="13D03FD9" w14:textId="77777777" w:rsidR="00587053" w:rsidRPr="00286A0E" w:rsidRDefault="00587053" w:rsidP="00587053">
      <w:pPr>
        <w:widowControl/>
      </w:pPr>
    </w:p>
    <w:p w14:paraId="372E30F7" w14:textId="77777777" w:rsidR="00587053" w:rsidRPr="00F413DC" w:rsidRDefault="00587053" w:rsidP="00587053">
      <w:pPr>
        <w:keepNext/>
        <w:widowControl/>
        <w:jc w:val="center"/>
        <w:rPr>
          <w:b/>
        </w:rPr>
      </w:pPr>
      <w:r w:rsidRPr="00F413DC">
        <w:rPr>
          <w:b/>
        </w:rPr>
        <w:t>- FCC -</w:t>
      </w:r>
    </w:p>
    <w:p w14:paraId="02193200" w14:textId="77777777" w:rsidR="00587053" w:rsidRDefault="00587053" w:rsidP="00C82B6B">
      <w:pPr>
        <w:spacing w:before="120" w:after="240"/>
        <w:rPr>
          <w:sz w:val="24"/>
        </w:rPr>
      </w:pPr>
    </w:p>
    <w:sectPr w:rsidR="00587053" w:rsidSect="000E5884">
      <w:headerReference w:type="even" r:id="rId16"/>
      <w:headerReference w:type="default" r:id="rId17"/>
      <w:footerReference w:type="even" r:id="rId18"/>
      <w:footerReference w:type="default" r:id="rId19"/>
      <w:headerReference w:type="first" r:id="rId20"/>
      <w:footerReference w:type="first" r:id="rId21"/>
      <w:endnotePr>
        <w:numFmt w:val="decimal"/>
      </w:endnotePr>
      <w:pgSz w:w="12240" w:h="15840"/>
      <w:pgMar w:top="1440" w:right="1440" w:bottom="720" w:left="1440" w:header="630" w:footer="720" w:gutter="0"/>
      <w:pgNumType w:start="1"/>
      <w:cols w:space="720"/>
      <w:noEndnote/>
      <w:titlePg/>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Manifest>
    <wne:toolbarData r:id="rId1"/>
  </wne:toolbars>
  <wne:acds>
    <wne:acd wne:argValue="AgBQAGEAcgBhAE4AdQBtAA==" wne:acdName="acd0" wne:fciIndexBasedOn="0065"/>
    <wne:acd wne:argValue="AQAAAAAA" wne:acdName="acd1"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2C9AB1" w14:textId="77777777" w:rsidR="001A4D8E" w:rsidRDefault="001A4D8E">
      <w:pPr>
        <w:spacing w:line="20" w:lineRule="exact"/>
      </w:pPr>
    </w:p>
  </w:endnote>
  <w:endnote w:type="continuationSeparator" w:id="0">
    <w:p w14:paraId="051FB52C" w14:textId="77777777" w:rsidR="001A4D8E" w:rsidRDefault="001A4D8E">
      <w:r>
        <w:t xml:space="preserve"> </w:t>
      </w:r>
    </w:p>
  </w:endnote>
  <w:endnote w:type="continuationNotice" w:id="1">
    <w:p w14:paraId="468F8AA3" w14:textId="77777777" w:rsidR="001A4D8E" w:rsidRDefault="001A4D8E">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1D4283" w14:textId="77777777" w:rsidR="006F7393" w:rsidRDefault="006F7393" w:rsidP="0055614C">
    <w:pPr>
      <w:pStyle w:val="Footer"/>
      <w:framePr w:wrap="around" w:vAnchor="text" w:hAnchor="margin" w:xAlign="center" w:y="1"/>
    </w:pPr>
    <w:r>
      <w:fldChar w:fldCharType="begin"/>
    </w:r>
    <w:r>
      <w:instrText xml:space="preserve">PAGE  </w:instrText>
    </w:r>
    <w:r>
      <w:fldChar w:fldCharType="end"/>
    </w:r>
  </w:p>
  <w:p w14:paraId="778D8623" w14:textId="77777777" w:rsidR="006F7393" w:rsidRDefault="006F73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0033EE" w14:textId="77777777" w:rsidR="006F7393" w:rsidRDefault="006F7393" w:rsidP="0055614C">
    <w:pPr>
      <w:pStyle w:val="Footer"/>
      <w:framePr w:wrap="around" w:vAnchor="text" w:hAnchor="margin" w:xAlign="center" w:y="1"/>
    </w:pPr>
    <w:r>
      <w:fldChar w:fldCharType="begin"/>
    </w:r>
    <w:r>
      <w:instrText xml:space="preserve">PAGE  </w:instrText>
    </w:r>
    <w:r>
      <w:fldChar w:fldCharType="separate"/>
    </w:r>
    <w:r w:rsidR="0091465D">
      <w:rPr>
        <w:noProof/>
      </w:rPr>
      <w:t>2</w:t>
    </w:r>
    <w:r>
      <w:fldChar w:fldCharType="end"/>
    </w:r>
  </w:p>
  <w:p w14:paraId="00D533D7" w14:textId="77777777" w:rsidR="006F7393" w:rsidRDefault="006F7393">
    <w:pPr>
      <w:spacing w:before="140" w:line="100" w:lineRule="exact"/>
      <w:rPr>
        <w:sz w:val="10"/>
      </w:rPr>
    </w:pPr>
  </w:p>
  <w:p w14:paraId="0E3274AF" w14:textId="77777777" w:rsidR="006F7393" w:rsidRDefault="006F7393">
    <w:pPr>
      <w:suppressAutoHyphens/>
      <w:spacing w:line="227" w:lineRule="auto"/>
    </w:pPr>
  </w:p>
  <w:p w14:paraId="40B30C2E" w14:textId="77777777" w:rsidR="006F7393" w:rsidRDefault="006F7393"/>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4DC20A" w14:textId="195018D6" w:rsidR="006F7393" w:rsidRDefault="006F7393" w:rsidP="00FF0CB7">
    <w:pPr>
      <w:pStyle w:val="Footer"/>
      <w:tabs>
        <w:tab w:val="clear" w:pos="8640"/>
      </w:tabs>
      <w:ind w:right="-45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FAEBF3" w14:textId="77777777" w:rsidR="001A4D8E" w:rsidRDefault="001A4D8E">
      <w:r>
        <w:separator/>
      </w:r>
    </w:p>
  </w:footnote>
  <w:footnote w:type="continuationSeparator" w:id="0">
    <w:p w14:paraId="32744B65" w14:textId="77777777" w:rsidR="001A4D8E" w:rsidRDefault="001A4D8E">
      <w:pPr>
        <w:rPr>
          <w:sz w:val="20"/>
        </w:rPr>
      </w:pPr>
      <w:r>
        <w:rPr>
          <w:sz w:val="20"/>
        </w:rPr>
        <w:t xml:space="preserve">(Continued from previous page)  </w:t>
      </w:r>
      <w:r>
        <w:rPr>
          <w:sz w:val="20"/>
        </w:rPr>
        <w:separator/>
      </w:r>
    </w:p>
  </w:footnote>
  <w:footnote w:type="continuationNotice" w:id="1">
    <w:p w14:paraId="07E91306" w14:textId="77777777" w:rsidR="001A4D8E" w:rsidRDefault="001A4D8E">
      <w:pPr>
        <w:rPr>
          <w:sz w:val="20"/>
        </w:rPr>
      </w:pPr>
      <w:r>
        <w:rPr>
          <w:sz w:val="20"/>
        </w:rPr>
        <w:t>(continued….)</w:t>
      </w:r>
    </w:p>
  </w:footnote>
  <w:footnote w:id="2">
    <w:p w14:paraId="42019F04" w14:textId="77777777" w:rsidR="00587053" w:rsidRDefault="00587053" w:rsidP="00587053">
      <w:pPr>
        <w:pStyle w:val="FootnoteText"/>
      </w:pPr>
      <w:r>
        <w:rPr>
          <w:rStyle w:val="FootnoteReference"/>
        </w:rPr>
        <w:footnoteRef/>
      </w:r>
      <w:r>
        <w:t xml:space="preserve"> The amounts listed in Attachment B are based on upfront payments and net winning bids. </w:t>
      </w:r>
    </w:p>
  </w:footnote>
  <w:footnote w:id="3">
    <w:p w14:paraId="533E32B2" w14:textId="77777777" w:rsidR="00587053" w:rsidRDefault="00587053" w:rsidP="00587053">
      <w:pPr>
        <w:pStyle w:val="FootnoteText"/>
      </w:pPr>
      <w:r w:rsidRPr="00055735">
        <w:rPr>
          <w:rStyle w:val="FootnoteReference"/>
        </w:rPr>
        <w:footnoteRef/>
      </w:r>
      <w:r w:rsidRPr="00055735">
        <w:rPr>
          <w:i/>
          <w:lang w:val="de-DE"/>
        </w:rPr>
        <w:t xml:space="preserve"> </w:t>
      </w:r>
      <w:r w:rsidRPr="00055735">
        <w:rPr>
          <w:lang w:val="de-DE"/>
        </w:rPr>
        <w:t xml:space="preserve">47 C.F.R. § 1.2107(b).  </w:t>
      </w:r>
    </w:p>
  </w:footnote>
  <w:footnote w:id="4">
    <w:p w14:paraId="142BB321" w14:textId="77777777" w:rsidR="00587053" w:rsidRPr="00913C1C" w:rsidRDefault="00587053" w:rsidP="00587053">
      <w:pPr>
        <w:pStyle w:val="FootnoteText"/>
      </w:pPr>
      <w:r w:rsidRPr="00B80E10">
        <w:rPr>
          <w:rStyle w:val="FootnoteReference"/>
        </w:rPr>
        <w:footnoteRef/>
      </w:r>
      <w:r w:rsidRPr="00B80E10">
        <w:t xml:space="preserve"> </w:t>
      </w:r>
      <w:r w:rsidRPr="00B80E10">
        <w:rPr>
          <w:i/>
        </w:rPr>
        <w:t>Id</w:t>
      </w:r>
      <w:r w:rsidRPr="00B80E10">
        <w:t xml:space="preserve">.  </w:t>
      </w:r>
    </w:p>
  </w:footnote>
  <w:footnote w:id="5">
    <w:p w14:paraId="6B83B202" w14:textId="77777777" w:rsidR="00587053" w:rsidRDefault="00587053" w:rsidP="00587053">
      <w:pPr>
        <w:pStyle w:val="FootnoteText"/>
      </w:pPr>
      <w:r w:rsidRPr="00DA06C1">
        <w:rPr>
          <w:rStyle w:val="FootnoteReference"/>
        </w:rPr>
        <w:footnoteRef/>
      </w:r>
      <w:r w:rsidRPr="00DA06C1">
        <w:t xml:space="preserve"> </w:t>
      </w:r>
      <w:r w:rsidRPr="00E93512">
        <w:rPr>
          <w:i/>
        </w:rPr>
        <w:t>See</w:t>
      </w:r>
      <w:r w:rsidRPr="00E93512">
        <w:t xml:space="preserve"> </w:t>
      </w:r>
      <w:r w:rsidRPr="002D497D">
        <w:t>Section III. D</w:t>
      </w:r>
      <w:r w:rsidRPr="00E93512">
        <w:t>., “Default</w:t>
      </w:r>
      <w:r>
        <w:t xml:space="preserve"> and Disqualification Payments,” </w:t>
      </w:r>
      <w:r w:rsidRPr="00137E1F">
        <w:t>below</w:t>
      </w:r>
      <w:r w:rsidRPr="002E675C">
        <w:t>.</w:t>
      </w:r>
    </w:p>
  </w:footnote>
  <w:footnote w:id="6">
    <w:p w14:paraId="3650D955" w14:textId="77777777" w:rsidR="00587053" w:rsidRDefault="00587053" w:rsidP="00587053">
      <w:pPr>
        <w:pStyle w:val="FootnoteText"/>
      </w:pPr>
      <w:r>
        <w:rPr>
          <w:rStyle w:val="FootnoteReference"/>
        </w:rPr>
        <w:footnoteRef/>
      </w:r>
      <w:r>
        <w:t xml:space="preserve"> 47 C.F.R. § 1.2109(a).</w:t>
      </w:r>
    </w:p>
  </w:footnote>
  <w:footnote w:id="7">
    <w:p w14:paraId="56AE6D37" w14:textId="77777777" w:rsidR="00587053" w:rsidRDefault="00587053" w:rsidP="00587053">
      <w:pPr>
        <w:pStyle w:val="FootnoteText"/>
      </w:pPr>
      <w:r>
        <w:rPr>
          <w:rStyle w:val="FootnoteReference"/>
        </w:rPr>
        <w:footnoteRef/>
      </w:r>
      <w:r>
        <w:t xml:space="preserve"> </w:t>
      </w:r>
      <w:smartTag w:uri="urn:schemas-microsoft-com:office:smarttags" w:element="State">
        <w:smartTag w:uri="urn:schemas-microsoft-com:office:smarttags" w:element="place">
          <w:r w:rsidRPr="00126668">
            <w:rPr>
              <w:i/>
            </w:rPr>
            <w:t>Id.</w:t>
          </w:r>
        </w:smartTag>
      </w:smartTag>
      <w:r>
        <w:t xml:space="preserve">  </w:t>
      </w:r>
    </w:p>
  </w:footnote>
  <w:footnote w:id="8">
    <w:p w14:paraId="7CA0C0ED" w14:textId="77777777" w:rsidR="00587053" w:rsidRDefault="00587053" w:rsidP="00587053">
      <w:pPr>
        <w:pStyle w:val="FootnoteText"/>
      </w:pPr>
      <w:r>
        <w:rPr>
          <w:rStyle w:val="FootnoteReference"/>
        </w:rPr>
        <w:footnoteRef/>
      </w:r>
      <w:r>
        <w:t xml:space="preserve"> </w:t>
      </w:r>
      <w:r>
        <w:rPr>
          <w:i/>
        </w:rPr>
        <w:t xml:space="preserve">Id.  </w:t>
      </w:r>
      <w:r>
        <w:t xml:space="preserve"> </w:t>
      </w:r>
    </w:p>
  </w:footnote>
  <w:footnote w:id="9">
    <w:p w14:paraId="3E163E28" w14:textId="77777777" w:rsidR="00587053" w:rsidRDefault="00587053" w:rsidP="00587053">
      <w:pPr>
        <w:pStyle w:val="FootnoteText"/>
      </w:pPr>
      <w:r>
        <w:rPr>
          <w:rStyle w:val="FootnoteReference"/>
        </w:rPr>
        <w:footnoteRef/>
      </w:r>
      <w:r>
        <w:t xml:space="preserve"> </w:t>
      </w:r>
      <w:r>
        <w:rPr>
          <w:i/>
        </w:rPr>
        <w:t>Id</w:t>
      </w:r>
      <w:r>
        <w:t>.</w:t>
      </w:r>
    </w:p>
  </w:footnote>
  <w:footnote w:id="10">
    <w:p w14:paraId="765B5A52" w14:textId="77777777" w:rsidR="00587053" w:rsidRDefault="00587053" w:rsidP="00587053">
      <w:pPr>
        <w:pStyle w:val="FootnoteText"/>
      </w:pPr>
      <w:r>
        <w:rPr>
          <w:rStyle w:val="FootnoteReference"/>
        </w:rPr>
        <w:footnoteRef/>
      </w:r>
      <w:r>
        <w:t xml:space="preserve"> </w:t>
      </w:r>
      <w:r w:rsidRPr="00BA4F19">
        <w:rPr>
          <w:i/>
        </w:rPr>
        <w:t>Id</w:t>
      </w:r>
      <w:r>
        <w:t xml:space="preserve">.  </w:t>
      </w:r>
    </w:p>
  </w:footnote>
  <w:footnote w:id="11">
    <w:p w14:paraId="29A4FB2B" w14:textId="67F1DDFE" w:rsidR="00587053" w:rsidRDefault="00587053" w:rsidP="00587053">
      <w:pPr>
        <w:pStyle w:val="FootnoteText"/>
      </w:pPr>
      <w:r w:rsidRPr="00DA06C1">
        <w:rPr>
          <w:rStyle w:val="FootnoteReference"/>
        </w:rPr>
        <w:footnoteRef/>
      </w:r>
      <w:r w:rsidRPr="00DA06C1">
        <w:t xml:space="preserve"> </w:t>
      </w:r>
      <w:r w:rsidR="00922F52" w:rsidRPr="002D497D">
        <w:rPr>
          <w:i/>
        </w:rPr>
        <w:t>See</w:t>
      </w:r>
      <w:r w:rsidR="00922F52">
        <w:t xml:space="preserve"> </w:t>
      </w:r>
      <w:r w:rsidRPr="002D497D">
        <w:t>Section III.</w:t>
      </w:r>
      <w:r w:rsidR="009E2FE4">
        <w:t xml:space="preserve"> </w:t>
      </w:r>
      <w:r w:rsidRPr="002D497D">
        <w:t>D</w:t>
      </w:r>
      <w:r w:rsidRPr="00E93512">
        <w:t>., “Default</w:t>
      </w:r>
      <w:r>
        <w:t xml:space="preserve"> and Disqualification Payments,”</w:t>
      </w:r>
      <w:r w:rsidRPr="00137E1F">
        <w:t xml:space="preserve"> below.</w:t>
      </w:r>
    </w:p>
  </w:footnote>
  <w:footnote w:id="12">
    <w:p w14:paraId="11E46082" w14:textId="31E2BACF" w:rsidR="00587053" w:rsidRDefault="00587053" w:rsidP="00587053">
      <w:pPr>
        <w:pStyle w:val="FootnoteText"/>
      </w:pPr>
      <w:r>
        <w:rPr>
          <w:rStyle w:val="FootnoteReference"/>
        </w:rPr>
        <w:footnoteRef/>
      </w:r>
      <w:r>
        <w:t xml:space="preserve"> </w:t>
      </w:r>
      <w:r>
        <w:rPr>
          <w:i/>
        </w:rPr>
        <w:t>See, e.g</w:t>
      </w:r>
      <w:r w:rsidRPr="00FC7E89">
        <w:rPr>
          <w:i/>
        </w:rPr>
        <w:t xml:space="preserve">, </w:t>
      </w:r>
      <w:r w:rsidRPr="00FC7E89">
        <w:t>Letter to Lee G. Petro</w:t>
      </w:r>
      <w:r>
        <w:t>,</w:t>
      </w:r>
      <w:r w:rsidRPr="00FC7E89">
        <w:t xml:space="preserve"> </w:t>
      </w:r>
      <w:r w:rsidR="00AD58DA">
        <w:t>counsel for Four Corners Broadcasting, LLC,</w:t>
      </w:r>
      <w:r w:rsidRPr="00FC7E89">
        <w:t xml:space="preserve"> from Margaret W. Wiener, Chief, Auctions and Spectrum Access Division, DA 10-1270, 25 FCC Rcd 9046 (</w:t>
      </w:r>
      <w:r w:rsidR="00AD58DA">
        <w:t xml:space="preserve">WTB </w:t>
      </w:r>
      <w:r w:rsidRPr="00FC7E89">
        <w:t xml:space="preserve">2010); Letter to David G. O’Neil, </w:t>
      </w:r>
      <w:r w:rsidR="00AD58DA">
        <w:t>counsel for Spectrum Acquisition</w:t>
      </w:r>
      <w:r w:rsidR="00FD2CA2">
        <w:t>s</w:t>
      </w:r>
      <w:r w:rsidR="00AD58DA">
        <w:t>, Inc.,</w:t>
      </w:r>
      <w:r w:rsidRPr="00FC7E89">
        <w:t xml:space="preserve"> from Margaret W. Wiener, Chief, Auctions and Spectrum Access Division, DA 08-622, 23 FCC Rcd 4765 (</w:t>
      </w:r>
      <w:r w:rsidR="00AD58DA">
        <w:t xml:space="preserve">WTB </w:t>
      </w:r>
      <w:r w:rsidRPr="00FC7E89">
        <w:t>2008)</w:t>
      </w:r>
      <w:r w:rsidR="00AD58DA">
        <w:t>; Letter to Patrick Shannon, counsel for Lynch 3G Communications Corp., from Margaret W. Wiener, Chief, Auctions and Industry Analysis Division, DA 03-1944, 18 FCC Rcd 11552 (WTB 2003)</w:t>
      </w:r>
      <w:r w:rsidRPr="00FC7E89">
        <w:t>.</w:t>
      </w:r>
      <w:r w:rsidRPr="003C6E47">
        <w:t xml:space="preserve">  </w:t>
      </w:r>
      <w:r>
        <w:t xml:space="preserve"> </w:t>
      </w:r>
    </w:p>
  </w:footnote>
  <w:footnote w:id="13">
    <w:p w14:paraId="3F967F6F" w14:textId="1B973E1B" w:rsidR="008A39FA" w:rsidRDefault="008A39FA">
      <w:pPr>
        <w:pStyle w:val="FootnoteText"/>
      </w:pPr>
      <w:r>
        <w:rPr>
          <w:rStyle w:val="FootnoteReference"/>
        </w:rPr>
        <w:footnoteRef/>
      </w:r>
      <w:r>
        <w:t xml:space="preserve"> The Form 159 will continue to be used in future auctions for upfront payments</w:t>
      </w:r>
      <w:r w:rsidR="003A3BED">
        <w:t>.</w:t>
      </w:r>
    </w:p>
  </w:footnote>
  <w:footnote w:id="14">
    <w:p w14:paraId="01572556" w14:textId="77777777" w:rsidR="00587053" w:rsidRPr="00C41639" w:rsidRDefault="00587053" w:rsidP="00587053">
      <w:pPr>
        <w:pStyle w:val="FootnoteText"/>
      </w:pPr>
      <w:r w:rsidRPr="00CC66BF">
        <w:rPr>
          <w:rStyle w:val="FootnoteReference"/>
        </w:rPr>
        <w:footnoteRef/>
      </w:r>
      <w:r w:rsidRPr="00CC66BF">
        <w:t xml:space="preserve"> </w:t>
      </w:r>
      <w:r w:rsidRPr="00CC66BF">
        <w:rPr>
          <w:i/>
        </w:rPr>
        <w:t xml:space="preserve">See </w:t>
      </w:r>
      <w:r w:rsidRPr="00CC66BF">
        <w:t>47 C.F.R. §§ 1.2104(g), 1.2109.</w:t>
      </w:r>
    </w:p>
  </w:footnote>
  <w:footnote w:id="15">
    <w:p w14:paraId="073FFA03" w14:textId="77777777" w:rsidR="00587053" w:rsidRDefault="00587053" w:rsidP="00587053">
      <w:pPr>
        <w:pStyle w:val="FootnoteText"/>
      </w:pPr>
      <w:r>
        <w:rPr>
          <w:rStyle w:val="FootnoteReference"/>
        </w:rPr>
        <w:footnoteRef/>
      </w:r>
      <w:r>
        <w:t xml:space="preserve"> </w:t>
      </w:r>
      <w:r w:rsidRPr="0075740E">
        <w:t>47 C.F.R. §</w:t>
      </w:r>
      <w:r>
        <w:t xml:space="preserve"> 1.2104(g)(2).</w:t>
      </w:r>
    </w:p>
  </w:footnote>
  <w:footnote w:id="16">
    <w:p w14:paraId="3C66E72F" w14:textId="64DED91E" w:rsidR="00587053" w:rsidRDefault="00587053" w:rsidP="00587053">
      <w:pPr>
        <w:pStyle w:val="FootnoteText"/>
      </w:pPr>
      <w:r>
        <w:rPr>
          <w:rStyle w:val="FootnoteReference"/>
        </w:rPr>
        <w:footnoteRef/>
      </w:r>
      <w:r>
        <w:t xml:space="preserve"> </w:t>
      </w:r>
      <w:r>
        <w:rPr>
          <w:i/>
        </w:rPr>
        <w:t>Id</w:t>
      </w:r>
      <w:r>
        <w:t xml:space="preserve">.  </w:t>
      </w:r>
      <w:r>
        <w:rPr>
          <w:i/>
        </w:rPr>
        <w:t xml:space="preserve">See also </w:t>
      </w:r>
      <w:r>
        <w:t xml:space="preserve">Auction of FM Broadcast Construction Permits </w:t>
      </w:r>
      <w:r w:rsidR="0059753C">
        <w:t>S</w:t>
      </w:r>
      <w:r>
        <w:t xml:space="preserve">cheduled for </w:t>
      </w:r>
      <w:r w:rsidR="0059753C">
        <w:t>July 23</w:t>
      </w:r>
      <w:r>
        <w:t>, 201</w:t>
      </w:r>
      <w:r w:rsidR="0059753C">
        <w:t>5</w:t>
      </w:r>
      <w:r w:rsidRPr="00F76A89">
        <w:rPr>
          <w:szCs w:val="22"/>
        </w:rPr>
        <w:t xml:space="preserve">; Notice and Filing </w:t>
      </w:r>
      <w:r w:rsidRPr="008C1E06">
        <w:rPr>
          <w:szCs w:val="22"/>
        </w:rPr>
        <w:t xml:space="preserve">Requirements, </w:t>
      </w:r>
      <w:r w:rsidRPr="002C2B5F">
        <w:rPr>
          <w:szCs w:val="22"/>
        </w:rPr>
        <w:t>Minimum Opening Bids, Upfront Payments and Other Procedures for Auction 9</w:t>
      </w:r>
      <w:r w:rsidR="0059753C">
        <w:rPr>
          <w:szCs w:val="22"/>
        </w:rPr>
        <w:t>8</w:t>
      </w:r>
      <w:r w:rsidRPr="002C2B5F">
        <w:rPr>
          <w:szCs w:val="22"/>
        </w:rPr>
        <w:t>,</w:t>
      </w:r>
      <w:r w:rsidRPr="002C2B5F">
        <w:rPr>
          <w:i/>
          <w:szCs w:val="22"/>
        </w:rPr>
        <w:t xml:space="preserve"> Public Notice</w:t>
      </w:r>
      <w:r w:rsidRPr="002C2B5F">
        <w:rPr>
          <w:szCs w:val="22"/>
        </w:rPr>
        <w:t xml:space="preserve">, DA </w:t>
      </w:r>
      <w:r w:rsidR="0059753C">
        <w:rPr>
          <w:szCs w:val="22"/>
        </w:rPr>
        <w:t>15-452</w:t>
      </w:r>
      <w:r w:rsidRPr="002C2B5F">
        <w:rPr>
          <w:szCs w:val="22"/>
        </w:rPr>
        <w:t>,</w:t>
      </w:r>
      <w:r w:rsidRPr="002C2B5F">
        <w:rPr>
          <w:i/>
          <w:szCs w:val="22"/>
        </w:rPr>
        <w:t xml:space="preserve"> </w:t>
      </w:r>
      <w:r w:rsidR="0059753C">
        <w:rPr>
          <w:szCs w:val="22"/>
        </w:rPr>
        <w:t>30</w:t>
      </w:r>
      <w:r w:rsidRPr="002C2B5F">
        <w:rPr>
          <w:szCs w:val="22"/>
        </w:rPr>
        <w:t xml:space="preserve"> FCC Rcd </w:t>
      </w:r>
      <w:r w:rsidR="0059753C">
        <w:rPr>
          <w:szCs w:val="22"/>
        </w:rPr>
        <w:t>3544</w:t>
      </w:r>
      <w:r w:rsidRPr="002C2B5F">
        <w:rPr>
          <w:szCs w:val="22"/>
        </w:rPr>
        <w:t xml:space="preserve">, </w:t>
      </w:r>
      <w:r w:rsidR="0059753C">
        <w:rPr>
          <w:szCs w:val="22"/>
        </w:rPr>
        <w:t>3584</w:t>
      </w:r>
      <w:r w:rsidRPr="002C2B5F">
        <w:rPr>
          <w:szCs w:val="22"/>
        </w:rPr>
        <w:t xml:space="preserve"> ¶¶ </w:t>
      </w:r>
      <w:r w:rsidR="0059753C">
        <w:rPr>
          <w:szCs w:val="22"/>
        </w:rPr>
        <w:t>167-68</w:t>
      </w:r>
      <w:r w:rsidRPr="002C2B5F">
        <w:rPr>
          <w:szCs w:val="22"/>
        </w:rPr>
        <w:t xml:space="preserve"> (</w:t>
      </w:r>
      <w:r w:rsidRPr="0081691F">
        <w:rPr>
          <w:szCs w:val="22"/>
        </w:rPr>
        <w:t>201</w:t>
      </w:r>
      <w:r w:rsidR="0059753C">
        <w:rPr>
          <w:szCs w:val="22"/>
        </w:rPr>
        <w:t>5</w:t>
      </w:r>
      <w:r w:rsidRPr="0081691F">
        <w:rPr>
          <w:szCs w:val="22"/>
        </w:rPr>
        <w:t>) (“</w:t>
      </w:r>
      <w:r w:rsidRPr="003314CD">
        <w:rPr>
          <w:i/>
          <w:szCs w:val="22"/>
        </w:rPr>
        <w:t xml:space="preserve">Auction </w:t>
      </w:r>
      <w:r>
        <w:rPr>
          <w:i/>
          <w:szCs w:val="22"/>
        </w:rPr>
        <w:t>9</w:t>
      </w:r>
      <w:r w:rsidR="0059753C">
        <w:rPr>
          <w:i/>
          <w:szCs w:val="22"/>
        </w:rPr>
        <w:t>8</w:t>
      </w:r>
      <w:r>
        <w:rPr>
          <w:szCs w:val="22"/>
        </w:rPr>
        <w:t xml:space="preserve"> </w:t>
      </w:r>
      <w:r w:rsidRPr="00207CF5">
        <w:rPr>
          <w:i/>
          <w:szCs w:val="22"/>
        </w:rPr>
        <w:t>Procedures Public Notice</w:t>
      </w:r>
      <w:r w:rsidRPr="00973297">
        <w:rPr>
          <w:szCs w:val="22"/>
        </w:rPr>
        <w:t>”</w:t>
      </w:r>
      <w:r>
        <w:rPr>
          <w:szCs w:val="22"/>
        </w:rPr>
        <w:t>)</w:t>
      </w:r>
      <w:r w:rsidRPr="00B80E10">
        <w:rPr>
          <w:szCs w:val="22"/>
        </w:rPr>
        <w:t>.</w:t>
      </w:r>
    </w:p>
  </w:footnote>
  <w:footnote w:id="17">
    <w:p w14:paraId="52BFCDDA" w14:textId="77777777" w:rsidR="00587053" w:rsidRPr="00D939CE" w:rsidRDefault="00587053" w:rsidP="00587053">
      <w:pPr>
        <w:pStyle w:val="FootnoteText"/>
      </w:pPr>
      <w:r w:rsidRPr="00D939CE">
        <w:rPr>
          <w:rStyle w:val="FootnoteReference"/>
        </w:rPr>
        <w:footnoteRef/>
      </w:r>
      <w:r w:rsidRPr="00D939CE">
        <w:t xml:space="preserve"> </w:t>
      </w:r>
      <w:r w:rsidRPr="00D939CE">
        <w:rPr>
          <w:i/>
        </w:rPr>
        <w:t>Id</w:t>
      </w:r>
      <w:r>
        <w:rPr>
          <w:i/>
        </w:rPr>
        <w:t>.</w:t>
      </w:r>
      <w:r w:rsidRPr="00D939CE">
        <w:t xml:space="preserve">  </w:t>
      </w:r>
    </w:p>
  </w:footnote>
  <w:footnote w:id="18">
    <w:p w14:paraId="23490933" w14:textId="77777777" w:rsidR="00587053" w:rsidRPr="0098112F" w:rsidRDefault="00587053" w:rsidP="00587053">
      <w:pPr>
        <w:pStyle w:val="FootnoteText"/>
      </w:pPr>
      <w:r w:rsidRPr="00D700B6">
        <w:rPr>
          <w:rStyle w:val="FootnoteReference"/>
        </w:rPr>
        <w:footnoteRef/>
      </w:r>
      <w:r w:rsidRPr="00D700B6">
        <w:t xml:space="preserve"> 47 C.F.R. §§ 1.2104(g)(2), 1.2109(b).</w:t>
      </w:r>
    </w:p>
  </w:footnote>
  <w:footnote w:id="19">
    <w:p w14:paraId="43F2BDAC" w14:textId="77777777" w:rsidR="00587053" w:rsidRDefault="00587053" w:rsidP="00587053">
      <w:pPr>
        <w:pStyle w:val="FootnoteText"/>
      </w:pPr>
      <w:r>
        <w:rPr>
          <w:rStyle w:val="FootnoteReference"/>
        </w:rPr>
        <w:footnoteRef/>
      </w:r>
      <w:r>
        <w:rPr>
          <w:i/>
        </w:rPr>
        <w:t xml:space="preserve"> </w:t>
      </w:r>
      <w:r>
        <w:t>47 C.F.R. §</w:t>
      </w:r>
      <w:r w:rsidRPr="00D700B6">
        <w:t>§</w:t>
      </w:r>
      <w:r>
        <w:t xml:space="preserve"> 1.2109(a), 73.5003.</w:t>
      </w:r>
    </w:p>
  </w:footnote>
  <w:footnote w:id="20">
    <w:p w14:paraId="526348A6" w14:textId="77777777" w:rsidR="00587053" w:rsidRDefault="00587053" w:rsidP="00587053">
      <w:pPr>
        <w:pStyle w:val="FootnoteText"/>
      </w:pPr>
      <w:r w:rsidRPr="00D700B6">
        <w:rPr>
          <w:rStyle w:val="FootnoteReference"/>
        </w:rPr>
        <w:footnoteRef/>
      </w:r>
      <w:r w:rsidRPr="00D700B6">
        <w:t xml:space="preserve"> 47 C.F.R. §§ 1.2104(g)(2), 1.2109(a), 1.2109(c).</w:t>
      </w:r>
    </w:p>
  </w:footnote>
  <w:footnote w:id="21">
    <w:p w14:paraId="45E6E7FD" w14:textId="77777777" w:rsidR="00587053" w:rsidRDefault="00587053" w:rsidP="00587053">
      <w:pPr>
        <w:pStyle w:val="FootnoteText"/>
      </w:pPr>
      <w:r w:rsidRPr="0081691F">
        <w:rPr>
          <w:rStyle w:val="FootnoteReference"/>
        </w:rPr>
        <w:footnoteRef/>
      </w:r>
      <w:r w:rsidRPr="0081691F">
        <w:t xml:space="preserve"> 47 C.F.R. §§ 1.2109(a), 73.5003, 73.5006(d).</w:t>
      </w:r>
    </w:p>
  </w:footnote>
  <w:footnote w:id="22">
    <w:p w14:paraId="465EAD07" w14:textId="77777777" w:rsidR="00587053" w:rsidRDefault="00587053" w:rsidP="00587053">
      <w:pPr>
        <w:pStyle w:val="FootnoteText"/>
      </w:pPr>
      <w:r>
        <w:rPr>
          <w:rStyle w:val="FootnoteReference"/>
        </w:rPr>
        <w:footnoteRef/>
      </w:r>
      <w:r>
        <w:t xml:space="preserve"> 47 C.F.R. § 1.2109(d).</w:t>
      </w:r>
    </w:p>
  </w:footnote>
  <w:footnote w:id="23">
    <w:p w14:paraId="3920B066" w14:textId="77777777" w:rsidR="00587053" w:rsidRPr="002F03C9" w:rsidRDefault="00587053" w:rsidP="00587053">
      <w:pPr>
        <w:pStyle w:val="FootnoteText"/>
      </w:pPr>
      <w:r>
        <w:rPr>
          <w:rStyle w:val="FootnoteReference"/>
        </w:rPr>
        <w:footnoteRef/>
      </w:r>
      <w:r>
        <w:t xml:space="preserve"> </w:t>
      </w:r>
      <w:r>
        <w:rPr>
          <w:i/>
        </w:rPr>
        <w:t>See</w:t>
      </w:r>
      <w:r>
        <w:t xml:space="preserve"> 47 C.F.R. § 73.5005(a).  In 2010, the Commission delegated authority to the Wireless Telecommunications and Media Bureaus, on an auction-by-auction basis, to extend past thirty days the filing deadline for the submission of post-auction long-form applications.  Policies to Promote Rural Radio Service and to Streamline Allotment and Assignment Procedures, MB Docket No. 09-52, </w:t>
      </w:r>
      <w:r w:rsidRPr="008E5AFC">
        <w:rPr>
          <w:i/>
        </w:rPr>
        <w:t>First Report and Order and Further Notice of Proposed Rule</w:t>
      </w:r>
      <w:r>
        <w:t xml:space="preserve"> </w:t>
      </w:r>
      <w:r w:rsidRPr="008E5AFC">
        <w:rPr>
          <w:i/>
        </w:rPr>
        <w:t>Making</w:t>
      </w:r>
      <w:r>
        <w:t>, FCC 10-24, 25 FCC Rcd 1583, 1607-08 ¶¶ 47-48 (</w:t>
      </w:r>
      <w:r w:rsidRPr="003C6E47">
        <w:t xml:space="preserve">2010).  </w:t>
      </w:r>
    </w:p>
  </w:footnote>
  <w:footnote w:id="24">
    <w:p w14:paraId="361BFE24" w14:textId="77777777" w:rsidR="00587053" w:rsidRDefault="00587053" w:rsidP="00587053">
      <w:pPr>
        <w:pStyle w:val="FootnoteText"/>
      </w:pPr>
      <w:r>
        <w:rPr>
          <w:rStyle w:val="FootnoteReference"/>
        </w:rPr>
        <w:footnoteRef/>
      </w:r>
      <w:r>
        <w:t xml:space="preserve"> </w:t>
      </w:r>
      <w:r w:rsidRPr="00CC66BF">
        <w:rPr>
          <w:i/>
        </w:rPr>
        <w:t>See</w:t>
      </w:r>
      <w:r w:rsidRPr="00CC66BF">
        <w:t xml:space="preserve"> 47 C.F.R. §</w:t>
      </w:r>
      <w:bookmarkStart w:id="19" w:name="OLE_LINK6"/>
      <w:bookmarkStart w:id="20" w:name="OLE_LINK7"/>
      <w:r w:rsidRPr="00CC66BF">
        <w:t>§</w:t>
      </w:r>
      <w:bookmarkEnd w:id="19"/>
      <w:bookmarkEnd w:id="20"/>
      <w:r w:rsidRPr="00CC66BF">
        <w:t xml:space="preserve"> 1.2104(g), 1.2107(c</w:t>
      </w:r>
      <w:r w:rsidRPr="00D640DA">
        <w:t>), 73.5005(c)</w:t>
      </w:r>
      <w:r>
        <w:t>.</w:t>
      </w:r>
    </w:p>
  </w:footnote>
  <w:footnote w:id="25">
    <w:p w14:paraId="6AF170AF" w14:textId="2BCEE697" w:rsidR="00587053" w:rsidRPr="000E6136" w:rsidRDefault="00587053" w:rsidP="00587053">
      <w:pPr>
        <w:spacing w:after="120"/>
        <w:rPr>
          <w:sz w:val="20"/>
        </w:rPr>
      </w:pPr>
      <w:r>
        <w:rPr>
          <w:rStyle w:val="FootnoteReference"/>
        </w:rPr>
        <w:footnoteRef/>
      </w:r>
      <w:r>
        <w:t xml:space="preserve"> </w:t>
      </w:r>
      <w:r w:rsidRPr="002166BF">
        <w:rPr>
          <w:i/>
          <w:sz w:val="20"/>
        </w:rPr>
        <w:t>See</w:t>
      </w:r>
      <w:r>
        <w:rPr>
          <w:i/>
        </w:rPr>
        <w:t xml:space="preserve"> </w:t>
      </w:r>
      <w:r w:rsidRPr="002166BF">
        <w:rPr>
          <w:snapToGrid/>
          <w:kern w:val="0"/>
          <w:sz w:val="20"/>
        </w:rPr>
        <w:t xml:space="preserve">Revision of Procedures Governing Amendments To FM Table of Allotments and Changes of Community of License in the Radio Broadcast Services, MB Docket No. 05-210, </w:t>
      </w:r>
      <w:r w:rsidRPr="002166BF">
        <w:rPr>
          <w:i/>
          <w:snapToGrid/>
          <w:kern w:val="0"/>
          <w:sz w:val="20"/>
        </w:rPr>
        <w:t>Report and Order</w:t>
      </w:r>
      <w:r w:rsidRPr="002166BF">
        <w:rPr>
          <w:snapToGrid/>
          <w:kern w:val="0"/>
          <w:sz w:val="20"/>
        </w:rPr>
        <w:t xml:space="preserve">, FCC 06-163, 21 FCC Rcd 14212, 14224 ¶ 20 (2006), </w:t>
      </w:r>
      <w:r w:rsidRPr="002166BF">
        <w:rPr>
          <w:i/>
          <w:snapToGrid/>
          <w:kern w:val="0"/>
          <w:sz w:val="20"/>
        </w:rPr>
        <w:t xml:space="preserve">recon. </w:t>
      </w:r>
      <w:r w:rsidR="00FF045C">
        <w:rPr>
          <w:i/>
          <w:snapToGrid/>
          <w:kern w:val="0"/>
          <w:sz w:val="20"/>
        </w:rPr>
        <w:t>p</w:t>
      </w:r>
      <w:r w:rsidRPr="002166BF">
        <w:rPr>
          <w:i/>
          <w:snapToGrid/>
          <w:kern w:val="0"/>
          <w:sz w:val="20"/>
        </w:rPr>
        <w:t>ending</w:t>
      </w:r>
      <w:r w:rsidR="004E4896">
        <w:rPr>
          <w:snapToGrid/>
          <w:kern w:val="0"/>
          <w:sz w:val="20"/>
        </w:rPr>
        <w:t>.</w:t>
      </w:r>
      <w:r w:rsidR="00C20301">
        <w:rPr>
          <w:snapToGrid/>
          <w:kern w:val="0"/>
        </w:rPr>
        <w:t xml:space="preserve"> </w:t>
      </w:r>
    </w:p>
  </w:footnote>
  <w:footnote w:id="26">
    <w:p w14:paraId="4B7CDFF6" w14:textId="77777777" w:rsidR="00587053" w:rsidRDefault="00587053" w:rsidP="00587053">
      <w:pPr>
        <w:pStyle w:val="FootnoteText"/>
      </w:pPr>
      <w:r>
        <w:rPr>
          <w:rStyle w:val="FootnoteReference"/>
        </w:rPr>
        <w:footnoteRef/>
      </w:r>
      <w:r>
        <w:t xml:space="preserve"> </w:t>
      </w:r>
      <w:r w:rsidRPr="004F5A6E">
        <w:t xml:space="preserve">For information regarding electronic application filing, refer to </w:t>
      </w:r>
      <w:r>
        <w:t xml:space="preserve">“Mass Media Bureau Implements Mandatory Electronic Filing of FCC Forms 301, 314, and 315,” </w:t>
      </w:r>
      <w:r>
        <w:rPr>
          <w:i/>
        </w:rPr>
        <w:t>Public Notice</w:t>
      </w:r>
      <w:r>
        <w:t>, DA 01-283, 16 FCC Rcd 3989 (MMB 2001).</w:t>
      </w:r>
    </w:p>
  </w:footnote>
  <w:footnote w:id="27">
    <w:p w14:paraId="10A8B9E9" w14:textId="04C261AD" w:rsidR="00587053" w:rsidRDefault="00587053" w:rsidP="00587053">
      <w:pPr>
        <w:pStyle w:val="FootnoteText"/>
      </w:pPr>
      <w:r>
        <w:rPr>
          <w:rStyle w:val="FootnoteReference"/>
        </w:rPr>
        <w:footnoteRef/>
      </w:r>
      <w:r>
        <w:t xml:space="preserve"> </w:t>
      </w:r>
      <w:r w:rsidRPr="00CC66BF">
        <w:rPr>
          <w:i/>
        </w:rPr>
        <w:t xml:space="preserve">See </w:t>
      </w:r>
      <w:r w:rsidRPr="00CC66BF">
        <w:t xml:space="preserve">Implementation of Section 309(j) of the Communications Act – Competitive Bidding for Commercial Broadcast and Instructional Television Fixed Service Licenses, MM Docket No. 97-234, </w:t>
      </w:r>
      <w:r w:rsidRPr="00CC66BF">
        <w:rPr>
          <w:i/>
        </w:rPr>
        <w:t>First Report and Order</w:t>
      </w:r>
      <w:r w:rsidRPr="00CC66BF">
        <w:t xml:space="preserve">, </w:t>
      </w:r>
      <w:r w:rsidR="00FD2CA2">
        <w:t xml:space="preserve">FCC 98-194, </w:t>
      </w:r>
      <w:r w:rsidRPr="00CC66BF">
        <w:t>13 FCC Rcd 15920, 15984</w:t>
      </w:r>
      <w:r>
        <w:t>-85</w:t>
      </w:r>
      <w:r w:rsidRPr="00CC66BF">
        <w:t xml:space="preserve"> ¶ 164 (1998)</w:t>
      </w:r>
      <w:r>
        <w:t xml:space="preserve"> (“</w:t>
      </w:r>
      <w:r w:rsidRPr="00CF5223">
        <w:rPr>
          <w:i/>
        </w:rPr>
        <w:t>Broadcast First Report and Order</w:t>
      </w:r>
      <w:r>
        <w:t xml:space="preserve">”).  </w:t>
      </w:r>
      <w:r w:rsidRPr="00B41FEA">
        <w:rPr>
          <w:i/>
        </w:rPr>
        <w:t>See also</w:t>
      </w:r>
      <w:r>
        <w:t xml:space="preserve"> 47 C.F.R. §§ 1.1104, 1.2107(c).</w:t>
      </w:r>
    </w:p>
  </w:footnote>
  <w:footnote w:id="28">
    <w:p w14:paraId="33F0D572" w14:textId="14613E5D" w:rsidR="00587053" w:rsidRDefault="00587053" w:rsidP="00587053">
      <w:pPr>
        <w:pStyle w:val="FootnoteText"/>
      </w:pPr>
      <w:r w:rsidRPr="005701AB">
        <w:rPr>
          <w:rStyle w:val="FootnoteReference"/>
        </w:rPr>
        <w:footnoteRef/>
      </w:r>
      <w:r w:rsidRPr="005701AB">
        <w:t xml:space="preserve"> </w:t>
      </w:r>
      <w:r w:rsidRPr="005701AB">
        <w:rPr>
          <w:i/>
        </w:rPr>
        <w:t>See</w:t>
      </w:r>
      <w:r w:rsidRPr="005701AB">
        <w:t xml:space="preserve"> 47 C.F.R. §§ </w:t>
      </w:r>
      <w:r w:rsidR="00E601B1">
        <w:t xml:space="preserve">1.2109(c), </w:t>
      </w:r>
      <w:r w:rsidRPr="005701AB">
        <w:t>73.3522</w:t>
      </w:r>
      <w:r w:rsidR="00B642D3">
        <w:t>(a)(3)</w:t>
      </w:r>
      <w:r w:rsidRPr="005701AB">
        <w:t xml:space="preserve">, </w:t>
      </w:r>
      <w:r>
        <w:t>73.3573</w:t>
      </w:r>
      <w:r w:rsidR="00B642D3">
        <w:t>(f)(5)(iii)</w:t>
      </w:r>
      <w:r w:rsidRPr="005701AB">
        <w:t>.</w:t>
      </w:r>
      <w:r>
        <w:t xml:space="preserve">  </w:t>
      </w:r>
    </w:p>
  </w:footnote>
  <w:footnote w:id="29">
    <w:p w14:paraId="393939ED" w14:textId="46740839" w:rsidR="00587053" w:rsidRDefault="00587053" w:rsidP="00587053">
      <w:pPr>
        <w:pStyle w:val="FootnoteText"/>
      </w:pPr>
      <w:r>
        <w:rPr>
          <w:rStyle w:val="FootnoteReference"/>
        </w:rPr>
        <w:footnoteRef/>
      </w:r>
      <w:r>
        <w:rPr>
          <w:snapToGrid w:val="0"/>
        </w:rPr>
        <w:t>To obtain the short form application file number, go to CDBS Public Access (</w:t>
      </w:r>
      <w:hyperlink r:id="rId1" w:history="1">
        <w:r>
          <w:rPr>
            <w:rStyle w:val="Hyperlink"/>
            <w:snapToGrid w:val="0"/>
          </w:rPr>
          <w:t>http://licensing.fcc.gov/prod/cdbs/pubacc/prod/cdbs_pa.htm</w:t>
        </w:r>
      </w:hyperlink>
      <w:r>
        <w:rPr>
          <w:snapToGrid w:val="0"/>
        </w:rPr>
        <w:t>) and select “Search for Application Information.”  In the Application Search page, in “File Number,” enter “201</w:t>
      </w:r>
      <w:r w:rsidR="009B0DB4">
        <w:rPr>
          <w:snapToGrid w:val="0"/>
        </w:rPr>
        <w:t>5</w:t>
      </w:r>
      <w:r>
        <w:rPr>
          <w:snapToGrid w:val="0"/>
        </w:rPr>
        <w:t>0%” in the second box (leave the first box blank).  In “Form Number” select “Short Form” from the pull-down menu.  Enter the appropriate “Community of License City” and “State.”  Finally, in “Application Status” select “CP Requested” from the pull-down menu.  Then, click on “Submit Application Search” at the bottom of the page.  This will provide all of the Short Forms for that community of license.  In the few instances with multiple allotments in the same community, an applicant can click on the “Info” hyperlinks in the results page to determine which short</w:t>
      </w:r>
      <w:r w:rsidR="00FD2CA2">
        <w:rPr>
          <w:snapToGrid w:val="0"/>
        </w:rPr>
        <w:t>-</w:t>
      </w:r>
      <w:r>
        <w:rPr>
          <w:snapToGrid w:val="0"/>
        </w:rPr>
        <w:t xml:space="preserve">form </w:t>
      </w:r>
      <w:r w:rsidR="00FD2CA2">
        <w:rPr>
          <w:snapToGrid w:val="0"/>
        </w:rPr>
        <w:t xml:space="preserve">application </w:t>
      </w:r>
      <w:r>
        <w:rPr>
          <w:snapToGrid w:val="0"/>
        </w:rPr>
        <w:t>is applicable to which applicant</w:t>
      </w:r>
      <w:r>
        <w:t>.</w:t>
      </w:r>
    </w:p>
  </w:footnote>
  <w:footnote w:id="30">
    <w:p w14:paraId="637005D3" w14:textId="77777777" w:rsidR="00587053" w:rsidRPr="00195F4D" w:rsidRDefault="00587053" w:rsidP="00587053">
      <w:pPr>
        <w:pStyle w:val="FootnoteText"/>
        <w:rPr>
          <w:b/>
        </w:rPr>
      </w:pPr>
      <w:r w:rsidRPr="00F82AF5">
        <w:rPr>
          <w:rStyle w:val="FootnoteReference"/>
        </w:rPr>
        <w:footnoteRef/>
      </w:r>
      <w:r w:rsidRPr="00F82AF5">
        <w:t xml:space="preserve"> 47 C.F.R. § 73.5005(a).  </w:t>
      </w:r>
      <w:r w:rsidRPr="00F82AF5">
        <w:rPr>
          <w:i/>
        </w:rPr>
        <w:t>See also</w:t>
      </w:r>
      <w:r w:rsidRPr="00F82AF5">
        <w:t xml:space="preserve"> Instructions for Form 301, Application for Construction Permit for Commercial Broadcast Station, Instructions for Section II: Legal Information, paragraph G. Item 10: Auction Authorization for auction-related exhibit filing requirements.</w:t>
      </w:r>
      <w:r w:rsidRPr="00195F4D">
        <w:t xml:space="preserve">  </w:t>
      </w:r>
    </w:p>
  </w:footnote>
  <w:footnote w:id="31">
    <w:p w14:paraId="5B9C497D" w14:textId="77777777" w:rsidR="00587053" w:rsidRPr="00582D44" w:rsidRDefault="00587053" w:rsidP="00587053">
      <w:pPr>
        <w:pStyle w:val="FootnoteText"/>
      </w:pPr>
      <w:r w:rsidRPr="00582D44">
        <w:rPr>
          <w:rStyle w:val="FootnoteReference"/>
        </w:rPr>
        <w:footnoteRef/>
      </w:r>
      <w:r w:rsidRPr="00582D44">
        <w:t xml:space="preserve"> 47 C.F.R. § 1.2107(d).</w:t>
      </w:r>
    </w:p>
  </w:footnote>
  <w:footnote w:id="32">
    <w:p w14:paraId="15BC3873" w14:textId="77777777" w:rsidR="00587053" w:rsidRPr="002C2B5F" w:rsidRDefault="00587053" w:rsidP="00587053">
      <w:pPr>
        <w:pStyle w:val="FootnoteText"/>
        <w:rPr>
          <w:i/>
        </w:rPr>
      </w:pPr>
      <w:r w:rsidRPr="00582D44">
        <w:rPr>
          <w:rStyle w:val="FootnoteReference"/>
        </w:rPr>
        <w:footnoteRef/>
      </w:r>
      <w:r w:rsidRPr="00582D44">
        <w:t xml:space="preserve"> 47 C.F.R. § </w:t>
      </w:r>
      <w:r>
        <w:t>1.2110(j)</w:t>
      </w:r>
      <w:r w:rsidRPr="00582D44">
        <w:t>.</w:t>
      </w:r>
      <w:r>
        <w:t xml:space="preserve">  </w:t>
      </w:r>
      <w:r>
        <w:rPr>
          <w:i/>
        </w:rPr>
        <w:t xml:space="preserve">See also </w:t>
      </w:r>
      <w:r w:rsidRPr="00582D44">
        <w:t>47 C.F.R. §</w:t>
      </w:r>
      <w:r>
        <w:t xml:space="preserve"> 73.5007(a).</w:t>
      </w:r>
    </w:p>
  </w:footnote>
  <w:footnote w:id="33">
    <w:p w14:paraId="70CE46CD" w14:textId="77777777" w:rsidR="00587053" w:rsidRDefault="00587053" w:rsidP="00587053">
      <w:pPr>
        <w:pStyle w:val="FootnoteText"/>
      </w:pPr>
      <w:r>
        <w:rPr>
          <w:rStyle w:val="FootnoteReference"/>
        </w:rPr>
        <w:footnoteRef/>
      </w:r>
      <w:r>
        <w:t xml:space="preserve"> </w:t>
      </w:r>
      <w:r w:rsidRPr="00FE5F08">
        <w:t>47 C.F.R. § 1.2112(a).</w:t>
      </w:r>
    </w:p>
  </w:footnote>
  <w:footnote w:id="34">
    <w:p w14:paraId="347F1B10" w14:textId="2881C5FB" w:rsidR="00587053" w:rsidRDefault="00587053" w:rsidP="00587053">
      <w:pPr>
        <w:pStyle w:val="FootnoteText"/>
      </w:pPr>
      <w:r>
        <w:rPr>
          <w:rStyle w:val="FootnoteReference"/>
        </w:rPr>
        <w:footnoteRef/>
      </w:r>
      <w:r>
        <w:t xml:space="preserve"> 47 C.F.</w:t>
      </w:r>
      <w:r w:rsidRPr="0081691F">
        <w:t>R. §§ 73.3555</w:t>
      </w:r>
      <w:r w:rsidR="00FD2CA2">
        <w:t xml:space="preserve"> &amp;</w:t>
      </w:r>
      <w:r w:rsidRPr="0081691F">
        <w:t xml:space="preserve"> Note 2, 73.5007, 73.5008.</w:t>
      </w:r>
      <w:r>
        <w:t xml:space="preserve">  </w:t>
      </w:r>
    </w:p>
  </w:footnote>
  <w:footnote w:id="35">
    <w:p w14:paraId="0B3E0092" w14:textId="77777777" w:rsidR="00587053" w:rsidRPr="0081691F" w:rsidRDefault="00587053" w:rsidP="00587053">
      <w:pPr>
        <w:pStyle w:val="FootnoteText"/>
        <w:rPr>
          <w:b/>
        </w:rPr>
      </w:pPr>
      <w:r w:rsidRPr="00F82AF5">
        <w:rPr>
          <w:rStyle w:val="FootnoteReference"/>
        </w:rPr>
        <w:footnoteRef/>
      </w:r>
      <w:r w:rsidRPr="00F82AF5">
        <w:t xml:space="preserve"> </w:t>
      </w:r>
      <w:r w:rsidRPr="0081691F">
        <w:rPr>
          <w:i/>
        </w:rPr>
        <w:t>See</w:t>
      </w:r>
      <w:r w:rsidRPr="0081691F">
        <w:t xml:space="preserve"> Form 301, Section II – Legal, Item 4: Multiple Ownership. </w:t>
      </w:r>
    </w:p>
  </w:footnote>
  <w:footnote w:id="36">
    <w:p w14:paraId="64A886A7" w14:textId="77777777" w:rsidR="00587053" w:rsidRPr="0081691F" w:rsidRDefault="00587053" w:rsidP="00587053">
      <w:pPr>
        <w:pStyle w:val="FootnoteText"/>
      </w:pPr>
      <w:r w:rsidRPr="0081691F">
        <w:rPr>
          <w:rStyle w:val="FootnoteReference"/>
        </w:rPr>
        <w:footnoteRef/>
      </w:r>
      <w:r w:rsidRPr="0081691F">
        <w:t xml:space="preserve"> 47 C.F.R. § 73.5008(c) (attribution of mass media interests). </w:t>
      </w:r>
    </w:p>
  </w:footnote>
  <w:footnote w:id="37">
    <w:p w14:paraId="3042958D" w14:textId="0434C663" w:rsidR="00587053" w:rsidRPr="0081691F" w:rsidRDefault="00587053" w:rsidP="00587053">
      <w:pPr>
        <w:pStyle w:val="FootnoteText"/>
      </w:pPr>
      <w:r w:rsidRPr="0081691F">
        <w:rPr>
          <w:rStyle w:val="FootnoteReference"/>
        </w:rPr>
        <w:footnoteRef/>
      </w:r>
      <w:r w:rsidRPr="0081691F">
        <w:t xml:space="preserve"> </w:t>
      </w:r>
      <w:smartTag w:uri="urn:schemas-microsoft-com:office:smarttags" w:element="State">
        <w:smartTag w:uri="urn:schemas-microsoft-com:office:smarttags" w:element="place">
          <w:r w:rsidRPr="0081691F">
            <w:rPr>
              <w:i/>
            </w:rPr>
            <w:t>Id.</w:t>
          </w:r>
        </w:smartTag>
      </w:smartTag>
      <w:r w:rsidRPr="0081691F">
        <w:t xml:space="preserve">  </w:t>
      </w:r>
      <w:r w:rsidRPr="0081691F">
        <w:rPr>
          <w:i/>
        </w:rPr>
        <w:t>See also</w:t>
      </w:r>
      <w:r w:rsidRPr="0081691F">
        <w:t xml:space="preserve"> Instructions for Form 301, Application for Construction Permit for Commercial Broadcast Station, Instructions for Section II – Legal Information, paragraph B. Item 2: Parties to the Application; Equity/Debt Plus Attribution Standard.</w:t>
      </w:r>
    </w:p>
  </w:footnote>
  <w:footnote w:id="38">
    <w:p w14:paraId="057016BF" w14:textId="77777777" w:rsidR="00587053" w:rsidRPr="0081691F" w:rsidRDefault="00587053" w:rsidP="00587053">
      <w:pPr>
        <w:pStyle w:val="FootnoteText"/>
      </w:pPr>
      <w:r w:rsidRPr="0081691F">
        <w:rPr>
          <w:rStyle w:val="FootnoteReference"/>
        </w:rPr>
        <w:footnoteRef/>
      </w:r>
      <w:r w:rsidRPr="0081691F">
        <w:t xml:space="preserve"> In the </w:t>
      </w:r>
      <w:r w:rsidRPr="0081691F">
        <w:rPr>
          <w:i/>
        </w:rPr>
        <w:t>Diversity Order</w:t>
      </w:r>
      <w:r w:rsidRPr="0081691F">
        <w:t xml:space="preserve">, the Commission relaxed the equity/debt plus attribution standard, to allow for higher investment opportunities in an entity meeting the definition of an “eligible entity.”  Promoting Diversification of Ownership in the Broadcasting Services, MB Docket No. 07-294, </w:t>
      </w:r>
      <w:r w:rsidRPr="0081691F">
        <w:rPr>
          <w:i/>
        </w:rPr>
        <w:t>Report and Order and Third Further Notice of Proposed Rule Making</w:t>
      </w:r>
      <w:r w:rsidRPr="0081691F">
        <w:t xml:space="preserve">, FCC 07-217, 23 FCC Rcd 5922 (2008). </w:t>
      </w:r>
    </w:p>
  </w:footnote>
  <w:footnote w:id="39">
    <w:p w14:paraId="38254CAB" w14:textId="3C6B6DBF" w:rsidR="00587053" w:rsidRPr="0081691F" w:rsidRDefault="00587053" w:rsidP="00587053">
      <w:pPr>
        <w:pStyle w:val="FootnoteText"/>
      </w:pPr>
      <w:r w:rsidRPr="0081691F">
        <w:rPr>
          <w:rStyle w:val="FootnoteReference"/>
        </w:rPr>
        <w:footnoteRef/>
      </w:r>
      <w:r w:rsidRPr="0081691F">
        <w:t xml:space="preserve"> </w:t>
      </w:r>
      <w:r w:rsidRPr="0081691F">
        <w:rPr>
          <w:i/>
        </w:rPr>
        <w:t>See Auction 9</w:t>
      </w:r>
      <w:r w:rsidR="009A5255">
        <w:rPr>
          <w:i/>
        </w:rPr>
        <w:t>8</w:t>
      </w:r>
      <w:r w:rsidRPr="0081691F">
        <w:rPr>
          <w:i/>
        </w:rPr>
        <w:t xml:space="preserve"> Procedures Public Notice</w:t>
      </w:r>
      <w:r w:rsidRPr="0081691F">
        <w:t xml:space="preserve">, </w:t>
      </w:r>
      <w:r w:rsidR="009A5255">
        <w:t>30</w:t>
      </w:r>
      <w:r w:rsidRPr="00CC31D8">
        <w:t xml:space="preserve"> FCC Rcd </w:t>
      </w:r>
      <w:r w:rsidRPr="002C2B5F">
        <w:t xml:space="preserve">at </w:t>
      </w:r>
      <w:r w:rsidR="00D4294C">
        <w:t>3561-62</w:t>
      </w:r>
      <w:r w:rsidRPr="002C2B5F">
        <w:t xml:space="preserve"> ¶ </w:t>
      </w:r>
      <w:r w:rsidR="00D4294C">
        <w:t>60</w:t>
      </w:r>
      <w:r w:rsidRPr="002C2B5F">
        <w:t xml:space="preserve">.  </w:t>
      </w:r>
      <w:r w:rsidRPr="002C2B5F">
        <w:rPr>
          <w:i/>
        </w:rPr>
        <w:t>See</w:t>
      </w:r>
      <w:r w:rsidRPr="0081691F">
        <w:rPr>
          <w:i/>
        </w:rPr>
        <w:t xml:space="preserve"> also</w:t>
      </w:r>
      <w:r w:rsidRPr="0081691F">
        <w:t xml:space="preserve"> Media Bureau Provides Notice of Suspension of Eligible Entity Rule Changes and Guidance on the Assignment of Broadcast Station Construction Permits to Eligible Entities, DA 11-1232, </w:t>
      </w:r>
      <w:r w:rsidRPr="0081691F">
        <w:rPr>
          <w:i/>
        </w:rPr>
        <w:t>Public Notice</w:t>
      </w:r>
      <w:r w:rsidRPr="0081691F">
        <w:t xml:space="preserve">, 26 FCC Rcd 10370 (MB 2011).    </w:t>
      </w:r>
    </w:p>
  </w:footnote>
  <w:footnote w:id="40">
    <w:p w14:paraId="09FB0734" w14:textId="77777777" w:rsidR="00587053" w:rsidRDefault="00587053" w:rsidP="00587053">
      <w:pPr>
        <w:pStyle w:val="FootnoteText"/>
      </w:pPr>
      <w:r w:rsidRPr="0081691F">
        <w:rPr>
          <w:rStyle w:val="FootnoteReference"/>
        </w:rPr>
        <w:footnoteRef/>
      </w:r>
      <w:r w:rsidRPr="0081691F">
        <w:t xml:space="preserve"> 47 C.F.R. § 1.1910.</w:t>
      </w:r>
    </w:p>
  </w:footnote>
  <w:footnote w:id="41">
    <w:p w14:paraId="7E500983" w14:textId="77777777" w:rsidR="00587053" w:rsidRPr="00602343" w:rsidRDefault="00587053" w:rsidP="00587053">
      <w:pPr>
        <w:pStyle w:val="FootnoteText"/>
      </w:pPr>
      <w:r>
        <w:rPr>
          <w:rStyle w:val="FootnoteReference"/>
        </w:rPr>
        <w:footnoteRef/>
      </w:r>
      <w:r>
        <w:t xml:space="preserve"> </w:t>
      </w:r>
      <w:r>
        <w:rPr>
          <w:i/>
        </w:rPr>
        <w:t>Id.</w:t>
      </w:r>
      <w:r>
        <w:t xml:space="preserve">; </w:t>
      </w:r>
      <w:r w:rsidRPr="004568A8">
        <w:rPr>
          <w:i/>
        </w:rPr>
        <w:t>see also</w:t>
      </w:r>
      <w:r>
        <w:t xml:space="preserve"> 47 C.F.R.</w:t>
      </w:r>
      <w:r w:rsidRPr="00FE5F08">
        <w:t xml:space="preserve"> § 1.2109(c) (post-auction defaults).</w:t>
      </w:r>
      <w:r>
        <w:t xml:space="preserve">  </w:t>
      </w:r>
    </w:p>
  </w:footnote>
  <w:footnote w:id="42">
    <w:p w14:paraId="5F89EC8F" w14:textId="77777777" w:rsidR="00587053" w:rsidRDefault="00587053" w:rsidP="00587053">
      <w:pPr>
        <w:pStyle w:val="FootnoteText"/>
      </w:pPr>
      <w:r>
        <w:rPr>
          <w:rStyle w:val="FootnoteReference"/>
        </w:rPr>
        <w:footnoteRef/>
      </w:r>
      <w:r>
        <w:t xml:space="preserve"> </w:t>
      </w:r>
      <w:r w:rsidRPr="008751A9">
        <w:rPr>
          <w:i/>
        </w:rPr>
        <w:t>See</w:t>
      </w:r>
      <w:r>
        <w:t xml:space="preserve"> 47 C.F.R. </w:t>
      </w:r>
      <w:r w:rsidRPr="00FE5F08">
        <w:t xml:space="preserve">§ </w:t>
      </w:r>
      <w:r>
        <w:t>1.65.</w:t>
      </w:r>
    </w:p>
  </w:footnote>
  <w:footnote w:id="43">
    <w:p w14:paraId="49452176" w14:textId="77777777" w:rsidR="00587053" w:rsidRDefault="00587053" w:rsidP="00587053">
      <w:pPr>
        <w:pStyle w:val="FootnoteText"/>
      </w:pPr>
      <w:r>
        <w:rPr>
          <w:rStyle w:val="FootnoteReference"/>
        </w:rPr>
        <w:footnoteRef/>
      </w:r>
      <w:r>
        <w:t xml:space="preserve"> </w:t>
      </w:r>
      <w:r w:rsidRPr="00582D44">
        <w:t xml:space="preserve">47 C.F.R. §§ </w:t>
      </w:r>
      <w:r>
        <w:t xml:space="preserve">1.2108(b), 73.5006(b). </w:t>
      </w:r>
    </w:p>
  </w:footnote>
  <w:footnote w:id="44">
    <w:p w14:paraId="7C217AD7" w14:textId="77777777" w:rsidR="00587053" w:rsidRDefault="00587053" w:rsidP="00587053">
      <w:pPr>
        <w:pStyle w:val="FootnoteText"/>
      </w:pPr>
      <w:r>
        <w:rPr>
          <w:rStyle w:val="FootnoteReference"/>
        </w:rPr>
        <w:footnoteRef/>
      </w:r>
      <w:r>
        <w:t xml:space="preserve"> 47 C.F.R. § 73.5006.</w:t>
      </w:r>
    </w:p>
  </w:footnote>
  <w:footnote w:id="45">
    <w:p w14:paraId="2B72752E" w14:textId="77777777" w:rsidR="00587053" w:rsidRPr="00670C89" w:rsidRDefault="00587053" w:rsidP="00587053">
      <w:pPr>
        <w:pStyle w:val="FootnoteText"/>
      </w:pPr>
      <w:r w:rsidRPr="00CC66BF">
        <w:rPr>
          <w:rStyle w:val="FootnoteReference"/>
        </w:rPr>
        <w:footnoteRef/>
      </w:r>
      <w:r w:rsidRPr="00670C89">
        <w:t xml:space="preserve"> 47 C.F.R. § 73.5006(c).</w:t>
      </w:r>
    </w:p>
  </w:footnote>
  <w:footnote w:id="46">
    <w:p w14:paraId="61062EEA" w14:textId="77777777" w:rsidR="00587053" w:rsidRDefault="00587053" w:rsidP="00587053">
      <w:pPr>
        <w:pStyle w:val="FootnoteText"/>
      </w:pPr>
      <w:r>
        <w:rPr>
          <w:rStyle w:val="FootnoteReference"/>
        </w:rPr>
        <w:footnoteRef/>
      </w:r>
      <w:r>
        <w:t xml:space="preserve"> </w:t>
      </w:r>
      <w:r w:rsidRPr="00670C89">
        <w:rPr>
          <w:i/>
        </w:rPr>
        <w:t>Id.</w:t>
      </w:r>
    </w:p>
  </w:footnote>
  <w:footnote w:id="47">
    <w:p w14:paraId="4542B29B" w14:textId="77777777" w:rsidR="00587053" w:rsidRPr="00EF6ED7" w:rsidRDefault="00587053" w:rsidP="00587053">
      <w:pPr>
        <w:pStyle w:val="FootnoteText"/>
      </w:pPr>
      <w:r>
        <w:rPr>
          <w:rStyle w:val="FootnoteReference"/>
        </w:rPr>
        <w:footnoteRef/>
      </w:r>
      <w:r>
        <w:t xml:space="preserve"> </w:t>
      </w:r>
      <w:r>
        <w:rPr>
          <w:i/>
        </w:rPr>
        <w:t>See</w:t>
      </w:r>
      <w:r>
        <w:t xml:space="preserve"> Commission Taking Tough Measures Against Frivolous Pleadings, </w:t>
      </w:r>
      <w:r>
        <w:rPr>
          <w:i/>
        </w:rPr>
        <w:t>Public Notice</w:t>
      </w:r>
      <w:r>
        <w:t>, FCC 96-42, 11 FCC Rcd 3030 (1996).</w:t>
      </w:r>
    </w:p>
  </w:footnote>
  <w:footnote w:id="48">
    <w:p w14:paraId="2ACAB7DB" w14:textId="77777777" w:rsidR="00587053" w:rsidRDefault="00587053" w:rsidP="00587053">
      <w:pPr>
        <w:pStyle w:val="FootnoteText"/>
      </w:pPr>
      <w:r>
        <w:rPr>
          <w:rStyle w:val="FootnoteReference"/>
        </w:rPr>
        <w:footnoteRef/>
      </w:r>
      <w:r>
        <w:t xml:space="preserve"> Commission staff </w:t>
      </w:r>
      <w:r w:rsidRPr="00104EC3">
        <w:t>may determine, for example, that a winning bidder is not entitled to the level of bidding credit that it has claimed and may require an additional payment to cover the amount of any percentage discount for which it was not eligible.</w:t>
      </w:r>
      <w:r>
        <w:t xml:space="preserve">  </w:t>
      </w:r>
      <w:r w:rsidRPr="00E02076">
        <w:rPr>
          <w:i/>
        </w:rPr>
        <w:t>See</w:t>
      </w:r>
      <w:r>
        <w:t xml:space="preserve"> 47 C.F.R. § 73.5007(a). </w:t>
      </w:r>
      <w:r w:rsidRPr="00104EC3">
        <w:t xml:space="preserve"> </w:t>
      </w:r>
    </w:p>
  </w:footnote>
  <w:footnote w:id="49">
    <w:p w14:paraId="3DFC1457" w14:textId="1595087A" w:rsidR="00587053" w:rsidRPr="003515D4" w:rsidRDefault="00587053" w:rsidP="00587053">
      <w:pPr>
        <w:pStyle w:val="FootnoteText"/>
      </w:pPr>
      <w:r>
        <w:rPr>
          <w:rStyle w:val="FootnoteReference"/>
        </w:rPr>
        <w:footnoteRef/>
      </w:r>
      <w:r>
        <w:t xml:space="preserve"> </w:t>
      </w:r>
      <w:r w:rsidRPr="00DD4777">
        <w:rPr>
          <w:i/>
        </w:rPr>
        <w:t>See</w:t>
      </w:r>
      <w:r w:rsidRPr="00DD4777">
        <w:t xml:space="preserve"> 47 C.F.R. §§ 1.2108(</w:t>
      </w:r>
      <w:r w:rsidRPr="0081691F">
        <w:t xml:space="preserve">d), 1.2109(a).  </w:t>
      </w:r>
      <w:r w:rsidRPr="0081691F">
        <w:rPr>
          <w:i/>
        </w:rPr>
        <w:t>See also</w:t>
      </w:r>
      <w:r w:rsidRPr="0081691F">
        <w:t xml:space="preserve"> 47 C.F.R. § 73.5006(d).</w:t>
      </w:r>
      <w:r>
        <w:t xml:space="preserve">  Although we expect applicants  to provide complete and accurate information in all filings with the Commission, under our liberal amendment policy we will permit winning bidders to amend their long-form applications—including, as necessary, amendments to resolve site availability issues</w:t>
      </w:r>
      <w:r w:rsidRPr="006028A9">
        <w:t xml:space="preserve">.  </w:t>
      </w:r>
      <w:r w:rsidRPr="00117BB7">
        <w:rPr>
          <w:i/>
        </w:rPr>
        <w:t>See</w:t>
      </w:r>
      <w:r w:rsidRPr="00117BB7">
        <w:t xml:space="preserve"> </w:t>
      </w:r>
      <w:r w:rsidRPr="00117BB7">
        <w:rPr>
          <w:i/>
        </w:rPr>
        <w:t>Broadcast First Report and Order</w:t>
      </w:r>
      <w:r w:rsidRPr="00117BB7">
        <w:t>, 13 FCC Rcd at 15986-89</w:t>
      </w:r>
      <w:r w:rsidR="00FD2CA2">
        <w:t xml:space="preserve"> ¶¶ 167-76</w:t>
      </w:r>
      <w:r w:rsidRPr="00117BB7">
        <w:t xml:space="preserve">; </w:t>
      </w:r>
      <w:r w:rsidRPr="00B1519F">
        <w:t>Mark Lipp, Esq.</w:t>
      </w:r>
      <w:r w:rsidRPr="008441F7">
        <w:t xml:space="preserve">, </w:t>
      </w:r>
      <w:r w:rsidRPr="00B1519F">
        <w:rPr>
          <w:i/>
        </w:rPr>
        <w:t>Letter</w:t>
      </w:r>
      <w:r w:rsidRPr="008441F7">
        <w:t xml:space="preserve">, 27 FCC Rcd 15190, 15193 (MB 2012); </w:t>
      </w:r>
      <w:r w:rsidRPr="00B1519F">
        <w:t>David Oxenford, Esq</w:t>
      </w:r>
      <w:r w:rsidRPr="008441F7">
        <w:rPr>
          <w:i/>
        </w:rPr>
        <w:t>.</w:t>
      </w:r>
      <w:r w:rsidRPr="008441F7">
        <w:t xml:space="preserve">, </w:t>
      </w:r>
      <w:r w:rsidRPr="00B1519F">
        <w:rPr>
          <w:i/>
        </w:rPr>
        <w:t>Letter</w:t>
      </w:r>
      <w:r w:rsidRPr="008441F7">
        <w:t>, DA 13-997</w:t>
      </w:r>
      <w:r w:rsidR="004A3D27">
        <w:t>, 28 FCC Rcd 6269</w:t>
      </w:r>
      <w:r w:rsidRPr="008441F7">
        <w:t xml:space="preserve"> (MB 2013).</w:t>
      </w:r>
    </w:p>
  </w:footnote>
  <w:footnote w:id="50">
    <w:p w14:paraId="0AA527E6" w14:textId="77777777" w:rsidR="00587053" w:rsidRPr="0081691F" w:rsidRDefault="00587053" w:rsidP="00587053">
      <w:pPr>
        <w:pStyle w:val="FootnoteText"/>
      </w:pPr>
      <w:r w:rsidRPr="0081691F">
        <w:rPr>
          <w:rStyle w:val="FootnoteReference"/>
        </w:rPr>
        <w:footnoteRef/>
      </w:r>
      <w:r w:rsidRPr="0081691F">
        <w:t xml:space="preserve"> 47 C.F.R. §§ 1.2105(a)(2)(viii), 1.2105(c)(1).  </w:t>
      </w:r>
      <w:r w:rsidRPr="0081691F">
        <w:rPr>
          <w:i/>
        </w:rPr>
        <w:t xml:space="preserve">See also </w:t>
      </w:r>
      <w:r w:rsidRPr="0081691F">
        <w:t xml:space="preserve">Amendment of Part 1 of the Commission's Rules – Competitive Bidding Procedures, WT Docket No. 97-82, </w:t>
      </w:r>
      <w:r w:rsidRPr="0081691F">
        <w:rPr>
          <w:i/>
        </w:rPr>
        <w:t>Seventh Report and Order</w:t>
      </w:r>
      <w:r w:rsidRPr="0081691F">
        <w:t xml:space="preserve">, FCC 01-270, 16 FCC Rcd 17546 (2001); </w:t>
      </w:r>
      <w:r w:rsidRPr="0081691F">
        <w:rPr>
          <w:i/>
        </w:rPr>
        <w:t>Order on Reconsideration of the Third Report and Order, Fifth Report and Order, and Fourth Further Notice of Proposed Rule Making</w:t>
      </w:r>
      <w:r w:rsidRPr="0081691F">
        <w:t>,</w:t>
      </w:r>
      <w:r w:rsidRPr="0081691F">
        <w:rPr>
          <w:i/>
        </w:rPr>
        <w:t xml:space="preserve"> </w:t>
      </w:r>
      <w:r w:rsidRPr="0081691F">
        <w:t>FCC 00-274, 15 FCC Rcd 15293, 15297-98 ¶¶ 7-8 (2000).</w:t>
      </w:r>
    </w:p>
  </w:footnote>
  <w:footnote w:id="51">
    <w:p w14:paraId="7CF8514E" w14:textId="412B66F3" w:rsidR="00587053" w:rsidRPr="002C2B5F" w:rsidRDefault="00587053" w:rsidP="00587053">
      <w:pPr>
        <w:pStyle w:val="FootnoteText"/>
        <w:tabs>
          <w:tab w:val="left" w:pos="-720"/>
        </w:tabs>
        <w:suppressAutoHyphens/>
      </w:pPr>
      <w:r w:rsidRPr="0081691F">
        <w:rPr>
          <w:rStyle w:val="FootnoteReference"/>
          <w:color w:val="000000"/>
        </w:rPr>
        <w:footnoteRef/>
      </w:r>
      <w:r w:rsidRPr="0081691F">
        <w:rPr>
          <w:color w:val="000000"/>
        </w:rPr>
        <w:t xml:space="preserve"> </w:t>
      </w:r>
      <w:r w:rsidRPr="0081691F">
        <w:rPr>
          <w:i/>
          <w:color w:val="000000"/>
        </w:rPr>
        <w:t>See</w:t>
      </w:r>
      <w:r w:rsidRPr="0081691F">
        <w:rPr>
          <w:color w:val="000000"/>
        </w:rPr>
        <w:t xml:space="preserve"> </w:t>
      </w:r>
      <w:r w:rsidRPr="0081691F">
        <w:rPr>
          <w:i/>
        </w:rPr>
        <w:t>Auction 9</w:t>
      </w:r>
      <w:r w:rsidR="00D4294C">
        <w:rPr>
          <w:i/>
        </w:rPr>
        <w:t>8</w:t>
      </w:r>
      <w:r w:rsidRPr="0081691F">
        <w:rPr>
          <w:i/>
        </w:rPr>
        <w:t xml:space="preserve"> Procedures Public Notice</w:t>
      </w:r>
      <w:r w:rsidRPr="0081691F">
        <w:t xml:space="preserve">, </w:t>
      </w:r>
      <w:r w:rsidR="00D4294C">
        <w:t>30</w:t>
      </w:r>
      <w:r w:rsidRPr="00CC31D8">
        <w:t xml:space="preserve"> FCC </w:t>
      </w:r>
      <w:r w:rsidRPr="002C2B5F">
        <w:t xml:space="preserve">Rcd at </w:t>
      </w:r>
      <w:r w:rsidR="00D4294C">
        <w:t>3550</w:t>
      </w:r>
      <w:r w:rsidRPr="002C2B5F">
        <w:t xml:space="preserve"> ¶ 1</w:t>
      </w:r>
      <w:r w:rsidR="00D4294C">
        <w:t>4</w:t>
      </w:r>
      <w:r w:rsidRPr="002C2B5F">
        <w:t xml:space="preserve">. </w:t>
      </w:r>
      <w:r w:rsidRPr="002C2B5F">
        <w:rPr>
          <w:color w:val="000000"/>
        </w:rPr>
        <w:t xml:space="preserve"> </w:t>
      </w:r>
    </w:p>
  </w:footnote>
  <w:footnote w:id="52">
    <w:p w14:paraId="5D542AB9" w14:textId="74C8D807" w:rsidR="00587053" w:rsidRPr="002C2B5F" w:rsidRDefault="00587053" w:rsidP="00587053">
      <w:pPr>
        <w:pStyle w:val="FootnoteText"/>
      </w:pPr>
      <w:r w:rsidRPr="002C2B5F">
        <w:rPr>
          <w:rStyle w:val="FootnoteReference"/>
        </w:rPr>
        <w:footnoteRef/>
      </w:r>
      <w:r w:rsidRPr="002C2B5F">
        <w:t xml:space="preserve"> </w:t>
      </w:r>
      <w:r w:rsidRPr="002C2B5F">
        <w:rPr>
          <w:color w:val="000000"/>
        </w:rPr>
        <w:t xml:space="preserve"> </w:t>
      </w:r>
      <w:r w:rsidRPr="002C2B5F">
        <w:rPr>
          <w:i/>
          <w:color w:val="000000"/>
        </w:rPr>
        <w:t>See</w:t>
      </w:r>
      <w:r w:rsidR="00627A2B">
        <w:rPr>
          <w:i/>
          <w:color w:val="000000"/>
        </w:rPr>
        <w:t xml:space="preserve"> id.</w:t>
      </w:r>
      <w:r w:rsidRPr="002C2B5F">
        <w:rPr>
          <w:color w:val="000000"/>
        </w:rPr>
        <w:t xml:space="preserve"> </w:t>
      </w:r>
      <w:r w:rsidR="00667AFB">
        <w:t>30</w:t>
      </w:r>
      <w:r w:rsidRPr="002C2B5F">
        <w:t xml:space="preserve"> FCC Rcd at </w:t>
      </w:r>
      <w:r w:rsidR="00667AFB">
        <w:t>3548</w:t>
      </w:r>
      <w:r w:rsidRPr="002C2B5F">
        <w:t>-</w:t>
      </w:r>
      <w:r w:rsidR="00667AFB">
        <w:t>54</w:t>
      </w:r>
      <w:r w:rsidRPr="002C2B5F">
        <w:t xml:space="preserve"> ¶¶ </w:t>
      </w:r>
      <w:r w:rsidR="00667AFB">
        <w:t>8</w:t>
      </w:r>
      <w:r w:rsidRPr="002C2B5F">
        <w:t>-</w:t>
      </w:r>
      <w:r w:rsidR="00667AFB">
        <w:t>28</w:t>
      </w:r>
      <w:r w:rsidRPr="002C2B5F">
        <w:t>.</w:t>
      </w:r>
      <w:r w:rsidRPr="002C2B5F">
        <w:rPr>
          <w:color w:val="000000"/>
        </w:rPr>
        <w:t xml:space="preserve"> </w:t>
      </w:r>
    </w:p>
  </w:footnote>
  <w:footnote w:id="53">
    <w:p w14:paraId="00F7F21F" w14:textId="3288B2AC" w:rsidR="00587053" w:rsidRPr="002C2B5F" w:rsidRDefault="00587053" w:rsidP="00587053">
      <w:pPr>
        <w:pStyle w:val="FootnoteText"/>
      </w:pPr>
      <w:r w:rsidRPr="002C2B5F">
        <w:rPr>
          <w:rStyle w:val="FootnoteReference"/>
        </w:rPr>
        <w:footnoteRef/>
      </w:r>
      <w:r w:rsidRPr="002C2B5F">
        <w:t xml:space="preserve"> </w:t>
      </w:r>
      <w:r w:rsidRPr="002C2B5F">
        <w:rPr>
          <w:i/>
        </w:rPr>
        <w:t>Id</w:t>
      </w:r>
      <w:r w:rsidRPr="002C2B5F">
        <w:t xml:space="preserve">., </w:t>
      </w:r>
      <w:r w:rsidR="00667AFB">
        <w:t>30</w:t>
      </w:r>
      <w:r w:rsidRPr="002C2B5F">
        <w:t xml:space="preserve"> FCC Rcd at </w:t>
      </w:r>
      <w:r w:rsidR="00667AFB">
        <w:t>3550</w:t>
      </w:r>
      <w:r w:rsidRPr="002C2B5F">
        <w:t xml:space="preserve"> ¶ 1</w:t>
      </w:r>
      <w:r w:rsidR="00667AFB">
        <w:t>4</w:t>
      </w:r>
      <w:r w:rsidRPr="002C2B5F">
        <w:t>.</w:t>
      </w:r>
    </w:p>
  </w:footnote>
  <w:footnote w:id="54">
    <w:p w14:paraId="43104CDA" w14:textId="77777777" w:rsidR="00587053" w:rsidRDefault="00587053" w:rsidP="00587053">
      <w:pPr>
        <w:pStyle w:val="FootnoteText"/>
      </w:pPr>
      <w:r w:rsidRPr="002C2B5F">
        <w:rPr>
          <w:rStyle w:val="FootnoteReference"/>
        </w:rPr>
        <w:footnoteRef/>
      </w:r>
      <w:r w:rsidRPr="002C2B5F">
        <w:t xml:space="preserve"> </w:t>
      </w:r>
      <w:r w:rsidRPr="002C2B5F">
        <w:rPr>
          <w:i/>
        </w:rPr>
        <w:t>See</w:t>
      </w:r>
      <w:r w:rsidRPr="002C2B5F">
        <w:t xml:space="preserve"> 47 C.F.R. § 1.2105(a)(2)(ix).</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53871C" w14:textId="77777777" w:rsidR="0091465D" w:rsidRDefault="0091465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DA1F83" w14:textId="623FED5D" w:rsidR="006F7393" w:rsidRPr="002D497D" w:rsidRDefault="006F7393" w:rsidP="002F16CE">
    <w:pPr>
      <w:pStyle w:val="Header"/>
      <w:rPr>
        <w:rFonts w:ascii="Times New Roman" w:hAnsi="Times New Roman" w:cs="Times New Roman"/>
        <w:sz w:val="24"/>
        <w:szCs w:val="24"/>
      </w:rPr>
    </w:pPr>
    <w:r w:rsidRPr="00824FAC">
      <w:tab/>
    </w:r>
    <w:r w:rsidRPr="002D497D">
      <w:rPr>
        <w:rFonts w:ascii="Times New Roman" w:hAnsi="Times New Roman" w:cs="Times New Roman"/>
        <w:sz w:val="24"/>
        <w:szCs w:val="24"/>
      </w:rPr>
      <w:t>Federal Communications Commission</w:t>
    </w:r>
    <w:r w:rsidRPr="002D497D">
      <w:rPr>
        <w:rFonts w:ascii="Times New Roman" w:hAnsi="Times New Roman" w:cs="Times New Roman"/>
        <w:sz w:val="24"/>
        <w:szCs w:val="24"/>
      </w:rPr>
      <w:tab/>
    </w:r>
    <w:r w:rsidR="00824FAC" w:rsidRPr="002D497D">
      <w:rPr>
        <w:rFonts w:ascii="Times New Roman" w:hAnsi="Times New Roman" w:cs="Times New Roman"/>
        <w:sz w:val="24"/>
        <w:szCs w:val="24"/>
      </w:rPr>
      <w:t>DA</w:t>
    </w:r>
    <w:r w:rsidR="00B2240E">
      <w:rPr>
        <w:rFonts w:ascii="Times New Roman" w:hAnsi="Times New Roman" w:cs="Times New Roman"/>
        <w:sz w:val="24"/>
        <w:szCs w:val="24"/>
      </w:rPr>
      <w:t xml:space="preserve"> 15</w:t>
    </w:r>
    <w:r w:rsidR="00824FAC" w:rsidRPr="002D497D">
      <w:rPr>
        <w:rFonts w:ascii="Times New Roman" w:hAnsi="Times New Roman" w:cs="Times New Roman"/>
        <w:sz w:val="24"/>
        <w:szCs w:val="24"/>
      </w:rPr>
      <w:t>-</w:t>
    </w:r>
    <w:r w:rsidR="00B2240E">
      <w:rPr>
        <w:rFonts w:ascii="Times New Roman" w:hAnsi="Times New Roman" w:cs="Times New Roman"/>
        <w:sz w:val="24"/>
        <w:szCs w:val="24"/>
      </w:rPr>
      <w:t>904</w:t>
    </w:r>
  </w:p>
  <w:p w14:paraId="5EF7B80F" w14:textId="77777777" w:rsidR="006F7393" w:rsidRDefault="00B42CE8">
    <w:pPr>
      <w:tabs>
        <w:tab w:val="left" w:pos="-720"/>
      </w:tabs>
      <w:suppressAutoHyphens/>
      <w:spacing w:line="19" w:lineRule="exact"/>
      <w:rPr>
        <w:spacing w:val="-2"/>
      </w:rPr>
    </w:pPr>
    <w:r>
      <w:rPr>
        <w:noProof/>
        <w:snapToGrid/>
      </w:rPr>
      <w:pict w14:anchorId="77629080">
        <v:rect id="_x0000_s2049" style="position:absolute;margin-left:0;margin-top:0;width:468pt;height:.95pt;z-index:-251656704;mso-position-horizontal-relative:margin" o:allowincell="f" fillcolor="black" stroked="f" strokeweight=".05pt">
          <v:fill color2="black"/>
          <w10:wrap anchorx="margin"/>
        </v:rect>
      </w:pict>
    </w:r>
  </w:p>
  <w:p w14:paraId="605CFEA0" w14:textId="77777777" w:rsidR="006F7393" w:rsidRDefault="006F7393">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8EE25F" w14:textId="77777777" w:rsidR="00C82B6B" w:rsidRPr="002F16CE" w:rsidRDefault="00B42CE8" w:rsidP="002F16CE">
    <w:pPr>
      <w:pStyle w:val="Header"/>
    </w:pPr>
    <w:r>
      <w:rPr>
        <w:noProof/>
      </w:rPr>
      <w:pict w14:anchorId="1B4E63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0;text-align:left;margin-left:2.4pt;margin-top:8.5pt;width:41.75pt;height:41.75pt;z-index:251658752" o:allowincell="f">
          <v:imagedata r:id="rId1" o:title="fcc_logo"/>
          <w10:wrap type="topAndBottom"/>
        </v:shape>
      </w:pict>
    </w:r>
    <w:r w:rsidR="00C82B6B" w:rsidRPr="002F16CE">
      <w:t>PUBLIC NOTICE</w:t>
    </w:r>
  </w:p>
  <w:p w14:paraId="718F49D3" w14:textId="77777777" w:rsidR="00C82B6B" w:rsidRDefault="00B42CE8" w:rsidP="002F16CE">
    <w:pPr>
      <w:pStyle w:val="Header"/>
      <w:rPr>
        <w:sz w:val="28"/>
      </w:rPr>
    </w:pPr>
    <w:r>
      <w:rPr>
        <w:noProof/>
      </w:rPr>
      <w:pict w14:anchorId="2954BFB2">
        <v:shapetype id="_x0000_t202" coordsize="21600,21600" o:spt="202" path="m,l,21600r21600,l21600,xe">
          <v:stroke joinstyle="miter"/>
          <v:path gradientshapeok="t" o:connecttype="rect"/>
        </v:shapetype>
        <v:shape id="_x0000_s2050" type="#_x0000_t202" style="position:absolute;left:0;text-align:left;margin-left:-2.7pt;margin-top:2.4pt;width:244.8pt;height:50.4pt;z-index:251655680" o:allowincell="f" stroked="f">
          <v:textbox style="mso-next-textbox:#_x0000_s2050">
            <w:txbxContent>
              <w:p w14:paraId="22035EF9" w14:textId="77777777" w:rsidR="00C82B6B" w:rsidRDefault="00C82B6B" w:rsidP="00C82B6B">
                <w:pPr>
                  <w:rPr>
                    <w:rFonts w:ascii="Arial" w:hAnsi="Arial"/>
                    <w:b/>
                  </w:rPr>
                </w:pPr>
                <w:r>
                  <w:rPr>
                    <w:rFonts w:ascii="Arial" w:hAnsi="Arial"/>
                    <w:b/>
                  </w:rPr>
                  <w:t>Federal Communications Commission</w:t>
                </w:r>
              </w:p>
              <w:p w14:paraId="765F48E0" w14:textId="77777777" w:rsidR="00C82B6B" w:rsidRDefault="00C82B6B" w:rsidP="00C82B6B">
                <w:pPr>
                  <w:rPr>
                    <w:rFonts w:ascii="Arial" w:hAnsi="Arial"/>
                    <w:b/>
                  </w:rPr>
                </w:pPr>
                <w:smartTag w:uri="urn:schemas-microsoft-com:office:smarttags" w:element="Street">
                  <w:smartTag w:uri="urn:schemas-microsoft-com:office:smarttags" w:element="address">
                    <w:r>
                      <w:rPr>
                        <w:rFonts w:ascii="Arial" w:hAnsi="Arial"/>
                        <w:b/>
                      </w:rPr>
                      <w:t>445 12</w:t>
                    </w:r>
                    <w:r>
                      <w:rPr>
                        <w:rFonts w:ascii="Arial" w:hAnsi="Arial"/>
                        <w:b/>
                        <w:vertAlign w:val="superscript"/>
                      </w:rPr>
                      <w:t>th</w:t>
                    </w:r>
                    <w:r>
                      <w:rPr>
                        <w:rFonts w:ascii="Arial" w:hAnsi="Arial"/>
                        <w:b/>
                      </w:rPr>
                      <w:t xml:space="preserve"> St., S.W.</w:t>
                    </w:r>
                  </w:smartTag>
                </w:smartTag>
              </w:p>
              <w:p w14:paraId="407BB216" w14:textId="77777777" w:rsidR="00C82B6B" w:rsidRDefault="00C82B6B" w:rsidP="00C82B6B">
                <w:pPr>
                  <w:rPr>
                    <w:rFonts w:ascii="Arial" w:hAnsi="Arial"/>
                    <w:sz w:val="24"/>
                  </w:rPr>
                </w:pPr>
                <w:smartTag w:uri="urn:schemas-microsoft-com:office:smarttags" w:element="place">
                  <w:smartTag w:uri="urn:schemas-microsoft-com:office:smarttags" w:element="City">
                    <w:r>
                      <w:rPr>
                        <w:rFonts w:ascii="Arial" w:hAnsi="Arial"/>
                        <w:b/>
                      </w:rPr>
                      <w:t>Washington</w:t>
                    </w:r>
                  </w:smartTag>
                  <w:r>
                    <w:rPr>
                      <w:rFonts w:ascii="Arial" w:hAnsi="Arial"/>
                      <w:b/>
                    </w:rPr>
                    <w:t xml:space="preserve">, </w:t>
                  </w:r>
                  <w:smartTag w:uri="urn:schemas-microsoft-com:office:smarttags" w:element="State">
                    <w:r>
                      <w:rPr>
                        <w:rFonts w:ascii="Arial" w:hAnsi="Arial"/>
                        <w:b/>
                      </w:rPr>
                      <w:t>D.C.</w:t>
                    </w:r>
                  </w:smartTag>
                  <w:r>
                    <w:rPr>
                      <w:rFonts w:ascii="Arial" w:hAnsi="Arial"/>
                      <w:b/>
                    </w:rPr>
                    <w:t xml:space="preserve"> </w:t>
                  </w:r>
                  <w:smartTag w:uri="urn:schemas-microsoft-com:office:smarttags" w:element="PostalCode">
                    <w:r>
                      <w:rPr>
                        <w:rFonts w:ascii="Arial" w:hAnsi="Arial"/>
                        <w:b/>
                      </w:rPr>
                      <w:t>20554</w:t>
                    </w:r>
                  </w:smartTag>
                </w:smartTag>
              </w:p>
            </w:txbxContent>
          </v:textbox>
        </v:shape>
      </w:pict>
    </w:r>
    <w:r>
      <w:rPr>
        <w:noProof/>
        <w:sz w:val="24"/>
      </w:rPr>
      <w:pict w14:anchorId="334AE36F">
        <v:shape id="_x0000_s2052" type="#_x0000_t202" style="position:absolute;left:0;text-align:left;margin-left:264.8pt;margin-top:10.25pt;width:207.95pt;height:43.2pt;z-index:251657728" o:allowincell="f" stroked="f">
          <v:textbox style="mso-next-textbox:#_x0000_s2052" inset=",0,,0">
            <w:txbxContent>
              <w:p w14:paraId="14E908E2" w14:textId="77777777" w:rsidR="00C82B6B" w:rsidRDefault="00C82B6B" w:rsidP="00C82B6B">
                <w:pPr>
                  <w:spacing w:before="40"/>
                  <w:jc w:val="right"/>
                  <w:rPr>
                    <w:rFonts w:ascii="Arial" w:hAnsi="Arial"/>
                    <w:b/>
                    <w:sz w:val="16"/>
                  </w:rPr>
                </w:pPr>
                <w:r>
                  <w:rPr>
                    <w:rFonts w:ascii="Arial" w:hAnsi="Arial"/>
                    <w:b/>
                    <w:sz w:val="16"/>
                  </w:rPr>
                  <w:t>News Media Information 202 / 418-0500</w:t>
                </w:r>
              </w:p>
              <w:p w14:paraId="4B06911B" w14:textId="77777777" w:rsidR="00C82B6B" w:rsidRDefault="00C82B6B" w:rsidP="00C82B6B">
                <w:pPr>
                  <w:jc w:val="right"/>
                  <w:rPr>
                    <w:rFonts w:ascii="Arial" w:hAnsi="Arial"/>
                    <w:b/>
                    <w:sz w:val="16"/>
                  </w:rPr>
                </w:pPr>
                <w:r>
                  <w:rPr>
                    <w:rFonts w:ascii="Arial" w:hAnsi="Arial"/>
                    <w:b/>
                    <w:sz w:val="16"/>
                  </w:rPr>
                  <w:tab/>
                  <w:t xml:space="preserve">Internet: </w:t>
                </w:r>
                <w:bookmarkStart w:id="21" w:name="_Hlt233824"/>
                <w:r>
                  <w:rPr>
                    <w:rFonts w:ascii="Arial" w:hAnsi="Arial"/>
                    <w:b/>
                    <w:sz w:val="16"/>
                  </w:rPr>
                  <w:t>h</w:t>
                </w:r>
                <w:bookmarkEnd w:id="21"/>
                <w:r>
                  <w:rPr>
                    <w:rFonts w:ascii="Arial" w:hAnsi="Arial"/>
                    <w:b/>
                    <w:sz w:val="16"/>
                  </w:rPr>
                  <w:t>ttp://www.fcc.gov</w:t>
                </w:r>
              </w:p>
              <w:p w14:paraId="55F98BD4" w14:textId="77777777" w:rsidR="00C82B6B" w:rsidRDefault="00C82B6B" w:rsidP="00C82B6B">
                <w:pPr>
                  <w:jc w:val="right"/>
                  <w:rPr>
                    <w:rFonts w:ascii="Arial" w:hAnsi="Arial"/>
                    <w:b/>
                    <w:sz w:val="16"/>
                  </w:rPr>
                </w:pPr>
                <w:r>
                  <w:rPr>
                    <w:rFonts w:ascii="Arial" w:hAnsi="Arial"/>
                    <w:b/>
                    <w:sz w:val="16"/>
                  </w:rPr>
                  <w:t>TTY: 1-888-835-5322</w:t>
                </w:r>
              </w:p>
              <w:p w14:paraId="617627BE" w14:textId="77777777" w:rsidR="00C82B6B" w:rsidRDefault="00C82B6B" w:rsidP="00C82B6B">
                <w:pPr>
                  <w:jc w:val="right"/>
                </w:pPr>
              </w:p>
            </w:txbxContent>
          </v:textbox>
        </v:shape>
      </w:pict>
    </w:r>
  </w:p>
  <w:p w14:paraId="21101266" w14:textId="77777777" w:rsidR="006F7393" w:rsidRPr="00C82B6B" w:rsidRDefault="00B42CE8" w:rsidP="002F16CE">
    <w:pPr>
      <w:pStyle w:val="Header"/>
    </w:pPr>
    <w:r>
      <w:rPr>
        <w:noProof/>
      </w:rPr>
      <w:pict w14:anchorId="5B03F602">
        <v:line id="_x0000_s2051" style="position:absolute;left:0;text-align:left;z-index:251656704" from="2.4pt,38.85pt" to="468pt,38.85pt" o:allowincell="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8DC0302"/>
    <w:lvl w:ilvl="0">
      <w:start w:val="1"/>
      <w:numFmt w:val="decimal"/>
      <w:lvlText w:val="%1."/>
      <w:lvlJc w:val="left"/>
      <w:pPr>
        <w:tabs>
          <w:tab w:val="num" w:pos="1800"/>
        </w:tabs>
        <w:ind w:left="1800" w:hanging="360"/>
      </w:pPr>
    </w:lvl>
  </w:abstractNum>
  <w:abstractNum w:abstractNumId="1">
    <w:nsid w:val="FFFFFF7D"/>
    <w:multiLevelType w:val="singleLevel"/>
    <w:tmpl w:val="FF4A77DC"/>
    <w:lvl w:ilvl="0">
      <w:start w:val="1"/>
      <w:numFmt w:val="decimal"/>
      <w:lvlText w:val="%1."/>
      <w:lvlJc w:val="left"/>
      <w:pPr>
        <w:tabs>
          <w:tab w:val="num" w:pos="1440"/>
        </w:tabs>
        <w:ind w:left="1440" w:hanging="360"/>
      </w:pPr>
    </w:lvl>
  </w:abstractNum>
  <w:abstractNum w:abstractNumId="2">
    <w:nsid w:val="FFFFFF7E"/>
    <w:multiLevelType w:val="singleLevel"/>
    <w:tmpl w:val="FDB81C24"/>
    <w:lvl w:ilvl="0">
      <w:start w:val="1"/>
      <w:numFmt w:val="decimal"/>
      <w:lvlText w:val="%1."/>
      <w:lvlJc w:val="left"/>
      <w:pPr>
        <w:tabs>
          <w:tab w:val="num" w:pos="1080"/>
        </w:tabs>
        <w:ind w:left="1080" w:hanging="360"/>
      </w:pPr>
    </w:lvl>
  </w:abstractNum>
  <w:abstractNum w:abstractNumId="3">
    <w:nsid w:val="FFFFFF7F"/>
    <w:multiLevelType w:val="singleLevel"/>
    <w:tmpl w:val="2C4A9FDA"/>
    <w:lvl w:ilvl="0">
      <w:start w:val="1"/>
      <w:numFmt w:val="decimal"/>
      <w:lvlText w:val="%1."/>
      <w:lvlJc w:val="left"/>
      <w:pPr>
        <w:tabs>
          <w:tab w:val="num" w:pos="720"/>
        </w:tabs>
        <w:ind w:left="720" w:hanging="360"/>
      </w:pPr>
    </w:lvl>
  </w:abstractNum>
  <w:abstractNum w:abstractNumId="4">
    <w:nsid w:val="FFFFFF80"/>
    <w:multiLevelType w:val="singleLevel"/>
    <w:tmpl w:val="AC7821B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E760DC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6CA747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76C06D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2BC07F8"/>
    <w:lvl w:ilvl="0">
      <w:start w:val="1"/>
      <w:numFmt w:val="decimal"/>
      <w:lvlText w:val="%1."/>
      <w:lvlJc w:val="left"/>
      <w:pPr>
        <w:tabs>
          <w:tab w:val="num" w:pos="360"/>
        </w:tabs>
        <w:ind w:left="360" w:hanging="360"/>
      </w:pPr>
    </w:lvl>
  </w:abstractNum>
  <w:abstractNum w:abstractNumId="9">
    <w:nsid w:val="FFFFFF89"/>
    <w:multiLevelType w:val="singleLevel"/>
    <w:tmpl w:val="2106642E"/>
    <w:lvl w:ilvl="0">
      <w:start w:val="1"/>
      <w:numFmt w:val="bullet"/>
      <w:lvlText w:val=""/>
      <w:lvlJc w:val="left"/>
      <w:pPr>
        <w:tabs>
          <w:tab w:val="num" w:pos="360"/>
        </w:tabs>
        <w:ind w:left="360" w:hanging="360"/>
      </w:pPr>
      <w:rPr>
        <w:rFonts w:ascii="Symbol" w:hAnsi="Symbol" w:hint="default"/>
      </w:rPr>
    </w:lvl>
  </w:abstractNum>
  <w:abstractNum w:abstractNumId="10">
    <w:nsid w:val="025A783C"/>
    <w:multiLevelType w:val="singleLevel"/>
    <w:tmpl w:val="35B0FFA2"/>
    <w:lvl w:ilvl="0">
      <w:start w:val="1"/>
      <w:numFmt w:val="decimal"/>
      <w:pStyle w:val="ParaNumChar"/>
      <w:lvlText w:val="%1."/>
      <w:lvlJc w:val="left"/>
      <w:pPr>
        <w:tabs>
          <w:tab w:val="num" w:pos="1080"/>
        </w:tabs>
        <w:ind w:left="0" w:firstLine="720"/>
      </w:pPr>
      <w:rPr>
        <w:b w:val="0"/>
        <w:i w:val="0"/>
      </w:rPr>
    </w:lvl>
  </w:abstractNum>
  <w:abstractNum w:abstractNumId="11">
    <w:nsid w:val="084B453C"/>
    <w:multiLevelType w:val="singleLevel"/>
    <w:tmpl w:val="40A8E97A"/>
    <w:lvl w:ilvl="0">
      <w:start w:val="1"/>
      <w:numFmt w:val="decimal"/>
      <w:lvlText w:val="%1."/>
      <w:lvlJc w:val="left"/>
      <w:pPr>
        <w:tabs>
          <w:tab w:val="num" w:pos="1080"/>
        </w:tabs>
        <w:ind w:left="0" w:firstLine="720"/>
      </w:pPr>
    </w:lvl>
  </w:abstractNum>
  <w:abstractNum w:abstractNumId="12">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13">
    <w:nsid w:val="248246F3"/>
    <w:multiLevelType w:val="singleLevel"/>
    <w:tmpl w:val="B1F45678"/>
    <w:lvl w:ilvl="0">
      <w:start w:val="1"/>
      <w:numFmt w:val="decimal"/>
      <w:lvlText w:val="%1."/>
      <w:lvlJc w:val="left"/>
      <w:pPr>
        <w:tabs>
          <w:tab w:val="num" w:pos="1080"/>
        </w:tabs>
        <w:ind w:left="0" w:firstLine="720"/>
      </w:pPr>
    </w:lvl>
  </w:abstractNum>
  <w:abstractNum w:abstractNumId="14">
    <w:nsid w:val="27E06CBB"/>
    <w:multiLevelType w:val="multilevel"/>
    <w:tmpl w:val="9B50C6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5">
    <w:nsid w:val="4DF61CE4"/>
    <w:multiLevelType w:val="multilevel"/>
    <w:tmpl w:val="F1A86982"/>
    <w:lvl w:ilvl="0">
      <w:start w:val="1"/>
      <w:numFmt w:val="upperRoman"/>
      <w:pStyle w:val="StyleParaNumSpaceAfter0pt"/>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6">
    <w:nsid w:val="61182925"/>
    <w:multiLevelType w:val="singleLevel"/>
    <w:tmpl w:val="B87AD3A2"/>
    <w:lvl w:ilvl="0">
      <w:start w:val="1"/>
      <w:numFmt w:val="decimal"/>
      <w:pStyle w:val="ParaNum"/>
      <w:lvlText w:val="%1."/>
      <w:lvlJc w:val="left"/>
      <w:pPr>
        <w:tabs>
          <w:tab w:val="num" w:pos="1080"/>
        </w:tabs>
        <w:ind w:left="0" w:firstLine="720"/>
      </w:pPr>
      <w:rPr>
        <w:b w:val="0"/>
      </w:rPr>
    </w:lvl>
  </w:abstractNum>
  <w:num w:numId="1">
    <w:abstractNumId w:val="12"/>
  </w:num>
  <w:num w:numId="2">
    <w:abstractNumId w:val="16"/>
  </w:num>
  <w:num w:numId="3">
    <w:abstractNumId w:val="14"/>
  </w:num>
  <w:num w:numId="4">
    <w:abstractNumId w:val="15"/>
  </w:num>
  <w:num w:numId="5">
    <w:abstractNumId w:val="13"/>
  </w:num>
  <w:num w:numId="6">
    <w:abstractNumId w:val="11"/>
  </w:num>
  <w:num w:numId="7">
    <w:abstractNumId w:val="10"/>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5"/>
    <o:shapelayout v:ext="edit">
      <o:idmap v:ext="edit" data="2"/>
    </o:shapelayout>
  </w:hdrShapeDefaults>
  <w:footnotePr>
    <w:footnote w:id="-1"/>
    <w:footnote w:id="0"/>
    <w:footnote w:id="1"/>
  </w:footnotePr>
  <w:endnotePr>
    <w:numFmt w:val="decimal"/>
    <w:endnote w:id="-1"/>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62E97"/>
    <w:rsid w:val="00035323"/>
    <w:rsid w:val="00036039"/>
    <w:rsid w:val="00037F90"/>
    <w:rsid w:val="0004180B"/>
    <w:rsid w:val="000875BF"/>
    <w:rsid w:val="00096D8C"/>
    <w:rsid w:val="000C0B65"/>
    <w:rsid w:val="000E3D42"/>
    <w:rsid w:val="000E5884"/>
    <w:rsid w:val="0012059D"/>
    <w:rsid w:val="00122BD5"/>
    <w:rsid w:val="00145E93"/>
    <w:rsid w:val="001471DF"/>
    <w:rsid w:val="001630DA"/>
    <w:rsid w:val="001932C6"/>
    <w:rsid w:val="001A4D8E"/>
    <w:rsid w:val="001B2659"/>
    <w:rsid w:val="001B2DD3"/>
    <w:rsid w:val="001D188F"/>
    <w:rsid w:val="001D6BCF"/>
    <w:rsid w:val="001E01CA"/>
    <w:rsid w:val="00226822"/>
    <w:rsid w:val="0023491B"/>
    <w:rsid w:val="00285017"/>
    <w:rsid w:val="002A2D2E"/>
    <w:rsid w:val="002A5056"/>
    <w:rsid w:val="002C290B"/>
    <w:rsid w:val="002D497D"/>
    <w:rsid w:val="002E4104"/>
    <w:rsid w:val="002F16CE"/>
    <w:rsid w:val="002F2176"/>
    <w:rsid w:val="00307010"/>
    <w:rsid w:val="003310EC"/>
    <w:rsid w:val="00343749"/>
    <w:rsid w:val="003A3BED"/>
    <w:rsid w:val="003B0550"/>
    <w:rsid w:val="003B35E2"/>
    <w:rsid w:val="003B694F"/>
    <w:rsid w:val="003E69E3"/>
    <w:rsid w:val="003F171C"/>
    <w:rsid w:val="004056BB"/>
    <w:rsid w:val="0041223B"/>
    <w:rsid w:val="00412FC5"/>
    <w:rsid w:val="00422276"/>
    <w:rsid w:val="004242F1"/>
    <w:rsid w:val="00445A00"/>
    <w:rsid w:val="00451B0F"/>
    <w:rsid w:val="00496106"/>
    <w:rsid w:val="004A3D27"/>
    <w:rsid w:val="004C12D0"/>
    <w:rsid w:val="004C2EE3"/>
    <w:rsid w:val="004E4896"/>
    <w:rsid w:val="004E4A22"/>
    <w:rsid w:val="00501E2E"/>
    <w:rsid w:val="00511968"/>
    <w:rsid w:val="0055614C"/>
    <w:rsid w:val="00571E81"/>
    <w:rsid w:val="00587053"/>
    <w:rsid w:val="0059753C"/>
    <w:rsid w:val="005A36A0"/>
    <w:rsid w:val="006074EA"/>
    <w:rsid w:val="00607BA5"/>
    <w:rsid w:val="006208B7"/>
    <w:rsid w:val="00626EB6"/>
    <w:rsid w:val="00627A2B"/>
    <w:rsid w:val="00654B1D"/>
    <w:rsid w:val="00655D03"/>
    <w:rsid w:val="00667AFB"/>
    <w:rsid w:val="00670526"/>
    <w:rsid w:val="00683F84"/>
    <w:rsid w:val="006A6A81"/>
    <w:rsid w:val="006E2429"/>
    <w:rsid w:val="006E26AF"/>
    <w:rsid w:val="006F7393"/>
    <w:rsid w:val="0070224F"/>
    <w:rsid w:val="007115F7"/>
    <w:rsid w:val="00736B57"/>
    <w:rsid w:val="007536D4"/>
    <w:rsid w:val="00754F5E"/>
    <w:rsid w:val="00785689"/>
    <w:rsid w:val="0079754B"/>
    <w:rsid w:val="007A1E6D"/>
    <w:rsid w:val="007C788C"/>
    <w:rsid w:val="007D36D8"/>
    <w:rsid w:val="0080333E"/>
    <w:rsid w:val="00822CE0"/>
    <w:rsid w:val="00824FAC"/>
    <w:rsid w:val="00837C62"/>
    <w:rsid w:val="00841AB1"/>
    <w:rsid w:val="00854B58"/>
    <w:rsid w:val="008A39FA"/>
    <w:rsid w:val="008E06E2"/>
    <w:rsid w:val="008E3645"/>
    <w:rsid w:val="0091465D"/>
    <w:rsid w:val="00922F52"/>
    <w:rsid w:val="00926503"/>
    <w:rsid w:val="009458EB"/>
    <w:rsid w:val="009615DD"/>
    <w:rsid w:val="00964A4A"/>
    <w:rsid w:val="00987FD2"/>
    <w:rsid w:val="009A5255"/>
    <w:rsid w:val="009B0DB4"/>
    <w:rsid w:val="009C7AE1"/>
    <w:rsid w:val="009D001E"/>
    <w:rsid w:val="009E2FE4"/>
    <w:rsid w:val="009F0080"/>
    <w:rsid w:val="00A45F4F"/>
    <w:rsid w:val="00A600A9"/>
    <w:rsid w:val="00AA4C56"/>
    <w:rsid w:val="00AA55B7"/>
    <w:rsid w:val="00AA5B9E"/>
    <w:rsid w:val="00AB2407"/>
    <w:rsid w:val="00AB53DF"/>
    <w:rsid w:val="00AC6E96"/>
    <w:rsid w:val="00AD58DA"/>
    <w:rsid w:val="00AD5F96"/>
    <w:rsid w:val="00B07E5C"/>
    <w:rsid w:val="00B1519F"/>
    <w:rsid w:val="00B2240E"/>
    <w:rsid w:val="00B41F4D"/>
    <w:rsid w:val="00B42CE8"/>
    <w:rsid w:val="00B642D3"/>
    <w:rsid w:val="00B811F7"/>
    <w:rsid w:val="00BA5DC6"/>
    <w:rsid w:val="00BA6196"/>
    <w:rsid w:val="00BC11BD"/>
    <w:rsid w:val="00BC6D8C"/>
    <w:rsid w:val="00BD0D72"/>
    <w:rsid w:val="00C034FE"/>
    <w:rsid w:val="00C20301"/>
    <w:rsid w:val="00C34006"/>
    <w:rsid w:val="00C352DB"/>
    <w:rsid w:val="00C426B1"/>
    <w:rsid w:val="00C621C8"/>
    <w:rsid w:val="00C636A3"/>
    <w:rsid w:val="00C82B6B"/>
    <w:rsid w:val="00C90D6A"/>
    <w:rsid w:val="00CB7FEA"/>
    <w:rsid w:val="00CC72B6"/>
    <w:rsid w:val="00CF3723"/>
    <w:rsid w:val="00D0218D"/>
    <w:rsid w:val="00D04C30"/>
    <w:rsid w:val="00D05463"/>
    <w:rsid w:val="00D4294C"/>
    <w:rsid w:val="00D44548"/>
    <w:rsid w:val="00D458DD"/>
    <w:rsid w:val="00D55DE7"/>
    <w:rsid w:val="00DA2529"/>
    <w:rsid w:val="00DB130A"/>
    <w:rsid w:val="00DC10A1"/>
    <w:rsid w:val="00DC655F"/>
    <w:rsid w:val="00DD7EBD"/>
    <w:rsid w:val="00DF439E"/>
    <w:rsid w:val="00DF62B6"/>
    <w:rsid w:val="00E07225"/>
    <w:rsid w:val="00E44708"/>
    <w:rsid w:val="00E5409F"/>
    <w:rsid w:val="00E601B1"/>
    <w:rsid w:val="00EB2201"/>
    <w:rsid w:val="00F021FA"/>
    <w:rsid w:val="00F058E1"/>
    <w:rsid w:val="00F15947"/>
    <w:rsid w:val="00F57ACA"/>
    <w:rsid w:val="00F62E97"/>
    <w:rsid w:val="00F64209"/>
    <w:rsid w:val="00F87B02"/>
    <w:rsid w:val="00F90621"/>
    <w:rsid w:val="00F93BF5"/>
    <w:rsid w:val="00FA7C94"/>
    <w:rsid w:val="00FD2CA2"/>
    <w:rsid w:val="00FE05BC"/>
    <w:rsid w:val="00FF045C"/>
    <w:rsid w:val="00FF0C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ersonName"/>
  <w:shapeDefaults>
    <o:shapedefaults v:ext="edit" spidmax="2055"/>
    <o:shapelayout v:ext="edit">
      <o:idmap v:ext="edit" data="1"/>
    </o:shapelayout>
  </w:shapeDefaults>
  <w:decimalSymbol w:val="."/>
  <w:listSeparator w:val=","/>
  <w14:docId w14:val="5394D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index 2"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5A36A0"/>
    <w:pPr>
      <w:keepNext/>
      <w:keepLines/>
      <w:widowControl/>
      <w:numPr>
        <w:ilvl w:val="1"/>
        <w:numId w:val="3"/>
      </w:numPr>
      <w:spacing w:after="120"/>
      <w:outlineLvl w:val="1"/>
    </w:pPr>
    <w:rPr>
      <w:b/>
    </w:rPr>
  </w:style>
  <w:style w:type="paragraph" w:styleId="Heading3">
    <w:name w:val="heading 3"/>
    <w:basedOn w:val="Normal"/>
    <w:next w:val="ParaNum"/>
    <w:link w:val="Heading3Char"/>
    <w:qFormat/>
    <w:rsid w:val="00BA6196"/>
    <w:pPr>
      <w:keepNext/>
      <w:numPr>
        <w:ilvl w:val="2"/>
        <w:numId w:val="3"/>
      </w:numPr>
      <w:tabs>
        <w:tab w:val="left" w:pos="2160"/>
      </w:tabs>
      <w:spacing w:after="120"/>
      <w:outlineLvl w:val="2"/>
    </w:pPr>
    <w:rPr>
      <w:b/>
    </w:rPr>
  </w:style>
  <w:style w:type="paragraph" w:styleId="Heading4">
    <w:name w:val="heading 4"/>
    <w:basedOn w:val="Normal"/>
    <w:next w:val="ParaNum"/>
    <w:link w:val="Heading4Char"/>
    <w:qFormat/>
    <w:rsid w:val="00C426B1"/>
    <w:pPr>
      <w:keepNext/>
      <w:numPr>
        <w:ilvl w:val="3"/>
        <w:numId w:val="3"/>
      </w:numPr>
      <w:tabs>
        <w:tab w:val="left" w:pos="2880"/>
      </w:tabs>
      <w:spacing w:after="120"/>
      <w:outlineLvl w:val="3"/>
    </w:pPr>
    <w:rPr>
      <w:b/>
    </w:rPr>
  </w:style>
  <w:style w:type="paragraph" w:styleId="Heading5">
    <w:name w:val="heading 5"/>
    <w:basedOn w:val="Normal"/>
    <w:next w:val="ParaNum"/>
    <w:link w:val="Heading5Char"/>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link w:val="Heading6Char"/>
    <w:qFormat/>
    <w:rsid w:val="00036039"/>
    <w:pPr>
      <w:numPr>
        <w:ilvl w:val="5"/>
        <w:numId w:val="3"/>
      </w:numPr>
      <w:tabs>
        <w:tab w:val="left" w:pos="4320"/>
      </w:tabs>
      <w:spacing w:after="120"/>
      <w:outlineLvl w:val="5"/>
    </w:pPr>
    <w:rPr>
      <w:b/>
    </w:rPr>
  </w:style>
  <w:style w:type="paragraph" w:styleId="Heading7">
    <w:name w:val="heading 7"/>
    <w:basedOn w:val="Normal"/>
    <w:next w:val="ParaNum"/>
    <w:link w:val="Heading7Char"/>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link w:val="EndnoteTextChar"/>
    <w:semiHidden/>
    <w:rPr>
      <w:sz w:val="20"/>
    </w:rPr>
  </w:style>
  <w:style w:type="character" w:styleId="EndnoteReference">
    <w:name w:val="endnote reference"/>
    <w:semiHidden/>
    <w:rPr>
      <w:vertAlign w:val="superscript"/>
    </w:rPr>
  </w:style>
  <w:style w:type="paragraph" w:styleId="FootnoteText">
    <w:name w:val="footnote text"/>
    <w:aliases w:val="Footnote Text Char1,Footnote Text Char Char,Footnote Text Char1 Char Char,Footnote Text Char1 Char Char Char1 Char,Footnote Text Char Char Char Char,Footnote Text Char1 Char1 Char Char,ALTS FOOTNOTE Char Char,fn Char Char,ALTS FOOTNOTE,fn"/>
    <w:link w:val="FootnoteTextChar"/>
    <w:semiHidden/>
    <w:rsid w:val="000E3D42"/>
    <w:pPr>
      <w:spacing w:after="120"/>
    </w:pPr>
  </w:style>
  <w:style w:type="character" w:styleId="FootnoteReference">
    <w:name w:val="footnote reference"/>
    <w:aliases w:val="Appel note de bas de p,Style 12,(NECG) Footnote Reference,Style 124"/>
    <w:semiHidden/>
    <w:rPr>
      <w:rFonts w:ascii="Times New Roman" w:hAnsi="Times New Roman"/>
      <w:dstrike w:val="0"/>
      <w:color w:val="auto"/>
      <w:sz w:val="22"/>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rsid w:val="002F16CE"/>
    <w:pPr>
      <w:tabs>
        <w:tab w:val="center" w:pos="4680"/>
        <w:tab w:val="right" w:pos="9360"/>
      </w:tabs>
      <w:ind w:firstLine="1080"/>
    </w:pPr>
    <w:rPr>
      <w:rFonts w:ascii="Arial" w:hAnsi="Arial" w:cs="Arial"/>
      <w:b/>
      <w:sz w:val="96"/>
      <w:szCs w:val="96"/>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Heading1Char">
    <w:name w:val="Heading 1 Char"/>
    <w:link w:val="Heading1"/>
    <w:rsid w:val="00587053"/>
    <w:rPr>
      <w:rFonts w:ascii="Times New Roman Bold" w:hAnsi="Times New Roman Bold"/>
      <w:b/>
      <w:caps/>
      <w:snapToGrid w:val="0"/>
      <w:kern w:val="28"/>
      <w:sz w:val="22"/>
    </w:rPr>
  </w:style>
  <w:style w:type="character" w:customStyle="1" w:styleId="Heading2Char">
    <w:name w:val="Heading 2 Char"/>
    <w:link w:val="Heading2"/>
    <w:rsid w:val="005A36A0"/>
    <w:rPr>
      <w:b/>
      <w:snapToGrid w:val="0"/>
      <w:kern w:val="28"/>
      <w:sz w:val="22"/>
    </w:rPr>
  </w:style>
  <w:style w:type="character" w:customStyle="1" w:styleId="Heading3Char">
    <w:name w:val="Heading 3 Char"/>
    <w:link w:val="Heading3"/>
    <w:rsid w:val="00587053"/>
    <w:rPr>
      <w:b/>
      <w:snapToGrid w:val="0"/>
      <w:kern w:val="28"/>
      <w:sz w:val="22"/>
    </w:rPr>
  </w:style>
  <w:style w:type="character" w:customStyle="1" w:styleId="Heading4Char">
    <w:name w:val="Heading 4 Char"/>
    <w:link w:val="Heading4"/>
    <w:rsid w:val="00587053"/>
    <w:rPr>
      <w:b/>
      <w:snapToGrid w:val="0"/>
      <w:kern w:val="28"/>
      <w:sz w:val="22"/>
    </w:rPr>
  </w:style>
  <w:style w:type="character" w:customStyle="1" w:styleId="Heading5Char">
    <w:name w:val="Heading 5 Char"/>
    <w:link w:val="Heading5"/>
    <w:rsid w:val="00587053"/>
    <w:rPr>
      <w:b/>
      <w:snapToGrid w:val="0"/>
      <w:kern w:val="28"/>
      <w:sz w:val="22"/>
    </w:rPr>
  </w:style>
  <w:style w:type="character" w:customStyle="1" w:styleId="Heading6Char">
    <w:name w:val="Heading 6 Char"/>
    <w:link w:val="Heading6"/>
    <w:rsid w:val="00587053"/>
    <w:rPr>
      <w:b/>
      <w:snapToGrid w:val="0"/>
      <w:kern w:val="28"/>
      <w:sz w:val="22"/>
    </w:rPr>
  </w:style>
  <w:style w:type="character" w:customStyle="1" w:styleId="Heading7Char">
    <w:name w:val="Heading 7 Char"/>
    <w:link w:val="Heading7"/>
    <w:rsid w:val="00587053"/>
    <w:rPr>
      <w:b/>
      <w:snapToGrid w:val="0"/>
      <w:kern w:val="28"/>
      <w:sz w:val="22"/>
    </w:rPr>
  </w:style>
  <w:style w:type="character" w:customStyle="1" w:styleId="Heading8Char">
    <w:name w:val="Heading 8 Char"/>
    <w:link w:val="Heading8"/>
    <w:rsid w:val="00587053"/>
    <w:rPr>
      <w:b/>
      <w:snapToGrid w:val="0"/>
      <w:kern w:val="28"/>
      <w:sz w:val="22"/>
    </w:rPr>
  </w:style>
  <w:style w:type="character" w:customStyle="1" w:styleId="Heading9Char">
    <w:name w:val="Heading 9 Char"/>
    <w:link w:val="Heading9"/>
    <w:rsid w:val="00587053"/>
    <w:rPr>
      <w:b/>
      <w:snapToGrid w:val="0"/>
      <w:kern w:val="28"/>
      <w:sz w:val="22"/>
    </w:rPr>
  </w:style>
  <w:style w:type="character" w:customStyle="1" w:styleId="EndnoteTextChar">
    <w:name w:val="Endnote Text Char"/>
    <w:link w:val="EndnoteText"/>
    <w:semiHidden/>
    <w:rsid w:val="00587053"/>
    <w:rPr>
      <w:snapToGrid w:val="0"/>
      <w:kern w:val="28"/>
    </w:rPr>
  </w:style>
  <w:style w:type="character" w:customStyle="1" w:styleId="FootnoteTextChar">
    <w:name w:val="Footnote Text Char"/>
    <w:aliases w:val="Footnote Text Char1 Char,Footnote Text Char Char Char,Footnote Text Char1 Char Char Char,Footnote Text Char1 Char Char Char1 Char Char,Footnote Text Char Char Char Char Char,Footnote Text Char1 Char1 Char Char Char,fn Char Char Char"/>
    <w:link w:val="FootnoteText"/>
    <w:semiHidden/>
    <w:rsid w:val="00587053"/>
  </w:style>
  <w:style w:type="paragraph" w:styleId="Index1">
    <w:name w:val="index 1"/>
    <w:basedOn w:val="Normal"/>
    <w:next w:val="Normal"/>
    <w:autoRedefine/>
    <w:semiHidden/>
    <w:rsid w:val="00587053"/>
    <w:pPr>
      <w:tabs>
        <w:tab w:val="right" w:leader="dot" w:pos="9360"/>
      </w:tabs>
      <w:suppressAutoHyphens/>
      <w:ind w:left="1440" w:right="720" w:hanging="1440"/>
    </w:pPr>
  </w:style>
  <w:style w:type="paragraph" w:styleId="Index2">
    <w:name w:val="index 2"/>
    <w:basedOn w:val="Normal"/>
    <w:next w:val="Normal"/>
    <w:autoRedefine/>
    <w:semiHidden/>
    <w:rsid w:val="00587053"/>
    <w:pPr>
      <w:tabs>
        <w:tab w:val="right" w:leader="dot" w:pos="9360"/>
      </w:tabs>
      <w:suppressAutoHyphens/>
      <w:ind w:left="1440" w:right="720" w:hanging="720"/>
    </w:pPr>
  </w:style>
  <w:style w:type="paragraph" w:styleId="Caption">
    <w:name w:val="caption"/>
    <w:basedOn w:val="Normal"/>
    <w:next w:val="Normal"/>
    <w:qFormat/>
    <w:rsid w:val="00587053"/>
  </w:style>
  <w:style w:type="character" w:styleId="Strong">
    <w:name w:val="Strong"/>
    <w:qFormat/>
    <w:rsid w:val="00587053"/>
    <w:rPr>
      <w:b/>
    </w:rPr>
  </w:style>
  <w:style w:type="character" w:customStyle="1" w:styleId="HeaderChar">
    <w:name w:val="Header Char"/>
    <w:link w:val="Header"/>
    <w:rsid w:val="002F16CE"/>
    <w:rPr>
      <w:rFonts w:ascii="Arial" w:hAnsi="Arial" w:cs="Arial"/>
      <w:b/>
      <w:snapToGrid w:val="0"/>
      <w:kern w:val="28"/>
      <w:sz w:val="96"/>
      <w:szCs w:val="96"/>
    </w:rPr>
  </w:style>
  <w:style w:type="character" w:customStyle="1" w:styleId="FooterChar">
    <w:name w:val="Footer Char"/>
    <w:link w:val="Footer"/>
    <w:rsid w:val="00587053"/>
    <w:rPr>
      <w:snapToGrid w:val="0"/>
      <w:kern w:val="28"/>
      <w:sz w:val="22"/>
    </w:rPr>
  </w:style>
  <w:style w:type="paragraph" w:customStyle="1" w:styleId="ParaNumChar">
    <w:name w:val="ParaNum Char"/>
    <w:basedOn w:val="Normal"/>
    <w:link w:val="ParaNumCharChar"/>
    <w:rsid w:val="00587053"/>
    <w:pPr>
      <w:numPr>
        <w:numId w:val="7"/>
      </w:numPr>
      <w:tabs>
        <w:tab w:val="clear" w:pos="1080"/>
      </w:tabs>
      <w:spacing w:after="220"/>
    </w:pPr>
  </w:style>
  <w:style w:type="paragraph" w:customStyle="1" w:styleId="Style0">
    <w:name w:val="Style0"/>
    <w:rsid w:val="00587053"/>
    <w:rPr>
      <w:rFonts w:ascii="Arial" w:hAnsi="Arial"/>
      <w:snapToGrid w:val="0"/>
      <w:sz w:val="24"/>
    </w:rPr>
  </w:style>
  <w:style w:type="paragraph" w:styleId="BodyTextIndent">
    <w:name w:val="Body Text Indent"/>
    <w:basedOn w:val="Normal"/>
    <w:link w:val="BodyTextIndentChar"/>
    <w:rsid w:val="00587053"/>
    <w:pPr>
      <w:ind w:left="2880" w:hanging="2160"/>
    </w:pPr>
  </w:style>
  <w:style w:type="character" w:customStyle="1" w:styleId="BodyTextIndentChar">
    <w:name w:val="Body Text Indent Char"/>
    <w:link w:val="BodyTextIndent"/>
    <w:rsid w:val="00587053"/>
    <w:rPr>
      <w:snapToGrid w:val="0"/>
      <w:kern w:val="28"/>
      <w:sz w:val="22"/>
    </w:rPr>
  </w:style>
  <w:style w:type="paragraph" w:styleId="DocumentMap">
    <w:name w:val="Document Map"/>
    <w:basedOn w:val="Normal"/>
    <w:link w:val="DocumentMapChar"/>
    <w:semiHidden/>
    <w:rsid w:val="00587053"/>
    <w:pPr>
      <w:shd w:val="clear" w:color="auto" w:fill="000080"/>
    </w:pPr>
    <w:rPr>
      <w:rFonts w:ascii="Tahoma" w:hAnsi="Tahoma"/>
    </w:rPr>
  </w:style>
  <w:style w:type="character" w:customStyle="1" w:styleId="DocumentMapChar">
    <w:name w:val="Document Map Char"/>
    <w:link w:val="DocumentMap"/>
    <w:semiHidden/>
    <w:rsid w:val="00587053"/>
    <w:rPr>
      <w:rFonts w:ascii="Tahoma" w:hAnsi="Tahoma"/>
      <w:snapToGrid w:val="0"/>
      <w:kern w:val="28"/>
      <w:sz w:val="22"/>
      <w:shd w:val="clear" w:color="auto" w:fill="000080"/>
    </w:rPr>
  </w:style>
  <w:style w:type="paragraph" w:styleId="BodyText">
    <w:name w:val="Body Text"/>
    <w:basedOn w:val="Normal"/>
    <w:link w:val="BodyTextChar"/>
    <w:rsid w:val="00587053"/>
    <w:rPr>
      <w:color w:val="FF0000"/>
    </w:rPr>
  </w:style>
  <w:style w:type="character" w:customStyle="1" w:styleId="BodyTextChar">
    <w:name w:val="Body Text Char"/>
    <w:link w:val="BodyText"/>
    <w:rsid w:val="00587053"/>
    <w:rPr>
      <w:snapToGrid w:val="0"/>
      <w:color w:val="FF0000"/>
      <w:kern w:val="28"/>
      <w:sz w:val="22"/>
    </w:rPr>
  </w:style>
  <w:style w:type="paragraph" w:styleId="BalloonText">
    <w:name w:val="Balloon Text"/>
    <w:basedOn w:val="Normal"/>
    <w:link w:val="BalloonTextChar"/>
    <w:semiHidden/>
    <w:rsid w:val="00587053"/>
    <w:rPr>
      <w:rFonts w:ascii="Tahoma" w:hAnsi="Tahoma" w:cs="Tahoma"/>
      <w:sz w:val="16"/>
      <w:szCs w:val="16"/>
    </w:rPr>
  </w:style>
  <w:style w:type="character" w:customStyle="1" w:styleId="BalloonTextChar">
    <w:name w:val="Balloon Text Char"/>
    <w:link w:val="BalloonText"/>
    <w:semiHidden/>
    <w:rsid w:val="00587053"/>
    <w:rPr>
      <w:rFonts w:ascii="Tahoma" w:hAnsi="Tahoma" w:cs="Tahoma"/>
      <w:snapToGrid w:val="0"/>
      <w:kern w:val="28"/>
      <w:sz w:val="16"/>
      <w:szCs w:val="16"/>
    </w:rPr>
  </w:style>
  <w:style w:type="paragraph" w:customStyle="1" w:styleId="Style1">
    <w:name w:val="Style1"/>
    <w:basedOn w:val="FootnoteText"/>
    <w:rsid w:val="00587053"/>
    <w:pPr>
      <w:autoSpaceDE w:val="0"/>
      <w:autoSpaceDN w:val="0"/>
      <w:adjustRightInd w:val="0"/>
    </w:pPr>
    <w:rPr>
      <w:i/>
    </w:rPr>
  </w:style>
  <w:style w:type="paragraph" w:customStyle="1" w:styleId="Style2">
    <w:name w:val="Style2"/>
    <w:basedOn w:val="Normal"/>
    <w:rsid w:val="00587053"/>
    <w:pPr>
      <w:autoSpaceDE w:val="0"/>
      <w:autoSpaceDN w:val="0"/>
      <w:adjustRightInd w:val="0"/>
    </w:pPr>
    <w:rPr>
      <w:i/>
      <w:sz w:val="20"/>
    </w:rPr>
  </w:style>
  <w:style w:type="paragraph" w:customStyle="1" w:styleId="Style3">
    <w:name w:val="Style3"/>
    <w:basedOn w:val="FootnoteText"/>
    <w:rsid w:val="00587053"/>
    <w:pPr>
      <w:autoSpaceDE w:val="0"/>
      <w:autoSpaceDN w:val="0"/>
      <w:adjustRightInd w:val="0"/>
    </w:pPr>
    <w:rPr>
      <w:i/>
    </w:rPr>
  </w:style>
  <w:style w:type="paragraph" w:customStyle="1" w:styleId="FootnotetextCharChar">
    <w:name w:val="Foot note text Char Char"/>
    <w:basedOn w:val="Normal"/>
    <w:link w:val="FootnotetextCharCharChar"/>
    <w:rsid w:val="00587053"/>
    <w:pPr>
      <w:autoSpaceDE w:val="0"/>
      <w:autoSpaceDN w:val="0"/>
      <w:adjustRightInd w:val="0"/>
    </w:pPr>
    <w:rPr>
      <w:i/>
      <w:sz w:val="20"/>
    </w:rPr>
  </w:style>
  <w:style w:type="character" w:customStyle="1" w:styleId="FootnotetextCharCharChar">
    <w:name w:val="Foot note text Char Char Char"/>
    <w:link w:val="FootnotetextCharChar"/>
    <w:rsid w:val="00587053"/>
    <w:rPr>
      <w:i/>
      <w:snapToGrid w:val="0"/>
      <w:kern w:val="28"/>
    </w:rPr>
  </w:style>
  <w:style w:type="paragraph" w:customStyle="1" w:styleId="Footnotetext0">
    <w:name w:val="Foot note text"/>
    <w:basedOn w:val="Normal"/>
    <w:link w:val="FootnotetextChar0"/>
    <w:rsid w:val="00587053"/>
    <w:pPr>
      <w:autoSpaceDE w:val="0"/>
      <w:autoSpaceDN w:val="0"/>
      <w:adjustRightInd w:val="0"/>
    </w:pPr>
    <w:rPr>
      <w:i/>
    </w:rPr>
  </w:style>
  <w:style w:type="character" w:customStyle="1" w:styleId="footnotetextchar1">
    <w:name w:val="footnotetextchar"/>
    <w:rsid w:val="00587053"/>
  </w:style>
  <w:style w:type="character" w:styleId="Emphasis">
    <w:name w:val="Emphasis"/>
    <w:qFormat/>
    <w:rsid w:val="00587053"/>
    <w:rPr>
      <w:i/>
      <w:iCs/>
    </w:rPr>
  </w:style>
  <w:style w:type="character" w:styleId="FollowedHyperlink">
    <w:name w:val="FollowedHyperlink"/>
    <w:rsid w:val="00587053"/>
    <w:rPr>
      <w:color w:val="800080"/>
      <w:u w:val="single"/>
    </w:rPr>
  </w:style>
  <w:style w:type="character" w:customStyle="1" w:styleId="ParaNumCharChar">
    <w:name w:val="ParaNum Char Char"/>
    <w:link w:val="ParaNumChar"/>
    <w:rsid w:val="00587053"/>
    <w:rPr>
      <w:snapToGrid w:val="0"/>
      <w:kern w:val="28"/>
      <w:sz w:val="22"/>
    </w:rPr>
  </w:style>
  <w:style w:type="character" w:customStyle="1" w:styleId="FootnotetextChar0">
    <w:name w:val="Foot note text Char"/>
    <w:link w:val="Footnotetext0"/>
    <w:rsid w:val="00587053"/>
    <w:rPr>
      <w:i/>
      <w:snapToGrid w:val="0"/>
      <w:kern w:val="28"/>
      <w:sz w:val="22"/>
    </w:rPr>
  </w:style>
  <w:style w:type="character" w:customStyle="1" w:styleId="FootnotetextChar10">
    <w:name w:val="Foot note text Char1"/>
    <w:rsid w:val="00587053"/>
    <w:rPr>
      <w:i/>
      <w:snapToGrid w:val="0"/>
      <w:kern w:val="28"/>
      <w:sz w:val="22"/>
      <w:lang w:val="en-US" w:eastAsia="en-US" w:bidi="ar-SA"/>
    </w:rPr>
  </w:style>
  <w:style w:type="character" w:styleId="CommentReference">
    <w:name w:val="annotation reference"/>
    <w:semiHidden/>
    <w:rsid w:val="00587053"/>
    <w:rPr>
      <w:sz w:val="16"/>
      <w:szCs w:val="16"/>
    </w:rPr>
  </w:style>
  <w:style w:type="paragraph" w:styleId="CommentText">
    <w:name w:val="annotation text"/>
    <w:basedOn w:val="Normal"/>
    <w:link w:val="CommentTextChar"/>
    <w:semiHidden/>
    <w:rsid w:val="00587053"/>
    <w:rPr>
      <w:sz w:val="20"/>
    </w:rPr>
  </w:style>
  <w:style w:type="character" w:customStyle="1" w:styleId="CommentTextChar">
    <w:name w:val="Comment Text Char"/>
    <w:link w:val="CommentText"/>
    <w:semiHidden/>
    <w:rsid w:val="00587053"/>
    <w:rPr>
      <w:snapToGrid w:val="0"/>
      <w:kern w:val="28"/>
    </w:rPr>
  </w:style>
  <w:style w:type="paragraph" w:styleId="CommentSubject">
    <w:name w:val="annotation subject"/>
    <w:basedOn w:val="CommentText"/>
    <w:next w:val="CommentText"/>
    <w:link w:val="CommentSubjectChar"/>
    <w:semiHidden/>
    <w:rsid w:val="00587053"/>
    <w:rPr>
      <w:b/>
      <w:bCs/>
    </w:rPr>
  </w:style>
  <w:style w:type="character" w:customStyle="1" w:styleId="CommentSubjectChar">
    <w:name w:val="Comment Subject Char"/>
    <w:link w:val="CommentSubject"/>
    <w:semiHidden/>
    <w:rsid w:val="00587053"/>
    <w:rPr>
      <w:b/>
      <w:bCs/>
      <w:snapToGrid w:val="0"/>
      <w:kern w:val="28"/>
    </w:rPr>
  </w:style>
  <w:style w:type="character" w:customStyle="1" w:styleId="documentbody">
    <w:name w:val="documentbody"/>
    <w:rsid w:val="00587053"/>
  </w:style>
  <w:style w:type="paragraph" w:customStyle="1" w:styleId="StyleParaNumSpaceAfter0pt">
    <w:name w:val="Style ParaNum + Space After:  0 pt"/>
    <w:basedOn w:val="ParaNum"/>
    <w:rsid w:val="00587053"/>
    <w:pPr>
      <w:numPr>
        <w:numId w:val="4"/>
      </w:numPr>
      <w:spacing w:after="0"/>
      <w:ind w:left="0" w:firstLine="0"/>
    </w:pPr>
  </w:style>
  <w:style w:type="paragraph" w:customStyle="1" w:styleId="StyleNewParaNum">
    <w:name w:val="Style New ParaNum"/>
    <w:basedOn w:val="ParaNum"/>
    <w:rsid w:val="00587053"/>
    <w:pPr>
      <w:widowControl/>
      <w:numPr>
        <w:numId w:val="0"/>
      </w:numPr>
      <w:tabs>
        <w:tab w:val="num" w:pos="720"/>
        <w:tab w:val="num" w:pos="1080"/>
      </w:tabs>
      <w:spacing w:after="0"/>
      <w:ind w:hanging="720"/>
    </w:pPr>
  </w:style>
  <w:style w:type="character" w:customStyle="1" w:styleId="FootnoteTextChar2Char">
    <w:name w:val="Footnote Text Char2 Char"/>
    <w:aliases w:val="Footnote Text Char Char Char1,Footnote Text Char4 Char Char Char Char,Footnote Text Char3 Char1 Char Char Char Char,Footnote Text Char Char3 Char Char Char Char Char,Footnote Text Char1 Char1"/>
    <w:semiHidden/>
    <w:rsid w:val="00587053"/>
    <w:rPr>
      <w:lang w:val="en-US" w:eastAsia="en-US" w:bidi="ar-SA"/>
    </w:rPr>
  </w:style>
  <w:style w:type="paragraph" w:styleId="ListParagraph">
    <w:name w:val="List Paragraph"/>
    <w:basedOn w:val="Normal"/>
    <w:uiPriority w:val="34"/>
    <w:qFormat/>
    <w:rsid w:val="00587053"/>
    <w:pPr>
      <w:ind w:left="720"/>
    </w:pPr>
  </w:style>
  <w:style w:type="paragraph" w:styleId="Revision">
    <w:name w:val="Revision"/>
    <w:hidden/>
    <w:uiPriority w:val="99"/>
    <w:semiHidden/>
    <w:rsid w:val="003A3BED"/>
    <w:rPr>
      <w:snapToGrid w:val="0"/>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cc.gov/"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mailto:fcc504@fcc.gov"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licensing.fcc.gov/prod/cdbs/forms/prod/cdbs_ug.htm" TargetMode="External"/><Relationship Id="rId5" Type="http://schemas.openxmlformats.org/officeDocument/2006/relationships/settings" Target="settings.xml"/><Relationship Id="rId15" Type="http://schemas.openxmlformats.org/officeDocument/2006/relationships/hyperlink" Target="http://www.fcc.gov/mb/cdbs.html" TargetMode="External"/><Relationship Id="rId23" Type="http://schemas.openxmlformats.org/officeDocument/2006/relationships/theme" Target="theme/theme1.xml"/><Relationship Id="rId10" Type="http://schemas.openxmlformats.org/officeDocument/2006/relationships/hyperlink" Target="http://www.fcc.gov/mb/cdbs.html"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s://apps.fcc.gov/coresWeb/publicHome.do" TargetMode="External"/><Relationship Id="rId14" Type="http://schemas.openxmlformats.org/officeDocument/2006/relationships/hyperlink" Target="http://wireless.fcc.gov/auctions/default.htm?job=auctions_home"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licensing.fcc.gov/prod/cdbs/pubacc/prod/cdbs_pa.htm"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3399</Words>
  <Characters>18439</Characters>
  <Application>Microsoft Office Word</Application>
  <DocSecurity>0</DocSecurity>
  <Lines>308</Lines>
  <Paragraphs>111</Paragraphs>
  <ScaleCrop>false</ScaleCrop>
  <HeadingPairs>
    <vt:vector size="2" baseType="variant">
      <vt:variant>
        <vt:lpstr>Title</vt:lpstr>
      </vt:variant>
      <vt:variant>
        <vt:i4>1</vt:i4>
      </vt:variant>
    </vt:vector>
  </HeadingPairs>
  <TitlesOfParts>
    <vt:vector size="1" baseType="lpstr">
      <vt:lpstr>Public Notice Paragraph TOC.dot</vt:lpstr>
    </vt:vector>
  </TitlesOfParts>
  <Manager/>
  <Company/>
  <LinksUpToDate>false</LinksUpToDate>
  <CharactersWithSpaces>21860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2015-07-28T18:46:00Z</cp:lastPrinted>
  <dcterms:created xsi:type="dcterms:W3CDTF">2015-08-12T20:43:00Z</dcterms:created>
  <dcterms:modified xsi:type="dcterms:W3CDTF">2015-08-12T20:43:00Z</dcterms:modified>
  <cp:category> </cp:category>
  <cp:contentStatus> </cp:contentStatus>
</cp:coreProperties>
</file>