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 w:rsidTr="00A7052A">
        <w:trPr>
          <w:trHeight w:val="1800"/>
        </w:trPr>
        <w:tc>
          <w:tcPr>
            <w:tcW w:w="4698" w:type="dxa"/>
          </w:tcPr>
          <w:p w:rsidR="003343E0" w:rsidRPr="003343E0" w:rsidRDefault="003343E0" w:rsidP="003343E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3343E0">
              <w:rPr>
                <w:spacing w:val="-2"/>
              </w:rPr>
              <w:t>In the Matter of</w:t>
            </w:r>
          </w:p>
          <w:p w:rsidR="003343E0" w:rsidRPr="003343E0" w:rsidRDefault="003343E0" w:rsidP="003343E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3343E0" w:rsidRPr="009D66B4" w:rsidRDefault="003343E0" w:rsidP="003343E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9D66B4">
              <w:rPr>
                <w:spacing w:val="-2"/>
              </w:rPr>
              <w:t xml:space="preserve">GNH PRODUCTIONS INC.  </w:t>
            </w:r>
          </w:p>
          <w:p w:rsidR="003343E0" w:rsidRPr="003343E0" w:rsidRDefault="003343E0" w:rsidP="003343E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7115F7" w:rsidRDefault="003343E0" w:rsidP="003343E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3343E0">
              <w:rPr>
                <w:spacing w:val="-2"/>
              </w:rPr>
              <w:t>For a Declaratory Ruling Regarding the Syndicated Television Program “Crime Watch Daily”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Pr="00A71346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4C2EE3" w:rsidRDefault="004C2EE3" w:rsidP="0070224F"/>
    <w:p w:rsidR="00841AB1" w:rsidRDefault="003343E0" w:rsidP="00F021FA">
      <w:pPr>
        <w:pStyle w:val="StyleBoldCentered"/>
      </w:pPr>
      <w:r>
        <w:t>Declaratory Ruling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A7052A" w:rsidRPr="00A7052A">
        <w:rPr>
          <w:spacing w:val="-2"/>
        </w:rPr>
        <w:t>August 10, 2015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A7052A" w:rsidRPr="00A7052A">
        <w:rPr>
          <w:spacing w:val="-2"/>
        </w:rPr>
        <w:t>August 10, 2015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3343E0" w:rsidRPr="003343E0">
        <w:t xml:space="preserve">Assistant </w:t>
      </w:r>
      <w:r w:rsidR="003343E0" w:rsidRPr="003343E0">
        <w:rPr>
          <w:spacing w:val="-2"/>
        </w:rPr>
        <w:t>Chief, Policy Division, Media Bureau:</w:t>
      </w:r>
    </w:p>
    <w:p w:rsidR="00412FC5" w:rsidRDefault="00412FC5" w:rsidP="00412FC5"/>
    <w:p w:rsidR="00393980" w:rsidRPr="00393980" w:rsidRDefault="00393980" w:rsidP="00393980">
      <w:pPr>
        <w:pStyle w:val="ParaNum"/>
      </w:pPr>
      <w:r w:rsidRPr="00393980">
        <w:t xml:space="preserve">In this Order, we grant a request for declaratory ruling filed by </w:t>
      </w:r>
      <w:r w:rsidR="000C4335" w:rsidRPr="000C4335">
        <w:t>GNH Productions Inc. (“GNH”)</w:t>
      </w:r>
      <w:r w:rsidRPr="00393980">
        <w:t>, producer of a television program entitled “</w:t>
      </w:r>
      <w:r w:rsidR="000C4335">
        <w:t>Crime Watch Daily.”</w:t>
      </w:r>
      <w:r w:rsidR="000C4335" w:rsidRPr="000C4335">
        <w:rPr>
          <w:vertAlign w:val="superscript"/>
        </w:rPr>
        <w:t xml:space="preserve"> </w:t>
      </w:r>
      <w:r w:rsidR="000C4335" w:rsidRPr="000C4335">
        <w:rPr>
          <w:vertAlign w:val="superscript"/>
        </w:rPr>
        <w:footnoteReference w:id="2"/>
      </w:r>
      <w:r w:rsidR="000C4335">
        <w:t xml:space="preserve">  GNH </w:t>
      </w:r>
      <w:r w:rsidRPr="00393980">
        <w:t xml:space="preserve">states that this program </w:t>
      </w:r>
      <w:r w:rsidR="000C4335">
        <w:t xml:space="preserve">will air </w:t>
      </w:r>
      <w:r w:rsidRPr="00393980">
        <w:t xml:space="preserve">every weekday </w:t>
      </w:r>
      <w:r w:rsidR="000C4335">
        <w:t xml:space="preserve">beginning in September 2015.  </w:t>
      </w:r>
      <w:r w:rsidRPr="00393980">
        <w:t>In its request,</w:t>
      </w:r>
      <w:r w:rsidR="00A67413">
        <w:t xml:space="preserve"> GNH </w:t>
      </w:r>
      <w:r w:rsidRPr="00393980">
        <w:t xml:space="preserve">asks the Commission to declare that the subject program qualifies as a </w:t>
      </w:r>
      <w:r w:rsidRPr="00393980">
        <w:rPr>
          <w:i/>
          <w:iCs/>
        </w:rPr>
        <w:t>bona fide</w:t>
      </w:r>
      <w:r w:rsidRPr="00393980">
        <w:t xml:space="preserve"> newscast and is</w:t>
      </w:r>
      <w:r w:rsidR="003C0800">
        <w:t>,</w:t>
      </w:r>
      <w:r w:rsidRPr="00393980">
        <w:t xml:space="preserve"> therefore, exempt from the equal opportunities provisions of Section 315 of the Communications Act of 1934, as amended (the “Act”), </w:t>
      </w:r>
      <w:r w:rsidRPr="00A67413">
        <w:t>47 U.S.C. § 315</w:t>
      </w:r>
      <w:r w:rsidRPr="00393980">
        <w:t>.</w:t>
      </w:r>
    </w:p>
    <w:p w:rsidR="00393980" w:rsidRDefault="00393980" w:rsidP="00BC5E08">
      <w:pPr>
        <w:pStyle w:val="ParaNum"/>
      </w:pPr>
      <w:r w:rsidRPr="00A67413">
        <w:t>Section 315(a)</w:t>
      </w:r>
      <w:r w:rsidRPr="00393980">
        <w:t xml:space="preserve"> of the Act provides that, if a licensee allows a legally qualified candidate for public office to use a broadcast station, it must afford equal opportunities to other such candidates for that office. </w:t>
      </w:r>
      <w:r w:rsidR="009D66B4">
        <w:t xml:space="preserve"> </w:t>
      </w:r>
      <w:r w:rsidRPr="00A67413">
        <w:t>Section 315(a)</w:t>
      </w:r>
      <w:r w:rsidRPr="00393980">
        <w:t xml:space="preserve"> also states, however, that appearances by legally qualified candidates on four categories of </w:t>
      </w:r>
      <w:r w:rsidRPr="00435388">
        <w:rPr>
          <w:i/>
          <w:iCs/>
        </w:rPr>
        <w:t>bona fide</w:t>
      </w:r>
      <w:r w:rsidRPr="00393980">
        <w:t xml:space="preserve"> news programming, including </w:t>
      </w:r>
      <w:r w:rsidRPr="00435388">
        <w:rPr>
          <w:i/>
          <w:iCs/>
        </w:rPr>
        <w:t>bona fide</w:t>
      </w:r>
      <w:r w:rsidRPr="00393980">
        <w:t xml:space="preserve"> newscasts (</w:t>
      </w:r>
      <w:r w:rsidRPr="00A67413">
        <w:t>Section 315(a)(1)</w:t>
      </w:r>
      <w:r w:rsidRPr="00393980">
        <w:t xml:space="preserve">), are exempt from equal opportunities requirements. </w:t>
      </w:r>
      <w:r w:rsidR="009D66B4">
        <w:t xml:space="preserve"> </w:t>
      </w:r>
      <w:r w:rsidRPr="00393980">
        <w:t>Congress qualified all four categories of exempt news programming with the term “</w:t>
      </w:r>
      <w:r w:rsidRPr="00435388">
        <w:rPr>
          <w:i/>
          <w:iCs/>
        </w:rPr>
        <w:t>bona fide</w:t>
      </w:r>
      <w:r w:rsidRPr="00393980">
        <w:t>,” which “was intended to emphasize Congress' intent that the program be of genuine news value and not be designed to serve the political advantage of any particular candidacy.”</w:t>
      </w:r>
      <w:r w:rsidR="00A67413">
        <w:rPr>
          <w:rStyle w:val="FootnoteReference"/>
        </w:rPr>
        <w:footnoteReference w:id="3"/>
      </w:r>
      <w:r w:rsidRPr="00393980">
        <w:t xml:space="preserve"> </w:t>
      </w:r>
      <w:r w:rsidR="00B9022E">
        <w:t xml:space="preserve"> </w:t>
      </w:r>
      <w:r w:rsidRPr="00393980">
        <w:t xml:space="preserve">In deciding that “Entertainment Tonight” (and its 60-minute weekend version “Entertainment This Week”) qualified as a </w:t>
      </w:r>
      <w:r w:rsidRPr="00435388">
        <w:rPr>
          <w:i/>
          <w:iCs/>
        </w:rPr>
        <w:t>bona fide</w:t>
      </w:r>
      <w:r w:rsidRPr="00393980">
        <w:t xml:space="preserve"> newscast in 1988, the Mass Media Bureau stated that its “role is not to decide, by some qualitative analysis, whether one kind of news story is more </w:t>
      </w:r>
      <w:r w:rsidRPr="00435388">
        <w:rPr>
          <w:i/>
          <w:iCs/>
        </w:rPr>
        <w:t>bona fide</w:t>
      </w:r>
      <w:r w:rsidRPr="00393980">
        <w:t xml:space="preserve"> than another.”</w:t>
      </w:r>
      <w:r w:rsidR="00060215">
        <w:t xml:space="preserve">  </w:t>
      </w:r>
      <w:r w:rsidRPr="00393980">
        <w:t>It further stated that, “[s]o long as the program characteristics set out by Congress are met, [its] role is properly limited to determining whether a broadcaster was reasonable in deciding that a program fits within an exemption.”</w:t>
      </w:r>
      <w:r w:rsidR="00060215">
        <w:rPr>
          <w:rStyle w:val="FootnoteReference"/>
        </w:rPr>
        <w:footnoteReference w:id="4"/>
      </w:r>
    </w:p>
    <w:p w:rsidR="00435388" w:rsidRDefault="00393980" w:rsidP="0044463E">
      <w:pPr>
        <w:pStyle w:val="ParaNum"/>
      </w:pPr>
      <w:r w:rsidRPr="00393980">
        <w:t>In considering whether the format of a program qualifies as a “</w:t>
      </w:r>
      <w:r w:rsidRPr="00393980">
        <w:rPr>
          <w:i/>
          <w:iCs/>
        </w:rPr>
        <w:t>bona fide</w:t>
      </w:r>
      <w:r w:rsidRPr="00393980">
        <w:t xml:space="preserve"> newscast,” the Commission considers “whether the program reports news of some area of current events, in a manner </w:t>
      </w:r>
      <w:r w:rsidRPr="00393980">
        <w:lastRenderedPageBreak/>
        <w:t>similar to more traditional newscasts.”</w:t>
      </w:r>
      <w:r w:rsidR="00A9330E">
        <w:rPr>
          <w:rStyle w:val="FootnoteReference"/>
        </w:rPr>
        <w:footnoteReference w:id="5"/>
      </w:r>
      <w:r w:rsidRPr="00393980">
        <w:t xml:space="preserve"> </w:t>
      </w:r>
      <w:r w:rsidR="00435388">
        <w:t xml:space="preserve"> GNH </w:t>
      </w:r>
      <w:r w:rsidRPr="00393980">
        <w:t>states that “</w:t>
      </w:r>
      <w:r w:rsidR="00435388">
        <w:t xml:space="preserve">Crime Watch Daily” </w:t>
      </w:r>
      <w:r w:rsidRPr="00393980">
        <w:t xml:space="preserve">meets the </w:t>
      </w:r>
      <w:r w:rsidRPr="00435388">
        <w:t>Section 315(a)(1)</w:t>
      </w:r>
      <w:r w:rsidRPr="00393980">
        <w:t xml:space="preserve"> criteria for a </w:t>
      </w:r>
      <w:r w:rsidRPr="00393980">
        <w:rPr>
          <w:i/>
          <w:iCs/>
        </w:rPr>
        <w:t>bona fide</w:t>
      </w:r>
      <w:r w:rsidRPr="00393980">
        <w:t xml:space="preserve"> newscast and is, therefore, exempt from the equal opportunities requirements of </w:t>
      </w:r>
      <w:r w:rsidRPr="00435388">
        <w:t>Section 315(a)</w:t>
      </w:r>
      <w:r w:rsidRPr="00393980">
        <w:t xml:space="preserve">. </w:t>
      </w:r>
      <w:r w:rsidR="00435388">
        <w:t xml:space="preserve"> </w:t>
      </w:r>
      <w:r w:rsidRPr="00393980">
        <w:t>It contends that</w:t>
      </w:r>
    </w:p>
    <w:p w:rsidR="00435388" w:rsidRDefault="00435388" w:rsidP="00435388">
      <w:pPr>
        <w:ind w:left="720" w:right="720"/>
        <w:rPr>
          <w:szCs w:val="22"/>
        </w:rPr>
      </w:pPr>
      <w:r>
        <w:rPr>
          <w:szCs w:val="22"/>
        </w:rPr>
        <w:t>[t]hrough its host and three primary reporters/correspondents, as well as through relationships with news affiliates around the country, [</w:t>
      </w:r>
      <w:r w:rsidRPr="00313E72">
        <w:rPr>
          <w:szCs w:val="22"/>
        </w:rPr>
        <w:t>“Crime Watch Daily”</w:t>
      </w:r>
      <w:r>
        <w:rPr>
          <w:szCs w:val="22"/>
        </w:rPr>
        <w:t>] intends to cover crime-related news, including multiple newsworthy trials or other crime-related matters each day, using a format similar to other news magazine shows, and including interviews, on-the-spot coverage, and documentary or other footage.</w:t>
      </w:r>
      <w:r>
        <w:rPr>
          <w:rStyle w:val="FootnoteReference"/>
          <w:szCs w:val="22"/>
        </w:rPr>
        <w:footnoteReference w:id="6"/>
      </w:r>
      <w:r>
        <w:rPr>
          <w:szCs w:val="22"/>
        </w:rPr>
        <w:t xml:space="preserve">  </w:t>
      </w:r>
    </w:p>
    <w:p w:rsidR="00435388" w:rsidRPr="009D66B4" w:rsidRDefault="00435388" w:rsidP="00435388">
      <w:pPr>
        <w:ind w:right="720"/>
        <w:rPr>
          <w:sz w:val="12"/>
          <w:szCs w:val="12"/>
        </w:rPr>
      </w:pPr>
    </w:p>
    <w:p w:rsidR="00435388" w:rsidRDefault="00435388" w:rsidP="00435388">
      <w:pPr>
        <w:pStyle w:val="ParaNum"/>
        <w:numPr>
          <w:ilvl w:val="0"/>
          <w:numId w:val="0"/>
        </w:numPr>
      </w:pPr>
      <w:r>
        <w:t xml:space="preserve">GNH further states that it will independently produce </w:t>
      </w:r>
      <w:r w:rsidRPr="001540F6">
        <w:t>“Crime Watch Daily</w:t>
      </w:r>
      <w:r>
        <w:t>.</w:t>
      </w:r>
      <w:r w:rsidRPr="001540F6">
        <w:t>”</w:t>
      </w:r>
      <w:r>
        <w:t xml:space="preserve"> </w:t>
      </w:r>
      <w:r w:rsidR="009D66B4">
        <w:t xml:space="preserve"> </w:t>
      </w:r>
      <w:r>
        <w:t>It affirms that the coverage and stories to be included in each program “will be selected by [</w:t>
      </w:r>
      <w:r w:rsidRPr="001540F6">
        <w:t>“Crime Watch Daily”</w:t>
      </w:r>
      <w:r>
        <w:t>] producers and its personnel based on determinations of newsworthiness using their good faith journalistic judgment, and not for the purpose of advancing or harming any candidate for public office.”</w:t>
      </w:r>
      <w:r>
        <w:rPr>
          <w:rStyle w:val="FootnoteReference"/>
          <w:szCs w:val="22"/>
        </w:rPr>
        <w:footnoteReference w:id="7"/>
      </w:r>
      <w:r>
        <w:t xml:space="preserve">  GNH anticipates that </w:t>
      </w:r>
      <w:r w:rsidRPr="00B25ABB">
        <w:t>“Crime Watch Daily”</w:t>
      </w:r>
      <w:r>
        <w:t xml:space="preserve"> will cover cases that “potentially involve elected law enforcement officials, including judges, sheriffs and district attorneys, or other possible candidates,” and therefore seeks a ruling that it is entitled to an exemption from equal opportunities.</w:t>
      </w:r>
      <w:r>
        <w:rPr>
          <w:rStyle w:val="FootnoteReference"/>
          <w:szCs w:val="22"/>
        </w:rPr>
        <w:footnoteReference w:id="8"/>
      </w:r>
      <w:r>
        <w:t xml:space="preserve">  </w:t>
      </w:r>
    </w:p>
    <w:p w:rsidR="00393980" w:rsidRPr="00393980" w:rsidRDefault="00393980" w:rsidP="00393980">
      <w:pPr>
        <w:pStyle w:val="ParaNum"/>
      </w:pPr>
      <w:r w:rsidRPr="00393980">
        <w:t>Based on the record before us, we conclude that “</w:t>
      </w:r>
      <w:r w:rsidR="00BC5E08">
        <w:t>Crime Watch Daily”</w:t>
      </w:r>
      <w:r w:rsidRPr="00393980">
        <w:t xml:space="preserve"> does qualify as a </w:t>
      </w:r>
      <w:r w:rsidRPr="00393980">
        <w:rPr>
          <w:i/>
          <w:iCs/>
        </w:rPr>
        <w:t>bona fide</w:t>
      </w:r>
      <w:r w:rsidRPr="00393980">
        <w:t xml:space="preserve"> newscast because it reports news of some area of current events, in a manner similar to more traditional newscasts. </w:t>
      </w:r>
      <w:r w:rsidR="009D66B4">
        <w:t xml:space="preserve"> </w:t>
      </w:r>
      <w:r w:rsidRPr="00393980">
        <w:t xml:space="preserve">In addition, we have no evidence before us of bad faith or unreasonableness on the part of </w:t>
      </w:r>
      <w:r w:rsidR="00BC5E08">
        <w:t>GNH</w:t>
      </w:r>
      <w:r w:rsidRPr="00393980">
        <w:t xml:space="preserve">. </w:t>
      </w:r>
      <w:r w:rsidR="00E46413">
        <w:t xml:space="preserve"> </w:t>
      </w:r>
      <w:r w:rsidRPr="00393980">
        <w:t>Therefore, appearances by candidates on “</w:t>
      </w:r>
      <w:r w:rsidR="00E46413">
        <w:t>Crime Watch Daily”</w:t>
      </w:r>
      <w:r w:rsidRPr="00393980">
        <w:t xml:space="preserve"> are exempt from the equal opportunities requirements of </w:t>
      </w:r>
      <w:r w:rsidRPr="00BC5E08">
        <w:t>Section 315(a)</w:t>
      </w:r>
      <w:r w:rsidRPr="00393980">
        <w:t>.</w:t>
      </w:r>
    </w:p>
    <w:p w:rsidR="00393980" w:rsidRPr="00393980" w:rsidRDefault="00393980" w:rsidP="00393980">
      <w:pPr>
        <w:pStyle w:val="ParaNum"/>
      </w:pPr>
      <w:r w:rsidRPr="00393980">
        <w:t xml:space="preserve">We note that, whenever a news exemption is sought for an independently produced program, “licensees must still make a determination to air individual programs in the exercise of their </w:t>
      </w:r>
      <w:r w:rsidRPr="00393980">
        <w:rPr>
          <w:i/>
          <w:iCs/>
        </w:rPr>
        <w:t>bona fide</w:t>
      </w:r>
      <w:r w:rsidRPr="00393980">
        <w:t xml:space="preserve"> news judgment.”</w:t>
      </w:r>
      <w:r w:rsidR="00BC5E08">
        <w:rPr>
          <w:rStyle w:val="FootnoteReference"/>
        </w:rPr>
        <w:footnoteReference w:id="9"/>
      </w:r>
      <w:r w:rsidRPr="00393980">
        <w:t xml:space="preserve"> </w:t>
      </w:r>
      <w:r w:rsidR="00E46413">
        <w:t xml:space="preserve"> </w:t>
      </w:r>
      <w:r w:rsidRPr="00393980">
        <w:t>Accordingly, the licensees of the stations on which the subject program airs remain ultimately responsible for a determination to air a particular program and should not do so for the political advantage of a candidate for public office.</w:t>
      </w:r>
      <w:r w:rsidR="00BC5E08">
        <w:rPr>
          <w:rStyle w:val="FootnoteReference"/>
        </w:rPr>
        <w:footnoteReference w:id="10"/>
      </w:r>
    </w:p>
    <w:p w:rsidR="00393980" w:rsidRPr="00393980" w:rsidRDefault="00393980" w:rsidP="00393980">
      <w:pPr>
        <w:pStyle w:val="ParaNum"/>
      </w:pPr>
      <w:r w:rsidRPr="00393980">
        <w:t xml:space="preserve">Accordingly, </w:t>
      </w:r>
      <w:r w:rsidR="00BC5E08">
        <w:t xml:space="preserve">GNH’s </w:t>
      </w:r>
      <w:r w:rsidRPr="00393980">
        <w:t>request for declaratory ruling IS GRANTED because we find that “</w:t>
      </w:r>
      <w:r w:rsidR="007C479E">
        <w:t>Crime Watch Daily”</w:t>
      </w:r>
      <w:r w:rsidRPr="00393980">
        <w:t xml:space="preserve"> qualifies for the </w:t>
      </w:r>
      <w:r w:rsidRPr="00393980">
        <w:rPr>
          <w:i/>
          <w:iCs/>
        </w:rPr>
        <w:t>bona fide</w:t>
      </w:r>
      <w:r w:rsidRPr="00393980">
        <w:t xml:space="preserve"> newscast exemption under </w:t>
      </w:r>
      <w:r w:rsidRPr="007C479E">
        <w:t>Section 315(a)(1)</w:t>
      </w:r>
      <w:r w:rsidRPr="00393980">
        <w:t>.</w:t>
      </w:r>
    </w:p>
    <w:p w:rsidR="00393980" w:rsidRPr="00393980" w:rsidRDefault="00393980" w:rsidP="007C479E">
      <w:pPr>
        <w:ind w:left="2880" w:firstLine="720"/>
      </w:pPr>
      <w:r w:rsidRPr="00393980">
        <w:t>FEDERAL COMMUNICATIONS COMMISSION</w:t>
      </w:r>
    </w:p>
    <w:p w:rsidR="00393980" w:rsidRDefault="00393980" w:rsidP="00393980"/>
    <w:p w:rsidR="007C479E" w:rsidRDefault="007C479E" w:rsidP="00393980"/>
    <w:p w:rsidR="009D66B4" w:rsidRDefault="009D66B4" w:rsidP="00393980"/>
    <w:p w:rsidR="007C479E" w:rsidRPr="00393980" w:rsidRDefault="007C479E" w:rsidP="00393980"/>
    <w:p w:rsidR="00393980" w:rsidRPr="00393980" w:rsidRDefault="00393980" w:rsidP="007C479E">
      <w:pPr>
        <w:ind w:left="3600"/>
      </w:pPr>
      <w:r w:rsidRPr="00393980">
        <w:t>Robert L. Baker</w:t>
      </w:r>
    </w:p>
    <w:p w:rsidR="002C00E8" w:rsidRPr="002C00E8" w:rsidRDefault="00393980" w:rsidP="007C479E">
      <w:pPr>
        <w:ind w:left="3600"/>
      </w:pPr>
      <w:r w:rsidRPr="00393980">
        <w:t>Assistant Chief</w:t>
      </w:r>
      <w:r w:rsidR="009D66B4">
        <w:t xml:space="preserve">, </w:t>
      </w:r>
      <w:r w:rsidRPr="00393980">
        <w:t>Policy Division</w:t>
      </w:r>
      <w:r w:rsidR="009D66B4">
        <w:t xml:space="preserve">, </w:t>
      </w:r>
      <w:r w:rsidRPr="00393980">
        <w:t>Media Bureau</w:t>
      </w:r>
    </w:p>
    <w:sectPr w:rsidR="002C00E8" w:rsidRPr="002C00E8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04" w:rsidRDefault="00962D04">
      <w:pPr>
        <w:spacing w:line="20" w:lineRule="exact"/>
      </w:pPr>
    </w:p>
  </w:endnote>
  <w:endnote w:type="continuationSeparator" w:id="0">
    <w:p w:rsidR="00962D04" w:rsidRDefault="00962D04">
      <w:r>
        <w:t xml:space="preserve"> </w:t>
      </w:r>
    </w:p>
  </w:endnote>
  <w:endnote w:type="continuationNotice" w:id="1">
    <w:p w:rsidR="00962D04" w:rsidRDefault="00962D0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77667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04" w:rsidRDefault="00962D04">
      <w:r>
        <w:separator/>
      </w:r>
    </w:p>
  </w:footnote>
  <w:footnote w:type="continuationSeparator" w:id="0">
    <w:p w:rsidR="00962D04" w:rsidRDefault="00962D04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962D04" w:rsidRDefault="00962D04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0C4335" w:rsidRDefault="000C4335" w:rsidP="009D66B4">
      <w:pPr>
        <w:pStyle w:val="FootnoteText"/>
      </w:pPr>
      <w:r>
        <w:rPr>
          <w:rStyle w:val="FootnoteReference"/>
        </w:rPr>
        <w:footnoteRef/>
      </w:r>
      <w:r>
        <w:t xml:space="preserve"> See Letter to Marlene H. Dortch, Secretary, Federal Communications Commission, from F. William LeBeau, Esq., Holland &amp; Knight, dated June 8, 2015 (</w:t>
      </w:r>
      <w:r w:rsidR="00136F65">
        <w:t>“</w:t>
      </w:r>
      <w:r>
        <w:t>Request”).</w:t>
      </w:r>
    </w:p>
  </w:footnote>
  <w:footnote w:id="3">
    <w:p w:rsidR="00A67413" w:rsidRDefault="00A674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0858">
        <w:rPr>
          <w:i/>
          <w:iCs/>
        </w:rPr>
        <w:t>In re Request of Oliver Productions, Inc. For Declaratory Ruling</w:t>
      </w:r>
      <w:r w:rsidRPr="00460858">
        <w:t xml:space="preserve">, 4 FCC Rcd 5953, 5953 (1989), citing </w:t>
      </w:r>
      <w:r w:rsidRPr="00460858">
        <w:rPr>
          <w:i/>
          <w:iCs/>
        </w:rPr>
        <w:t>Henry Geller</w:t>
      </w:r>
      <w:r w:rsidRPr="00460858">
        <w:t>, 95 FCC 2d 1236 (1983).</w:t>
      </w:r>
    </w:p>
  </w:footnote>
  <w:footnote w:id="4">
    <w:p w:rsidR="00060215" w:rsidRDefault="000602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463E">
        <w:t>P</w:t>
      </w:r>
      <w:r w:rsidRPr="0044463E">
        <w:rPr>
          <w:i/>
          <w:iCs/>
        </w:rPr>
        <w:t>aramount Pictures Corp.</w:t>
      </w:r>
      <w:r w:rsidRPr="0044463E">
        <w:t>, 3 FCC Rcd 245, 245-46 (MMB 1988) (“</w:t>
      </w:r>
      <w:r w:rsidRPr="0044463E">
        <w:rPr>
          <w:i/>
          <w:iCs/>
        </w:rPr>
        <w:t>Entertainment Tonight</w:t>
      </w:r>
      <w:r w:rsidRPr="0044463E">
        <w:t>”).</w:t>
      </w:r>
      <w:r w:rsidR="0044463E">
        <w:t xml:space="preserve">  </w:t>
      </w:r>
      <w:r w:rsidRPr="0044463E">
        <w:rPr>
          <w:i/>
          <w:iCs/>
        </w:rPr>
        <w:t>See</w:t>
      </w:r>
      <w:r w:rsidR="004332C4">
        <w:rPr>
          <w:i/>
          <w:iCs/>
        </w:rPr>
        <w:t xml:space="preserve"> also</w:t>
      </w:r>
      <w:r w:rsidRPr="0044463E">
        <w:rPr>
          <w:i/>
          <w:iCs/>
        </w:rPr>
        <w:t xml:space="preserve"> </w:t>
      </w:r>
      <w:r w:rsidR="00E46413" w:rsidRPr="00E46413">
        <w:rPr>
          <w:i/>
          <w:iCs/>
        </w:rPr>
        <w:t xml:space="preserve">Telepictures Productions Inc., </w:t>
      </w:r>
      <w:r w:rsidR="00E46413" w:rsidRPr="00E46413">
        <w:rPr>
          <w:iCs/>
        </w:rPr>
        <w:t>23 FCC Rcd. 7168 (MB 2008);</w:t>
      </w:r>
      <w:r w:rsidR="00E46413">
        <w:rPr>
          <w:i/>
          <w:iCs/>
        </w:rPr>
        <w:t xml:space="preserve"> </w:t>
      </w:r>
      <w:r w:rsidRPr="0044463E">
        <w:rPr>
          <w:i/>
          <w:iCs/>
        </w:rPr>
        <w:t>Rev. Donald L. Lanier</w:t>
      </w:r>
      <w:r w:rsidRPr="0044463E">
        <w:t>, 37 FCC 2d 952 (B</w:t>
      </w:r>
      <w:r w:rsidR="00136F65">
        <w:t>/c</w:t>
      </w:r>
      <w:r w:rsidR="0044463E">
        <w:t xml:space="preserve"> </w:t>
      </w:r>
      <w:r w:rsidRPr="0044463E">
        <w:t>Bur. 1972) (granting newscast exemption to a program dealing entirely with current religious news)</w:t>
      </w:r>
      <w:r w:rsidR="004332C4">
        <w:t xml:space="preserve">; </w:t>
      </w:r>
      <w:r w:rsidRPr="0044463E">
        <w:rPr>
          <w:i/>
          <w:iCs/>
        </w:rPr>
        <w:t>Request of TTT West Coast, Inc. For Declaratory Ruling</w:t>
      </w:r>
      <w:r w:rsidRPr="0044463E">
        <w:t>, 9 FCC Rcd 6168 (MMB</w:t>
      </w:r>
      <w:r w:rsidR="00136F65">
        <w:t xml:space="preserve"> </w:t>
      </w:r>
      <w:r w:rsidRPr="0044463E">
        <w:t xml:space="preserve">1994) (program “Extra” found to be </w:t>
      </w:r>
      <w:r w:rsidRPr="0044463E">
        <w:rPr>
          <w:i/>
          <w:iCs/>
        </w:rPr>
        <w:t>bona fide</w:t>
      </w:r>
      <w:r w:rsidRPr="0044463E">
        <w:t xml:space="preserve"> newscast exempt from equal opportunities provision).</w:t>
      </w:r>
    </w:p>
  </w:footnote>
  <w:footnote w:id="5">
    <w:p w:rsidR="00A9330E" w:rsidRDefault="00A933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330E">
        <w:rPr>
          <w:i/>
          <w:iCs/>
        </w:rPr>
        <w:t>Oliver</w:t>
      </w:r>
      <w:r w:rsidRPr="00A9330E">
        <w:t xml:space="preserve">, 4 FCC Rcd at 5953, citing </w:t>
      </w:r>
      <w:r w:rsidRPr="00A9330E">
        <w:rPr>
          <w:i/>
          <w:iCs/>
        </w:rPr>
        <w:t>Entertainment Tonight</w:t>
      </w:r>
      <w:r w:rsidRPr="00A9330E">
        <w:t>, 3 FCC Rcd at 246</w:t>
      </w:r>
      <w:r w:rsidRPr="00A9330E">
        <w:rPr>
          <w:b/>
        </w:rPr>
        <w:t>.</w:t>
      </w:r>
    </w:p>
  </w:footnote>
  <w:footnote w:id="6">
    <w:p w:rsidR="00435388" w:rsidRDefault="00435388" w:rsidP="009D66B4">
      <w:pPr>
        <w:pStyle w:val="FootnoteText"/>
      </w:pPr>
      <w:r>
        <w:rPr>
          <w:rStyle w:val="FootnoteReference"/>
        </w:rPr>
        <w:footnoteRef/>
      </w:r>
      <w:r>
        <w:t xml:space="preserve"> Request at 2.</w:t>
      </w:r>
    </w:p>
  </w:footnote>
  <w:footnote w:id="7">
    <w:p w:rsidR="00435388" w:rsidRPr="009D66B4" w:rsidRDefault="00435388" w:rsidP="009D66B4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9D66B4">
        <w:rPr>
          <w:i/>
        </w:rPr>
        <w:t>Id.</w:t>
      </w:r>
    </w:p>
  </w:footnote>
  <w:footnote w:id="8">
    <w:p w:rsidR="00435388" w:rsidRDefault="00435388" w:rsidP="009D66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5349">
        <w:rPr>
          <w:i/>
        </w:rPr>
        <w:t>Id.</w:t>
      </w:r>
      <w:r>
        <w:t xml:space="preserve"> </w:t>
      </w:r>
    </w:p>
  </w:footnote>
  <w:footnote w:id="9">
    <w:p w:rsidR="00BC5E08" w:rsidRPr="009D66B4" w:rsidRDefault="00BC5E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5E08">
        <w:rPr>
          <w:i/>
          <w:iCs/>
        </w:rPr>
        <w:t>Request for Declaratory Ruling on Independently Produced News Interviews</w:t>
      </w:r>
      <w:r w:rsidRPr="00BC5E08">
        <w:t>, 7 FCC Rcd 4681, 4685 (1981</w:t>
      </w:r>
      <w:r w:rsidRPr="009D66B4">
        <w:t>).</w:t>
      </w:r>
    </w:p>
  </w:footnote>
  <w:footnote w:id="10">
    <w:p w:rsidR="00BC5E08" w:rsidRDefault="00BC5E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5E08">
        <w:rPr>
          <w:i/>
        </w:rPr>
        <w:t>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F2" w:rsidRDefault="002D0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0A3FF5">
      <w:t>DA 15-909</w:t>
    </w:r>
  </w:p>
  <w:p w:rsidR="00D25FB5" w:rsidRDefault="0039398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7455D40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393980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8AF16BB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3343E0">
      <w:rPr>
        <w:spacing w:val="-2"/>
      </w:rPr>
      <w:t>DA 15-</w:t>
    </w:r>
    <w:r w:rsidR="000A3FF5">
      <w:rPr>
        <w:spacing w:val="-2"/>
      </w:rPr>
      <w:t>909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80"/>
    <w:rsid w:val="00036039"/>
    <w:rsid w:val="00037F90"/>
    <w:rsid w:val="00060215"/>
    <w:rsid w:val="000875BF"/>
    <w:rsid w:val="00096D8C"/>
    <w:rsid w:val="000A3FF5"/>
    <w:rsid w:val="000A53C7"/>
    <w:rsid w:val="000C0B65"/>
    <w:rsid w:val="000C1A54"/>
    <w:rsid w:val="000C4335"/>
    <w:rsid w:val="000E05FE"/>
    <w:rsid w:val="000E3D42"/>
    <w:rsid w:val="00122BD5"/>
    <w:rsid w:val="00133F79"/>
    <w:rsid w:val="00136F65"/>
    <w:rsid w:val="00194A66"/>
    <w:rsid w:val="00195168"/>
    <w:rsid w:val="001D6BCF"/>
    <w:rsid w:val="001E01CA"/>
    <w:rsid w:val="00275CF5"/>
    <w:rsid w:val="0028301F"/>
    <w:rsid w:val="00285017"/>
    <w:rsid w:val="002A2D2E"/>
    <w:rsid w:val="002A6ED2"/>
    <w:rsid w:val="002C00E8"/>
    <w:rsid w:val="002D0EF2"/>
    <w:rsid w:val="003343E0"/>
    <w:rsid w:val="00343749"/>
    <w:rsid w:val="00351820"/>
    <w:rsid w:val="003660ED"/>
    <w:rsid w:val="00393980"/>
    <w:rsid w:val="003A00CE"/>
    <w:rsid w:val="003B0550"/>
    <w:rsid w:val="003B694F"/>
    <w:rsid w:val="003C0800"/>
    <w:rsid w:val="003F171C"/>
    <w:rsid w:val="003F3883"/>
    <w:rsid w:val="00412FC5"/>
    <w:rsid w:val="00422276"/>
    <w:rsid w:val="004242F1"/>
    <w:rsid w:val="004332C4"/>
    <w:rsid w:val="00435388"/>
    <w:rsid w:val="0044463E"/>
    <w:rsid w:val="00445A00"/>
    <w:rsid w:val="00451B0F"/>
    <w:rsid w:val="00460858"/>
    <w:rsid w:val="00461B61"/>
    <w:rsid w:val="004C2EE3"/>
    <w:rsid w:val="004E4A22"/>
    <w:rsid w:val="00511968"/>
    <w:rsid w:val="0055614C"/>
    <w:rsid w:val="005B1074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7C479E"/>
    <w:rsid w:val="00810B6F"/>
    <w:rsid w:val="00822CE0"/>
    <w:rsid w:val="00841AB1"/>
    <w:rsid w:val="0086347B"/>
    <w:rsid w:val="008C68F1"/>
    <w:rsid w:val="00921803"/>
    <w:rsid w:val="00926503"/>
    <w:rsid w:val="00962D04"/>
    <w:rsid w:val="009726D8"/>
    <w:rsid w:val="009B02C0"/>
    <w:rsid w:val="009D66B4"/>
    <w:rsid w:val="009F76DB"/>
    <w:rsid w:val="00A32C3B"/>
    <w:rsid w:val="00A45F4F"/>
    <w:rsid w:val="00A600A9"/>
    <w:rsid w:val="00A624DA"/>
    <w:rsid w:val="00A67413"/>
    <w:rsid w:val="00A7052A"/>
    <w:rsid w:val="00A71346"/>
    <w:rsid w:val="00A9330E"/>
    <w:rsid w:val="00AA55B7"/>
    <w:rsid w:val="00AA5B9E"/>
    <w:rsid w:val="00AB2407"/>
    <w:rsid w:val="00AB53DF"/>
    <w:rsid w:val="00B07E5C"/>
    <w:rsid w:val="00B811F7"/>
    <w:rsid w:val="00B9022E"/>
    <w:rsid w:val="00B92F08"/>
    <w:rsid w:val="00BA5DC6"/>
    <w:rsid w:val="00BA6196"/>
    <w:rsid w:val="00BC5E08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77667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46413"/>
    <w:rsid w:val="00E5409F"/>
    <w:rsid w:val="00ED08FD"/>
    <w:rsid w:val="00EE6488"/>
    <w:rsid w:val="00F021FA"/>
    <w:rsid w:val="00F62E97"/>
    <w:rsid w:val="00F64209"/>
    <w:rsid w:val="00F81650"/>
    <w:rsid w:val="00F93BF5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rsid w:val="000C4335"/>
  </w:style>
  <w:style w:type="paragraph" w:styleId="BalloonText">
    <w:name w:val="Balloon Text"/>
    <w:basedOn w:val="Normal"/>
    <w:link w:val="BalloonTextChar"/>
    <w:rsid w:val="009D6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66B4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rsid w:val="000C4335"/>
  </w:style>
  <w:style w:type="paragraph" w:styleId="BalloonText">
    <w:name w:val="Balloon Text"/>
    <w:basedOn w:val="Normal"/>
    <w:link w:val="BalloonTextChar"/>
    <w:rsid w:val="009D6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66B4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ry.schonman\Desktop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738</Words>
  <Characters>4059</Characters>
  <Application>Microsoft Office Word</Application>
  <DocSecurity>0</DocSecurity>
  <Lines>84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4793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2015-08-10T17:41:00Z</dcterms:created>
  <dcterms:modified xsi:type="dcterms:W3CDTF">2015-08-10T17:41:00Z</dcterms:modified>
  <cp:category> </cp:category>
  <cp:contentStatus> </cp:contentStatus>
</cp:coreProperties>
</file>