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BA76" w14:textId="77777777" w:rsidR="00C44E65" w:rsidRDefault="00C44E65">
      <w:pPr>
        <w:jc w:val="center"/>
        <w:rPr>
          <w:b/>
        </w:rPr>
      </w:pPr>
      <w:bookmarkStart w:id="0" w:name="_GoBack"/>
      <w:bookmarkEnd w:id="0"/>
      <w:r>
        <w:rPr>
          <w:b/>
        </w:rPr>
        <w:t>Before the</w:t>
      </w:r>
    </w:p>
    <w:p w14:paraId="49141623" w14:textId="77777777" w:rsidR="00C44E65" w:rsidRDefault="00C44E65">
      <w:pPr>
        <w:jc w:val="center"/>
        <w:rPr>
          <w:b/>
        </w:rPr>
      </w:pPr>
      <w:r>
        <w:rPr>
          <w:b/>
        </w:rPr>
        <w:t>Federal Communications Commission</w:t>
      </w:r>
    </w:p>
    <w:p w14:paraId="22A20B51" w14:textId="77777777" w:rsidR="00C44E65" w:rsidRDefault="00C44E65">
      <w:pPr>
        <w:jc w:val="center"/>
        <w:rPr>
          <w:b/>
        </w:rPr>
      </w:pPr>
      <w:r>
        <w:rPr>
          <w:b/>
        </w:rPr>
        <w:t>Washington, D.C. 20554</w:t>
      </w:r>
    </w:p>
    <w:p w14:paraId="3D98EAA8" w14:textId="77777777" w:rsidR="00C44E65" w:rsidRDefault="00C44E65"/>
    <w:tbl>
      <w:tblPr>
        <w:tblW w:w="0" w:type="auto"/>
        <w:tblLayout w:type="fixed"/>
        <w:tblLook w:val="0000" w:firstRow="0" w:lastRow="0" w:firstColumn="0" w:lastColumn="0" w:noHBand="0" w:noVBand="0"/>
      </w:tblPr>
      <w:tblGrid>
        <w:gridCol w:w="4698"/>
        <w:gridCol w:w="720"/>
        <w:gridCol w:w="4230"/>
      </w:tblGrid>
      <w:tr w:rsidR="00C44E65" w14:paraId="0055362C" w14:textId="77777777">
        <w:tc>
          <w:tcPr>
            <w:tcW w:w="4698" w:type="dxa"/>
          </w:tcPr>
          <w:p w14:paraId="2E6F0CC5" w14:textId="77777777" w:rsidR="00C44E65" w:rsidRDefault="00C44E65">
            <w:pPr>
              <w:ind w:right="-18"/>
            </w:pPr>
            <w:r>
              <w:t>In the Matter of</w:t>
            </w:r>
          </w:p>
          <w:p w14:paraId="75499DF5" w14:textId="77777777" w:rsidR="00C44E65" w:rsidRDefault="00C44E65">
            <w:pPr>
              <w:ind w:right="-18"/>
            </w:pPr>
          </w:p>
          <w:p w14:paraId="243DA948" w14:textId="77777777" w:rsidR="00C44E65" w:rsidRDefault="00C665E0">
            <w:pPr>
              <w:ind w:right="-18"/>
            </w:pPr>
            <w:r>
              <w:t xml:space="preserve">iRobot </w:t>
            </w:r>
            <w:r w:rsidR="00C44E65">
              <w:t>Corporation Request for Waiver of Section  15.2</w:t>
            </w:r>
            <w:r>
              <w:t>50</w:t>
            </w:r>
            <w:r w:rsidR="00C44E65">
              <w:t xml:space="preserve"> of the Commission’s Rules </w:t>
            </w:r>
          </w:p>
          <w:p w14:paraId="6C93EA92" w14:textId="77777777" w:rsidR="00C44E65" w:rsidRDefault="00C44E65">
            <w:pPr>
              <w:ind w:right="-18"/>
            </w:pPr>
          </w:p>
        </w:tc>
        <w:tc>
          <w:tcPr>
            <w:tcW w:w="720" w:type="dxa"/>
          </w:tcPr>
          <w:p w14:paraId="019AE4D2" w14:textId="77777777" w:rsidR="00C44E65" w:rsidRDefault="00C44E65">
            <w:pPr>
              <w:rPr>
                <w:b/>
              </w:rPr>
            </w:pPr>
            <w:r>
              <w:rPr>
                <w:b/>
              </w:rPr>
              <w:t>)</w:t>
            </w:r>
          </w:p>
          <w:p w14:paraId="2E48F07B" w14:textId="77777777" w:rsidR="00C44E65" w:rsidRDefault="00C44E65">
            <w:pPr>
              <w:rPr>
                <w:b/>
              </w:rPr>
            </w:pPr>
            <w:r>
              <w:rPr>
                <w:b/>
              </w:rPr>
              <w:t>)</w:t>
            </w:r>
          </w:p>
          <w:p w14:paraId="3F3E6E42" w14:textId="77777777" w:rsidR="00C44E65" w:rsidRDefault="00C44E65">
            <w:pPr>
              <w:rPr>
                <w:b/>
              </w:rPr>
            </w:pPr>
            <w:r>
              <w:rPr>
                <w:b/>
              </w:rPr>
              <w:t>)</w:t>
            </w:r>
          </w:p>
          <w:p w14:paraId="5918BB92" w14:textId="77777777" w:rsidR="00C44E65" w:rsidRDefault="00C44E65">
            <w:pPr>
              <w:rPr>
                <w:b/>
              </w:rPr>
            </w:pPr>
            <w:r>
              <w:rPr>
                <w:b/>
              </w:rPr>
              <w:t>)</w:t>
            </w:r>
          </w:p>
          <w:p w14:paraId="24E0AD40" w14:textId="77777777" w:rsidR="00C44E65" w:rsidRDefault="00C44E65">
            <w:pPr>
              <w:rPr>
                <w:b/>
              </w:rPr>
            </w:pPr>
            <w:r>
              <w:rPr>
                <w:b/>
              </w:rPr>
              <w:t>)</w:t>
            </w:r>
          </w:p>
          <w:p w14:paraId="5A634897" w14:textId="77777777" w:rsidR="00C44E65" w:rsidRDefault="00C44E65">
            <w:pPr>
              <w:rPr>
                <w:b/>
              </w:rPr>
            </w:pPr>
            <w:r>
              <w:rPr>
                <w:b/>
              </w:rPr>
              <w:t>)</w:t>
            </w:r>
          </w:p>
        </w:tc>
        <w:tc>
          <w:tcPr>
            <w:tcW w:w="4230" w:type="dxa"/>
          </w:tcPr>
          <w:p w14:paraId="2DE4A89E" w14:textId="77777777" w:rsidR="00C44E65" w:rsidRDefault="00C44E65"/>
          <w:p w14:paraId="38256E1F" w14:textId="77777777" w:rsidR="00C44E65" w:rsidRDefault="00C44E65"/>
          <w:p w14:paraId="0EFE61FF" w14:textId="77777777" w:rsidR="00C44E65" w:rsidRDefault="00C44E65">
            <w:r>
              <w:rPr>
                <w:spacing w:val="-2"/>
              </w:rPr>
              <w:t xml:space="preserve">ET Docket No. </w:t>
            </w:r>
            <w:r w:rsidR="00C665E0">
              <w:rPr>
                <w:spacing w:val="-2"/>
              </w:rPr>
              <w:t>15</w:t>
            </w:r>
            <w:r>
              <w:rPr>
                <w:spacing w:val="-2"/>
              </w:rPr>
              <w:t>-</w:t>
            </w:r>
            <w:r w:rsidR="00C665E0">
              <w:rPr>
                <w:spacing w:val="-2"/>
              </w:rPr>
              <w:t>30</w:t>
            </w:r>
          </w:p>
          <w:p w14:paraId="50023918" w14:textId="77777777" w:rsidR="00C44E65" w:rsidRDefault="00C44E65"/>
        </w:tc>
      </w:tr>
    </w:tbl>
    <w:p w14:paraId="600BF167" w14:textId="0BA7E744" w:rsidR="00C44E65" w:rsidRDefault="00C44E65" w:rsidP="00677E04">
      <w:pPr>
        <w:spacing w:before="120"/>
        <w:jc w:val="center"/>
        <w:rPr>
          <w:b/>
        </w:rPr>
      </w:pPr>
      <w:r>
        <w:rPr>
          <w:b/>
          <w:spacing w:val="-2"/>
        </w:rPr>
        <w:t>ORDER</w:t>
      </w:r>
    </w:p>
    <w:p w14:paraId="4538D7D5" w14:textId="77777777" w:rsidR="00C44E65" w:rsidRDefault="00C44E65"/>
    <w:p w14:paraId="30BCDF52" w14:textId="598CDF68" w:rsidR="00C44E65" w:rsidRDefault="00C44E65">
      <w:pPr>
        <w:tabs>
          <w:tab w:val="left" w:pos="5760"/>
        </w:tabs>
        <w:rPr>
          <w:b/>
        </w:rPr>
      </w:pPr>
      <w:r>
        <w:rPr>
          <w:b/>
        </w:rPr>
        <w:t xml:space="preserve">Adopted:  </w:t>
      </w:r>
      <w:r w:rsidR="00BE0F6E">
        <w:rPr>
          <w:b/>
        </w:rPr>
        <w:t>August</w:t>
      </w:r>
      <w:r w:rsidR="00C665E0">
        <w:rPr>
          <w:b/>
        </w:rPr>
        <w:t xml:space="preserve"> </w:t>
      </w:r>
      <w:r w:rsidR="00BE0F6E">
        <w:rPr>
          <w:b/>
        </w:rPr>
        <w:t>12</w:t>
      </w:r>
      <w:r>
        <w:rPr>
          <w:b/>
        </w:rPr>
        <w:t>, 20</w:t>
      </w:r>
      <w:r w:rsidR="00C665E0">
        <w:rPr>
          <w:b/>
        </w:rPr>
        <w:t>15</w:t>
      </w:r>
      <w:r>
        <w:rPr>
          <w:b/>
        </w:rPr>
        <w:tab/>
        <w:t xml:space="preserve">             Released:  </w:t>
      </w:r>
      <w:r w:rsidR="00BE0F6E">
        <w:rPr>
          <w:b/>
        </w:rPr>
        <w:t>August 12</w:t>
      </w:r>
      <w:r>
        <w:rPr>
          <w:b/>
        </w:rPr>
        <w:t>, 20</w:t>
      </w:r>
      <w:r w:rsidR="00C665E0">
        <w:rPr>
          <w:b/>
        </w:rPr>
        <w:t>15</w:t>
      </w:r>
      <w:r>
        <w:rPr>
          <w:b/>
        </w:rPr>
        <w:t xml:space="preserve"> </w:t>
      </w:r>
    </w:p>
    <w:p w14:paraId="58D01791" w14:textId="77777777" w:rsidR="00C44E65" w:rsidRDefault="00C44E65">
      <w:pPr>
        <w:tabs>
          <w:tab w:val="left" w:pos="5760"/>
        </w:tabs>
        <w:rPr>
          <w:b/>
        </w:rPr>
      </w:pPr>
    </w:p>
    <w:p w14:paraId="4224FA28" w14:textId="77777777" w:rsidR="00C44E65" w:rsidRDefault="00C44E65">
      <w:pPr>
        <w:tabs>
          <w:tab w:val="left" w:pos="5760"/>
        </w:tabs>
        <w:rPr>
          <w:spacing w:val="-2"/>
        </w:rPr>
      </w:pPr>
      <w:r>
        <w:t xml:space="preserve">By the </w:t>
      </w:r>
      <w:r>
        <w:rPr>
          <w:spacing w:val="-2"/>
        </w:rPr>
        <w:t xml:space="preserve">Chief, Office of Engineering and Technology:  </w:t>
      </w:r>
    </w:p>
    <w:p w14:paraId="1F9D9A43" w14:textId="77777777" w:rsidR="00C44E65" w:rsidRDefault="00C44E65">
      <w:pPr>
        <w:tabs>
          <w:tab w:val="left" w:pos="5760"/>
        </w:tabs>
        <w:rPr>
          <w:spacing w:val="-2"/>
        </w:rPr>
      </w:pPr>
    </w:p>
    <w:p w14:paraId="7C33CBFC" w14:textId="77777777" w:rsidR="00C44E65" w:rsidRDefault="00C44E65">
      <w:pPr>
        <w:tabs>
          <w:tab w:val="left" w:pos="5760"/>
        </w:tabs>
        <w:rPr>
          <w:spacing w:val="-2"/>
        </w:rPr>
      </w:pPr>
    </w:p>
    <w:p w14:paraId="6A2585F8" w14:textId="77777777" w:rsidR="00C44E65" w:rsidRDefault="00C44E65">
      <w:pPr>
        <w:pStyle w:val="Heading1"/>
        <w:jc w:val="left"/>
      </w:pPr>
      <w:bookmarkStart w:id="1" w:name="_Toc85015149"/>
      <w:r>
        <w:t>Introduction</w:t>
      </w:r>
      <w:bookmarkEnd w:id="1"/>
    </w:p>
    <w:p w14:paraId="3C916C03" w14:textId="582FB448" w:rsidR="00C44E65" w:rsidRDefault="00C44E65">
      <w:pPr>
        <w:pStyle w:val="ParaNum"/>
      </w:pPr>
      <w:r>
        <w:t xml:space="preserve">By this action, we grant a request by </w:t>
      </w:r>
      <w:r w:rsidR="00C665E0">
        <w:t xml:space="preserve">iRobot </w:t>
      </w:r>
      <w:r>
        <w:t>Corporation (“</w:t>
      </w:r>
      <w:r w:rsidR="00C665E0">
        <w:t>iRobot</w:t>
      </w:r>
      <w:r>
        <w:t xml:space="preserve">”) to </w:t>
      </w:r>
      <w:r w:rsidR="00C665E0">
        <w:t>waive Section 15.250(c) of our rules</w:t>
      </w:r>
      <w:r w:rsidR="00BF2730">
        <w:t>.</w:t>
      </w:r>
      <w:r w:rsidR="00C665E0">
        <w:rPr>
          <w:rStyle w:val="FootnoteReference"/>
        </w:rPr>
        <w:footnoteReference w:id="2"/>
      </w:r>
      <w:r w:rsidR="00C665E0">
        <w:t xml:space="preserve"> </w:t>
      </w:r>
      <w:r w:rsidR="00BF2730">
        <w:t xml:space="preserve"> Specifically, we are waiving </w:t>
      </w:r>
      <w:r w:rsidR="00566073">
        <w:t>the</w:t>
      </w:r>
      <w:r w:rsidR="00BF2730">
        <w:t xml:space="preserve"> prohibition on the use of fixed outdoor infrastructure to allow iRobot to obtain </w:t>
      </w:r>
      <w:r w:rsidR="00B67101">
        <w:t xml:space="preserve">equipment </w:t>
      </w:r>
      <w:r w:rsidR="00BF2730">
        <w:t>certification for and market a robotic lawn mower (“RLM”)</w:t>
      </w:r>
      <w:r w:rsidR="00717009">
        <w:t xml:space="preserve"> that operates in the 6240-6740 MHz frequency range</w:t>
      </w:r>
      <w:r w:rsidR="00BF2730">
        <w:t>.</w:t>
      </w:r>
      <w:r w:rsidR="008F710F">
        <w:rPr>
          <w:rStyle w:val="FootnoteReference"/>
        </w:rPr>
        <w:footnoteReference w:id="3"/>
      </w:r>
      <w:r w:rsidR="008F710F">
        <w:t xml:space="preserve"> </w:t>
      </w:r>
      <w:bookmarkStart w:id="2" w:name="_Toc85015150"/>
      <w:r w:rsidR="008F710F">
        <w:t xml:space="preserve"> We find that granting this waiver is in the public interest because it will </w:t>
      </w:r>
      <w:r w:rsidR="00957174">
        <w:t>enable iRobot to market its robotic lawn mower</w:t>
      </w:r>
      <w:r w:rsidR="00B67101">
        <w:t xml:space="preserve"> without </w:t>
      </w:r>
      <w:r w:rsidR="003D3415">
        <w:t xml:space="preserve">posing a significant </w:t>
      </w:r>
      <w:r w:rsidR="00B67101">
        <w:t>risk of harmful interference to authorized users of the radio spectrum</w:t>
      </w:r>
      <w:r w:rsidR="00651E21">
        <w:t>.</w:t>
      </w:r>
    </w:p>
    <w:p w14:paraId="31E97EAA" w14:textId="77777777" w:rsidR="00C44E65" w:rsidRDefault="00C44E65">
      <w:pPr>
        <w:pStyle w:val="Heading1"/>
      </w:pPr>
      <w:r>
        <w:t>BACKGROUND</w:t>
      </w:r>
      <w:bookmarkEnd w:id="2"/>
    </w:p>
    <w:p w14:paraId="65AD15D9" w14:textId="1EB7BC59" w:rsidR="004F7496" w:rsidRDefault="00C44E65">
      <w:pPr>
        <w:pStyle w:val="ParaNum"/>
        <w:rPr>
          <w:szCs w:val="22"/>
        </w:rPr>
      </w:pPr>
      <w:r>
        <w:t xml:space="preserve">Part 15 of the </w:t>
      </w:r>
      <w:r>
        <w:rPr>
          <w:szCs w:val="22"/>
        </w:rPr>
        <w:t>Commission’s</w:t>
      </w:r>
      <w:r>
        <w:t xml:space="preserve"> rules </w:t>
      </w:r>
      <w:r w:rsidR="008F710F">
        <w:t>permit</w:t>
      </w:r>
      <w:r>
        <w:t>s the operation of low power radio frequency</w:t>
      </w:r>
      <w:r w:rsidR="00651E21">
        <w:t xml:space="preserve"> </w:t>
      </w:r>
      <w:r>
        <w:t>devices without an individual license from the Commission</w:t>
      </w:r>
      <w:r w:rsidR="004F7496">
        <w:t xml:space="preserve"> or the need for frequency coordination</w:t>
      </w:r>
      <w:r>
        <w:t>.</w:t>
      </w:r>
      <w:r w:rsidR="008911FB">
        <w:rPr>
          <w:rStyle w:val="FootnoteReference"/>
        </w:rPr>
        <w:footnoteReference w:id="4"/>
      </w:r>
      <w:r>
        <w:t xml:space="preserve">  The technical standards </w:t>
      </w:r>
      <w:r w:rsidR="004F7496">
        <w:t xml:space="preserve">contained </w:t>
      </w:r>
      <w:r>
        <w:t xml:space="preserve">in Part 15 are designed to ensure that there is a low probability that these </w:t>
      </w:r>
      <w:r w:rsidR="004F7496">
        <w:t>un</w:t>
      </w:r>
      <w:r>
        <w:t xml:space="preserve">licensed devices will cause harmful interference to </w:t>
      </w:r>
      <w:r w:rsidR="008D3721">
        <w:t xml:space="preserve">other users </w:t>
      </w:r>
      <w:r>
        <w:t>of the radio spectrum.</w:t>
      </w:r>
      <w:r w:rsidR="008D3721">
        <w:rPr>
          <w:rStyle w:val="FootnoteReference"/>
        </w:rPr>
        <w:footnoteReference w:id="5"/>
      </w:r>
      <w:r>
        <w:t xml:space="preserve">  </w:t>
      </w:r>
      <w:r w:rsidR="007D3774">
        <w:t>In 2004, t</w:t>
      </w:r>
      <w:r w:rsidR="0045622F">
        <w:t xml:space="preserve">he Commission adopted new </w:t>
      </w:r>
      <w:r w:rsidR="00280C53">
        <w:t xml:space="preserve">Part 15 </w:t>
      </w:r>
      <w:r w:rsidR="0045622F">
        <w:t>rules regarding the operation of wideband systems in the 5925-7250 MHz frequency band</w:t>
      </w:r>
      <w:r w:rsidR="007D3774">
        <w:t>.</w:t>
      </w:r>
      <w:r w:rsidR="0045622F">
        <w:rPr>
          <w:rStyle w:val="FootnoteReference"/>
        </w:rPr>
        <w:footnoteReference w:id="6"/>
      </w:r>
      <w:r w:rsidR="0045622F">
        <w:t xml:space="preserve">  </w:t>
      </w:r>
      <w:r w:rsidR="007D3774">
        <w:t xml:space="preserve">These rules included </w:t>
      </w:r>
      <w:r>
        <w:rPr>
          <w:szCs w:val="22"/>
        </w:rPr>
        <w:t>Section 15.25</w:t>
      </w:r>
      <w:r w:rsidR="004F7496">
        <w:rPr>
          <w:szCs w:val="22"/>
        </w:rPr>
        <w:t>0(c)</w:t>
      </w:r>
      <w:r w:rsidR="007D3774">
        <w:rPr>
          <w:szCs w:val="22"/>
        </w:rPr>
        <w:t>, which</w:t>
      </w:r>
      <w:r w:rsidR="004F7496">
        <w:rPr>
          <w:szCs w:val="22"/>
        </w:rPr>
        <w:t xml:space="preserve"> provides that </w:t>
      </w:r>
      <w:r w:rsidR="00570694">
        <w:rPr>
          <w:szCs w:val="22"/>
        </w:rPr>
        <w:t>“</w:t>
      </w:r>
      <w:r w:rsidR="002E205A">
        <w:rPr>
          <w:szCs w:val="22"/>
        </w:rPr>
        <w:t xml:space="preserve">[e]xcept for operation onboard a ship or terrestrial transportation vehicle, </w:t>
      </w:r>
      <w:r w:rsidR="00570694">
        <w:rPr>
          <w:szCs w:val="22"/>
        </w:rPr>
        <w:t xml:space="preserve">the use of a fixed outdoor infrastructure is </w:t>
      </w:r>
      <w:r w:rsidR="00570694">
        <w:rPr>
          <w:szCs w:val="22"/>
        </w:rPr>
        <w:lastRenderedPageBreak/>
        <w:t>prohibited.”</w:t>
      </w:r>
      <w:r w:rsidR="00F66CA7">
        <w:rPr>
          <w:rStyle w:val="FootnoteReference"/>
          <w:szCs w:val="22"/>
        </w:rPr>
        <w:footnoteReference w:id="7"/>
      </w:r>
      <w:r w:rsidR="00F66CA7">
        <w:rPr>
          <w:szCs w:val="22"/>
        </w:rPr>
        <w:t xml:space="preserve">  The rule further provides that a “fixed infrastructure includes antennas mounted on outdoor structures, e.g., antennas mounted on the outside of a building or on a telephone pole.”</w:t>
      </w:r>
      <w:r w:rsidR="00F66CA7">
        <w:rPr>
          <w:rStyle w:val="FootnoteReference"/>
          <w:szCs w:val="22"/>
        </w:rPr>
        <w:footnoteReference w:id="8"/>
      </w:r>
    </w:p>
    <w:p w14:paraId="3C2C1AB9" w14:textId="77777777" w:rsidR="00C44E65" w:rsidRDefault="004F7496">
      <w:pPr>
        <w:pStyle w:val="ParaNum"/>
        <w:rPr>
          <w:szCs w:val="22"/>
        </w:rPr>
      </w:pPr>
      <w:r>
        <w:rPr>
          <w:szCs w:val="22"/>
        </w:rPr>
        <w:t xml:space="preserve">The iRobot RLM </w:t>
      </w:r>
      <w:r w:rsidR="00651E21">
        <w:rPr>
          <w:szCs w:val="22"/>
        </w:rPr>
        <w:t xml:space="preserve">is a </w:t>
      </w:r>
      <w:r w:rsidR="008268B4">
        <w:rPr>
          <w:szCs w:val="22"/>
        </w:rPr>
        <w:t xml:space="preserve">Part 15 device designed to operate </w:t>
      </w:r>
      <w:r w:rsidR="004B5F89">
        <w:rPr>
          <w:szCs w:val="22"/>
        </w:rPr>
        <w:t xml:space="preserve">in the </w:t>
      </w:r>
      <w:r w:rsidR="00710767">
        <w:rPr>
          <w:szCs w:val="22"/>
        </w:rPr>
        <w:t xml:space="preserve">6240-6740 MHz </w:t>
      </w:r>
      <w:r w:rsidR="00B67101">
        <w:rPr>
          <w:szCs w:val="22"/>
        </w:rPr>
        <w:t>frequency range</w:t>
      </w:r>
      <w:r w:rsidR="004B5F89">
        <w:rPr>
          <w:szCs w:val="22"/>
        </w:rPr>
        <w:t>.</w:t>
      </w:r>
      <w:r w:rsidR="004B5F89">
        <w:rPr>
          <w:rStyle w:val="FootnoteReference"/>
          <w:szCs w:val="22"/>
        </w:rPr>
        <w:footnoteReference w:id="9"/>
      </w:r>
      <w:r w:rsidR="004B5F89">
        <w:rPr>
          <w:szCs w:val="22"/>
        </w:rPr>
        <w:t xml:space="preserve">  The RLM will be operated </w:t>
      </w:r>
      <w:r w:rsidR="008268B4">
        <w:rPr>
          <w:szCs w:val="22"/>
        </w:rPr>
        <w:t xml:space="preserve">outdoors and </w:t>
      </w:r>
      <w:r w:rsidR="004B5F89">
        <w:rPr>
          <w:szCs w:val="22"/>
        </w:rPr>
        <w:t xml:space="preserve">will </w:t>
      </w:r>
      <w:r w:rsidR="008268B4">
        <w:rPr>
          <w:szCs w:val="22"/>
        </w:rPr>
        <w:t xml:space="preserve">rely </w:t>
      </w:r>
      <w:r w:rsidR="00870F53">
        <w:rPr>
          <w:szCs w:val="22"/>
        </w:rPr>
        <w:t xml:space="preserve">on </w:t>
      </w:r>
      <w:r w:rsidR="00773965">
        <w:rPr>
          <w:szCs w:val="22"/>
        </w:rPr>
        <w:t>stakes</w:t>
      </w:r>
      <w:r w:rsidR="007D3774">
        <w:rPr>
          <w:szCs w:val="22"/>
        </w:rPr>
        <w:t xml:space="preserve"> with attached transmitters</w:t>
      </w:r>
      <w:r w:rsidR="00773965">
        <w:rPr>
          <w:szCs w:val="22"/>
        </w:rPr>
        <w:t xml:space="preserve"> </w:t>
      </w:r>
      <w:r w:rsidR="008268B4">
        <w:rPr>
          <w:szCs w:val="22"/>
        </w:rPr>
        <w:t xml:space="preserve">that will be </w:t>
      </w:r>
      <w:r w:rsidR="00773965">
        <w:rPr>
          <w:szCs w:val="22"/>
        </w:rPr>
        <w:t>placed in the ground</w:t>
      </w:r>
      <w:r w:rsidR="00651E21">
        <w:rPr>
          <w:szCs w:val="22"/>
        </w:rPr>
        <w:t>.</w:t>
      </w:r>
      <w:r w:rsidR="00D76ED1">
        <w:rPr>
          <w:rStyle w:val="FootnoteReference"/>
          <w:szCs w:val="22"/>
        </w:rPr>
        <w:footnoteReference w:id="10"/>
      </w:r>
      <w:r w:rsidR="00773965">
        <w:rPr>
          <w:szCs w:val="22"/>
        </w:rPr>
        <w:t xml:space="preserve">  The stakes</w:t>
      </w:r>
      <w:r w:rsidR="00651E21">
        <w:rPr>
          <w:szCs w:val="22"/>
        </w:rPr>
        <w:t>, also referred to as beacons,</w:t>
      </w:r>
      <w:r w:rsidR="00773965">
        <w:rPr>
          <w:szCs w:val="22"/>
        </w:rPr>
        <w:t xml:space="preserve"> will be no higher than 24 inches above ground level and will communicate with the RLM in the X-Y </w:t>
      </w:r>
      <w:r w:rsidR="003D3415">
        <w:rPr>
          <w:szCs w:val="22"/>
        </w:rPr>
        <w:t xml:space="preserve">(horizontal) </w:t>
      </w:r>
      <w:r w:rsidR="00773965">
        <w:rPr>
          <w:szCs w:val="22"/>
        </w:rPr>
        <w:t>plane.</w:t>
      </w:r>
      <w:r w:rsidR="00D76ED1">
        <w:rPr>
          <w:rStyle w:val="FootnoteReference"/>
          <w:szCs w:val="22"/>
        </w:rPr>
        <w:footnoteReference w:id="11"/>
      </w:r>
      <w:r w:rsidR="00773965">
        <w:rPr>
          <w:szCs w:val="22"/>
        </w:rPr>
        <w:t xml:space="preserve">  iRobot estimates that a typical residential </w:t>
      </w:r>
      <w:r w:rsidR="00D76ED1">
        <w:rPr>
          <w:szCs w:val="22"/>
        </w:rPr>
        <w:t xml:space="preserve">lawn </w:t>
      </w:r>
      <w:r w:rsidR="00773965">
        <w:rPr>
          <w:szCs w:val="22"/>
        </w:rPr>
        <w:t xml:space="preserve">will require </w:t>
      </w:r>
      <w:r w:rsidR="00D76ED1">
        <w:rPr>
          <w:szCs w:val="22"/>
        </w:rPr>
        <w:t xml:space="preserve">the placement of </w:t>
      </w:r>
      <w:r w:rsidR="00773965">
        <w:rPr>
          <w:szCs w:val="22"/>
        </w:rPr>
        <w:t xml:space="preserve">four </w:t>
      </w:r>
      <w:r w:rsidR="00D76ED1">
        <w:rPr>
          <w:szCs w:val="22"/>
        </w:rPr>
        <w:t xml:space="preserve">to </w:t>
      </w:r>
      <w:r w:rsidR="00773965">
        <w:rPr>
          <w:szCs w:val="22"/>
        </w:rPr>
        <w:t>nine stakes</w:t>
      </w:r>
      <w:r w:rsidR="00D76ED1">
        <w:rPr>
          <w:szCs w:val="22"/>
        </w:rPr>
        <w:t xml:space="preserve"> </w:t>
      </w:r>
      <w:r w:rsidR="00651E21">
        <w:rPr>
          <w:szCs w:val="22"/>
        </w:rPr>
        <w:t>in the ground.</w:t>
      </w:r>
      <w:r w:rsidR="00D76ED1">
        <w:rPr>
          <w:rStyle w:val="FootnoteReference"/>
          <w:szCs w:val="22"/>
        </w:rPr>
        <w:footnoteReference w:id="12"/>
      </w:r>
      <w:r w:rsidR="00773965">
        <w:rPr>
          <w:szCs w:val="22"/>
        </w:rPr>
        <w:t xml:space="preserve">  </w:t>
      </w:r>
      <w:r w:rsidR="00651E21">
        <w:rPr>
          <w:szCs w:val="22"/>
        </w:rPr>
        <w:t>At setup, t</w:t>
      </w:r>
      <w:r w:rsidR="0004519C">
        <w:rPr>
          <w:szCs w:val="22"/>
        </w:rPr>
        <w:t>he stakes will communicate with each other t</w:t>
      </w:r>
      <w:r w:rsidR="00D76ED1">
        <w:rPr>
          <w:szCs w:val="22"/>
        </w:rPr>
        <w:t>o establish the lawn mowing area</w:t>
      </w:r>
      <w:r w:rsidR="0004519C">
        <w:rPr>
          <w:szCs w:val="22"/>
        </w:rPr>
        <w:t>, b</w:t>
      </w:r>
      <w:r w:rsidR="00773965">
        <w:rPr>
          <w:szCs w:val="22"/>
        </w:rPr>
        <w:t>ut thereafter, the stakes will only communicate with the RLM.</w:t>
      </w:r>
      <w:r w:rsidR="00773965">
        <w:rPr>
          <w:rStyle w:val="FootnoteReference"/>
          <w:szCs w:val="22"/>
        </w:rPr>
        <w:footnoteReference w:id="13"/>
      </w:r>
      <w:r w:rsidR="00D76ED1">
        <w:rPr>
          <w:szCs w:val="22"/>
        </w:rPr>
        <w:t xml:space="preserve">  </w:t>
      </w:r>
      <w:r w:rsidR="0004519C">
        <w:rPr>
          <w:szCs w:val="22"/>
        </w:rPr>
        <w:t>N</w:t>
      </w:r>
      <w:r w:rsidR="00D76ED1">
        <w:rPr>
          <w:szCs w:val="22"/>
        </w:rPr>
        <w:t>either the stakes nor the RLM will communicate with any other devices</w:t>
      </w:r>
      <w:r w:rsidR="0004519C">
        <w:rPr>
          <w:szCs w:val="22"/>
        </w:rPr>
        <w:t>.</w:t>
      </w:r>
      <w:r w:rsidR="0004519C">
        <w:rPr>
          <w:rStyle w:val="FootnoteReference"/>
          <w:szCs w:val="22"/>
        </w:rPr>
        <w:footnoteReference w:id="14"/>
      </w:r>
      <w:r w:rsidR="00773965">
        <w:rPr>
          <w:szCs w:val="22"/>
        </w:rPr>
        <w:t xml:space="preserve"> </w:t>
      </w:r>
      <w:r w:rsidR="004B5F89">
        <w:rPr>
          <w:szCs w:val="22"/>
        </w:rPr>
        <w:t xml:space="preserve"> The operation of the iRobot RLM will be in compliance with all Commission rules except for Section 15.250(c).</w:t>
      </w:r>
      <w:r w:rsidR="00275267">
        <w:rPr>
          <w:rStyle w:val="FootnoteReference"/>
          <w:szCs w:val="22"/>
        </w:rPr>
        <w:footnoteReference w:id="15"/>
      </w:r>
      <w:r w:rsidR="00773965">
        <w:rPr>
          <w:szCs w:val="22"/>
        </w:rPr>
        <w:t xml:space="preserve"> </w:t>
      </w:r>
      <w:r w:rsidR="00C44E65">
        <w:rPr>
          <w:szCs w:val="22"/>
        </w:rPr>
        <w:t xml:space="preserve">  </w:t>
      </w:r>
    </w:p>
    <w:p w14:paraId="0309EC79" w14:textId="2F2BAEC7" w:rsidR="00C44E65" w:rsidRDefault="00651E21">
      <w:pPr>
        <w:pStyle w:val="ParaNum"/>
      </w:pPr>
      <w:r>
        <w:rPr>
          <w:szCs w:val="22"/>
        </w:rPr>
        <w:t xml:space="preserve">iRobot </w:t>
      </w:r>
      <w:r w:rsidR="004B5F89">
        <w:rPr>
          <w:szCs w:val="22"/>
        </w:rPr>
        <w:t>seeks</w:t>
      </w:r>
      <w:r w:rsidR="00957174">
        <w:rPr>
          <w:szCs w:val="22"/>
        </w:rPr>
        <w:t xml:space="preserve"> a</w:t>
      </w:r>
      <w:r w:rsidR="004B5F89">
        <w:rPr>
          <w:szCs w:val="22"/>
        </w:rPr>
        <w:t xml:space="preserve"> </w:t>
      </w:r>
      <w:r w:rsidR="00852C18">
        <w:rPr>
          <w:szCs w:val="22"/>
        </w:rPr>
        <w:t>“</w:t>
      </w:r>
      <w:r w:rsidR="002E205A">
        <w:rPr>
          <w:szCs w:val="22"/>
        </w:rPr>
        <w:t>waiver of Section 15.250(c), which prohibits the use of fixed wireless infrastructure, in order to obtain equipment certification for and market a robotic lawn mower.”</w:t>
      </w:r>
      <w:r w:rsidR="002E205A">
        <w:rPr>
          <w:rStyle w:val="FootnoteReference"/>
          <w:szCs w:val="22"/>
        </w:rPr>
        <w:footnoteReference w:id="16"/>
      </w:r>
      <w:r>
        <w:rPr>
          <w:szCs w:val="22"/>
        </w:rPr>
        <w:t xml:space="preserve"> </w:t>
      </w:r>
      <w:r w:rsidR="002E205A">
        <w:rPr>
          <w:szCs w:val="22"/>
        </w:rPr>
        <w:t xml:space="preserve">  </w:t>
      </w:r>
      <w:r w:rsidR="004F7496" w:rsidRPr="00E56183">
        <w:rPr>
          <w:szCs w:val="22"/>
        </w:rPr>
        <w:t>The Commission issued a public notice soliciting comments on iRobot’s waiver request</w:t>
      </w:r>
      <w:r w:rsidR="00275267">
        <w:rPr>
          <w:szCs w:val="22"/>
        </w:rPr>
        <w:t>.</w:t>
      </w:r>
      <w:r w:rsidR="004F7496" w:rsidRPr="002E205A">
        <w:rPr>
          <w:rStyle w:val="FootnoteReference"/>
          <w:szCs w:val="22"/>
        </w:rPr>
        <w:footnoteReference w:id="17"/>
      </w:r>
      <w:r w:rsidR="004F7496" w:rsidRPr="002E205A">
        <w:rPr>
          <w:szCs w:val="22"/>
        </w:rPr>
        <w:t xml:space="preserve"> </w:t>
      </w:r>
      <w:r w:rsidR="004F7496" w:rsidRPr="00E56183">
        <w:rPr>
          <w:szCs w:val="22"/>
        </w:rPr>
        <w:t xml:space="preserve"> Comments </w:t>
      </w:r>
      <w:r w:rsidR="00275267">
        <w:rPr>
          <w:szCs w:val="22"/>
        </w:rPr>
        <w:t xml:space="preserve">in </w:t>
      </w:r>
      <w:r w:rsidR="00E56183" w:rsidRPr="00E56183">
        <w:rPr>
          <w:szCs w:val="22"/>
        </w:rPr>
        <w:t xml:space="preserve">opposition to the waiver were filed by </w:t>
      </w:r>
      <w:r w:rsidR="00EB11FE">
        <w:rPr>
          <w:szCs w:val="22"/>
        </w:rPr>
        <w:t>National Radio Astronomy Observatory (“NRAO”).</w:t>
      </w:r>
      <w:r w:rsidR="00E56183">
        <w:rPr>
          <w:rStyle w:val="FootnoteReference"/>
          <w:szCs w:val="22"/>
        </w:rPr>
        <w:footnoteReference w:id="18"/>
      </w:r>
      <w:r w:rsidR="00275267">
        <w:rPr>
          <w:szCs w:val="22"/>
        </w:rPr>
        <w:t xml:space="preserve">  Reply comments in </w:t>
      </w:r>
      <w:r w:rsidR="00275267" w:rsidRPr="00275267">
        <w:rPr>
          <w:szCs w:val="22"/>
        </w:rPr>
        <w:t>supp</w:t>
      </w:r>
      <w:r w:rsidR="00275267">
        <w:rPr>
          <w:szCs w:val="22"/>
        </w:rPr>
        <w:t xml:space="preserve">ort of the waiver were filed by </w:t>
      </w:r>
      <w:r w:rsidR="00275267" w:rsidRPr="00275267">
        <w:rPr>
          <w:szCs w:val="22"/>
        </w:rPr>
        <w:t>Mike Ciholas, President, Ciholas Inc.</w:t>
      </w:r>
      <w:r w:rsidR="00852C18">
        <w:rPr>
          <w:szCs w:val="22"/>
        </w:rPr>
        <w:t>,</w:t>
      </w:r>
      <w:r w:rsidR="00E06DF5">
        <w:rPr>
          <w:rStyle w:val="FootnoteReference"/>
          <w:szCs w:val="22"/>
        </w:rPr>
        <w:footnoteReference w:id="19"/>
      </w:r>
      <w:r w:rsidR="00852C18">
        <w:rPr>
          <w:szCs w:val="22"/>
        </w:rPr>
        <w:t xml:space="preserve"> </w:t>
      </w:r>
      <w:r w:rsidR="00275267">
        <w:rPr>
          <w:szCs w:val="22"/>
        </w:rPr>
        <w:t xml:space="preserve">and </w:t>
      </w:r>
      <w:r w:rsidR="00852C18">
        <w:rPr>
          <w:szCs w:val="22"/>
        </w:rPr>
        <w:t xml:space="preserve">by </w:t>
      </w:r>
      <w:r w:rsidR="00275267">
        <w:rPr>
          <w:szCs w:val="22"/>
        </w:rPr>
        <w:t>iRobot.</w:t>
      </w:r>
      <w:r w:rsidR="00852C18" w:rsidRPr="00275267">
        <w:rPr>
          <w:sz w:val="20"/>
          <w:szCs w:val="22"/>
          <w:vertAlign w:val="superscript"/>
        </w:rPr>
        <w:footnoteReference w:id="20"/>
      </w:r>
    </w:p>
    <w:p w14:paraId="2EC19974" w14:textId="77777777" w:rsidR="00C44E65" w:rsidRDefault="00C44E65">
      <w:pPr>
        <w:pStyle w:val="Heading1"/>
        <w:spacing w:before="120"/>
        <w:jc w:val="left"/>
      </w:pPr>
      <w:bookmarkStart w:id="3" w:name="_Toc102809213"/>
      <w:bookmarkStart w:id="4" w:name="_Toc107020797"/>
      <w:bookmarkStart w:id="5" w:name="_Toc107126948"/>
      <w:bookmarkStart w:id="6" w:name="_Toc108932445"/>
      <w:bookmarkStart w:id="7" w:name="_Toc108932837"/>
      <w:bookmarkStart w:id="8" w:name="_Toc108932998"/>
      <w:bookmarkStart w:id="9" w:name="_Toc108933328"/>
      <w:bookmarkStart w:id="10" w:name="_Toc108935314"/>
      <w:r>
        <w:t>DISCUSSION</w:t>
      </w:r>
      <w:bookmarkEnd w:id="3"/>
      <w:bookmarkEnd w:id="4"/>
      <w:bookmarkEnd w:id="5"/>
      <w:bookmarkEnd w:id="6"/>
      <w:bookmarkEnd w:id="7"/>
      <w:bookmarkEnd w:id="8"/>
      <w:bookmarkEnd w:id="9"/>
      <w:bookmarkEnd w:id="10"/>
    </w:p>
    <w:p w14:paraId="5428B329" w14:textId="77777777" w:rsidR="00EF0E6A" w:rsidRPr="00AE5C6C" w:rsidRDefault="00F1634D">
      <w:pPr>
        <w:pStyle w:val="ParaNum"/>
        <w:widowControl/>
        <w:rPr>
          <w:szCs w:val="22"/>
        </w:rPr>
      </w:pPr>
      <w:r>
        <w:t xml:space="preserve">The </w:t>
      </w:r>
      <w:r w:rsidR="00C44E65">
        <w:t>Commission</w:t>
      </w:r>
      <w:r>
        <w:t xml:space="preserve">’s rules expressly provide that the Commission </w:t>
      </w:r>
      <w:r w:rsidR="00E56183">
        <w:t xml:space="preserve">may </w:t>
      </w:r>
      <w:r w:rsidR="00C44E65">
        <w:t xml:space="preserve">waive </w:t>
      </w:r>
      <w:r>
        <w:t>any provision of its rules “if good cause therefor is shown.”</w:t>
      </w:r>
      <w:r>
        <w:rPr>
          <w:rStyle w:val="FootnoteReference"/>
        </w:rPr>
        <w:footnoteReference w:id="21"/>
      </w:r>
      <w:r>
        <w:t xml:space="preserve"> </w:t>
      </w:r>
      <w:r w:rsidR="00CA492C">
        <w:t xml:space="preserve"> </w:t>
      </w:r>
      <w:r w:rsidR="009474C9">
        <w:t>T</w:t>
      </w:r>
      <w:r w:rsidR="00CA492C">
        <w:t xml:space="preserve">he Commission “may exercise its discretion to waive </w:t>
      </w:r>
      <w:r w:rsidR="00CA492C">
        <w:lastRenderedPageBreak/>
        <w:t>a rule where particular facts would make strict compliance inconsistent with the public interest.”</w:t>
      </w:r>
      <w:r w:rsidR="00CA492C">
        <w:rPr>
          <w:rStyle w:val="FootnoteReference"/>
        </w:rPr>
        <w:footnoteReference w:id="22"/>
      </w:r>
      <w:r w:rsidR="00CA492C">
        <w:t xml:space="preserve"> </w:t>
      </w:r>
      <w:r w:rsidR="00EB7EC3">
        <w:t xml:space="preserve"> </w:t>
      </w:r>
      <w:r w:rsidR="009474C9">
        <w:t xml:space="preserve">It is well established that the Commission will waive </w:t>
      </w:r>
      <w:r w:rsidR="00C44E65">
        <w:t>its rules in specific cases only if it determines, after careful consideration of all pertinent factors, that such a grant would serve the public interest without undermining the policy which the rule in question is intended to serve.</w:t>
      </w:r>
      <w:r w:rsidR="00C44E65">
        <w:rPr>
          <w:rStyle w:val="FootnoteReference"/>
        </w:rPr>
        <w:footnoteReference w:id="23"/>
      </w:r>
      <w:r w:rsidR="00C44E65">
        <w:t xml:space="preserve">  </w:t>
      </w:r>
    </w:p>
    <w:p w14:paraId="386E0955" w14:textId="7D2A4AA4" w:rsidR="00EB7EC3" w:rsidRDefault="00A4292D" w:rsidP="00860AFE">
      <w:pPr>
        <w:pStyle w:val="ParaNum"/>
        <w:widowControl/>
      </w:pPr>
      <w:r>
        <w:t>The underlying purpose of Section 15.250(c) is “to prevent the establishment of wide area communications systems” in the 5925-7250 MHz frequency band.</w:t>
      </w:r>
      <w:r>
        <w:rPr>
          <w:rStyle w:val="FootnoteReference"/>
        </w:rPr>
        <w:footnoteReference w:id="24"/>
      </w:r>
      <w:r>
        <w:t xml:space="preserve">  The iRobot RLM “will not (and cannot) create a wide area communications system or network.”</w:t>
      </w:r>
      <w:r>
        <w:rPr>
          <w:rStyle w:val="FootnoteReference"/>
        </w:rPr>
        <w:footnoteReference w:id="25"/>
      </w:r>
      <w:r>
        <w:t xml:space="preserve">  Instead, iRobot claims that its RLM </w:t>
      </w:r>
      <w:r w:rsidR="00FA65F8">
        <w:t>device has the potential for reducing deaths and injuries, reducing emissions and noise pollution, and improving quality of life related to residential lawn mowing.</w:t>
      </w:r>
      <w:r w:rsidR="00FA65F8">
        <w:rPr>
          <w:rStyle w:val="FootnoteReference"/>
        </w:rPr>
        <w:footnoteReference w:id="26"/>
      </w:r>
      <w:r w:rsidR="00FA65F8">
        <w:t xml:space="preserve">  We </w:t>
      </w:r>
      <w:r>
        <w:t>find that waiver in this case will not undermine the policy which Section 15.250(c) is intended to serve</w:t>
      </w:r>
      <w:r w:rsidR="00EE200C">
        <w:t>, and therefore grant of this waiver is in the public interest</w:t>
      </w:r>
      <w:r>
        <w:t>.</w:t>
      </w:r>
      <w:r w:rsidR="00C44E65">
        <w:t xml:space="preserve"> </w:t>
      </w:r>
      <w:r w:rsidR="00B67101">
        <w:t xml:space="preserve"> </w:t>
      </w:r>
      <w:r w:rsidR="00C44E65">
        <w:t xml:space="preserve">We </w:t>
      </w:r>
      <w:r w:rsidR="00AE5C6C">
        <w:t xml:space="preserve">also </w:t>
      </w:r>
      <w:r w:rsidR="00C44E65">
        <w:t xml:space="preserve">conclude that, with appropriate operational and technical restrictions, a waiver of the </w:t>
      </w:r>
      <w:r w:rsidR="002B499D">
        <w:t xml:space="preserve">prohibition </w:t>
      </w:r>
      <w:r w:rsidR="00C44E65">
        <w:t>in Section 15.</w:t>
      </w:r>
      <w:r w:rsidR="002B499D">
        <w:t>2</w:t>
      </w:r>
      <w:r w:rsidR="00C44E65">
        <w:t>5</w:t>
      </w:r>
      <w:r w:rsidR="002B499D">
        <w:t>0(c)</w:t>
      </w:r>
      <w:r w:rsidR="00C44E65">
        <w:t xml:space="preserve"> can be granted without increasing the potential for harmful interference to authorized services or adversely impacting other Part 15 operations</w:t>
      </w:r>
      <w:r w:rsidR="002B499D">
        <w:t>,</w:t>
      </w:r>
      <w:r w:rsidR="00C44E65">
        <w:t xml:space="preserve"> and </w:t>
      </w:r>
      <w:r w:rsidR="0093546E">
        <w:t xml:space="preserve">therefore </w:t>
      </w:r>
      <w:r w:rsidR="00EE200C">
        <w:t xml:space="preserve">it is </w:t>
      </w:r>
      <w:r w:rsidR="00C44E65">
        <w:t>in the public interest</w:t>
      </w:r>
      <w:r w:rsidR="00EE200C">
        <w:t xml:space="preserve"> to afford iRobot the opportunity to obtain equipment certification for and market its low power radio frequency device</w:t>
      </w:r>
      <w:r w:rsidR="00C44E65">
        <w:t>.</w:t>
      </w:r>
      <w:r w:rsidR="00AE5C6C">
        <w:t xml:space="preserve">  </w:t>
      </w:r>
    </w:p>
    <w:p w14:paraId="7068C8C2" w14:textId="5957FEFD" w:rsidR="00EF0E6A" w:rsidRDefault="000C096E">
      <w:pPr>
        <w:pStyle w:val="ParaNum"/>
      </w:pPr>
      <w:r>
        <w:t xml:space="preserve">NRAO opposes the </w:t>
      </w:r>
      <w:r w:rsidRPr="00860AFE">
        <w:t>Waiver Request</w:t>
      </w:r>
      <w:r>
        <w:rPr>
          <w:i/>
        </w:rPr>
        <w:t xml:space="preserve"> </w:t>
      </w:r>
      <w:r w:rsidR="008D2672">
        <w:t xml:space="preserve">on the ground that </w:t>
      </w:r>
      <w:r w:rsidR="003A3337">
        <w:t xml:space="preserve">the </w:t>
      </w:r>
      <w:r w:rsidR="008D2672">
        <w:t xml:space="preserve">iRobot RLM poses a risk of harmful interference to radio astronomy operations in </w:t>
      </w:r>
      <w:r w:rsidR="003A3337">
        <w:t>the 5925-6700 MHz frequency band—in particular, the 6650-6675.2 MHz band.</w:t>
      </w:r>
      <w:r w:rsidR="003A3337">
        <w:rPr>
          <w:rStyle w:val="FootnoteReference"/>
        </w:rPr>
        <w:footnoteReference w:id="27"/>
      </w:r>
      <w:r w:rsidR="003A3337">
        <w:t xml:space="preserve">  </w:t>
      </w:r>
      <w:r w:rsidR="00194B93">
        <w:t xml:space="preserve">NRAO asserts that </w:t>
      </w:r>
      <w:r w:rsidR="008100BC">
        <w:t>it operates telescopes “all of which observe at frequencies around 6.7 GHz and stand to be affected by grant of a waiver to iRobot.”</w:t>
      </w:r>
      <w:r w:rsidR="008100BC">
        <w:rPr>
          <w:rStyle w:val="FootnoteReference"/>
        </w:rPr>
        <w:footnoteReference w:id="28"/>
      </w:r>
      <w:r w:rsidR="008100BC">
        <w:t xml:space="preserve">  </w:t>
      </w:r>
      <w:r w:rsidR="00D44342">
        <w:t>NRAO also asserts that “the method proposed by iRobot to protect radio astronomy operations does not nearly rise to the standard set by US342.”</w:t>
      </w:r>
      <w:r w:rsidR="00D44342">
        <w:rPr>
          <w:rStyle w:val="FootnoteReference"/>
        </w:rPr>
        <w:footnoteReference w:id="29"/>
      </w:r>
      <w:r w:rsidR="00D44342">
        <w:t xml:space="preserve"> </w:t>
      </w:r>
      <w:r w:rsidR="00A84AE4">
        <w:t xml:space="preserve"> </w:t>
      </w:r>
      <w:r w:rsidR="00766D14">
        <w:t xml:space="preserve">NRAO urges </w:t>
      </w:r>
      <w:r w:rsidR="008100BC">
        <w:t xml:space="preserve">that while “iRobot’s RLMs can certainly operate over most of this country without interfering with radio astronomy operations,” measures must be taken to prevent </w:t>
      </w:r>
      <w:r w:rsidR="00766D14">
        <w:t xml:space="preserve">iRobot’s RLM </w:t>
      </w:r>
      <w:r w:rsidR="008100BC">
        <w:t>operations from causing harmful</w:t>
      </w:r>
      <w:r w:rsidR="00766D14">
        <w:t xml:space="preserve"> interference to radio astronomy service (“RAS”)</w:t>
      </w:r>
      <w:r w:rsidR="0060046B">
        <w:t>.</w:t>
      </w:r>
      <w:r w:rsidR="0060046B">
        <w:rPr>
          <w:rStyle w:val="FootnoteReference"/>
        </w:rPr>
        <w:footnoteReference w:id="30"/>
      </w:r>
      <w:r w:rsidR="0060046B">
        <w:t xml:space="preserve">  </w:t>
      </w:r>
      <w:r w:rsidR="00766D14">
        <w:t>NRAO suggests that such measures may include “exclusion zones based on geolocation; notching of the protected RAS band with the RLM operating band; relocation or narrowing of the RLM operating frequency band to avoid the protected RAS band.”</w:t>
      </w:r>
      <w:r w:rsidR="00766D14">
        <w:rPr>
          <w:rStyle w:val="FootnoteReference"/>
        </w:rPr>
        <w:footnoteReference w:id="31"/>
      </w:r>
      <w:r w:rsidR="00766D14">
        <w:t xml:space="preserve">  </w:t>
      </w:r>
      <w:r w:rsidR="003A3337">
        <w:t>iRobot counters that its RLM system “w</w:t>
      </w:r>
      <w:r w:rsidR="00AC2738">
        <w:t xml:space="preserve">ould </w:t>
      </w:r>
      <w:r w:rsidR="003A3337">
        <w:t>adequately protect radio astronomy</w:t>
      </w:r>
      <w:r w:rsidR="00AC2738">
        <w:t>’s</w:t>
      </w:r>
      <w:r w:rsidR="003A3337">
        <w:t xml:space="preserve"> </w:t>
      </w:r>
      <w:r w:rsidR="00AC2738">
        <w:t>use of the 6650-6675.2 MHz frequency band.”</w:t>
      </w:r>
      <w:r w:rsidR="00AC2738">
        <w:rPr>
          <w:rStyle w:val="FootnoteReference"/>
        </w:rPr>
        <w:footnoteReference w:id="32"/>
      </w:r>
      <w:r w:rsidR="00AC2738">
        <w:t xml:space="preserve">  iRobot “closely considered the impact of its [RLM] system on all incumbents and users [of the radio spectrum], including radio astronomy” and “its calculations show that there is an exceedingly low practical risk that the iRobot RLM system would</w:t>
      </w:r>
      <w:r w:rsidR="00A27669">
        <w:t xml:space="preserve"> </w:t>
      </w:r>
      <w:r w:rsidR="00AC2738">
        <w:t>cause harmful interfe</w:t>
      </w:r>
      <w:r w:rsidR="004C737F">
        <w:t>rence.”</w:t>
      </w:r>
      <w:r w:rsidR="004C737F">
        <w:rPr>
          <w:rStyle w:val="FootnoteReference"/>
        </w:rPr>
        <w:footnoteReference w:id="33"/>
      </w:r>
      <w:r w:rsidR="004C737F">
        <w:t xml:space="preserve"> </w:t>
      </w:r>
      <w:r w:rsidR="00A84AE4">
        <w:t xml:space="preserve"> </w:t>
      </w:r>
      <w:r w:rsidR="00D41B35">
        <w:t xml:space="preserve">As an added measure against causing interference, iRobot “will commit to placing a notice in the user manual and on the robot that states: </w:t>
      </w:r>
      <w:r w:rsidR="00C025CA">
        <w:t>“</w:t>
      </w:r>
      <w:r w:rsidR="00D41B35">
        <w:t>Consumer use only; use must be limited to residential areas.’”</w:t>
      </w:r>
      <w:r w:rsidR="00D41B35">
        <w:rPr>
          <w:rStyle w:val="FootnoteReference"/>
        </w:rPr>
        <w:footnoteReference w:id="34"/>
      </w:r>
    </w:p>
    <w:p w14:paraId="7EEAB43B" w14:textId="1E2478C6" w:rsidR="00EF0E6A" w:rsidRDefault="00371827">
      <w:pPr>
        <w:pStyle w:val="ParaNum"/>
      </w:pPr>
      <w:r>
        <w:t>As discussed above, grant of this waiver does not frustrate Section 15.250(c)’s purpose of preventing the establishment of fixed wireless communications networks over wide areas.</w:t>
      </w:r>
      <w:r>
        <w:rPr>
          <w:rStyle w:val="FootnoteReference"/>
        </w:rPr>
        <w:footnoteReference w:id="35"/>
      </w:r>
      <w:r>
        <w:t xml:space="preserve"> </w:t>
      </w:r>
      <w:r w:rsidR="00977625">
        <w:t xml:space="preserve">We note that the interference concerns raised by </w:t>
      </w:r>
      <w:r w:rsidR="006337C6">
        <w:t>NRAO do not address the Section 15.250(c) restriction on</w:t>
      </w:r>
      <w:r w:rsidR="00977625">
        <w:t xml:space="preserve"> </w:t>
      </w:r>
      <w:r w:rsidR="006337C6">
        <w:t xml:space="preserve">fixed outdoor infrastructure being considered in this waiver proceeding, or the Commission’s intent to prevent the establishment of wide area communications systems.  </w:t>
      </w:r>
      <w:r w:rsidR="00B52CB3">
        <w:t>However, w</w:t>
      </w:r>
      <w:r w:rsidR="00EF0E6A">
        <w:t>e agree that iRobot’s system design – including the use of low-to-the-ground transmitters</w:t>
      </w:r>
      <w:r w:rsidR="00430BB9">
        <w:t xml:space="preserve"> pointing horizontally</w:t>
      </w:r>
      <w:r w:rsidR="00977625">
        <w:t xml:space="preserve"> - </w:t>
      </w:r>
      <w:r w:rsidR="00EF0E6A">
        <w:t>and</w:t>
      </w:r>
      <w:r w:rsidR="00977625">
        <w:t xml:space="preserve"> its</w:t>
      </w:r>
      <w:r w:rsidR="00EF0E6A">
        <w:t xml:space="preserve"> focus on</w:t>
      </w:r>
      <w:r w:rsidR="00977625">
        <w:t xml:space="preserve"> marketing for</w:t>
      </w:r>
      <w:r w:rsidR="00EF0E6A">
        <w:t xml:space="preserve"> non-commercial residential use – incorporates </w:t>
      </w:r>
      <w:r w:rsidR="00977625">
        <w:t xml:space="preserve">practical </w:t>
      </w:r>
      <w:r w:rsidR="00EF0E6A">
        <w:t>measures</w:t>
      </w:r>
      <w:r w:rsidR="006337C6">
        <w:t xml:space="preserve"> (</w:t>
      </w:r>
      <w:r w:rsidR="006337C6" w:rsidRPr="009B15CF">
        <w:rPr>
          <w:i/>
        </w:rPr>
        <w:t>i.e.</w:t>
      </w:r>
      <w:r w:rsidR="006337C6">
        <w:rPr>
          <w:i/>
        </w:rPr>
        <w:t>,</w:t>
      </w:r>
      <w:r w:rsidR="006337C6">
        <w:t xml:space="preserve"> consistent with US342)</w:t>
      </w:r>
      <w:r w:rsidR="00EF0E6A">
        <w:t xml:space="preserve"> appropriate for protecting the </w:t>
      </w:r>
      <w:r w:rsidR="006337C6">
        <w:t xml:space="preserve">non-allocated </w:t>
      </w:r>
      <w:r w:rsidR="00EF0E6A">
        <w:t xml:space="preserve">radio astronomy service from harmful interference.  </w:t>
      </w:r>
      <w:r w:rsidR="00430BB9">
        <w:t>Furthermore, b</w:t>
      </w:r>
      <w:r w:rsidR="00430BB9">
        <w:rPr>
          <w:szCs w:val="22"/>
        </w:rPr>
        <w:t xml:space="preserve">ecause the </w:t>
      </w:r>
      <w:r w:rsidR="0035514B">
        <w:rPr>
          <w:szCs w:val="22"/>
        </w:rPr>
        <w:t xml:space="preserve">NRAO analysis looked at line-of-sight separation distances, it has greatly overestimated the interference potential of transmitters that are located less than </w:t>
      </w:r>
      <w:r w:rsidR="00A34CA2">
        <w:rPr>
          <w:szCs w:val="22"/>
        </w:rPr>
        <w:t>two</w:t>
      </w:r>
      <w:r w:rsidR="0035514B">
        <w:rPr>
          <w:szCs w:val="22"/>
        </w:rPr>
        <w:t xml:space="preserve"> feet above the ground. </w:t>
      </w:r>
      <w:r w:rsidR="0090434B">
        <w:rPr>
          <w:szCs w:val="22"/>
        </w:rPr>
        <w:t xml:space="preserve">We find that </w:t>
      </w:r>
      <w:r w:rsidR="00430BB9">
        <w:rPr>
          <w:szCs w:val="22"/>
        </w:rPr>
        <w:t xml:space="preserve">when taking into account the variability in propagation characteristics due to terrain, </w:t>
      </w:r>
      <w:r w:rsidR="0035514B">
        <w:rPr>
          <w:szCs w:val="22"/>
        </w:rPr>
        <w:t xml:space="preserve">low antenna heights </w:t>
      </w:r>
      <w:r w:rsidR="00430BB9">
        <w:rPr>
          <w:szCs w:val="22"/>
        </w:rPr>
        <w:t>and other propagation factors</w:t>
      </w:r>
      <w:r w:rsidR="0090434B">
        <w:rPr>
          <w:szCs w:val="22"/>
        </w:rPr>
        <w:t>, grant of this waiver is</w:t>
      </w:r>
      <w:r w:rsidR="0035514B">
        <w:rPr>
          <w:szCs w:val="22"/>
        </w:rPr>
        <w:t xml:space="preserve"> very unlikely to </w:t>
      </w:r>
      <w:r w:rsidR="0090434B">
        <w:rPr>
          <w:szCs w:val="22"/>
        </w:rPr>
        <w:t>increase the potential for</w:t>
      </w:r>
      <w:r w:rsidR="0035514B">
        <w:rPr>
          <w:szCs w:val="22"/>
        </w:rPr>
        <w:t xml:space="preserve"> harmful interference</w:t>
      </w:r>
      <w:r w:rsidR="00430BB9">
        <w:rPr>
          <w:szCs w:val="22"/>
        </w:rPr>
        <w:t>.</w:t>
      </w:r>
      <w:r w:rsidR="00EF0E6A">
        <w:t xml:space="preserve"> </w:t>
      </w:r>
      <w:r w:rsidR="0013070A">
        <w:t xml:space="preserve"> </w:t>
      </w:r>
      <w:r w:rsidR="00EF0E6A">
        <w:t xml:space="preserve">As a condition for granting this waiver, and to promote the protection of radio astronomy operations, we will require iRobot to comply with the representations and commitments it made in the </w:t>
      </w:r>
      <w:r w:rsidR="00EF0E6A" w:rsidRPr="000758D2">
        <w:t>Waiver Request</w:t>
      </w:r>
      <w:r w:rsidR="00EF0E6A">
        <w:t xml:space="preserve">.  Specifically,  the iRobot </w:t>
      </w:r>
      <w:r w:rsidR="00EF0E6A" w:rsidRPr="000758D2">
        <w:t>systems operating under this waiver shall comply with the following conditions:</w:t>
      </w:r>
    </w:p>
    <w:p w14:paraId="0D114215" w14:textId="77777777" w:rsidR="00B52B93" w:rsidRDefault="00525A74" w:rsidP="00AE5C6C">
      <w:pPr>
        <w:pStyle w:val="StyleParaNumLeft"/>
        <w:numPr>
          <w:ilvl w:val="1"/>
          <w:numId w:val="9"/>
        </w:numPr>
        <w:tabs>
          <w:tab w:val="clear" w:pos="1440"/>
          <w:tab w:val="clear" w:pos="1800"/>
          <w:tab w:val="left" w:pos="720"/>
        </w:tabs>
        <w:ind w:firstLine="0"/>
      </w:pPr>
      <w:r>
        <w:t>Operation under this waiver is limited to residential use only.</w:t>
      </w:r>
      <w:r w:rsidR="00B52B93">
        <w:t xml:space="preserve">  iRobot will take appropriate steps (including device and instruction manual labeling) to convey this information to users, and will only market the device as a residential-use product.</w:t>
      </w:r>
      <w:r>
        <w:t xml:space="preserve">   </w:t>
      </w:r>
    </w:p>
    <w:p w14:paraId="6A20E2D6" w14:textId="77777777" w:rsidR="00525A74" w:rsidRDefault="00525A74" w:rsidP="00525A74">
      <w:pPr>
        <w:pStyle w:val="StyleParaNumLeft"/>
        <w:numPr>
          <w:ilvl w:val="1"/>
          <w:numId w:val="9"/>
        </w:numPr>
        <w:tabs>
          <w:tab w:val="clear" w:pos="1440"/>
          <w:tab w:val="clear" w:pos="1800"/>
          <w:tab w:val="left" w:pos="720"/>
        </w:tabs>
        <w:ind w:firstLine="0"/>
      </w:pPr>
      <w:r>
        <w:t>Neither the RLMs nor the RLM beacons shall communicate with other devices pursuant to Section 15.250 of the Commission’s rules.</w:t>
      </w:r>
    </w:p>
    <w:p w14:paraId="0AAB2953" w14:textId="77777777" w:rsidR="00525A74" w:rsidRDefault="00525A74" w:rsidP="00525A74">
      <w:pPr>
        <w:pStyle w:val="StyleParaNumLeft"/>
        <w:numPr>
          <w:ilvl w:val="1"/>
          <w:numId w:val="9"/>
        </w:numPr>
        <w:tabs>
          <w:tab w:val="clear" w:pos="1440"/>
          <w:tab w:val="clear" w:pos="1800"/>
          <w:tab w:val="left" w:pos="720"/>
        </w:tabs>
        <w:ind w:firstLine="0"/>
      </w:pPr>
      <w:r>
        <w:t>The RLM beacons shall be no higher than 24 inches from the ground level.</w:t>
      </w:r>
    </w:p>
    <w:p w14:paraId="635D191C" w14:textId="77777777" w:rsidR="00525A74" w:rsidRDefault="00525A74" w:rsidP="00860AFE">
      <w:pPr>
        <w:pStyle w:val="StyleParaNumLeft"/>
        <w:numPr>
          <w:ilvl w:val="1"/>
          <w:numId w:val="9"/>
        </w:numPr>
        <w:tabs>
          <w:tab w:val="clear" w:pos="1440"/>
          <w:tab w:val="clear" w:pos="1800"/>
          <w:tab w:val="left" w:pos="720"/>
        </w:tabs>
        <w:ind w:firstLine="0"/>
      </w:pPr>
      <w:r>
        <w:t>iRobot systems shall comply with the emission limits contained in Section 15.250 of the Commission’s rules, as well as the out-of band emission limits and other technical requirements for operation in the 5925-7250 MHz frequency band.</w:t>
      </w:r>
    </w:p>
    <w:p w14:paraId="05993DB6" w14:textId="77777777" w:rsidR="00C44E65" w:rsidRDefault="00F4777A" w:rsidP="00592428">
      <w:pPr>
        <w:pStyle w:val="ParaNum"/>
      </w:pPr>
      <w:r>
        <w:t>For the foregoing reasons, w</w:t>
      </w:r>
      <w:r w:rsidR="00FA7BCD">
        <w:t>e</w:t>
      </w:r>
      <w:r w:rsidR="00A617AF">
        <w:t xml:space="preserve"> conclude </w:t>
      </w:r>
      <w:r w:rsidR="00C44E65">
        <w:t xml:space="preserve">that </w:t>
      </w:r>
      <w:r w:rsidR="004C737F">
        <w:t xml:space="preserve">harmful </w:t>
      </w:r>
      <w:r w:rsidR="00C44E65">
        <w:t xml:space="preserve">interference to authorized users </w:t>
      </w:r>
      <w:r w:rsidR="00A27669">
        <w:t xml:space="preserve">of the radio spectrum </w:t>
      </w:r>
      <w:r w:rsidR="00C44E65">
        <w:t>is unlikely to occur.</w:t>
      </w:r>
      <w:r w:rsidR="00A617AF">
        <w:t xml:space="preserve">  We find that grant of the requested waiver will not cause harm to other operations in the 5925-7250 MHz frequency band and that grant is in the public interest.</w:t>
      </w:r>
      <w:r w:rsidR="00E600CC">
        <w:t xml:space="preserve">  </w:t>
      </w:r>
    </w:p>
    <w:p w14:paraId="62E1303A" w14:textId="77777777" w:rsidR="00C44E65" w:rsidRDefault="00C44E65">
      <w:pPr>
        <w:pStyle w:val="Heading1"/>
        <w:jc w:val="left"/>
        <w:rPr>
          <w:bCs/>
        </w:rPr>
      </w:pPr>
      <w:r>
        <w:rPr>
          <w:bCs/>
        </w:rPr>
        <w:t>ORDERING CLAUSE</w:t>
      </w:r>
      <w:r w:rsidR="00FF2EDC">
        <w:rPr>
          <w:bCs/>
        </w:rPr>
        <w:t>S</w:t>
      </w:r>
    </w:p>
    <w:p w14:paraId="74041B5A" w14:textId="04AF926A" w:rsidR="004178CF" w:rsidRDefault="00C44E65">
      <w:pPr>
        <w:pStyle w:val="ParaNum"/>
        <w:widowControl/>
      </w:pPr>
      <w:r>
        <w:t xml:space="preserve"> Accordingly, </w:t>
      </w:r>
      <w:r w:rsidR="00263F4E">
        <w:t>by</w:t>
      </w:r>
      <w:r>
        <w:t xml:space="preserve"> </w:t>
      </w:r>
      <w:r w:rsidR="00955C95">
        <w:t xml:space="preserve">the </w:t>
      </w:r>
      <w:r>
        <w:rPr>
          <w:szCs w:val="22"/>
        </w:rPr>
        <w:t xml:space="preserve">authority </w:t>
      </w:r>
      <w:r w:rsidR="00263F4E">
        <w:rPr>
          <w:szCs w:val="22"/>
        </w:rPr>
        <w:t xml:space="preserve">delegated </w:t>
      </w:r>
      <w:r>
        <w:rPr>
          <w:szCs w:val="22"/>
        </w:rPr>
        <w:t>in Section</w:t>
      </w:r>
      <w:r w:rsidR="00955C95">
        <w:rPr>
          <w:szCs w:val="22"/>
        </w:rPr>
        <w:t>s 0.31</w:t>
      </w:r>
      <w:r w:rsidR="00263F4E">
        <w:rPr>
          <w:szCs w:val="22"/>
        </w:rPr>
        <w:t xml:space="preserve"> and</w:t>
      </w:r>
      <w:r w:rsidR="00955C95">
        <w:rPr>
          <w:szCs w:val="22"/>
        </w:rPr>
        <w:t xml:space="preserve"> 0.241</w:t>
      </w:r>
      <w:r w:rsidR="00263F4E">
        <w:rPr>
          <w:szCs w:val="22"/>
        </w:rPr>
        <w:t xml:space="preserve"> of the Commission’s rules, and pursuant to</w:t>
      </w:r>
      <w:r w:rsidR="00EE200C">
        <w:rPr>
          <w:szCs w:val="22"/>
        </w:rPr>
        <w:t xml:space="preserve"> </w:t>
      </w:r>
      <w:r w:rsidR="00263F4E">
        <w:rPr>
          <w:szCs w:val="22"/>
        </w:rPr>
        <w:t>Section</w:t>
      </w:r>
      <w:r>
        <w:rPr>
          <w:szCs w:val="22"/>
        </w:rPr>
        <w:t xml:space="preserve"> 1.3 of the Commission</w:t>
      </w:r>
      <w:r w:rsidR="00263F4E">
        <w:rPr>
          <w:szCs w:val="22"/>
        </w:rPr>
        <w:t>’</w:t>
      </w:r>
      <w:r>
        <w:rPr>
          <w:szCs w:val="22"/>
        </w:rPr>
        <w:t xml:space="preserve">s rules, 47 C.F.R. </w:t>
      </w:r>
      <w:r w:rsidR="00955C95">
        <w:rPr>
          <w:szCs w:val="22"/>
        </w:rPr>
        <w:t>§</w:t>
      </w:r>
      <w:r>
        <w:rPr>
          <w:szCs w:val="22"/>
        </w:rPr>
        <w:t xml:space="preserve"> 1.3, and </w:t>
      </w:r>
      <w:r>
        <w:t>Sections 4(i), 302, 303(e), and 303(r) of the Communications Act of 1934, as amended,</w:t>
      </w:r>
      <w:r w:rsidR="0052017A">
        <w:t xml:space="preserve"> </w:t>
      </w:r>
      <w:r>
        <w:t xml:space="preserve">47 U.S.C. Sections 154(i), 302, 303(e), and 303(r), IT IS ORDERED that the </w:t>
      </w:r>
      <w:r w:rsidR="00136A59">
        <w:t>r</w:t>
      </w:r>
      <w:r>
        <w:t xml:space="preserve">equest for </w:t>
      </w:r>
      <w:r w:rsidR="00136A59">
        <w:t>w</w:t>
      </w:r>
      <w:r>
        <w:t xml:space="preserve">aiver </w:t>
      </w:r>
      <w:r w:rsidR="00136A59">
        <w:t xml:space="preserve">of Section 15.250(c) of the Commission’s rules </w:t>
      </w:r>
      <w:r>
        <w:t xml:space="preserve">filed by </w:t>
      </w:r>
      <w:r w:rsidR="00136A59">
        <w:t xml:space="preserve">iRobot </w:t>
      </w:r>
      <w:r>
        <w:t>Corporation IS GRANTED</w:t>
      </w:r>
      <w:r w:rsidR="00136A59">
        <w:t>, subject to the condition</w:t>
      </w:r>
      <w:r w:rsidR="00955C95">
        <w:t>s</w:t>
      </w:r>
      <w:r w:rsidR="00136A59">
        <w:t xml:space="preserve"> listed above.</w:t>
      </w:r>
    </w:p>
    <w:p w14:paraId="5C9A3651" w14:textId="77777777" w:rsidR="004178CF" w:rsidRDefault="004178CF" w:rsidP="004178CF">
      <w:pPr>
        <w:pStyle w:val="ParaNum"/>
      </w:pPr>
      <w:r>
        <w:t xml:space="preserve">IT IS FURTHER ORDERED that, pursuant to the authority contained in Sections 4(i), 4(j), and 303 of the Communications Act, as amended, 47 U.S.C. §§ 154(i), 154(j) and 303, that should no petitions for reconsideration or applications for review be timely filed, this proceeding </w:t>
      </w:r>
      <w:r w:rsidRPr="00860AFE">
        <w:rPr>
          <w:bCs/>
        </w:rPr>
        <w:t>IS TERMINATED</w:t>
      </w:r>
      <w:r>
        <w:rPr>
          <w:b/>
          <w:bCs/>
        </w:rPr>
        <w:t xml:space="preserve"> </w:t>
      </w:r>
      <w:r>
        <w:t xml:space="preserve">and ET Docket No. 15-30 </w:t>
      </w:r>
      <w:r w:rsidRPr="00860AFE">
        <w:rPr>
          <w:bCs/>
        </w:rPr>
        <w:t>IS CLOSED</w:t>
      </w:r>
      <w:r>
        <w:t>.</w:t>
      </w:r>
    </w:p>
    <w:p w14:paraId="2322AD8D" w14:textId="77777777" w:rsidR="00C44E65" w:rsidRDefault="004178CF" w:rsidP="004178CF">
      <w:pPr>
        <w:pStyle w:val="ParaNum"/>
        <w:widowControl/>
      </w:pPr>
      <w:r>
        <w:t>IT IS FURTHER ORDERED that t</w:t>
      </w:r>
      <w:r w:rsidR="00C44E65">
        <w:t xml:space="preserve">his action </w:t>
      </w:r>
      <w:r>
        <w:t>IS EFFECTIVE</w:t>
      </w:r>
      <w:r w:rsidR="00C44E65">
        <w:t xml:space="preserve"> upon release of this Order. </w:t>
      </w:r>
    </w:p>
    <w:p w14:paraId="0468B1D3" w14:textId="77777777" w:rsidR="00C44E65" w:rsidRDefault="00C44E65">
      <w:pPr>
        <w:pStyle w:val="Style3"/>
        <w:ind w:firstLine="0"/>
      </w:pPr>
      <w:r>
        <w:tab/>
      </w:r>
      <w:r>
        <w:tab/>
      </w:r>
      <w:r>
        <w:tab/>
      </w:r>
      <w:r>
        <w:tab/>
      </w:r>
      <w:r>
        <w:tab/>
      </w:r>
      <w:r>
        <w:tab/>
        <w:t>FEDERAL COMMUNICATIONS COMMISSION</w:t>
      </w:r>
    </w:p>
    <w:p w14:paraId="3F7A9696" w14:textId="77777777" w:rsidR="00C44E65" w:rsidRDefault="00C44E65">
      <w:pPr>
        <w:pStyle w:val="Style3"/>
        <w:ind w:firstLine="0"/>
      </w:pPr>
    </w:p>
    <w:p w14:paraId="5CEFD567" w14:textId="77777777" w:rsidR="00C44E65" w:rsidRDefault="00C44E65">
      <w:pPr>
        <w:pStyle w:val="Style3"/>
        <w:spacing w:after="0"/>
        <w:ind w:firstLine="0"/>
      </w:pPr>
      <w:r>
        <w:tab/>
      </w:r>
      <w:r>
        <w:tab/>
      </w:r>
      <w:r>
        <w:tab/>
      </w:r>
      <w:r>
        <w:tab/>
      </w:r>
      <w:r>
        <w:tab/>
      </w:r>
      <w:r>
        <w:tab/>
        <w:t>Julius P. Knapp</w:t>
      </w:r>
    </w:p>
    <w:p w14:paraId="77DAB33F" w14:textId="77777777" w:rsidR="00C44E65" w:rsidRDefault="00C44E65">
      <w:pPr>
        <w:pStyle w:val="Style3"/>
        <w:ind w:firstLine="0"/>
        <w:rPr>
          <w:szCs w:val="22"/>
          <w:lang w:val="pt-BR"/>
        </w:rPr>
      </w:pPr>
      <w:r>
        <w:tab/>
      </w:r>
      <w:r>
        <w:tab/>
      </w:r>
      <w:r>
        <w:tab/>
      </w:r>
      <w:r>
        <w:tab/>
      </w:r>
      <w:r>
        <w:tab/>
      </w:r>
      <w:r>
        <w:tab/>
        <w:t>Chief, Office of Engineering and Technology</w:t>
      </w:r>
    </w:p>
    <w:sectPr w:rsidR="00C44E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8E46" w14:textId="77777777" w:rsidR="00A850CB" w:rsidRDefault="00A850CB">
      <w:r>
        <w:separator/>
      </w:r>
    </w:p>
  </w:endnote>
  <w:endnote w:type="continuationSeparator" w:id="0">
    <w:p w14:paraId="17EA0081" w14:textId="77777777" w:rsidR="00A850CB" w:rsidRDefault="00A850CB">
      <w:r>
        <w:continuationSeparator/>
      </w:r>
    </w:p>
  </w:endnote>
  <w:endnote w:type="continuationNotice" w:id="1">
    <w:p w14:paraId="41DA29EE" w14:textId="77777777" w:rsidR="00A850CB" w:rsidRDefault="00A85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BF7E" w14:textId="77777777" w:rsidR="00C44E65" w:rsidRDefault="00C44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92DE7" w14:textId="77777777" w:rsidR="00C44E65" w:rsidRDefault="00C44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E0D7" w14:textId="77777777" w:rsidR="00C44E65" w:rsidRDefault="00C44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B72">
      <w:rPr>
        <w:rStyle w:val="PageNumber"/>
        <w:noProof/>
      </w:rPr>
      <w:t>2</w:t>
    </w:r>
    <w:r>
      <w:rPr>
        <w:rStyle w:val="PageNumber"/>
      </w:rPr>
      <w:fldChar w:fldCharType="end"/>
    </w:r>
  </w:p>
  <w:p w14:paraId="6C0C6607" w14:textId="77777777" w:rsidR="00C44E65" w:rsidRDefault="00C44E65">
    <w:pPr>
      <w:pStyle w:val="Footer"/>
      <w:tabs>
        <w:tab w:val="clear" w:pos="4320"/>
        <w:tab w:val="clear" w:pos="8640"/>
        <w:tab w:val="center" w:pos="4860"/>
        <w:tab w:val="left" w:pos="5580"/>
        <w:tab w:val="right" w:pos="9270"/>
      </w:tabs>
      <w:ind w:right="90"/>
      <w:jc w:val="center"/>
      <w:rPr>
        <w:rStyle w:val="PageNumber"/>
      </w:rPr>
    </w:pPr>
  </w:p>
  <w:p w14:paraId="32B31726" w14:textId="77777777" w:rsidR="00C44E65" w:rsidRDefault="00C44E65">
    <w:pPr>
      <w:pStyle w:val="Footer"/>
      <w:tabs>
        <w:tab w:val="clear" w:pos="4320"/>
        <w:tab w:val="clear" w:pos="8640"/>
        <w:tab w:val="center" w:pos="4860"/>
        <w:tab w:val="left" w:pos="5580"/>
        <w:tab w:val="right" w:pos="9270"/>
      </w:tabs>
      <w:ind w:right="90"/>
      <w:jc w:val="right"/>
      <w:rPr>
        <w:rStyle w:val="PageNumber"/>
        <w:sz w:val="20"/>
      </w:rPr>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47B0" w14:textId="77777777" w:rsidR="00C44E65" w:rsidRDefault="00C44E65">
    <w:pPr>
      <w:pStyle w:val="Footer"/>
      <w:jc w:val="right"/>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D312F" w14:textId="77777777" w:rsidR="00A850CB" w:rsidRDefault="00A850CB">
      <w:pPr>
        <w:rPr>
          <w:sz w:val="20"/>
        </w:rPr>
      </w:pPr>
      <w:r>
        <w:rPr>
          <w:sz w:val="20"/>
        </w:rPr>
        <w:separator/>
      </w:r>
    </w:p>
  </w:footnote>
  <w:footnote w:type="continuationSeparator" w:id="0">
    <w:p w14:paraId="35CD2A82" w14:textId="77777777" w:rsidR="00A850CB" w:rsidRDefault="00A850CB">
      <w:pPr>
        <w:rPr>
          <w:sz w:val="20"/>
        </w:rPr>
      </w:pPr>
      <w:r>
        <w:rPr>
          <w:sz w:val="20"/>
        </w:rPr>
        <w:separator/>
      </w:r>
    </w:p>
    <w:p w14:paraId="1AE48B3B" w14:textId="77777777" w:rsidR="00A850CB" w:rsidRDefault="00A850CB">
      <w:pPr>
        <w:rPr>
          <w:sz w:val="20"/>
        </w:rPr>
      </w:pPr>
      <w:r>
        <w:rPr>
          <w:sz w:val="20"/>
        </w:rPr>
        <w:t>(...continued from previous page)</w:t>
      </w:r>
    </w:p>
  </w:footnote>
  <w:footnote w:type="continuationNotice" w:id="1">
    <w:p w14:paraId="32105B7F" w14:textId="77777777" w:rsidR="00A850CB" w:rsidRDefault="00A850CB">
      <w:pPr>
        <w:jc w:val="right"/>
        <w:rPr>
          <w:sz w:val="20"/>
        </w:rPr>
      </w:pPr>
      <w:r>
        <w:rPr>
          <w:sz w:val="20"/>
        </w:rPr>
        <w:t>(continued....)</w:t>
      </w:r>
    </w:p>
  </w:footnote>
  <w:footnote w:id="2">
    <w:p w14:paraId="1465620E" w14:textId="77777777" w:rsidR="00C665E0" w:rsidRDefault="00C665E0">
      <w:pPr>
        <w:pStyle w:val="FootnoteText"/>
      </w:pPr>
      <w:r>
        <w:rPr>
          <w:rStyle w:val="FootnoteReference"/>
        </w:rPr>
        <w:footnoteRef/>
      </w:r>
      <w:r>
        <w:t xml:space="preserve"> </w:t>
      </w:r>
      <w:r w:rsidR="00BF2730" w:rsidRPr="00860AFE">
        <w:t>Request by iRobot Corporation for Waiver of Section 15.250(c) of the Commission’s Rules</w:t>
      </w:r>
      <w:r w:rsidR="00BF2730">
        <w:t xml:space="preserve">, ET Docket 15-30 (filed </w:t>
      </w:r>
      <w:r w:rsidR="00BF2730" w:rsidRPr="002E205A">
        <w:t>Jan. 22, 2015</w:t>
      </w:r>
      <w:r w:rsidR="00BF2730">
        <w:t>)</w:t>
      </w:r>
      <w:r w:rsidR="00D76ED1">
        <w:t xml:space="preserve"> (</w:t>
      </w:r>
      <w:r w:rsidR="00D76ED1" w:rsidRPr="00860AFE">
        <w:t>Waiver Request</w:t>
      </w:r>
      <w:r w:rsidR="00D76ED1">
        <w:t>).</w:t>
      </w:r>
    </w:p>
  </w:footnote>
  <w:footnote w:id="3">
    <w:p w14:paraId="106F5DCC" w14:textId="7839FD19" w:rsidR="008F710F" w:rsidRPr="008F710F" w:rsidRDefault="008F710F">
      <w:pPr>
        <w:pStyle w:val="FootnoteText"/>
      </w:pPr>
      <w:r>
        <w:rPr>
          <w:rStyle w:val="FootnoteReference"/>
        </w:rPr>
        <w:footnoteRef/>
      </w:r>
      <w:r>
        <w:t xml:space="preserve"> </w:t>
      </w:r>
      <w:r w:rsidR="00BF2730">
        <w:rPr>
          <w:i/>
        </w:rPr>
        <w:t xml:space="preserve">See </w:t>
      </w:r>
      <w:r w:rsidR="00BF2730">
        <w:t>47 C.F.R. § 15.250(c).</w:t>
      </w:r>
      <w:r w:rsidR="00717009">
        <w:t xml:space="preserve"> </w:t>
      </w:r>
      <w:r w:rsidR="00BF2730">
        <w:t xml:space="preserve"> </w:t>
      </w:r>
      <w:r w:rsidR="00717009">
        <w:t>In accordance with footnote US342, the 6650-6675.2 MHz portion of the band is used for radio astronomy spectral line observations.</w:t>
      </w:r>
    </w:p>
  </w:footnote>
  <w:footnote w:id="4">
    <w:p w14:paraId="1B6E231E" w14:textId="77777777" w:rsidR="008911FB" w:rsidRPr="008D3721" w:rsidRDefault="008911FB">
      <w:pPr>
        <w:pStyle w:val="FootnoteText"/>
      </w:pPr>
      <w:r>
        <w:rPr>
          <w:rStyle w:val="FootnoteReference"/>
        </w:rPr>
        <w:footnoteRef/>
      </w:r>
      <w:r>
        <w:t xml:space="preserve"> </w:t>
      </w:r>
      <w:r w:rsidR="008D3721">
        <w:t xml:space="preserve">Such devices are permitted to operate only after they have been verified to comply with existing operational restrictions.  </w:t>
      </w:r>
      <w:r w:rsidR="008D3721">
        <w:rPr>
          <w:i/>
        </w:rPr>
        <w:t xml:space="preserve">See </w:t>
      </w:r>
      <w:r w:rsidR="008D3721">
        <w:t xml:space="preserve">47 C.F.R. §§ 2.901 </w:t>
      </w:r>
      <w:r w:rsidR="008D3721">
        <w:rPr>
          <w:i/>
        </w:rPr>
        <w:t>et seq</w:t>
      </w:r>
      <w:r w:rsidR="008D3721">
        <w:t xml:space="preserve">. &amp; 47 C.F.R. §§ 15.1 </w:t>
      </w:r>
      <w:r w:rsidR="008D3721">
        <w:rPr>
          <w:i/>
        </w:rPr>
        <w:t>et seq</w:t>
      </w:r>
      <w:r w:rsidR="008D3721">
        <w:t>.</w:t>
      </w:r>
    </w:p>
  </w:footnote>
  <w:footnote w:id="5">
    <w:p w14:paraId="6B45FEBA" w14:textId="77777777" w:rsidR="008D3721" w:rsidRPr="008D3721" w:rsidRDefault="008D3721">
      <w:pPr>
        <w:pStyle w:val="FootnoteText"/>
        <w:rPr>
          <w:i/>
        </w:rPr>
      </w:pPr>
      <w:r>
        <w:rPr>
          <w:rStyle w:val="FootnoteReference"/>
        </w:rPr>
        <w:footnoteRef/>
      </w:r>
      <w:r>
        <w:t xml:space="preserve"> In addition to technical constraints, one of the primary operating conditions under Part 15 is that the operator must accept must accept whatever interference is received and must correct whatever interference is caused.  Should harmful interference occur, the operator is required to immediately correct the interference problem, even if correction of the problem requires ceasing operation of the Part 15 system </w:t>
      </w:r>
      <w:r w:rsidR="00310225">
        <w:t xml:space="preserve">that is </w:t>
      </w:r>
      <w:r>
        <w:t xml:space="preserve">causing the interference.  </w:t>
      </w:r>
      <w:r>
        <w:rPr>
          <w:i/>
        </w:rPr>
        <w:t>See</w:t>
      </w:r>
      <w:r>
        <w:t xml:space="preserve"> 47 C.F.R. §</w:t>
      </w:r>
      <w:r w:rsidR="00310225">
        <w:t> 15.5.</w:t>
      </w:r>
      <w:r>
        <w:rPr>
          <w:i/>
        </w:rPr>
        <w:t xml:space="preserve"> </w:t>
      </w:r>
    </w:p>
  </w:footnote>
  <w:footnote w:id="6">
    <w:p w14:paraId="774A14B0" w14:textId="77777777" w:rsidR="0045622F" w:rsidRPr="0045622F" w:rsidRDefault="0045622F">
      <w:pPr>
        <w:pStyle w:val="FootnoteText"/>
      </w:pPr>
      <w:r>
        <w:rPr>
          <w:rStyle w:val="FootnoteReference"/>
        </w:rPr>
        <w:footnoteRef/>
      </w:r>
      <w:r>
        <w:t xml:space="preserve"> </w:t>
      </w:r>
      <w:r w:rsidRPr="00860AFE">
        <w:t>Revision of Part 15 of the Commission’s Rules Regarding Ultra-Wideband Transmission Systems</w:t>
      </w:r>
      <w:r>
        <w:t xml:space="preserve">, </w:t>
      </w:r>
      <w:r w:rsidR="00684393">
        <w:t xml:space="preserve">ET Docket 87-153, </w:t>
      </w:r>
      <w:r w:rsidRPr="00860AFE">
        <w:rPr>
          <w:i/>
        </w:rPr>
        <w:t>Second Report and Order and Second Memorandum Opinion and Order</w:t>
      </w:r>
      <w:r>
        <w:t xml:space="preserve">, 19 FCC Rcd 24558, 24570-71 </w:t>
      </w:r>
      <w:r w:rsidR="00FF2EDC">
        <w:t>para.</w:t>
      </w:r>
      <w:r>
        <w:t xml:space="preserve"> 27 (2004) (</w:t>
      </w:r>
      <w:r>
        <w:rPr>
          <w:i/>
        </w:rPr>
        <w:t>UWB Second R&amp;O</w:t>
      </w:r>
      <w:r>
        <w:t>).</w:t>
      </w:r>
    </w:p>
  </w:footnote>
  <w:footnote w:id="7">
    <w:p w14:paraId="70088C29" w14:textId="77777777" w:rsidR="00F66CA7" w:rsidRDefault="00F66CA7">
      <w:pPr>
        <w:pStyle w:val="FootnoteText"/>
      </w:pPr>
      <w:r>
        <w:rPr>
          <w:rStyle w:val="FootnoteReference"/>
        </w:rPr>
        <w:footnoteRef/>
      </w:r>
      <w:r>
        <w:t xml:space="preserve"> 47 C.F.R. § 15.250(c).</w:t>
      </w:r>
      <w:r w:rsidR="008268B4">
        <w:t xml:space="preserve"> </w:t>
      </w:r>
      <w:r>
        <w:t xml:space="preserve">  </w:t>
      </w:r>
    </w:p>
  </w:footnote>
  <w:footnote w:id="8">
    <w:p w14:paraId="12F5F436" w14:textId="77777777" w:rsidR="00F66CA7" w:rsidRPr="00F66CA7" w:rsidRDefault="00F66CA7">
      <w:pPr>
        <w:pStyle w:val="FootnoteText"/>
      </w:pPr>
      <w:r>
        <w:rPr>
          <w:rStyle w:val="FootnoteReference"/>
        </w:rPr>
        <w:footnoteRef/>
      </w:r>
      <w:r>
        <w:t xml:space="preserve"> </w:t>
      </w:r>
      <w:r>
        <w:rPr>
          <w:i/>
        </w:rPr>
        <w:t>Id</w:t>
      </w:r>
      <w:r>
        <w:t>.</w:t>
      </w:r>
    </w:p>
  </w:footnote>
  <w:footnote w:id="9">
    <w:p w14:paraId="00A68414" w14:textId="77777777" w:rsidR="004B5F89" w:rsidRPr="004B5F89" w:rsidRDefault="004B5F89">
      <w:pPr>
        <w:pStyle w:val="FootnoteText"/>
      </w:pPr>
      <w:r>
        <w:rPr>
          <w:rStyle w:val="FootnoteReference"/>
        </w:rPr>
        <w:footnoteRef/>
      </w:r>
      <w:r>
        <w:t xml:space="preserve"> </w:t>
      </w:r>
      <w:r w:rsidRPr="00860AFE">
        <w:t>Waiver Request</w:t>
      </w:r>
      <w:r>
        <w:rPr>
          <w:i/>
        </w:rPr>
        <w:t xml:space="preserve"> </w:t>
      </w:r>
      <w:r>
        <w:t>at 7.</w:t>
      </w:r>
    </w:p>
  </w:footnote>
  <w:footnote w:id="10">
    <w:p w14:paraId="0F25992F" w14:textId="77777777" w:rsidR="00D76ED1" w:rsidRPr="00EB7EC3" w:rsidRDefault="00D76ED1">
      <w:pPr>
        <w:pStyle w:val="FootnoteText"/>
        <w:rPr>
          <w:b/>
        </w:rPr>
      </w:pPr>
      <w:r>
        <w:rPr>
          <w:rStyle w:val="FootnoteReference"/>
        </w:rPr>
        <w:footnoteRef/>
      </w:r>
      <w:r>
        <w:t xml:space="preserve"> </w:t>
      </w:r>
      <w:r w:rsidR="00B67101">
        <w:rPr>
          <w:i/>
        </w:rPr>
        <w:t>Id</w:t>
      </w:r>
      <w:r w:rsidR="00B67101">
        <w:t xml:space="preserve">. </w:t>
      </w:r>
      <w:r>
        <w:t>at 2.</w:t>
      </w:r>
    </w:p>
  </w:footnote>
  <w:footnote w:id="11">
    <w:p w14:paraId="3072501B" w14:textId="77777777" w:rsidR="00D76ED1" w:rsidRPr="00D76ED1" w:rsidRDefault="00D76ED1">
      <w:pPr>
        <w:pStyle w:val="FootnoteText"/>
      </w:pPr>
      <w:r>
        <w:rPr>
          <w:rStyle w:val="FootnoteReference"/>
        </w:rPr>
        <w:footnoteRef/>
      </w:r>
      <w:r>
        <w:t xml:space="preserve"> </w:t>
      </w:r>
      <w:r>
        <w:rPr>
          <w:i/>
        </w:rPr>
        <w:t>Id</w:t>
      </w:r>
      <w:r>
        <w:t>.</w:t>
      </w:r>
    </w:p>
  </w:footnote>
  <w:footnote w:id="12">
    <w:p w14:paraId="2C77EB59" w14:textId="77777777" w:rsidR="00D76ED1" w:rsidRPr="00D76ED1" w:rsidRDefault="00D76ED1">
      <w:pPr>
        <w:pStyle w:val="FootnoteText"/>
      </w:pPr>
      <w:r>
        <w:rPr>
          <w:rStyle w:val="FootnoteReference"/>
        </w:rPr>
        <w:footnoteRef/>
      </w:r>
      <w:r>
        <w:t xml:space="preserve"> </w:t>
      </w:r>
      <w:r>
        <w:rPr>
          <w:i/>
        </w:rPr>
        <w:t>See id</w:t>
      </w:r>
      <w:r>
        <w:t>.</w:t>
      </w:r>
    </w:p>
  </w:footnote>
  <w:footnote w:id="13">
    <w:p w14:paraId="0F8C74C3" w14:textId="77777777" w:rsidR="00773965" w:rsidRPr="00027A66" w:rsidRDefault="00773965">
      <w:pPr>
        <w:pStyle w:val="FootnoteText"/>
      </w:pPr>
      <w:r>
        <w:rPr>
          <w:rStyle w:val="FootnoteReference"/>
        </w:rPr>
        <w:footnoteRef/>
      </w:r>
      <w:r>
        <w:t xml:space="preserve"> </w:t>
      </w:r>
      <w:r w:rsidRPr="00EB7EC3">
        <w:t xml:space="preserve">The iRobot RLM will use a two-way ranging communication protocol to determine the time of flight of a transmitted packet, with only one stake communicating with the robot </w:t>
      </w:r>
      <w:r w:rsidR="00027A66" w:rsidRPr="00EB7EC3">
        <w:t xml:space="preserve">at any given time.  </w:t>
      </w:r>
      <w:r w:rsidR="00027A66" w:rsidRPr="00860AFE">
        <w:t>Waiver Request</w:t>
      </w:r>
      <w:r w:rsidR="00027A66" w:rsidRPr="00EB7EC3">
        <w:rPr>
          <w:i/>
        </w:rPr>
        <w:t xml:space="preserve"> </w:t>
      </w:r>
      <w:r w:rsidR="00027A66" w:rsidRPr="00EB7EC3">
        <w:t>at 2</w:t>
      </w:r>
      <w:r w:rsidR="0004519C" w:rsidRPr="00EB7EC3">
        <w:t xml:space="preserve">.  According to iRobot, during active </w:t>
      </w:r>
      <w:r w:rsidR="00027A66" w:rsidRPr="00EB7EC3">
        <w:t>mowing sessions, “the duty cycle will be 0.57% (1-5 transmissions per second) and during inactive periods the duty cycle will be</w:t>
      </w:r>
      <w:r w:rsidR="0004519C" w:rsidRPr="00EB7EC3">
        <w:t xml:space="preserve"> 0.0038% (190 micro-seconds per every 5 seconds).”  </w:t>
      </w:r>
      <w:r w:rsidR="0004519C" w:rsidRPr="00EB7EC3">
        <w:rPr>
          <w:i/>
        </w:rPr>
        <w:t xml:space="preserve">Id. </w:t>
      </w:r>
      <w:r w:rsidR="00EB7EC3">
        <w:t>at n.</w:t>
      </w:r>
      <w:r w:rsidR="0004519C" w:rsidRPr="00EB7EC3">
        <w:t>5.</w:t>
      </w:r>
      <w:r w:rsidR="0004519C">
        <w:t xml:space="preserve"> </w:t>
      </w:r>
    </w:p>
  </w:footnote>
  <w:footnote w:id="14">
    <w:p w14:paraId="1A681A3F" w14:textId="77777777" w:rsidR="0004519C" w:rsidRPr="0004519C" w:rsidRDefault="0004519C">
      <w:pPr>
        <w:pStyle w:val="FootnoteText"/>
      </w:pPr>
      <w:r>
        <w:rPr>
          <w:rStyle w:val="FootnoteReference"/>
        </w:rPr>
        <w:footnoteRef/>
      </w:r>
      <w:r>
        <w:t xml:space="preserve"> </w:t>
      </w:r>
      <w:r>
        <w:rPr>
          <w:i/>
        </w:rPr>
        <w:t>See id</w:t>
      </w:r>
      <w:r>
        <w:t>. at 2.</w:t>
      </w:r>
    </w:p>
  </w:footnote>
  <w:footnote w:id="15">
    <w:p w14:paraId="26C3A3F7" w14:textId="77777777" w:rsidR="00275267" w:rsidRPr="004B5F89" w:rsidRDefault="00275267">
      <w:pPr>
        <w:pStyle w:val="FootnoteText"/>
      </w:pPr>
      <w:r>
        <w:rPr>
          <w:rStyle w:val="FootnoteReference"/>
        </w:rPr>
        <w:footnoteRef/>
      </w:r>
      <w:r w:rsidR="004B5F89">
        <w:t xml:space="preserve"> </w:t>
      </w:r>
      <w:r w:rsidR="004B5F89">
        <w:rPr>
          <w:i/>
        </w:rPr>
        <w:t>Id</w:t>
      </w:r>
      <w:r w:rsidR="004B5F89">
        <w:t>. at 3.</w:t>
      </w:r>
    </w:p>
  </w:footnote>
  <w:footnote w:id="16">
    <w:p w14:paraId="3A75F7FC" w14:textId="77777777" w:rsidR="002E205A" w:rsidRPr="002E205A" w:rsidRDefault="002E205A">
      <w:pPr>
        <w:pStyle w:val="FootnoteText"/>
      </w:pPr>
      <w:r>
        <w:rPr>
          <w:rStyle w:val="FootnoteReference"/>
        </w:rPr>
        <w:footnoteRef/>
      </w:r>
      <w:r>
        <w:t xml:space="preserve"> </w:t>
      </w:r>
      <w:r>
        <w:rPr>
          <w:i/>
        </w:rPr>
        <w:t>Id</w:t>
      </w:r>
      <w:r>
        <w:t>. at 1.</w:t>
      </w:r>
    </w:p>
  </w:footnote>
  <w:footnote w:id="17">
    <w:p w14:paraId="5AB7580C" w14:textId="4F7EE66E" w:rsidR="004F7496" w:rsidRPr="004F7496" w:rsidRDefault="004F7496" w:rsidP="006716FA">
      <w:pPr>
        <w:pStyle w:val="FootnoteText"/>
      </w:pPr>
      <w:r>
        <w:rPr>
          <w:rStyle w:val="FootnoteReference"/>
        </w:rPr>
        <w:footnoteRef/>
      </w:r>
      <w:r>
        <w:t xml:space="preserve"> </w:t>
      </w:r>
      <w:r w:rsidR="006716FA">
        <w:t xml:space="preserve">Office of Engineering and Technology Declares </w:t>
      </w:r>
      <w:r w:rsidR="00710767">
        <w:t>t</w:t>
      </w:r>
      <w:r w:rsidR="006716FA">
        <w:t xml:space="preserve">he iRobot Request for a Waiver of Part 15 Rules </w:t>
      </w:r>
      <w:r w:rsidR="00710767">
        <w:t>t</w:t>
      </w:r>
      <w:r w:rsidR="006716FA">
        <w:t>o</w:t>
      </w:r>
      <w:r w:rsidR="00710767">
        <w:t xml:space="preserve"> b</w:t>
      </w:r>
      <w:r w:rsidR="006716FA">
        <w:t xml:space="preserve">e A “Permit-But-Disclose” Proceeding </w:t>
      </w:r>
      <w:r w:rsidR="00710767">
        <w:t>f</w:t>
      </w:r>
      <w:r w:rsidR="006716FA">
        <w:t xml:space="preserve">or Ex Parte Purposes </w:t>
      </w:r>
      <w:r w:rsidR="00710767">
        <w:t>a</w:t>
      </w:r>
      <w:r w:rsidR="006716FA">
        <w:t xml:space="preserve">nd Requests Comments, </w:t>
      </w:r>
      <w:r>
        <w:rPr>
          <w:i/>
        </w:rPr>
        <w:t>Public Notice</w:t>
      </w:r>
      <w:r>
        <w:t xml:space="preserve">, </w:t>
      </w:r>
      <w:r w:rsidR="00E35D61">
        <w:t>30 FCC Rcd 1075, DA 15-165 (rel. Feb. 5, 2015).</w:t>
      </w:r>
    </w:p>
  </w:footnote>
  <w:footnote w:id="18">
    <w:p w14:paraId="46B9B042" w14:textId="77777777" w:rsidR="00E56183" w:rsidRPr="00EB7EC3" w:rsidRDefault="00E56183">
      <w:pPr>
        <w:pStyle w:val="FootnoteText"/>
      </w:pPr>
      <w:r>
        <w:rPr>
          <w:rStyle w:val="FootnoteReference"/>
        </w:rPr>
        <w:footnoteRef/>
      </w:r>
      <w:r>
        <w:t xml:space="preserve"> </w:t>
      </w:r>
      <w:r w:rsidR="006716FA">
        <w:t>NRAO Comments (f</w:t>
      </w:r>
      <w:r w:rsidR="00E06DF5">
        <w:t xml:space="preserve">iled </w:t>
      </w:r>
      <w:r w:rsidR="00EB11FE">
        <w:t>March 6, 2015</w:t>
      </w:r>
      <w:r w:rsidR="006716FA">
        <w:t>)</w:t>
      </w:r>
      <w:r w:rsidR="00EB11FE">
        <w:t xml:space="preserve">. </w:t>
      </w:r>
      <w:r w:rsidR="00EB7EC3">
        <w:t>NRAO filed reply comments in further opposition to the waiver on April 1, 2015.</w:t>
      </w:r>
    </w:p>
  </w:footnote>
  <w:footnote w:id="19">
    <w:p w14:paraId="5CAB9D08" w14:textId="77777777" w:rsidR="00E06DF5" w:rsidRPr="00E06DF5" w:rsidRDefault="00E06DF5">
      <w:pPr>
        <w:pStyle w:val="FootnoteText"/>
      </w:pPr>
      <w:r>
        <w:rPr>
          <w:rStyle w:val="FootnoteReference"/>
        </w:rPr>
        <w:footnoteRef/>
      </w:r>
      <w:r>
        <w:t xml:space="preserve"> </w:t>
      </w:r>
      <w:r w:rsidR="006716FA" w:rsidRPr="00275267">
        <w:rPr>
          <w:szCs w:val="22"/>
        </w:rPr>
        <w:t>Ciholas Inc.</w:t>
      </w:r>
      <w:r w:rsidR="00FF2EDC">
        <w:rPr>
          <w:szCs w:val="22"/>
        </w:rPr>
        <w:t>,</w:t>
      </w:r>
      <w:r w:rsidR="006716FA">
        <w:rPr>
          <w:szCs w:val="22"/>
        </w:rPr>
        <w:t xml:space="preserve"> Reply Comments (</w:t>
      </w:r>
      <w:r w:rsidR="006716FA">
        <w:t>f</w:t>
      </w:r>
      <w:r>
        <w:t>iled March 25, 2015</w:t>
      </w:r>
      <w:r w:rsidR="00FF2EDC">
        <w:t>)</w:t>
      </w:r>
      <w:r>
        <w:t>.</w:t>
      </w:r>
    </w:p>
  </w:footnote>
  <w:footnote w:id="20">
    <w:p w14:paraId="3EB41991" w14:textId="77777777" w:rsidR="00852C18" w:rsidRDefault="00852C18" w:rsidP="00852C18">
      <w:pPr>
        <w:pStyle w:val="FootnoteText"/>
      </w:pPr>
      <w:r>
        <w:rPr>
          <w:rStyle w:val="FootnoteReference"/>
        </w:rPr>
        <w:footnoteRef/>
      </w:r>
      <w:r>
        <w:t xml:space="preserve"> </w:t>
      </w:r>
      <w:r w:rsidR="00FF2EDC">
        <w:t>iRobot Reply Comments (f</w:t>
      </w:r>
      <w:r w:rsidR="00E06DF5">
        <w:t xml:space="preserve">iled </w:t>
      </w:r>
      <w:r>
        <w:t>March</w:t>
      </w:r>
      <w:r w:rsidR="00E06DF5">
        <w:t xml:space="preserve"> 25, 2015</w:t>
      </w:r>
      <w:r w:rsidR="00FF2EDC">
        <w:t>)</w:t>
      </w:r>
      <w:r w:rsidR="00EB7EC3">
        <w:t>.</w:t>
      </w:r>
    </w:p>
  </w:footnote>
  <w:footnote w:id="21">
    <w:p w14:paraId="1E45AB77" w14:textId="77777777" w:rsidR="00F1634D" w:rsidRDefault="00F1634D">
      <w:pPr>
        <w:pStyle w:val="FootnoteText"/>
      </w:pPr>
      <w:r>
        <w:rPr>
          <w:rStyle w:val="FootnoteReference"/>
        </w:rPr>
        <w:footnoteRef/>
      </w:r>
      <w:r>
        <w:t xml:space="preserve"> 47 C.F.R.</w:t>
      </w:r>
      <w:r w:rsidR="00794DFB">
        <w:t xml:space="preserve"> § 1.3.</w:t>
      </w:r>
    </w:p>
  </w:footnote>
  <w:footnote w:id="22">
    <w:p w14:paraId="71CFBB43" w14:textId="77777777" w:rsidR="00CA492C" w:rsidRPr="00CA492C" w:rsidRDefault="00CA492C">
      <w:pPr>
        <w:pStyle w:val="FootnoteText"/>
      </w:pPr>
      <w:r>
        <w:rPr>
          <w:rStyle w:val="FootnoteReference"/>
        </w:rPr>
        <w:footnoteRef/>
      </w:r>
      <w:r>
        <w:t xml:space="preserve"> </w:t>
      </w:r>
      <w:r>
        <w:rPr>
          <w:i/>
        </w:rPr>
        <w:t>Northeast Cellular Tel. Co. v. FCC</w:t>
      </w:r>
      <w:r>
        <w:t xml:space="preserve">, 897 F.2d 1164, 1166 (D.C. Cir. 1990), citing </w:t>
      </w:r>
      <w:r>
        <w:rPr>
          <w:i/>
        </w:rPr>
        <w:t>WAIT Radio v. FCC</w:t>
      </w:r>
      <w:r>
        <w:t>, 418 F.2d 1153, 1159 (D.C. Cir. 1969)</w:t>
      </w:r>
      <w:r w:rsidR="009474C9">
        <w:t xml:space="preserve"> (</w:t>
      </w:r>
      <w:r w:rsidR="009474C9">
        <w:rPr>
          <w:i/>
        </w:rPr>
        <w:t>WAIT Radio</w:t>
      </w:r>
      <w:r w:rsidR="009474C9">
        <w:t>)</w:t>
      </w:r>
      <w:r>
        <w:t xml:space="preserve">. </w:t>
      </w:r>
    </w:p>
  </w:footnote>
  <w:footnote w:id="23">
    <w:p w14:paraId="494FDAAC" w14:textId="77777777" w:rsidR="00C44E65" w:rsidRDefault="00C44E65">
      <w:pPr>
        <w:pStyle w:val="FootnoteText"/>
      </w:pPr>
      <w:r>
        <w:rPr>
          <w:rStyle w:val="FootnoteReference"/>
        </w:rPr>
        <w:footnoteRef/>
      </w:r>
      <w:r>
        <w:t xml:space="preserve"> </w:t>
      </w:r>
      <w:r>
        <w:rPr>
          <w:i/>
        </w:rPr>
        <w:t>See WAIT Radio</w:t>
      </w:r>
      <w:r w:rsidR="009474C9">
        <w:t xml:space="preserve">, </w:t>
      </w:r>
      <w:r>
        <w:t xml:space="preserve">418 F.2d </w:t>
      </w:r>
      <w:r w:rsidR="009474C9">
        <w:t xml:space="preserve">at </w:t>
      </w:r>
      <w:r>
        <w:t>115</w:t>
      </w:r>
      <w:r w:rsidR="00794DFB">
        <w:t>7.</w:t>
      </w:r>
    </w:p>
  </w:footnote>
  <w:footnote w:id="24">
    <w:p w14:paraId="5AB7EF92" w14:textId="72315FD4" w:rsidR="00A4292D" w:rsidRPr="00A4292D" w:rsidRDefault="00A4292D" w:rsidP="00A4292D">
      <w:pPr>
        <w:pStyle w:val="FootnoteText"/>
      </w:pPr>
      <w:r>
        <w:rPr>
          <w:rStyle w:val="FootnoteReference"/>
        </w:rPr>
        <w:footnoteRef/>
      </w:r>
      <w:r>
        <w:t xml:space="preserve"> </w:t>
      </w:r>
      <w:r>
        <w:rPr>
          <w:i/>
        </w:rPr>
        <w:t>UWB Second R&amp;O</w:t>
      </w:r>
      <w:r>
        <w:t>, 19 FCC Rcd at 24571 (para. 27).</w:t>
      </w:r>
    </w:p>
  </w:footnote>
  <w:footnote w:id="25">
    <w:p w14:paraId="5D6E90A6" w14:textId="77777777" w:rsidR="00A4292D" w:rsidRPr="00794DFB" w:rsidRDefault="00A4292D" w:rsidP="00A4292D">
      <w:pPr>
        <w:pStyle w:val="FootnoteText"/>
      </w:pPr>
      <w:r>
        <w:rPr>
          <w:rStyle w:val="FootnoteReference"/>
        </w:rPr>
        <w:footnoteRef/>
      </w:r>
      <w:r>
        <w:t xml:space="preserve"> </w:t>
      </w:r>
      <w:r w:rsidRPr="00860AFE">
        <w:t>Waiver Request</w:t>
      </w:r>
      <w:r>
        <w:t xml:space="preserve"> at 4.  </w:t>
      </w:r>
      <w:r>
        <w:rPr>
          <w:i/>
        </w:rPr>
        <w:t xml:space="preserve">See also </w:t>
      </w:r>
      <w:r w:rsidRPr="00860AFE">
        <w:t>Ciholas Reply Comments</w:t>
      </w:r>
      <w:r>
        <w:rPr>
          <w:i/>
        </w:rPr>
        <w:t xml:space="preserve"> </w:t>
      </w:r>
      <w:r>
        <w:t xml:space="preserve">at 2; </w:t>
      </w:r>
      <w:r w:rsidRPr="00860AFE">
        <w:t>iRobot Reply Comments</w:t>
      </w:r>
      <w:r>
        <w:rPr>
          <w:i/>
        </w:rPr>
        <w:t xml:space="preserve"> </w:t>
      </w:r>
      <w:r>
        <w:t>at 2.</w:t>
      </w:r>
    </w:p>
  </w:footnote>
  <w:footnote w:id="26">
    <w:p w14:paraId="70BBE3BE" w14:textId="5C203FA3" w:rsidR="00FA65F8" w:rsidRPr="00FA65F8" w:rsidRDefault="00FA65F8">
      <w:pPr>
        <w:pStyle w:val="FootnoteText"/>
      </w:pPr>
      <w:r>
        <w:rPr>
          <w:rStyle w:val="FootnoteReference"/>
        </w:rPr>
        <w:footnoteRef/>
      </w:r>
      <w:r>
        <w:t xml:space="preserve"> </w:t>
      </w:r>
      <w:r>
        <w:rPr>
          <w:i/>
        </w:rPr>
        <w:t>See</w:t>
      </w:r>
      <w:r>
        <w:t xml:space="preserve"> Waiver Request at 6-7 (stating that the battery-powered iRobot RLM “will increase lawn mower safety,” “will benefit the environment,” and “will benefit elderly, disabled and many other consumers”).  </w:t>
      </w:r>
      <w:r>
        <w:rPr>
          <w:i/>
        </w:rPr>
        <w:t xml:space="preserve">See also </w:t>
      </w:r>
      <w:r>
        <w:t>Ciholas Reply Comments at 1; iRobot Reply Comments at 3.</w:t>
      </w:r>
    </w:p>
  </w:footnote>
  <w:footnote w:id="27">
    <w:p w14:paraId="7F57AA5A" w14:textId="77777777" w:rsidR="003A3337" w:rsidRPr="003A3337" w:rsidRDefault="003A3337">
      <w:pPr>
        <w:pStyle w:val="FootnoteText"/>
      </w:pPr>
      <w:r>
        <w:rPr>
          <w:rStyle w:val="FootnoteReference"/>
        </w:rPr>
        <w:footnoteRef/>
      </w:r>
      <w:r>
        <w:t xml:space="preserve"> </w:t>
      </w:r>
      <w:r w:rsidRPr="00860AFE">
        <w:t>NRAO Comments</w:t>
      </w:r>
      <w:r>
        <w:t xml:space="preserve"> at 1</w:t>
      </w:r>
      <w:r w:rsidR="00D44342">
        <w:t xml:space="preserve"> (</w:t>
      </w:r>
      <w:r w:rsidR="00FF2EDC">
        <w:t>para.</w:t>
      </w:r>
      <w:r w:rsidR="00D44342">
        <w:t xml:space="preserve"> 3)</w:t>
      </w:r>
      <w:r>
        <w:t xml:space="preserve">. </w:t>
      </w:r>
      <w:r w:rsidR="00A84AE4">
        <w:t xml:space="preserve"> </w:t>
      </w:r>
      <w:r w:rsidR="003D3C8F">
        <w:t>Although radio astronomy service has no allocation in the 6650-6675.2 MHz band, NRAO asserts that the “frequency band 5925-6700 is protected by footnote US 342 [of the Table of Frequency Allocations</w:t>
      </w:r>
      <w:r w:rsidR="008840B2">
        <w:t>, 47 C.F.R. § 2.106</w:t>
      </w:r>
      <w:r w:rsidR="003D3C8F">
        <w:t xml:space="preserve">],” which </w:t>
      </w:r>
      <w:r w:rsidR="008840B2">
        <w:t xml:space="preserve">provides that “all practicable steps shall be taken to protect the radio astronomy service from harmful interference.”  </w:t>
      </w:r>
      <w:r w:rsidR="008840B2">
        <w:rPr>
          <w:i/>
        </w:rPr>
        <w:t>Id</w:t>
      </w:r>
      <w:r w:rsidR="00EB7EC3">
        <w:t>.</w:t>
      </w:r>
      <w:r>
        <w:t xml:space="preserve"> </w:t>
      </w:r>
    </w:p>
  </w:footnote>
  <w:footnote w:id="28">
    <w:p w14:paraId="21DD4AC5" w14:textId="71AD94D1" w:rsidR="008100BC" w:rsidRDefault="008100BC">
      <w:pPr>
        <w:pStyle w:val="FootnoteText"/>
      </w:pPr>
      <w:r>
        <w:rPr>
          <w:rStyle w:val="FootnoteReference"/>
        </w:rPr>
        <w:footnoteRef/>
      </w:r>
      <w:r>
        <w:t xml:space="preserve"> NRAO Comments at 1 (para. 2).</w:t>
      </w:r>
    </w:p>
  </w:footnote>
  <w:footnote w:id="29">
    <w:p w14:paraId="612F389A" w14:textId="77777777" w:rsidR="00D44342" w:rsidRPr="00A84AE4" w:rsidRDefault="00D44342">
      <w:pPr>
        <w:pStyle w:val="FootnoteText"/>
      </w:pPr>
      <w:r>
        <w:rPr>
          <w:rStyle w:val="FootnoteReference"/>
        </w:rPr>
        <w:footnoteRef/>
      </w:r>
      <w:r>
        <w:t xml:space="preserve"> </w:t>
      </w:r>
      <w:r w:rsidR="00A84AE4">
        <w:rPr>
          <w:i/>
        </w:rPr>
        <w:t xml:space="preserve">Id. </w:t>
      </w:r>
      <w:r>
        <w:t>(</w:t>
      </w:r>
      <w:r w:rsidR="00FF2EDC">
        <w:t>para.</w:t>
      </w:r>
      <w:r w:rsidR="00A84AE4">
        <w:t xml:space="preserve"> </w:t>
      </w:r>
      <w:r>
        <w:t>4).</w:t>
      </w:r>
      <w:r w:rsidR="00A84AE4">
        <w:t xml:space="preserve">  </w:t>
      </w:r>
      <w:r w:rsidR="00A84AE4">
        <w:rPr>
          <w:i/>
        </w:rPr>
        <w:t xml:space="preserve">See also </w:t>
      </w:r>
      <w:r w:rsidR="00A84AE4" w:rsidRPr="00860AFE">
        <w:t>NRAO Reply Comments</w:t>
      </w:r>
      <w:r w:rsidR="00A84AE4">
        <w:t xml:space="preserve"> at 3 (</w:t>
      </w:r>
      <w:r w:rsidR="00FF2EDC">
        <w:t>para.</w:t>
      </w:r>
      <w:r w:rsidR="00A84AE4">
        <w:t xml:space="preserve"> 10).</w:t>
      </w:r>
    </w:p>
  </w:footnote>
  <w:footnote w:id="30">
    <w:p w14:paraId="247982B8" w14:textId="4EF131FB" w:rsidR="0060046B" w:rsidRDefault="0060046B">
      <w:pPr>
        <w:pStyle w:val="FootnoteText"/>
      </w:pPr>
      <w:r>
        <w:rPr>
          <w:rStyle w:val="FootnoteReference"/>
        </w:rPr>
        <w:footnoteRef/>
      </w:r>
      <w:r>
        <w:t xml:space="preserve"> NRAO Comments at 2 (para. 7).</w:t>
      </w:r>
    </w:p>
  </w:footnote>
  <w:footnote w:id="31">
    <w:p w14:paraId="704116AD" w14:textId="08ABA49E" w:rsidR="00766D14" w:rsidRPr="00766D14" w:rsidRDefault="00766D14">
      <w:pPr>
        <w:pStyle w:val="FootnoteText"/>
      </w:pPr>
      <w:r>
        <w:rPr>
          <w:rStyle w:val="FootnoteReference"/>
        </w:rPr>
        <w:footnoteRef/>
      </w:r>
      <w:r>
        <w:t xml:space="preserve"> </w:t>
      </w:r>
      <w:r w:rsidR="0060046B">
        <w:rPr>
          <w:i/>
        </w:rPr>
        <w:t>Id</w:t>
      </w:r>
      <w:r>
        <w:t>.</w:t>
      </w:r>
    </w:p>
  </w:footnote>
  <w:footnote w:id="32">
    <w:p w14:paraId="6B9B5A2A" w14:textId="77777777" w:rsidR="00AC2738" w:rsidRPr="00AC2738" w:rsidRDefault="00AC2738">
      <w:pPr>
        <w:pStyle w:val="FootnoteText"/>
      </w:pPr>
      <w:r>
        <w:rPr>
          <w:rStyle w:val="FootnoteReference"/>
        </w:rPr>
        <w:footnoteRef/>
      </w:r>
      <w:r>
        <w:t xml:space="preserve"> </w:t>
      </w:r>
      <w:r w:rsidRPr="004B3A14">
        <w:t>iRobot Reply Comments</w:t>
      </w:r>
      <w:r>
        <w:rPr>
          <w:i/>
        </w:rPr>
        <w:t xml:space="preserve"> </w:t>
      </w:r>
      <w:r>
        <w:t>at 3.</w:t>
      </w:r>
    </w:p>
  </w:footnote>
  <w:footnote w:id="33">
    <w:p w14:paraId="41DEDE84" w14:textId="77777777" w:rsidR="004C737F" w:rsidRPr="004C737F" w:rsidRDefault="004C737F">
      <w:pPr>
        <w:pStyle w:val="FootnoteText"/>
      </w:pPr>
      <w:r>
        <w:rPr>
          <w:rStyle w:val="FootnoteReference"/>
        </w:rPr>
        <w:footnoteRef/>
      </w:r>
      <w:r>
        <w:t xml:space="preserve"> </w:t>
      </w:r>
      <w:r w:rsidRPr="004B3A14">
        <w:t>iRobot Reply Comments</w:t>
      </w:r>
      <w:r>
        <w:rPr>
          <w:i/>
        </w:rPr>
        <w:t xml:space="preserve"> </w:t>
      </w:r>
      <w:r w:rsidR="00A27669">
        <w:t xml:space="preserve">at 3; </w:t>
      </w:r>
      <w:r w:rsidR="00A27669">
        <w:rPr>
          <w:i/>
        </w:rPr>
        <w:t>se</w:t>
      </w:r>
      <w:r>
        <w:rPr>
          <w:i/>
        </w:rPr>
        <w:t xml:space="preserve">e also </w:t>
      </w:r>
      <w:r w:rsidRPr="004B3A14">
        <w:t>Waiver Request</w:t>
      </w:r>
      <w:r>
        <w:t xml:space="preserve"> at 7-8.</w:t>
      </w:r>
    </w:p>
  </w:footnote>
  <w:footnote w:id="34">
    <w:p w14:paraId="1E0B3F1A" w14:textId="77777777" w:rsidR="00D41B35" w:rsidRPr="00EB7EC3" w:rsidRDefault="00D41B35" w:rsidP="00D41B35">
      <w:pPr>
        <w:pStyle w:val="FootnoteText"/>
      </w:pPr>
      <w:r>
        <w:rPr>
          <w:rStyle w:val="FootnoteReference"/>
        </w:rPr>
        <w:footnoteRef/>
      </w:r>
      <w:r>
        <w:t xml:space="preserve"> </w:t>
      </w:r>
      <w:r w:rsidRPr="000758D2">
        <w:t>Waiver Request</w:t>
      </w:r>
      <w:r>
        <w:t xml:space="preserve"> at 8; </w:t>
      </w:r>
      <w:r>
        <w:rPr>
          <w:i/>
        </w:rPr>
        <w:t xml:space="preserve">see also </w:t>
      </w:r>
      <w:r w:rsidRPr="000758D2">
        <w:t>iRobot Reply Comments</w:t>
      </w:r>
      <w:r>
        <w:rPr>
          <w:i/>
        </w:rPr>
        <w:t xml:space="preserve"> </w:t>
      </w:r>
      <w:r>
        <w:t>at 3-4.</w:t>
      </w:r>
    </w:p>
  </w:footnote>
  <w:footnote w:id="35">
    <w:p w14:paraId="420A395F" w14:textId="7AFA9990" w:rsidR="00371827" w:rsidRPr="00F02AFE" w:rsidRDefault="00371827">
      <w:pPr>
        <w:pStyle w:val="FootnoteText"/>
      </w:pPr>
      <w:r>
        <w:rPr>
          <w:rStyle w:val="FootnoteReference"/>
        </w:rPr>
        <w:footnoteRef/>
      </w:r>
      <w:r>
        <w:t xml:space="preserve"> </w:t>
      </w:r>
      <w:r>
        <w:rPr>
          <w:i/>
        </w:rPr>
        <w:t>See UWB Second R&amp;O</w:t>
      </w:r>
      <w:r w:rsidR="00F02AFE">
        <w:t>, 19 FCC Rcd at 24571 (para.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C519" w14:textId="77777777" w:rsidR="004039F4" w:rsidRDefault="00403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5563" w14:textId="43C2CB8D" w:rsidR="00C44E65" w:rsidRDefault="00C44E65">
    <w:pPr>
      <w:pStyle w:val="Header"/>
      <w:tabs>
        <w:tab w:val="clear" w:pos="4320"/>
        <w:tab w:val="clear" w:pos="8640"/>
        <w:tab w:val="center" w:pos="4680"/>
        <w:tab w:val="right" w:pos="9360"/>
      </w:tabs>
      <w:rPr>
        <w:b/>
      </w:rPr>
    </w:pPr>
    <w:r>
      <w:rPr>
        <w:b/>
      </w:rPr>
      <w:tab/>
      <w:t>Federal Communications Commission</w:t>
    </w:r>
    <w:r>
      <w:rPr>
        <w:b/>
      </w:rPr>
      <w:tab/>
      <w:t xml:space="preserve">DA </w:t>
    </w:r>
    <w:r w:rsidR="00136A59">
      <w:rPr>
        <w:b/>
      </w:rPr>
      <w:t>15</w:t>
    </w:r>
    <w:r>
      <w:rPr>
        <w:b/>
      </w:rPr>
      <w:t>-</w:t>
    </w:r>
    <w:r w:rsidR="00BE0F6E">
      <w:rPr>
        <w:b/>
      </w:rPr>
      <w:t>915</w:t>
    </w:r>
  </w:p>
  <w:p w14:paraId="1E6D675F" w14:textId="77777777" w:rsidR="00C44E65" w:rsidRDefault="00860AF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4949F03" wp14:editId="54A4F4E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08B9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66236806" w14:textId="77777777" w:rsidR="00C44E65" w:rsidRDefault="00C44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94F5" w14:textId="6FCBFA72" w:rsidR="00C44E65" w:rsidRDefault="00C44E65">
    <w:pPr>
      <w:pStyle w:val="Header"/>
      <w:tabs>
        <w:tab w:val="clear" w:pos="4320"/>
        <w:tab w:val="clear" w:pos="8640"/>
        <w:tab w:val="center" w:pos="4680"/>
        <w:tab w:val="right" w:pos="9360"/>
      </w:tabs>
      <w:rPr>
        <w:b/>
      </w:rPr>
    </w:pPr>
    <w:r>
      <w:rPr>
        <w:b/>
      </w:rPr>
      <w:tab/>
      <w:t>Federal Communications Commission</w:t>
    </w:r>
    <w:r>
      <w:rPr>
        <w:b/>
      </w:rPr>
      <w:tab/>
      <w:t xml:space="preserve">DA </w:t>
    </w:r>
    <w:r w:rsidR="00C665E0">
      <w:rPr>
        <w:b/>
      </w:rPr>
      <w:t>15</w:t>
    </w:r>
    <w:r>
      <w:rPr>
        <w:b/>
      </w:rPr>
      <w:t>-</w:t>
    </w:r>
    <w:r w:rsidR="00BE0F6E">
      <w:rPr>
        <w:b/>
      </w:rPr>
      <w:t>915</w:t>
    </w:r>
    <w:r>
      <w:rPr>
        <w:b/>
      </w:rPr>
      <w:t xml:space="preserve"> </w:t>
    </w:r>
  </w:p>
  <w:p w14:paraId="0FF6597E" w14:textId="77777777" w:rsidR="00C44E65" w:rsidRDefault="00860AF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7533DD1" wp14:editId="2F777237">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847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996"/>
    <w:multiLevelType w:val="hybridMultilevel"/>
    <w:tmpl w:val="2CD8CEAC"/>
    <w:lvl w:ilvl="0" w:tplc="CE5E6624">
      <w:start w:val="1"/>
      <w:numFmt w:val="decimal"/>
      <w:pStyle w:val="Style1"/>
      <w:lvlText w:val="%1."/>
      <w:lvlJc w:val="left"/>
      <w:pPr>
        <w:tabs>
          <w:tab w:val="num" w:pos="720"/>
        </w:tabs>
        <w:ind w:left="720" w:hanging="360"/>
      </w:pPr>
    </w:lvl>
    <w:lvl w:ilvl="1" w:tplc="CAB6550E" w:tentative="1">
      <w:start w:val="1"/>
      <w:numFmt w:val="lowerLetter"/>
      <w:lvlText w:val="%2."/>
      <w:lvlJc w:val="left"/>
      <w:pPr>
        <w:tabs>
          <w:tab w:val="num" w:pos="1440"/>
        </w:tabs>
        <w:ind w:left="1440" w:hanging="360"/>
      </w:pPr>
    </w:lvl>
    <w:lvl w:ilvl="2" w:tplc="673E1C4E" w:tentative="1">
      <w:start w:val="1"/>
      <w:numFmt w:val="lowerRoman"/>
      <w:lvlText w:val="%3."/>
      <w:lvlJc w:val="right"/>
      <w:pPr>
        <w:tabs>
          <w:tab w:val="num" w:pos="2160"/>
        </w:tabs>
        <w:ind w:left="2160" w:hanging="180"/>
      </w:pPr>
    </w:lvl>
    <w:lvl w:ilvl="3" w:tplc="59B00E30" w:tentative="1">
      <w:start w:val="1"/>
      <w:numFmt w:val="decimal"/>
      <w:lvlText w:val="%4."/>
      <w:lvlJc w:val="left"/>
      <w:pPr>
        <w:tabs>
          <w:tab w:val="num" w:pos="2880"/>
        </w:tabs>
        <w:ind w:left="2880" w:hanging="360"/>
      </w:pPr>
    </w:lvl>
    <w:lvl w:ilvl="4" w:tplc="C9DA5AC4" w:tentative="1">
      <w:start w:val="1"/>
      <w:numFmt w:val="lowerLetter"/>
      <w:lvlText w:val="%5."/>
      <w:lvlJc w:val="left"/>
      <w:pPr>
        <w:tabs>
          <w:tab w:val="num" w:pos="3600"/>
        </w:tabs>
        <w:ind w:left="3600" w:hanging="360"/>
      </w:pPr>
    </w:lvl>
    <w:lvl w:ilvl="5" w:tplc="6B66C0F0" w:tentative="1">
      <w:start w:val="1"/>
      <w:numFmt w:val="lowerRoman"/>
      <w:lvlText w:val="%6."/>
      <w:lvlJc w:val="right"/>
      <w:pPr>
        <w:tabs>
          <w:tab w:val="num" w:pos="4320"/>
        </w:tabs>
        <w:ind w:left="4320" w:hanging="180"/>
      </w:pPr>
    </w:lvl>
    <w:lvl w:ilvl="6" w:tplc="3D402C62" w:tentative="1">
      <w:start w:val="1"/>
      <w:numFmt w:val="decimal"/>
      <w:lvlText w:val="%7."/>
      <w:lvlJc w:val="left"/>
      <w:pPr>
        <w:tabs>
          <w:tab w:val="num" w:pos="5040"/>
        </w:tabs>
        <w:ind w:left="5040" w:hanging="360"/>
      </w:pPr>
    </w:lvl>
    <w:lvl w:ilvl="7" w:tplc="FB6CEE84" w:tentative="1">
      <w:start w:val="1"/>
      <w:numFmt w:val="lowerLetter"/>
      <w:lvlText w:val="%8."/>
      <w:lvlJc w:val="left"/>
      <w:pPr>
        <w:tabs>
          <w:tab w:val="num" w:pos="5760"/>
        </w:tabs>
        <w:ind w:left="5760" w:hanging="360"/>
      </w:pPr>
    </w:lvl>
    <w:lvl w:ilvl="8" w:tplc="02908D78" w:tentative="1">
      <w:start w:val="1"/>
      <w:numFmt w:val="lowerRoman"/>
      <w:lvlText w:val="%9."/>
      <w:lvlJc w:val="right"/>
      <w:pPr>
        <w:tabs>
          <w:tab w:val="num" w:pos="6480"/>
        </w:tabs>
        <w:ind w:left="6480" w:hanging="180"/>
      </w:pPr>
    </w:lvl>
  </w:abstractNum>
  <w:abstractNum w:abstractNumId="1">
    <w:nsid w:val="18F3556B"/>
    <w:multiLevelType w:val="singleLevel"/>
    <w:tmpl w:val="5E58DF24"/>
    <w:lvl w:ilvl="0">
      <w:start w:val="1"/>
      <w:numFmt w:val="bullet"/>
      <w:pStyle w:val="Style2"/>
      <w:lvlText w:val=""/>
      <w:lvlJc w:val="left"/>
      <w:pPr>
        <w:tabs>
          <w:tab w:val="num" w:pos="1080"/>
        </w:tabs>
        <w:ind w:left="1080" w:hanging="360"/>
      </w:pPr>
      <w:rPr>
        <w:rFonts w:ascii="Symbol" w:hAnsi="Symbol" w:hint="default"/>
      </w:rPr>
    </w:lvl>
  </w:abstractNum>
  <w:abstractNum w:abstractNumId="2">
    <w:nsid w:val="2A9009E5"/>
    <w:multiLevelType w:val="multilevel"/>
    <w:tmpl w:val="37E49B74"/>
    <w:lvl w:ilvl="0">
      <w:start w:val="1"/>
      <w:numFmt w:val="decimal"/>
      <w:pStyle w:val="StyleParaNumLeft"/>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65F64F6"/>
    <w:multiLevelType w:val="singleLevel"/>
    <w:tmpl w:val="D2A0ECDC"/>
    <w:lvl w:ilvl="0">
      <w:start w:val="1"/>
      <w:numFmt w:val="decimal"/>
      <w:pStyle w:val="StyleNumbered"/>
      <w:lvlText w:val="%1."/>
      <w:lvlJc w:val="left"/>
      <w:pPr>
        <w:tabs>
          <w:tab w:val="num" w:pos="288"/>
        </w:tabs>
        <w:ind w:left="0" w:firstLine="288"/>
      </w:pPr>
      <w:rPr>
        <w:rFonts w:hint="default"/>
        <w:b w:val="0"/>
        <w:i w:val="0"/>
        <w:color w:val="000000"/>
        <w:szCs w:val="22"/>
        <w:u w:val="none"/>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57E6721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360"/>
        </w:tabs>
        <w:ind w:left="360" w:hanging="360"/>
      </w:pPr>
      <w:rPr>
        <w:rFonts w:ascii="Times New Roman" w:hAnsi="Times New Roman" w:hint="default"/>
        <w:b w:val="0"/>
        <w:i w:val="0"/>
        <w:sz w:val="22"/>
        <w:szCs w:val="22"/>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480"/>
        </w:tabs>
        <w:ind w:left="5760" w:firstLine="0"/>
      </w:pPr>
      <w:rPr>
        <w:rFonts w:hint="default"/>
        <w:b/>
        <w:i w:val="0"/>
        <w:sz w:val="22"/>
      </w:rPr>
    </w:lvl>
  </w:abstractNum>
  <w:abstractNum w:abstractNumId="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C41675E"/>
    <w:multiLevelType w:val="hybridMultilevel"/>
    <w:tmpl w:val="C214EA2A"/>
    <w:lvl w:ilvl="0" w:tplc="37703D9E">
      <w:start w:val="1"/>
      <w:numFmt w:val="decimal"/>
      <w:lvlText w:val="%1)."/>
      <w:lvlJc w:val="left"/>
      <w:pPr>
        <w:tabs>
          <w:tab w:val="num" w:pos="2160"/>
        </w:tabs>
        <w:ind w:left="2160" w:hanging="360"/>
      </w:pPr>
      <w:rPr>
        <w:rFonts w:hint="default"/>
        <w:color w:val="auto"/>
      </w:rPr>
    </w:lvl>
    <w:lvl w:ilvl="1" w:tplc="04090011">
      <w:start w:val="1"/>
      <w:numFmt w:val="decimal"/>
      <w:lvlText w:val="%2)"/>
      <w:lvlJc w:val="left"/>
      <w:pPr>
        <w:tabs>
          <w:tab w:val="num" w:pos="360"/>
        </w:tabs>
        <w:ind w:left="360" w:hanging="36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182925"/>
    <w:multiLevelType w:val="singleLevel"/>
    <w:tmpl w:val="26A02308"/>
    <w:lvl w:ilvl="0">
      <w:start w:val="1"/>
      <w:numFmt w:val="decimal"/>
      <w:lvlText w:val="%1."/>
      <w:lvlJc w:val="left"/>
      <w:pPr>
        <w:tabs>
          <w:tab w:val="num" w:pos="1350"/>
        </w:tabs>
        <w:snapToGrid w:val="0"/>
        <w:ind w:left="270" w:firstLine="720"/>
      </w:pPr>
      <w:rPr>
        <w:rFonts w:ascii="Times New Roman" w:hAnsi="Times New Roman" w:cs="Times New Roman"/>
        <w:b w:val="0"/>
        <w:bCs w:val="0"/>
        <w:i w:val="0"/>
        <w:iCs w:val="0"/>
        <w:caps w:val="0"/>
        <w:smallCaps w:val="0"/>
        <w:strike w:val="0"/>
        <w:dstrike w:val="0"/>
        <w:noProof w:val="0"/>
        <w:vanish w:val="0"/>
        <w:webHidden w:val="0"/>
        <w:spacing w:val="0"/>
        <w:position w:val="0"/>
        <w:u w:val="none"/>
        <w:effect w:val="none"/>
        <w:vertAlign w:val="baseline"/>
        <w:em w:val="none"/>
        <w:specVanish w:val="0"/>
      </w:rPr>
    </w:lvl>
  </w:abstractNum>
  <w:num w:numId="1">
    <w:abstractNumId w:val="6"/>
  </w:num>
  <w:num w:numId="2">
    <w:abstractNumId w:val="2"/>
  </w:num>
  <w:num w:numId="3">
    <w:abstractNumId w:val="7"/>
  </w:num>
  <w:num w:numId="4">
    <w:abstractNumId w:val="3"/>
  </w:num>
  <w:num w:numId="5">
    <w:abstractNumId w:val="5"/>
  </w:num>
  <w:num w:numId="6">
    <w:abstractNumId w:val="1"/>
  </w:num>
  <w:num w:numId="7">
    <w:abstractNumId w:val="0"/>
  </w:num>
  <w:num w:numId="8">
    <w:abstractNumId w:val="4"/>
  </w:num>
  <w:num w:numId="9">
    <w:abstractNumId w:val="8"/>
  </w:num>
  <w:num w:numId="10">
    <w:abstractNumId w:val="9"/>
    <w:lvlOverride w:ilvl="0">
      <w:startOverride w:val="1"/>
    </w:lvlOverride>
  </w:num>
  <w:num w:numId="11">
    <w:abstractNumId w:val="9"/>
    <w:lvlOverride w:ilvl="0">
      <w:startOverride w:val="1"/>
    </w:lvlOverride>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65"/>
    <w:rsid w:val="00003991"/>
    <w:rsid w:val="00027A66"/>
    <w:rsid w:val="0004519C"/>
    <w:rsid w:val="000C096E"/>
    <w:rsid w:val="0013070A"/>
    <w:rsid w:val="00136A59"/>
    <w:rsid w:val="00145484"/>
    <w:rsid w:val="00161007"/>
    <w:rsid w:val="00164542"/>
    <w:rsid w:val="00194B93"/>
    <w:rsid w:val="001F31E8"/>
    <w:rsid w:val="00211294"/>
    <w:rsid w:val="00215D47"/>
    <w:rsid w:val="00234681"/>
    <w:rsid w:val="00263F4E"/>
    <w:rsid w:val="00275267"/>
    <w:rsid w:val="00280C53"/>
    <w:rsid w:val="00282B72"/>
    <w:rsid w:val="00287EE2"/>
    <w:rsid w:val="002B499D"/>
    <w:rsid w:val="002B783D"/>
    <w:rsid w:val="002D64BF"/>
    <w:rsid w:val="002E205A"/>
    <w:rsid w:val="00301301"/>
    <w:rsid w:val="00310225"/>
    <w:rsid w:val="003112E8"/>
    <w:rsid w:val="0035514B"/>
    <w:rsid w:val="00371827"/>
    <w:rsid w:val="00383A07"/>
    <w:rsid w:val="003A3337"/>
    <w:rsid w:val="003C45B4"/>
    <w:rsid w:val="003D3415"/>
    <w:rsid w:val="003D3C8F"/>
    <w:rsid w:val="004039F4"/>
    <w:rsid w:val="00410C67"/>
    <w:rsid w:val="004178CF"/>
    <w:rsid w:val="00430BB9"/>
    <w:rsid w:val="004552B1"/>
    <w:rsid w:val="0045622F"/>
    <w:rsid w:val="004838F6"/>
    <w:rsid w:val="004915C7"/>
    <w:rsid w:val="004B3A14"/>
    <w:rsid w:val="004B5F89"/>
    <w:rsid w:val="004C737F"/>
    <w:rsid w:val="004F0B51"/>
    <w:rsid w:val="004F7496"/>
    <w:rsid w:val="0052017A"/>
    <w:rsid w:val="00525A74"/>
    <w:rsid w:val="00566073"/>
    <w:rsid w:val="00570694"/>
    <w:rsid w:val="00592428"/>
    <w:rsid w:val="00596B4E"/>
    <w:rsid w:val="0060046B"/>
    <w:rsid w:val="006337C6"/>
    <w:rsid w:val="00651E21"/>
    <w:rsid w:val="006716FA"/>
    <w:rsid w:val="00677E04"/>
    <w:rsid w:val="00684393"/>
    <w:rsid w:val="006A7CCB"/>
    <w:rsid w:val="006B1E2D"/>
    <w:rsid w:val="00700E75"/>
    <w:rsid w:val="00710767"/>
    <w:rsid w:val="00711CF2"/>
    <w:rsid w:val="00717009"/>
    <w:rsid w:val="00766D14"/>
    <w:rsid w:val="00770C0B"/>
    <w:rsid w:val="00773965"/>
    <w:rsid w:val="0078223F"/>
    <w:rsid w:val="00794DFB"/>
    <w:rsid w:val="007B3635"/>
    <w:rsid w:val="007D3774"/>
    <w:rsid w:val="007F4345"/>
    <w:rsid w:val="00800DC3"/>
    <w:rsid w:val="008100BC"/>
    <w:rsid w:val="008268B4"/>
    <w:rsid w:val="00852C18"/>
    <w:rsid w:val="008546CD"/>
    <w:rsid w:val="00860AFE"/>
    <w:rsid w:val="00870F53"/>
    <w:rsid w:val="008840B2"/>
    <w:rsid w:val="008911FB"/>
    <w:rsid w:val="008B66DB"/>
    <w:rsid w:val="008D2672"/>
    <w:rsid w:val="008D3721"/>
    <w:rsid w:val="008D5587"/>
    <w:rsid w:val="008F710F"/>
    <w:rsid w:val="0090434B"/>
    <w:rsid w:val="0093546E"/>
    <w:rsid w:val="009474C9"/>
    <w:rsid w:val="00955C95"/>
    <w:rsid w:val="00957174"/>
    <w:rsid w:val="00977625"/>
    <w:rsid w:val="009B15CF"/>
    <w:rsid w:val="009D606C"/>
    <w:rsid w:val="009E2F46"/>
    <w:rsid w:val="009F0847"/>
    <w:rsid w:val="00A16E0D"/>
    <w:rsid w:val="00A27669"/>
    <w:rsid w:val="00A34CA2"/>
    <w:rsid w:val="00A4292D"/>
    <w:rsid w:val="00A4333C"/>
    <w:rsid w:val="00A454B4"/>
    <w:rsid w:val="00A51CFB"/>
    <w:rsid w:val="00A617AF"/>
    <w:rsid w:val="00A644DF"/>
    <w:rsid w:val="00A84AE4"/>
    <w:rsid w:val="00A850CB"/>
    <w:rsid w:val="00A94651"/>
    <w:rsid w:val="00AC2738"/>
    <w:rsid w:val="00AE5C6C"/>
    <w:rsid w:val="00AF3291"/>
    <w:rsid w:val="00B21ADE"/>
    <w:rsid w:val="00B52B93"/>
    <w:rsid w:val="00B52CB3"/>
    <w:rsid w:val="00B67101"/>
    <w:rsid w:val="00B83621"/>
    <w:rsid w:val="00B94C1C"/>
    <w:rsid w:val="00BA6F2F"/>
    <w:rsid w:val="00BE0F6E"/>
    <w:rsid w:val="00BF2730"/>
    <w:rsid w:val="00C025CA"/>
    <w:rsid w:val="00C20227"/>
    <w:rsid w:val="00C44E65"/>
    <w:rsid w:val="00C459BB"/>
    <w:rsid w:val="00C60D23"/>
    <w:rsid w:val="00C63F96"/>
    <w:rsid w:val="00C665E0"/>
    <w:rsid w:val="00C85488"/>
    <w:rsid w:val="00CA492C"/>
    <w:rsid w:val="00CE1DF9"/>
    <w:rsid w:val="00D41B35"/>
    <w:rsid w:val="00D44342"/>
    <w:rsid w:val="00D66C4E"/>
    <w:rsid w:val="00D76ED1"/>
    <w:rsid w:val="00DC7E90"/>
    <w:rsid w:val="00E06DF5"/>
    <w:rsid w:val="00E079CB"/>
    <w:rsid w:val="00E35D61"/>
    <w:rsid w:val="00E474B0"/>
    <w:rsid w:val="00E530C9"/>
    <w:rsid w:val="00E56183"/>
    <w:rsid w:val="00E600CC"/>
    <w:rsid w:val="00E64765"/>
    <w:rsid w:val="00E6618A"/>
    <w:rsid w:val="00E961E3"/>
    <w:rsid w:val="00EB11FE"/>
    <w:rsid w:val="00EB7EC3"/>
    <w:rsid w:val="00ED3D3A"/>
    <w:rsid w:val="00ED7BD5"/>
    <w:rsid w:val="00EE200C"/>
    <w:rsid w:val="00EF0E6A"/>
    <w:rsid w:val="00EF5D58"/>
    <w:rsid w:val="00F02AFE"/>
    <w:rsid w:val="00F05A9B"/>
    <w:rsid w:val="00F05EA7"/>
    <w:rsid w:val="00F1365A"/>
    <w:rsid w:val="00F1634D"/>
    <w:rsid w:val="00F35473"/>
    <w:rsid w:val="00F4777A"/>
    <w:rsid w:val="00F66CA7"/>
    <w:rsid w:val="00FA65F8"/>
    <w:rsid w:val="00FA7BCD"/>
    <w:rsid w:val="00FB1832"/>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38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rFonts w:ascii="Times New Roman Italic" w:hAnsi="Times New Roman Italic"/>
      <w:i/>
      <w:szCs w:val="22"/>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4"/>
      </w:numPr>
      <w:tabs>
        <w:tab w:val="left" w:pos="720"/>
        <w:tab w:val="left" w:pos="1440"/>
        <w:tab w:val="left" w:pos="1800"/>
      </w:tabs>
      <w:spacing w:after="2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n"/>
    <w:basedOn w:val="Normal"/>
    <w:semiHidden/>
    <w:pPr>
      <w:tabs>
        <w:tab w:val="left" w:pos="274"/>
        <w:tab w:val="left" w:pos="360"/>
        <w:tab w:val="left" w:pos="720"/>
        <w:tab w:val="left" w:pos="1440"/>
        <w:tab w:val="left" w:pos="2160"/>
      </w:tabs>
      <w:spacing w:after="120"/>
    </w:pPr>
    <w:rPr>
      <w:sz w:val="20"/>
    </w:rPr>
  </w:style>
  <w:style w:type="paragraph" w:customStyle="1" w:styleId="Bullet">
    <w:name w:val="Bullet"/>
    <w:basedOn w:val="Normal"/>
    <w:pPr>
      <w:widowControl w:val="0"/>
      <w:numPr>
        <w:numId w:val="3"/>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rFonts w:ascii="Times New Roman" w:hAnsi="Times New Roman"/>
      <w:sz w:val="20"/>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5"/>
      </w:num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parastyle">
    <w:name w:val="parastyle"/>
    <w:basedOn w:val="Normal"/>
    <w:pPr>
      <w:widowControl w:val="0"/>
      <w:tabs>
        <w:tab w:val="num" w:pos="360"/>
      </w:tabs>
      <w:outlineLvl w:val="0"/>
    </w:pPr>
    <w:rPr>
      <w:snapToGrid w:val="0"/>
      <w:sz w:val="24"/>
    </w:rPr>
  </w:style>
  <w:style w:type="paragraph" w:customStyle="1" w:styleId="Style3">
    <w:name w:val="Style3"/>
    <w:basedOn w:val="ParaNum"/>
    <w:pPr>
      <w:numPr>
        <w:numId w:val="0"/>
      </w:numPr>
      <w:ind w:firstLine="720"/>
    </w:pPr>
  </w:style>
  <w:style w:type="character" w:customStyle="1" w:styleId="Footnote">
    <w:name w:val="Footnote"/>
    <w:rPr>
      <w:rFonts w:ascii="Times New Roman" w:hAnsi="Times New Roman"/>
      <w:noProof w:val="0"/>
      <w:sz w:val="20"/>
      <w:lang w:val="en-US"/>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style>
  <w:style w:type="paragraph" w:styleId="BodyText">
    <w:name w:val="Body Text"/>
    <w:basedOn w:val="Normal"/>
    <w:pPr>
      <w:widowControl w:val="0"/>
      <w:tabs>
        <w:tab w:val="left" w:pos="-1440"/>
        <w:tab w:val="left" w:pos="-720"/>
      </w:tabs>
      <w:suppressAutoHyphens/>
      <w:spacing w:line="227" w:lineRule="auto"/>
      <w:jc w:val="both"/>
    </w:pPr>
    <w:rPr>
      <w:snapToGrid w:val="0"/>
      <w:spacing w:val="-2"/>
      <w:sz w:val="24"/>
    </w:rPr>
  </w:style>
  <w:style w:type="paragraph" w:customStyle="1" w:styleId="Style1">
    <w:name w:val="Style1"/>
    <w:basedOn w:val="Normal"/>
    <w:pPr>
      <w:numPr>
        <w:numId w:val="7"/>
      </w:numPr>
    </w:pPr>
  </w:style>
  <w:style w:type="paragraph" w:customStyle="1" w:styleId="Style2">
    <w:name w:val="Style2"/>
    <w:basedOn w:val="Normal"/>
    <w:pPr>
      <w:numPr>
        <w:numId w:val="6"/>
      </w:numPr>
      <w:jc w:val="both"/>
    </w:pPr>
    <w:rPr>
      <w:b/>
      <w:i/>
    </w:rPr>
  </w:style>
  <w:style w:type="paragraph" w:customStyle="1" w:styleId="Style4">
    <w:name w:val="Style4"/>
    <w:basedOn w:val="Normal"/>
    <w:pPr>
      <w:tabs>
        <w:tab w:val="num" w:pos="1080"/>
      </w:tabs>
      <w:ind w:left="1080" w:hanging="360"/>
      <w:jc w:val="both"/>
    </w:pPr>
    <w:rPr>
      <w:b/>
      <w:i/>
    </w:rPr>
  </w:style>
  <w:style w:type="paragraph" w:styleId="BodyTextIndent">
    <w:name w:val="Body Text Indent"/>
    <w:basedOn w:val="Normal"/>
    <w:pPr>
      <w:spacing w:after="120"/>
      <w:ind w:left="360"/>
    </w:pPr>
  </w:style>
  <w:style w:type="paragraph" w:styleId="BodyTextIndent2">
    <w:name w:val="Body Text Indent 2"/>
    <w:basedOn w:val="Normal"/>
    <w:pPr>
      <w:ind w:left="720" w:hanging="720"/>
    </w:pPr>
  </w:style>
  <w:style w:type="paragraph" w:styleId="BodyTextIndent3">
    <w:name w:val="Body Text Indent 3"/>
    <w:basedOn w:val="Normal"/>
    <w:pPr>
      <w:spacing w:after="120"/>
      <w:ind w:left="360"/>
    </w:pPr>
    <w:rPr>
      <w:sz w:val="16"/>
      <w:szCs w:val="16"/>
    </w:rPr>
  </w:style>
  <w:style w:type="paragraph" w:styleId="Subtitle">
    <w:name w:val="Subtitle"/>
    <w:basedOn w:val="Normal"/>
    <w:qFormat/>
    <w:pPr>
      <w:jc w:val="center"/>
    </w:pPr>
    <w:rPr>
      <w:b/>
      <w:bCs/>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customStyle="1" w:styleId="footnote0">
    <w:name w:val="footnote"/>
    <w:basedOn w:val="DefaultParagraphFont"/>
  </w:style>
  <w:style w:type="paragraph" w:customStyle="1" w:styleId="StyleNumbered">
    <w:name w:val="Style Numbered"/>
    <w:basedOn w:val="Normal"/>
    <w:pPr>
      <w:numPr>
        <w:numId w:val="8"/>
      </w:numPr>
      <w:tabs>
        <w:tab w:val="left" w:pos="720"/>
      </w:tabs>
      <w:suppressAutoHyphens/>
      <w:spacing w:after="22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msoins0">
    <w:name w:val="msoins"/>
    <w:basedOn w:val="DefaultParagraphFont"/>
  </w:style>
  <w:style w:type="table" w:styleId="TableGrid">
    <w:name w:val="Table Grid"/>
    <w:basedOn w:val="TableNormal"/>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Pr>
      <w:rFonts w:ascii="Times New Roman Italic" w:hAnsi="Times New Roman Italic"/>
      <w:i/>
      <w:sz w:val="22"/>
      <w:szCs w:val="22"/>
      <w:lang w:val="en-US" w:eastAsia="en-US" w:bidi="ar-SA"/>
    </w:rPr>
  </w:style>
  <w:style w:type="paragraph" w:customStyle="1" w:styleId="StyleParaNumLeft">
    <w:name w:val="Style ParaNum + Left"/>
    <w:basedOn w:val="ParaNum"/>
    <w:pPr>
      <w:numPr>
        <w:numId w:val="2"/>
      </w:numPr>
      <w:tabs>
        <w:tab w:val="left" w:pos="1080"/>
      </w:tabs>
    </w:pPr>
    <w:rPr>
      <w:snapToGrid w:val="0"/>
      <w:kern w:val="28"/>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
    <w:locked/>
    <w:rsid w:val="004178CF"/>
    <w:rPr>
      <w:sz w:val="22"/>
    </w:rPr>
  </w:style>
  <w:style w:type="paragraph" w:styleId="Revision">
    <w:name w:val="Revision"/>
    <w:hidden/>
    <w:uiPriority w:val="99"/>
    <w:semiHidden/>
    <w:rsid w:val="00AE5C6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rFonts w:ascii="Times New Roman Italic" w:hAnsi="Times New Roman Italic"/>
      <w:i/>
      <w:szCs w:val="22"/>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4"/>
      </w:numPr>
      <w:tabs>
        <w:tab w:val="left" w:pos="720"/>
        <w:tab w:val="left" w:pos="1440"/>
        <w:tab w:val="left" w:pos="1800"/>
      </w:tabs>
      <w:spacing w:after="2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n"/>
    <w:basedOn w:val="Normal"/>
    <w:semiHidden/>
    <w:pPr>
      <w:tabs>
        <w:tab w:val="left" w:pos="274"/>
        <w:tab w:val="left" w:pos="360"/>
        <w:tab w:val="left" w:pos="720"/>
        <w:tab w:val="left" w:pos="1440"/>
        <w:tab w:val="left" w:pos="2160"/>
      </w:tabs>
      <w:spacing w:after="120"/>
    </w:pPr>
    <w:rPr>
      <w:sz w:val="20"/>
    </w:rPr>
  </w:style>
  <w:style w:type="paragraph" w:customStyle="1" w:styleId="Bullet">
    <w:name w:val="Bullet"/>
    <w:basedOn w:val="Normal"/>
    <w:pPr>
      <w:widowControl w:val="0"/>
      <w:numPr>
        <w:numId w:val="3"/>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rFonts w:ascii="Times New Roman" w:hAnsi="Times New Roman"/>
      <w:sz w:val="20"/>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5"/>
      </w:num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parastyle">
    <w:name w:val="parastyle"/>
    <w:basedOn w:val="Normal"/>
    <w:pPr>
      <w:widowControl w:val="0"/>
      <w:tabs>
        <w:tab w:val="num" w:pos="360"/>
      </w:tabs>
      <w:outlineLvl w:val="0"/>
    </w:pPr>
    <w:rPr>
      <w:snapToGrid w:val="0"/>
      <w:sz w:val="24"/>
    </w:rPr>
  </w:style>
  <w:style w:type="paragraph" w:customStyle="1" w:styleId="Style3">
    <w:name w:val="Style3"/>
    <w:basedOn w:val="ParaNum"/>
    <w:pPr>
      <w:numPr>
        <w:numId w:val="0"/>
      </w:numPr>
      <w:ind w:firstLine="720"/>
    </w:pPr>
  </w:style>
  <w:style w:type="character" w:customStyle="1" w:styleId="Footnote">
    <w:name w:val="Footnote"/>
    <w:rPr>
      <w:rFonts w:ascii="Times New Roman" w:hAnsi="Times New Roman"/>
      <w:noProof w:val="0"/>
      <w:sz w:val="20"/>
      <w:lang w:val="en-US"/>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style>
  <w:style w:type="paragraph" w:styleId="BodyText">
    <w:name w:val="Body Text"/>
    <w:basedOn w:val="Normal"/>
    <w:pPr>
      <w:widowControl w:val="0"/>
      <w:tabs>
        <w:tab w:val="left" w:pos="-1440"/>
        <w:tab w:val="left" w:pos="-720"/>
      </w:tabs>
      <w:suppressAutoHyphens/>
      <w:spacing w:line="227" w:lineRule="auto"/>
      <w:jc w:val="both"/>
    </w:pPr>
    <w:rPr>
      <w:snapToGrid w:val="0"/>
      <w:spacing w:val="-2"/>
      <w:sz w:val="24"/>
    </w:rPr>
  </w:style>
  <w:style w:type="paragraph" w:customStyle="1" w:styleId="Style1">
    <w:name w:val="Style1"/>
    <w:basedOn w:val="Normal"/>
    <w:pPr>
      <w:numPr>
        <w:numId w:val="7"/>
      </w:numPr>
    </w:pPr>
  </w:style>
  <w:style w:type="paragraph" w:customStyle="1" w:styleId="Style2">
    <w:name w:val="Style2"/>
    <w:basedOn w:val="Normal"/>
    <w:pPr>
      <w:numPr>
        <w:numId w:val="6"/>
      </w:numPr>
      <w:jc w:val="both"/>
    </w:pPr>
    <w:rPr>
      <w:b/>
      <w:i/>
    </w:rPr>
  </w:style>
  <w:style w:type="paragraph" w:customStyle="1" w:styleId="Style4">
    <w:name w:val="Style4"/>
    <w:basedOn w:val="Normal"/>
    <w:pPr>
      <w:tabs>
        <w:tab w:val="num" w:pos="1080"/>
      </w:tabs>
      <w:ind w:left="1080" w:hanging="360"/>
      <w:jc w:val="both"/>
    </w:pPr>
    <w:rPr>
      <w:b/>
      <w:i/>
    </w:rPr>
  </w:style>
  <w:style w:type="paragraph" w:styleId="BodyTextIndent">
    <w:name w:val="Body Text Indent"/>
    <w:basedOn w:val="Normal"/>
    <w:pPr>
      <w:spacing w:after="120"/>
      <w:ind w:left="360"/>
    </w:pPr>
  </w:style>
  <w:style w:type="paragraph" w:styleId="BodyTextIndent2">
    <w:name w:val="Body Text Indent 2"/>
    <w:basedOn w:val="Normal"/>
    <w:pPr>
      <w:ind w:left="720" w:hanging="720"/>
    </w:pPr>
  </w:style>
  <w:style w:type="paragraph" w:styleId="BodyTextIndent3">
    <w:name w:val="Body Text Indent 3"/>
    <w:basedOn w:val="Normal"/>
    <w:pPr>
      <w:spacing w:after="120"/>
      <w:ind w:left="360"/>
    </w:pPr>
    <w:rPr>
      <w:sz w:val="16"/>
      <w:szCs w:val="16"/>
    </w:rPr>
  </w:style>
  <w:style w:type="paragraph" w:styleId="Subtitle">
    <w:name w:val="Subtitle"/>
    <w:basedOn w:val="Normal"/>
    <w:qFormat/>
    <w:pPr>
      <w:jc w:val="center"/>
    </w:pPr>
    <w:rPr>
      <w:b/>
      <w:bCs/>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customStyle="1" w:styleId="footnote0">
    <w:name w:val="footnote"/>
    <w:basedOn w:val="DefaultParagraphFont"/>
  </w:style>
  <w:style w:type="paragraph" w:customStyle="1" w:styleId="StyleNumbered">
    <w:name w:val="Style Numbered"/>
    <w:basedOn w:val="Normal"/>
    <w:pPr>
      <w:numPr>
        <w:numId w:val="8"/>
      </w:numPr>
      <w:tabs>
        <w:tab w:val="left" w:pos="720"/>
      </w:tabs>
      <w:suppressAutoHyphens/>
      <w:spacing w:after="22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msoins0">
    <w:name w:val="msoins"/>
    <w:basedOn w:val="DefaultParagraphFont"/>
  </w:style>
  <w:style w:type="table" w:styleId="TableGrid">
    <w:name w:val="Table Grid"/>
    <w:basedOn w:val="TableNormal"/>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Pr>
      <w:rFonts w:ascii="Times New Roman Italic" w:hAnsi="Times New Roman Italic"/>
      <w:i/>
      <w:sz w:val="22"/>
      <w:szCs w:val="22"/>
      <w:lang w:val="en-US" w:eastAsia="en-US" w:bidi="ar-SA"/>
    </w:rPr>
  </w:style>
  <w:style w:type="paragraph" w:customStyle="1" w:styleId="StyleParaNumLeft">
    <w:name w:val="Style ParaNum + Left"/>
    <w:basedOn w:val="ParaNum"/>
    <w:pPr>
      <w:numPr>
        <w:numId w:val="2"/>
      </w:numPr>
      <w:tabs>
        <w:tab w:val="left" w:pos="1080"/>
      </w:tabs>
    </w:pPr>
    <w:rPr>
      <w:snapToGrid w:val="0"/>
      <w:kern w:val="28"/>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
    <w:locked/>
    <w:rsid w:val="004178CF"/>
    <w:rPr>
      <w:sz w:val="22"/>
    </w:rPr>
  </w:style>
  <w:style w:type="paragraph" w:styleId="Revision">
    <w:name w:val="Revision"/>
    <w:hidden/>
    <w:uiPriority w:val="99"/>
    <w:semiHidden/>
    <w:rsid w:val="00AE5C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2009-09-30T13:41:00Z</cp:lastPrinted>
  <dcterms:created xsi:type="dcterms:W3CDTF">2015-08-12T17:12:00Z</dcterms:created>
  <dcterms:modified xsi:type="dcterms:W3CDTF">2015-08-12T17:12:00Z</dcterms:modified>
  <cp:category> </cp:category>
  <cp:contentStatus> </cp:contentStatus>
</cp:coreProperties>
</file>