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Default="00E33263">
      <w:pPr>
        <w:jc w:val="right"/>
        <w:rPr>
          <w:sz w:val="24"/>
        </w:rPr>
      </w:pPr>
      <w:r>
        <w:rPr>
          <w:sz w:val="24"/>
        </w:rPr>
        <w:lastRenderedPageBreak/>
        <w:t>DA 1</w:t>
      </w:r>
      <w:r w:rsidR="00DE5772">
        <w:rPr>
          <w:sz w:val="24"/>
        </w:rPr>
        <w:t>5</w:t>
      </w:r>
      <w:r>
        <w:rPr>
          <w:sz w:val="24"/>
        </w:rPr>
        <w:t>-</w:t>
      </w:r>
      <w:r w:rsidR="00700044">
        <w:rPr>
          <w:sz w:val="24"/>
        </w:rPr>
        <w:t>928</w:t>
      </w:r>
    </w:p>
    <w:p w:rsidR="00602577" w:rsidRDefault="006E0598">
      <w:pPr>
        <w:spacing w:before="60"/>
        <w:jc w:val="right"/>
        <w:rPr>
          <w:sz w:val="24"/>
        </w:rPr>
      </w:pPr>
      <w:r>
        <w:rPr>
          <w:sz w:val="24"/>
        </w:rPr>
        <w:t xml:space="preserve">Released:  </w:t>
      </w:r>
      <w:r w:rsidR="00DF369C">
        <w:rPr>
          <w:sz w:val="24"/>
        </w:rPr>
        <w:t>August 18</w:t>
      </w:r>
      <w:r>
        <w:rPr>
          <w:sz w:val="24"/>
        </w:rPr>
        <w:t>, 201</w:t>
      </w:r>
      <w:r w:rsidR="00DE5772">
        <w:rPr>
          <w:sz w:val="24"/>
        </w:rPr>
        <w:t>5</w:t>
      </w:r>
    </w:p>
    <w:p w:rsidR="00602577" w:rsidRDefault="00602577">
      <w:pPr>
        <w:jc w:val="right"/>
        <w:rPr>
          <w:sz w:val="24"/>
        </w:rPr>
      </w:pPr>
    </w:p>
    <w:p w:rsidR="00E33263" w:rsidRDefault="00E33263" w:rsidP="00E33263">
      <w:pPr>
        <w:pStyle w:val="Style1"/>
        <w:rPr>
          <w:sz w:val="24"/>
        </w:rPr>
      </w:pPr>
      <w:r>
        <w:rPr>
          <w:sz w:val="24"/>
        </w:rPr>
        <w:t xml:space="preserve">WIRELESS TELECOMMUNICATION BUREAU SEEKS COMMENT ON </w:t>
      </w:r>
      <w:r w:rsidR="0006189F">
        <w:rPr>
          <w:sz w:val="24"/>
        </w:rPr>
        <w:t xml:space="preserve">REQUESTS OF </w:t>
      </w:r>
      <w:r w:rsidR="00B44A02">
        <w:rPr>
          <w:sz w:val="24"/>
        </w:rPr>
        <w:t>DATAWELL BV</w:t>
      </w:r>
      <w:r w:rsidR="0006189F">
        <w:rPr>
          <w:sz w:val="24"/>
        </w:rPr>
        <w:t xml:space="preserve"> AND MARINE INSTRUMENTS S.A. FOR WAIVERS TO</w:t>
      </w:r>
      <w:r w:rsidR="00141035">
        <w:rPr>
          <w:sz w:val="24"/>
        </w:rPr>
        <w:t xml:space="preserve"> PERMIT CERTIFICATION AND USE OF</w:t>
      </w:r>
      <w:r w:rsidR="0006189F">
        <w:rPr>
          <w:sz w:val="24"/>
        </w:rPr>
        <w:t xml:space="preserve"> </w:t>
      </w:r>
      <w:r w:rsidR="006E189E">
        <w:rPr>
          <w:sz w:val="24"/>
        </w:rPr>
        <w:t xml:space="preserve">HIGH FREQUENCY </w:t>
      </w:r>
      <w:r w:rsidR="0006189F">
        <w:rPr>
          <w:sz w:val="24"/>
        </w:rPr>
        <w:t>RADIO BUOYS</w:t>
      </w:r>
    </w:p>
    <w:p w:rsidR="00E33263" w:rsidRDefault="00E33263" w:rsidP="00E33263">
      <w:pPr>
        <w:pStyle w:val="BodyText"/>
      </w:pPr>
    </w:p>
    <w:p w:rsidR="00736A6D" w:rsidRPr="00736A6D" w:rsidRDefault="00736A6D" w:rsidP="00736A6D">
      <w:pPr>
        <w:pStyle w:val="BodyText"/>
        <w:rPr>
          <w:sz w:val="24"/>
          <w:szCs w:val="24"/>
        </w:rPr>
      </w:pPr>
      <w:r w:rsidRPr="00736A6D">
        <w:rPr>
          <w:sz w:val="24"/>
          <w:szCs w:val="24"/>
        </w:rPr>
        <w:t>WT Docke</w:t>
      </w:r>
      <w:r>
        <w:rPr>
          <w:sz w:val="24"/>
          <w:szCs w:val="24"/>
        </w:rPr>
        <w:t>t No. 1</w:t>
      </w:r>
      <w:r w:rsidR="00153F05">
        <w:rPr>
          <w:sz w:val="24"/>
          <w:szCs w:val="24"/>
        </w:rPr>
        <w:t>5</w:t>
      </w:r>
      <w:r>
        <w:rPr>
          <w:sz w:val="24"/>
          <w:szCs w:val="24"/>
        </w:rPr>
        <w:t>-</w:t>
      </w:r>
      <w:r w:rsidR="00700044">
        <w:rPr>
          <w:sz w:val="24"/>
          <w:szCs w:val="24"/>
        </w:rPr>
        <w:t>197</w:t>
      </w:r>
    </w:p>
    <w:p w:rsidR="00736A6D" w:rsidRDefault="00736A6D" w:rsidP="00E33263">
      <w:pPr>
        <w:pStyle w:val="BodyText"/>
      </w:pPr>
    </w:p>
    <w:p w:rsidR="00E33263" w:rsidRDefault="00E33263" w:rsidP="00E33263">
      <w:pPr>
        <w:pStyle w:val="BodyText"/>
        <w:jc w:val="left"/>
        <w:rPr>
          <w:sz w:val="22"/>
        </w:rPr>
      </w:pPr>
      <w:r>
        <w:rPr>
          <w:sz w:val="24"/>
        </w:rPr>
        <w:t>Comment Date</w:t>
      </w:r>
      <w:r w:rsidR="006E0598">
        <w:rPr>
          <w:sz w:val="24"/>
        </w:rPr>
        <w:t xml:space="preserve">:  </w:t>
      </w:r>
      <w:r w:rsidR="00DF369C">
        <w:rPr>
          <w:sz w:val="24"/>
        </w:rPr>
        <w:t>September 17</w:t>
      </w:r>
      <w:r w:rsidR="006E0598">
        <w:rPr>
          <w:sz w:val="24"/>
        </w:rPr>
        <w:t>, 201</w:t>
      </w:r>
      <w:r w:rsidR="00363B42">
        <w:rPr>
          <w:sz w:val="24"/>
        </w:rPr>
        <w:t>5</w:t>
      </w:r>
      <w:r>
        <w:rPr>
          <w:sz w:val="24"/>
        </w:rPr>
        <w:tab/>
      </w:r>
      <w:r>
        <w:rPr>
          <w:sz w:val="22"/>
        </w:rPr>
        <w:tab/>
      </w:r>
      <w:r w:rsidR="00D215CF">
        <w:rPr>
          <w:sz w:val="22"/>
        </w:rPr>
        <w:tab/>
      </w:r>
      <w:r>
        <w:rPr>
          <w:sz w:val="22"/>
        </w:rPr>
        <w:t xml:space="preserve">Reply Date: </w:t>
      </w:r>
      <w:r w:rsidR="006E0598">
        <w:rPr>
          <w:sz w:val="22"/>
        </w:rPr>
        <w:t xml:space="preserve"> </w:t>
      </w:r>
      <w:r w:rsidR="00DF369C">
        <w:rPr>
          <w:sz w:val="22"/>
        </w:rPr>
        <w:t>October 2</w:t>
      </w:r>
      <w:r w:rsidR="006E0598">
        <w:rPr>
          <w:sz w:val="22"/>
        </w:rPr>
        <w:t>, 201</w:t>
      </w:r>
      <w:r w:rsidR="00363B42">
        <w:rPr>
          <w:sz w:val="22"/>
        </w:rPr>
        <w:t>5</w:t>
      </w:r>
    </w:p>
    <w:p w:rsidR="00776C0A" w:rsidRDefault="0006189F" w:rsidP="00687DC0">
      <w:pPr>
        <w:spacing w:before="120" w:after="240"/>
        <w:ind w:firstLine="720"/>
      </w:pPr>
      <w:r>
        <w:t xml:space="preserve">By this </w:t>
      </w:r>
      <w:r>
        <w:rPr>
          <w:i/>
        </w:rPr>
        <w:t>Public Notice</w:t>
      </w:r>
      <w:r>
        <w:t xml:space="preserve">, we seek comment on two requests for waiver of the Commission’s rules to permit certification and use of </w:t>
      </w:r>
      <w:r w:rsidR="00DF369C">
        <w:t>high frequency</w:t>
      </w:r>
      <w:r>
        <w:t xml:space="preserve"> radio buoys.  A radio buoy is a marine buoy equipped with a transmitter</w:t>
      </w:r>
      <w:r w:rsidR="00376CBE">
        <w:t xml:space="preserve">, </w:t>
      </w:r>
      <w:r>
        <w:t xml:space="preserve">used for various purposes such as providing navigational data, </w:t>
      </w:r>
      <w:r w:rsidR="00776C0A">
        <w:t xml:space="preserve">marking the location of equipment, or collecting scientific data.  </w:t>
      </w:r>
    </w:p>
    <w:p w:rsidR="00C83124" w:rsidRDefault="00946126" w:rsidP="00C83124">
      <w:pPr>
        <w:spacing w:before="120" w:after="240"/>
        <w:ind w:firstLine="720"/>
      </w:pPr>
      <w:r>
        <w:t xml:space="preserve">On </w:t>
      </w:r>
      <w:r w:rsidR="00776C0A">
        <w:t>April 2</w:t>
      </w:r>
      <w:r w:rsidR="00500F28">
        <w:t>, 2015</w:t>
      </w:r>
      <w:r>
        <w:t xml:space="preserve">, </w:t>
      </w:r>
      <w:r w:rsidR="00776C0A">
        <w:t xml:space="preserve">Coastal Obs Tech Services LLC </w:t>
      </w:r>
      <w:r>
        <w:rPr>
          <w:spacing w:val="-2"/>
        </w:rPr>
        <w:t xml:space="preserve">filed a request </w:t>
      </w:r>
      <w:r w:rsidR="00B44A02">
        <w:rPr>
          <w:spacing w:val="-2"/>
        </w:rPr>
        <w:t xml:space="preserve">on behalf of Datawell BV (Datawell) </w:t>
      </w:r>
      <w:r>
        <w:rPr>
          <w:spacing w:val="-2"/>
        </w:rPr>
        <w:t xml:space="preserve">for </w:t>
      </w:r>
      <w:r w:rsidR="006E189E">
        <w:rPr>
          <w:spacing w:val="-2"/>
        </w:rPr>
        <w:t xml:space="preserve">a </w:t>
      </w:r>
      <w:r>
        <w:rPr>
          <w:spacing w:val="-2"/>
        </w:rPr>
        <w:t xml:space="preserve">waiver </w:t>
      </w:r>
      <w:r>
        <w:t xml:space="preserve">to permit equipment authorization for </w:t>
      </w:r>
      <w:r w:rsidR="00B44A02">
        <w:t>Datawell’s Waverider ocean buoys.</w:t>
      </w:r>
      <w:r w:rsidR="00B44A02">
        <w:rPr>
          <w:rStyle w:val="FootnoteReference"/>
        </w:rPr>
        <w:footnoteReference w:id="1"/>
      </w:r>
      <w:r w:rsidR="00B44A02">
        <w:t xml:space="preserve">  </w:t>
      </w:r>
      <w:r w:rsidR="006E189E">
        <w:t>The request</w:t>
      </w:r>
      <w:r w:rsidR="00B44A02">
        <w:t xml:space="preserve"> states that the Waverider is used by oceanographic and meteorological agencies worldwide to collect information regarding wave </w:t>
      </w:r>
      <w:r w:rsidR="00AA5FF3">
        <w:t>motion</w:t>
      </w:r>
      <w:r w:rsidR="00B44A02">
        <w:t xml:space="preserve">.  </w:t>
      </w:r>
      <w:r w:rsidR="00C83124">
        <w:rPr>
          <w:spacing w:val="-2"/>
        </w:rPr>
        <w:t>Section</w:t>
      </w:r>
      <w:r w:rsidR="00C83124">
        <w:t xml:space="preserve"> 90.248 of the Commission's Rules </w:t>
      </w:r>
      <w:r w:rsidR="00B44A02">
        <w:t xml:space="preserve">provides that the frequency bands 40.66-40.70 MHz and 216-220 MHz may be used </w:t>
      </w:r>
      <w:r w:rsidR="00C83124">
        <w:t xml:space="preserve">on a secondary basis </w:t>
      </w:r>
      <w:r w:rsidR="00B44A02">
        <w:t>for telemetry of scientific data from ocean buoys</w:t>
      </w:r>
      <w:r w:rsidR="006E189E">
        <w:t>.</w:t>
      </w:r>
      <w:r w:rsidR="00B44A02">
        <w:rPr>
          <w:rStyle w:val="FootnoteReference"/>
        </w:rPr>
        <w:footnoteReference w:id="2"/>
      </w:r>
      <w:r w:rsidR="00B44A02">
        <w:t xml:space="preserve"> </w:t>
      </w:r>
      <w:r w:rsidR="006E189E">
        <w:t xml:space="preserve"> Because t</w:t>
      </w:r>
      <w:r w:rsidR="00AA5FF3">
        <w:t>he Waverider operates on 29 MHz</w:t>
      </w:r>
      <w:r w:rsidR="006E189E">
        <w:t xml:space="preserve"> frequencies</w:t>
      </w:r>
      <w:r w:rsidR="00376CBE">
        <w:rPr>
          <w:rStyle w:val="FootnoteReference"/>
        </w:rPr>
        <w:footnoteReference w:id="3"/>
      </w:r>
      <w:r w:rsidR="00C83124">
        <w:t xml:space="preserve"> i</w:t>
      </w:r>
      <w:r w:rsidR="006E189E">
        <w:t xml:space="preserve">n the </w:t>
      </w:r>
      <w:r w:rsidR="00AA5FF3">
        <w:t>Part 90 Industrial/Business Pool</w:t>
      </w:r>
      <w:r w:rsidR="006E189E">
        <w:t>,</w:t>
      </w:r>
      <w:r w:rsidR="00AA5FF3">
        <w:rPr>
          <w:rStyle w:val="FootnoteReference"/>
        </w:rPr>
        <w:footnoteReference w:id="4"/>
      </w:r>
      <w:r w:rsidR="00AA5FF3">
        <w:t xml:space="preserve"> </w:t>
      </w:r>
      <w:r w:rsidR="00C83124">
        <w:t>Datawell seeks a waiver of Section 90.248.</w:t>
      </w:r>
    </w:p>
    <w:p w:rsidR="00E708D1" w:rsidRDefault="00B37244" w:rsidP="00364E03">
      <w:pPr>
        <w:spacing w:before="120" w:after="240"/>
        <w:ind w:firstLine="720"/>
      </w:pPr>
      <w:r>
        <w:t xml:space="preserve">On July 1, 2015, Marine Instruments S.A. (Marine Instruments) filed a request for waiver to permit equipment authorization for its M2P radio buoy, which </w:t>
      </w:r>
      <w:r w:rsidR="00727C84">
        <w:t xml:space="preserve">transmits the geographic coordinates of </w:t>
      </w:r>
      <w:r>
        <w:t>gear used in high seas fishing operations in order to facilitate safe and efficient gear recovery, and reduce navigational risk and ghost fishing.</w:t>
      </w:r>
      <w:r>
        <w:rPr>
          <w:rStyle w:val="FootnoteReference"/>
        </w:rPr>
        <w:footnoteReference w:id="5"/>
      </w:r>
      <w:r w:rsidR="00070CF7">
        <w:t xml:space="preserve">  </w:t>
      </w:r>
      <w:r w:rsidR="00141035">
        <w:t>It</w:t>
      </w:r>
      <w:r w:rsidR="00376CBE">
        <w:t xml:space="preserve"> states that the M2P is approved by the European Community for </w:t>
      </w:r>
      <w:r w:rsidR="00376CBE">
        <w:lastRenderedPageBreak/>
        <w:t>use on European vessels.</w:t>
      </w:r>
      <w:r w:rsidR="00DE5A81">
        <w:t xml:space="preserve">  </w:t>
      </w:r>
      <w:r w:rsidR="00C007AF">
        <w:t>The M2P operates on seven 26 MHz frequencies.</w:t>
      </w:r>
      <w:r w:rsidR="00C007AF">
        <w:rPr>
          <w:rStyle w:val="FootnoteReference"/>
        </w:rPr>
        <w:footnoteReference w:id="6"/>
      </w:r>
      <w:r w:rsidR="00C007AF">
        <w:t xml:space="preserve">  </w:t>
      </w:r>
      <w:r w:rsidR="00DE5A81">
        <w:t>Marine Instruments requests a waiver of Section 80.373(c) of the Commission’s Rules, which authorizes use of the 2000-27500 kHz bands for ship-to-ship and ship-to-coast business and operational communications.</w:t>
      </w:r>
      <w:r w:rsidR="00DE5A81">
        <w:rPr>
          <w:rStyle w:val="FootnoteReference"/>
        </w:rPr>
        <w:footnoteReference w:id="7"/>
      </w:r>
    </w:p>
    <w:p w:rsidR="00B83EBC" w:rsidRDefault="00B83EBC" w:rsidP="00C83124">
      <w:pPr>
        <w:spacing w:before="120" w:after="240"/>
        <w:ind w:firstLine="720"/>
      </w:pPr>
      <w:r>
        <w:rPr>
          <w:spacing w:val="-2"/>
        </w:rPr>
        <w:t>We seek comment on the waiver request</w:t>
      </w:r>
      <w:r w:rsidR="00C83124">
        <w:rPr>
          <w:spacing w:val="-2"/>
        </w:rPr>
        <w:t>s</w:t>
      </w:r>
      <w:r w:rsidR="00F77B78">
        <w:rPr>
          <w:spacing w:val="-2"/>
        </w:rPr>
        <w:t xml:space="preserve">.  </w:t>
      </w:r>
    </w:p>
    <w:p w:rsidR="00736A6D" w:rsidRDefault="00736A6D" w:rsidP="00736A6D">
      <w:pPr>
        <w:pStyle w:val="BodyText2"/>
        <w:spacing w:line="240" w:lineRule="auto"/>
        <w:jc w:val="left"/>
        <w:rPr>
          <w:b/>
        </w:rPr>
      </w:pPr>
      <w:r>
        <w:rPr>
          <w:b/>
        </w:rPr>
        <w:t>Procedural Matters</w:t>
      </w:r>
    </w:p>
    <w:p w:rsidR="00736A6D" w:rsidRDefault="00736A6D" w:rsidP="00736A6D">
      <w:pPr>
        <w:tabs>
          <w:tab w:val="left" w:pos="-720"/>
        </w:tabs>
        <w:suppressAutoHyphens/>
        <w:spacing w:line="236" w:lineRule="exact"/>
      </w:pPr>
      <w:r>
        <w:tab/>
        <w:t xml:space="preserve">Interested parties may file comments and reply comments in response to </w:t>
      </w:r>
      <w:r w:rsidR="00141035">
        <w:t>ei</w:t>
      </w:r>
      <w:r>
        <w:t>the</w:t>
      </w:r>
      <w:r w:rsidR="00141035">
        <w:t>r or both</w:t>
      </w:r>
      <w:r>
        <w:t xml:space="preserve"> waiver request</w:t>
      </w:r>
      <w:r w:rsidR="00141035">
        <w:t>s</w:t>
      </w:r>
      <w:r>
        <w:t xml:space="preserve"> on or before the dates listed on the first page of this </w:t>
      </w:r>
      <w:r>
        <w:rPr>
          <w:i/>
        </w:rPr>
        <w:t>Public Notice</w:t>
      </w:r>
      <w:r>
        <w:t xml:space="preserve">.  All pleadings must reference WT Docket </w:t>
      </w:r>
      <w:r w:rsidRPr="00BD08E9">
        <w:t>No. 1</w:t>
      </w:r>
      <w:r w:rsidR="009566E5">
        <w:t>5</w:t>
      </w:r>
      <w:r w:rsidR="00687DC0" w:rsidRPr="00BD08E9">
        <w:t>-</w:t>
      </w:r>
      <w:r w:rsidR="00700044">
        <w:t>197</w:t>
      </w:r>
      <w:r w:rsidRPr="00BD08E9">
        <w:t>.</w:t>
      </w:r>
      <w:r>
        <w:t xml:space="preserve">  Parties may file comments using (1) the Commission’s Electronic Comment Filing System (ECFS), (2) the Federal Government’s eRulemaking Portal, or (3) by filing paper copies.</w:t>
      </w:r>
      <w:r>
        <w:rPr>
          <w:vertAlign w:val="superscript"/>
        </w:rPr>
        <w:footnoteReference w:id="8"/>
      </w:r>
    </w:p>
    <w:p w:rsidR="00736A6D" w:rsidRDefault="00736A6D" w:rsidP="00736A6D">
      <w:pPr>
        <w:tabs>
          <w:tab w:val="left" w:pos="-720"/>
        </w:tabs>
        <w:suppressAutoHyphens/>
        <w:spacing w:line="236" w:lineRule="exact"/>
      </w:pPr>
    </w:p>
    <w:p w:rsidR="00736A6D" w:rsidRDefault="00736A6D" w:rsidP="00736A6D">
      <w:pPr>
        <w:numPr>
          <w:ilvl w:val="0"/>
          <w:numId w:val="13"/>
        </w:numPr>
        <w:tabs>
          <w:tab w:val="left" w:pos="-720"/>
        </w:tabs>
        <w:suppressAutoHyphens/>
        <w:spacing w:line="236" w:lineRule="exact"/>
      </w:pPr>
      <w:r>
        <w:t>Electronic Filers:  File comments electronically using the Internet by accessing the ECFS:  http://www.fcc.gov/cgb/ecfs/ or the Federal eRulemaking Portal:  http://www.regulations.gov.  Filers should follow the instructions provided on the website for submitting comments.</w:t>
      </w:r>
    </w:p>
    <w:p w:rsidR="00736A6D" w:rsidRDefault="00736A6D" w:rsidP="00736A6D">
      <w:pPr>
        <w:tabs>
          <w:tab w:val="left" w:pos="-720"/>
        </w:tabs>
        <w:suppressAutoHyphens/>
        <w:spacing w:line="236" w:lineRule="exact"/>
        <w:ind w:left="360"/>
      </w:pPr>
    </w:p>
    <w:p w:rsidR="00736A6D" w:rsidRDefault="00736A6D" w:rsidP="00736A6D">
      <w:pPr>
        <w:numPr>
          <w:ilvl w:val="0"/>
          <w:numId w:val="13"/>
        </w:numPr>
        <w:tabs>
          <w:tab w:val="left" w:pos="-720"/>
        </w:tabs>
        <w:suppressAutoHyphens/>
        <w:spacing w:line="236" w:lineRule="exact"/>
      </w:pPr>
      <w:r>
        <w:t>In completing the transmittal screen, filers should include their full name, U.S. Postal Service mailing address, and the applicable docket or rulemaking number.  Parties may also submit an electronic comment by Internet e-mail. To get filing instructions, filers should send an e-mail to ecfs@fcc.gov, and include the following words in the body of the message, “get form.”  A sample form and directions will be sent in response.</w:t>
      </w:r>
    </w:p>
    <w:p w:rsidR="00736A6D" w:rsidRDefault="00736A6D" w:rsidP="00736A6D">
      <w:pPr>
        <w:tabs>
          <w:tab w:val="left" w:pos="-720"/>
        </w:tabs>
        <w:suppressAutoHyphens/>
        <w:spacing w:line="236" w:lineRule="exact"/>
        <w:ind w:left="360"/>
      </w:pPr>
    </w:p>
    <w:p w:rsidR="00736A6D" w:rsidRDefault="00736A6D" w:rsidP="00736A6D">
      <w:pPr>
        <w:numPr>
          <w:ilvl w:val="0"/>
          <w:numId w:val="14"/>
        </w:numPr>
        <w:tabs>
          <w:tab w:val="left" w:pos="-720"/>
        </w:tabs>
        <w:suppressAutoHyphens/>
        <w:spacing w:line="236" w:lineRule="exact"/>
      </w:pPr>
      <w:r>
        <w:t xml:space="preserve">Paper Filers:  Parties who choose to file by paper must file an original and two copies of each filing.  </w:t>
      </w:r>
    </w:p>
    <w:p w:rsidR="00736A6D" w:rsidRDefault="00736A6D" w:rsidP="00736A6D">
      <w:pPr>
        <w:tabs>
          <w:tab w:val="left" w:pos="-720"/>
        </w:tabs>
        <w:suppressAutoHyphens/>
        <w:spacing w:line="236" w:lineRule="exact"/>
        <w:ind w:left="360"/>
      </w:pPr>
    </w:p>
    <w:p w:rsidR="00736A6D" w:rsidRDefault="00736A6D" w:rsidP="00736A6D">
      <w:pPr>
        <w:tabs>
          <w:tab w:val="left" w:pos="-720"/>
        </w:tabs>
        <w:suppressAutoHyphens/>
        <w:spacing w:line="236" w:lineRule="exact"/>
      </w:pPr>
      <w:r>
        <w:tab/>
        <w:t>Send filings by hand or messenger delivery, by commercial overnight courier, or by first-class or overnight U.S. Postal Service mail.  Address filings to the Commission’s Secretary, Office of the Secretary, Federal Communications Commission.</w:t>
      </w:r>
    </w:p>
    <w:p w:rsidR="00736A6D" w:rsidRDefault="00736A6D" w:rsidP="00736A6D">
      <w:pPr>
        <w:tabs>
          <w:tab w:val="left" w:pos="-720"/>
        </w:tabs>
        <w:suppressAutoHyphens/>
        <w:spacing w:line="236" w:lineRule="exact"/>
      </w:pPr>
    </w:p>
    <w:p w:rsidR="00736A6D" w:rsidRDefault="00736A6D" w:rsidP="00736A6D">
      <w:pPr>
        <w:numPr>
          <w:ilvl w:val="0"/>
          <w:numId w:val="15"/>
        </w:numPr>
        <w:tabs>
          <w:tab w:val="left" w:pos="-720"/>
        </w:tabs>
        <w:suppressAutoHyphens/>
        <w:spacing w:line="236" w:lineRule="exact"/>
      </w:pPr>
      <w:r>
        <w:t>Deliver hand-delivered or messenger-delivered paper filings to FCC Headquarters at 445 12</w:t>
      </w:r>
      <w:r>
        <w:rPr>
          <w:vertAlign w:val="superscript"/>
        </w:rPr>
        <w:t>th</w:t>
      </w:r>
      <w:r>
        <w:t xml:space="preserve"> St., SW, Room TW-A325, Washington, DC 20554 between 8:00 AM and 7:00 PM.  Use rubber bands or fasteners to hold deliveries together.  Dispose of all envelopes before entering the building.</w:t>
      </w:r>
    </w:p>
    <w:p w:rsidR="00736A6D" w:rsidRDefault="00736A6D" w:rsidP="00736A6D">
      <w:pPr>
        <w:tabs>
          <w:tab w:val="left" w:pos="-720"/>
        </w:tabs>
        <w:suppressAutoHyphens/>
        <w:spacing w:line="236" w:lineRule="exact"/>
        <w:ind w:left="1080"/>
      </w:pPr>
    </w:p>
    <w:p w:rsidR="00736A6D" w:rsidRDefault="00736A6D" w:rsidP="00736A6D">
      <w:pPr>
        <w:numPr>
          <w:ilvl w:val="0"/>
          <w:numId w:val="15"/>
        </w:numPr>
        <w:tabs>
          <w:tab w:val="left" w:pos="-720"/>
        </w:tabs>
        <w:suppressAutoHyphens/>
        <w:spacing w:line="236" w:lineRule="exact"/>
      </w:pPr>
      <w:r>
        <w:t>Send commercial overnight mail (other than U.S. Postal Service Express Mail and Priority Mail) to 9300 East Hampton Drive, Capitol Heights, MD 20743.</w:t>
      </w:r>
    </w:p>
    <w:p w:rsidR="00736A6D" w:rsidRDefault="00736A6D" w:rsidP="00736A6D">
      <w:pPr>
        <w:tabs>
          <w:tab w:val="left" w:pos="-720"/>
        </w:tabs>
        <w:suppressAutoHyphens/>
        <w:spacing w:line="236" w:lineRule="exact"/>
      </w:pPr>
    </w:p>
    <w:p w:rsidR="00736A6D" w:rsidRDefault="00736A6D" w:rsidP="00736A6D">
      <w:pPr>
        <w:numPr>
          <w:ilvl w:val="0"/>
          <w:numId w:val="15"/>
        </w:numPr>
        <w:tabs>
          <w:tab w:val="left" w:pos="-720"/>
        </w:tabs>
        <w:suppressAutoHyphens/>
        <w:spacing w:line="236" w:lineRule="exact"/>
      </w:pPr>
      <w:r>
        <w:t>Send U.S. Postal Service first-class, Express, and Priority mail to 445 12</w:t>
      </w:r>
      <w:r>
        <w:rPr>
          <w:vertAlign w:val="superscript"/>
        </w:rPr>
        <w:t>th</w:t>
      </w:r>
      <w:r>
        <w:t xml:space="preserve"> Street, SW, Washington DC 20554.</w:t>
      </w:r>
    </w:p>
    <w:p w:rsidR="00736A6D" w:rsidRDefault="00736A6D" w:rsidP="00736A6D">
      <w:pPr>
        <w:pStyle w:val="BodyText2"/>
        <w:spacing w:line="228" w:lineRule="auto"/>
        <w:ind w:firstLine="720"/>
        <w:jc w:val="left"/>
      </w:pPr>
    </w:p>
    <w:p w:rsidR="00736A6D" w:rsidRDefault="00736A6D" w:rsidP="00736A6D">
      <w:pPr>
        <w:pStyle w:val="BodyText2"/>
        <w:spacing w:line="228" w:lineRule="auto"/>
        <w:ind w:firstLine="720"/>
        <w:jc w:val="left"/>
      </w:pPr>
      <w:r>
        <w:t xml:space="preserve">Parties are requested to send one copy of their comments and reply comments to Best Copy and Printing, Inc., Portals II, 445 12th Street, S.W., Room CY-B402, Washington, D.C. 20554, (800) 378-3160, e-mail </w:t>
      </w:r>
      <w:hyperlink r:id="rId15" w:history="1">
        <w:r>
          <w:rPr>
            <w:rStyle w:val="Hyperlink"/>
          </w:rPr>
          <w:t>FCC@BCPIWEB.com</w:t>
        </w:r>
      </w:hyperlink>
      <w:r>
        <w:t>.</w:t>
      </w:r>
    </w:p>
    <w:p w:rsidR="00736A6D" w:rsidRDefault="00736A6D" w:rsidP="00736A6D">
      <w:pPr>
        <w:pStyle w:val="BodyText2"/>
        <w:spacing w:line="228" w:lineRule="auto"/>
        <w:ind w:firstLine="720"/>
        <w:jc w:val="left"/>
      </w:pPr>
      <w:r>
        <w:rPr>
          <w:color w:val="000000"/>
        </w:rPr>
        <w:t>The request</w:t>
      </w:r>
      <w:r w:rsidR="00141035">
        <w:rPr>
          <w:color w:val="000000"/>
        </w:rPr>
        <w:t>s</w:t>
      </w:r>
      <w:r>
        <w:rPr>
          <w:color w:val="000000"/>
        </w:rPr>
        <w:t xml:space="preserve">, and comments and reply comments filed in response to this </w:t>
      </w:r>
      <w:r>
        <w:rPr>
          <w:i/>
          <w:color w:val="000000"/>
        </w:rPr>
        <w:t>Public Notice</w:t>
      </w:r>
      <w:r>
        <w:rPr>
          <w:color w:val="000000"/>
        </w:rPr>
        <w:t xml:space="preserve"> are available for viewing via the Commission</w:t>
      </w:r>
      <w:r w:rsidR="00613BFE">
        <w:rPr>
          <w:color w:val="000000"/>
        </w:rPr>
        <w:t>’</w:t>
      </w:r>
      <w:r>
        <w:rPr>
          <w:color w:val="000000"/>
        </w:rPr>
        <w:t xml:space="preserve">s Electronic Comment Filing System (ECFS) by entering the </w:t>
      </w:r>
      <w:r>
        <w:rPr>
          <w:color w:val="000000"/>
        </w:rPr>
        <w:lastRenderedPageBreak/>
        <w:t xml:space="preserve">docket number, </w:t>
      </w:r>
      <w:r>
        <w:rPr>
          <w:bCs/>
          <w:color w:val="000000"/>
        </w:rPr>
        <w:t xml:space="preserve">WT </w:t>
      </w:r>
      <w:r w:rsidR="002B5314" w:rsidRPr="00BD08E9">
        <w:t>No. 1</w:t>
      </w:r>
      <w:r w:rsidR="00153F05">
        <w:t>5</w:t>
      </w:r>
      <w:r w:rsidR="002B5314" w:rsidRPr="00BD08E9">
        <w:t>-</w:t>
      </w:r>
      <w:r w:rsidR="00700044">
        <w:t>197</w:t>
      </w:r>
      <w:r w:rsidR="002B5314" w:rsidRPr="00BD08E9">
        <w:t>.</w:t>
      </w:r>
      <w:r w:rsidR="002B5314">
        <w:t xml:space="preserve">  </w:t>
      </w:r>
      <w:r>
        <w:rPr>
          <w:color w:val="000000"/>
        </w:rPr>
        <w:t>The documents also will be available for public inspection and copying during business hours in the FCC Reference Information Center, Portals II, 445 12th Street S.W., Room CY-A257, Washington, D.C. 20554.  They may also be purchased from Best Copy and Printing</w:t>
      </w:r>
      <w:bookmarkStart w:id="2" w:name="SR;1282"/>
      <w:bookmarkStart w:id="3" w:name="SR;1283"/>
      <w:bookmarkStart w:id="4" w:name="SR;1285"/>
      <w:bookmarkStart w:id="5" w:name="SearchTerm"/>
      <w:bookmarkEnd w:id="2"/>
      <w:bookmarkEnd w:id="3"/>
      <w:bookmarkEnd w:id="4"/>
      <w:r>
        <w:rPr>
          <w:color w:val="000000"/>
        </w:rPr>
        <w:t>, Inc., telephone (800) 378-3160, facsimile</w:t>
      </w:r>
      <w:bookmarkStart w:id="6" w:name="SR;1291"/>
      <w:bookmarkEnd w:id="5"/>
      <w:bookmarkEnd w:id="6"/>
      <w:r>
        <w:rPr>
          <w:color w:val="000000"/>
        </w:rPr>
        <w:t xml:space="preserve"> (202) 488-5563, TTY (202) 488-5562, e-mail FCC@BCPIWEB.com.</w:t>
      </w:r>
    </w:p>
    <w:p w:rsidR="00736A6D" w:rsidRDefault="00736A6D" w:rsidP="00736A6D">
      <w:pPr>
        <w:ind w:firstLine="720"/>
      </w:pPr>
      <w:r>
        <w:t xml:space="preserve">Alternate formats of this </w:t>
      </w:r>
      <w:r>
        <w:rPr>
          <w:i/>
        </w:rPr>
        <w:t>Public Notice</w:t>
      </w:r>
      <w:r>
        <w:t xml:space="preserve"> (computer diskette, large print, audio recording, and Braille) are available to persons with disabilities by contacting the Consumer &amp; Governmental Affairs Bureau at (202) 418-0530 (voice), (202) 418-0432 (TTY), or send an e-mail to fcc504@fcc.gov. </w:t>
      </w:r>
    </w:p>
    <w:p w:rsidR="00736A6D" w:rsidRDefault="00736A6D" w:rsidP="00736A6D"/>
    <w:p w:rsidR="00736A6D" w:rsidRDefault="00736A6D" w:rsidP="00736A6D">
      <w:pPr>
        <w:pStyle w:val="BodyText2"/>
        <w:spacing w:line="240" w:lineRule="auto"/>
        <w:ind w:firstLine="720"/>
        <w:jc w:val="left"/>
      </w:pPr>
      <w:r>
        <w:t xml:space="preserve">This proceeding has been designated as a “permit-but-disclose” proceeding in accordance with the Commission's </w:t>
      </w:r>
      <w:r>
        <w:rPr>
          <w:i/>
        </w:rPr>
        <w:t>ex parte</w:t>
      </w:r>
      <w:r>
        <w:t xml:space="preserve"> rules.</w:t>
      </w:r>
      <w:r>
        <w:rPr>
          <w:vertAlign w:val="superscript"/>
        </w:rPr>
        <w:footnoteReference w:id="9"/>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736A6D" w:rsidRDefault="00736A6D" w:rsidP="00736A6D">
      <w:pPr>
        <w:pStyle w:val="BodyText2"/>
        <w:spacing w:line="240" w:lineRule="auto"/>
        <w:ind w:firstLine="720"/>
        <w:jc w:val="left"/>
      </w:pPr>
      <w:r>
        <w:t xml:space="preserve">For further information, contact Mr. </w:t>
      </w:r>
      <w:r w:rsidR="009566E5">
        <w:t>Tim Maguire</w:t>
      </w:r>
      <w:r>
        <w:t xml:space="preserve"> of the Wireless Telecommunications Bureau, Mobility Division, at (202) 418-</w:t>
      </w:r>
      <w:r w:rsidR="009566E5">
        <w:t>2155</w:t>
      </w:r>
      <w:r>
        <w:t xml:space="preserve">, </w:t>
      </w:r>
      <w:r w:rsidR="009566E5">
        <w:t>tim.maguire</w:t>
      </w:r>
      <w:r>
        <w:t>@fcc.gov.</w:t>
      </w:r>
    </w:p>
    <w:p w:rsidR="00736A6D" w:rsidRDefault="00736A6D" w:rsidP="00736A6D">
      <w:pPr>
        <w:pStyle w:val="BodyText2"/>
        <w:spacing w:line="240" w:lineRule="auto"/>
        <w:ind w:firstLine="720"/>
        <w:jc w:val="left"/>
      </w:pPr>
      <w:r>
        <w:t>Action by the Deputy Chief, Mobility Division, Wireless Telecommunications Bureau.</w:t>
      </w:r>
    </w:p>
    <w:p w:rsidR="00736A6D" w:rsidRDefault="00736A6D" w:rsidP="00736A6D">
      <w:pPr>
        <w:pStyle w:val="BodyText2"/>
        <w:spacing w:line="240" w:lineRule="auto"/>
        <w:jc w:val="center"/>
      </w:pPr>
      <w:r>
        <w:t>- FCC -</w:t>
      </w:r>
    </w:p>
    <w:p w:rsidR="00736A6D" w:rsidRDefault="00736A6D" w:rsidP="00736A6D"/>
    <w:p w:rsidR="00736A6D" w:rsidRDefault="00736A6D">
      <w:pPr>
        <w:spacing w:before="120" w:after="240"/>
        <w:rPr>
          <w:sz w:val="24"/>
        </w:rPr>
      </w:pPr>
    </w:p>
    <w:sectPr w:rsidR="00736A6D">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CB" w:rsidRDefault="00306ECB">
      <w:r>
        <w:separator/>
      </w:r>
    </w:p>
  </w:endnote>
  <w:endnote w:type="continuationSeparator" w:id="0">
    <w:p w:rsidR="00306ECB" w:rsidRDefault="0030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4BF" w:rsidRDefault="00477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35" w:rsidRDefault="00141035">
    <w:pPr>
      <w:pStyle w:val="Footer"/>
      <w:jc w:val="center"/>
    </w:pPr>
    <w:r>
      <w:fldChar w:fldCharType="begin"/>
    </w:r>
    <w:r>
      <w:instrText xml:space="preserve"> PAGE   \* MERGEFORMAT </w:instrText>
    </w:r>
    <w:r>
      <w:fldChar w:fldCharType="separate"/>
    </w:r>
    <w:r w:rsidR="00C2305D">
      <w:rPr>
        <w:noProof/>
      </w:rPr>
      <w:t>2</w:t>
    </w:r>
    <w:r>
      <w:rPr>
        <w:noProof/>
      </w:rPr>
      <w:fldChar w:fldCharType="end"/>
    </w:r>
  </w:p>
  <w:p w:rsidR="00141035" w:rsidRDefault="001410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4BF" w:rsidRDefault="00477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CB" w:rsidRDefault="00306ECB">
      <w:r>
        <w:separator/>
      </w:r>
    </w:p>
  </w:footnote>
  <w:footnote w:type="continuationSeparator" w:id="0">
    <w:p w:rsidR="00306ECB" w:rsidRDefault="00306ECB">
      <w:r>
        <w:continuationSeparator/>
      </w:r>
    </w:p>
  </w:footnote>
  <w:footnote w:id="1">
    <w:p w:rsidR="00141035" w:rsidRDefault="00141035">
      <w:pPr>
        <w:pStyle w:val="FootnoteText"/>
      </w:pPr>
      <w:r>
        <w:rPr>
          <w:rStyle w:val="FootnoteReference"/>
        </w:rPr>
        <w:footnoteRef/>
      </w:r>
      <w:r>
        <w:t xml:space="preserve"> Letter dated March 25, 2015 from Mark Bushnell, Coastal Obs Tech Services LLC to Federal Communications Commission.</w:t>
      </w:r>
    </w:p>
  </w:footnote>
  <w:footnote w:id="2">
    <w:p w:rsidR="00141035" w:rsidRDefault="00141035">
      <w:pPr>
        <w:pStyle w:val="FootnoteText"/>
      </w:pPr>
      <w:r>
        <w:rPr>
          <w:rStyle w:val="FootnoteReference"/>
        </w:rPr>
        <w:footnoteRef/>
      </w:r>
      <w:r>
        <w:t xml:space="preserve"> </w:t>
      </w:r>
      <w:r w:rsidRPr="00946126">
        <w:t>47 C.F.R. § 9</w:t>
      </w:r>
      <w:r>
        <w:t>0</w:t>
      </w:r>
      <w:r w:rsidRPr="00946126">
        <w:t>.</w:t>
      </w:r>
      <w:r>
        <w:t>2</w:t>
      </w:r>
      <w:r w:rsidRPr="00946126">
        <w:t>4</w:t>
      </w:r>
      <w:r>
        <w:t xml:space="preserve">8(a); </w:t>
      </w:r>
      <w:r>
        <w:rPr>
          <w:i/>
        </w:rPr>
        <w:t xml:space="preserve">see also </w:t>
      </w:r>
      <w:r w:rsidRPr="00946126">
        <w:t>47 C.F.R. §</w:t>
      </w:r>
      <w:r>
        <w:t xml:space="preserve"> 2.106 note US210.</w:t>
      </w:r>
    </w:p>
  </w:footnote>
  <w:footnote w:id="3">
    <w:p w:rsidR="00141035" w:rsidRDefault="00141035">
      <w:pPr>
        <w:pStyle w:val="FootnoteText"/>
      </w:pPr>
      <w:r>
        <w:rPr>
          <w:rStyle w:val="FootnoteReference"/>
        </w:rPr>
        <w:footnoteRef/>
      </w:r>
      <w:r>
        <w:t xml:space="preserve"> </w:t>
      </w:r>
      <w:r w:rsidR="006E189E">
        <w:t>Specifically,</w:t>
      </w:r>
      <w:r>
        <w:t xml:space="preserve"> 29.71, 29.73, 29.75, 29.77, and 29.79 MHz</w:t>
      </w:r>
      <w:r w:rsidR="00C007AF">
        <w:t>.</w:t>
      </w:r>
    </w:p>
  </w:footnote>
  <w:footnote w:id="4">
    <w:p w:rsidR="00141035" w:rsidRDefault="00141035">
      <w:pPr>
        <w:pStyle w:val="FootnoteText"/>
      </w:pPr>
      <w:r>
        <w:rPr>
          <w:rStyle w:val="FootnoteReference"/>
        </w:rPr>
        <w:footnoteRef/>
      </w:r>
      <w:r>
        <w:t xml:space="preserve"> </w:t>
      </w:r>
      <w:r w:rsidRPr="00946126">
        <w:t>47 C.F.R. § 9</w:t>
      </w:r>
      <w:r>
        <w:t>0</w:t>
      </w:r>
      <w:r w:rsidRPr="00946126">
        <w:t>.</w:t>
      </w:r>
      <w:r>
        <w:t>35(b)(3).</w:t>
      </w:r>
    </w:p>
  </w:footnote>
  <w:footnote w:id="5">
    <w:p w:rsidR="00141035" w:rsidRDefault="00141035">
      <w:pPr>
        <w:pStyle w:val="FootnoteText"/>
      </w:pPr>
      <w:r>
        <w:rPr>
          <w:rStyle w:val="FootnoteReference"/>
        </w:rPr>
        <w:footnoteRef/>
      </w:r>
      <w:r>
        <w:t xml:space="preserve"> Letter dated June 26, 2015 from Gregory Hammann, Director Strategic Business Development, Marine Instruments to Federal Communications Commission.</w:t>
      </w:r>
    </w:p>
  </w:footnote>
  <w:footnote w:id="6">
    <w:p w:rsidR="00C007AF" w:rsidRPr="003C72EE" w:rsidRDefault="00C007AF" w:rsidP="00C007AF">
      <w:pPr>
        <w:pStyle w:val="FootnoteText"/>
      </w:pPr>
      <w:r>
        <w:rPr>
          <w:rStyle w:val="FootnoteReference"/>
        </w:rPr>
        <w:footnoteRef/>
      </w:r>
      <w:r>
        <w:t xml:space="preserve"> Specifically, 26.145, 26.150, 26.155, 26.160, 26.165, 26.170, and 26.175 MHz.</w:t>
      </w:r>
    </w:p>
  </w:footnote>
  <w:footnote w:id="7">
    <w:p w:rsidR="00141035" w:rsidRDefault="00141035" w:rsidP="00DE5A81">
      <w:pPr>
        <w:pStyle w:val="FootnoteText"/>
      </w:pPr>
      <w:r>
        <w:rPr>
          <w:rStyle w:val="FootnoteReference"/>
        </w:rPr>
        <w:footnoteRef/>
      </w:r>
      <w:r>
        <w:t xml:space="preserve"> 47 C.F.R. § 80</w:t>
      </w:r>
      <w:r w:rsidRPr="00946126">
        <w:t>.</w:t>
      </w:r>
      <w:r>
        <w:t>373(c).</w:t>
      </w:r>
    </w:p>
  </w:footnote>
  <w:footnote w:id="8">
    <w:p w:rsidR="00141035" w:rsidRDefault="00141035" w:rsidP="00736A6D">
      <w:pPr>
        <w:pStyle w:val="FootnoteText"/>
      </w:pPr>
      <w:r>
        <w:rPr>
          <w:rStyle w:val="FootnoteReference"/>
        </w:rPr>
        <w:footnoteRef/>
      </w:r>
      <w:r>
        <w:t xml:space="preserve"> </w:t>
      </w:r>
      <w:r>
        <w:rPr>
          <w:i/>
        </w:rPr>
        <w:t xml:space="preserve">See </w:t>
      </w:r>
      <w:r>
        <w:t xml:space="preserve">Electronic Filing of Documents in Rulemaking Proceedings, </w:t>
      </w:r>
      <w:r>
        <w:rPr>
          <w:i/>
        </w:rPr>
        <w:t>Report and Order</w:t>
      </w:r>
      <w:r>
        <w:t>, GC Docket No. 97-113, 13 FCC Rcd 11322 (1998).</w:t>
      </w:r>
    </w:p>
  </w:footnote>
  <w:footnote w:id="9">
    <w:p w:rsidR="00141035" w:rsidRDefault="00141035" w:rsidP="00736A6D">
      <w:pPr>
        <w:pStyle w:val="FootnoteText"/>
      </w:pPr>
      <w:r>
        <w:rPr>
          <w:rStyle w:val="FootnoteReference"/>
        </w:rPr>
        <w:footnoteRef/>
      </w:r>
      <w:r>
        <w:t xml:space="preserve"> </w:t>
      </w:r>
      <w:r>
        <w:rPr>
          <w:i/>
        </w:rPr>
        <w:t>See</w:t>
      </w:r>
      <w: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4BF" w:rsidRDefault="00477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4BF" w:rsidRDefault="004774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35" w:rsidRDefault="0014103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141035" w:rsidRDefault="00141035">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EB129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035" w:rsidRDefault="00141035">
                          <w:pPr>
                            <w:rPr>
                              <w:rFonts w:ascii="Arial" w:hAnsi="Arial"/>
                              <w:b/>
                            </w:rPr>
                          </w:pPr>
                          <w:r>
                            <w:rPr>
                              <w:rFonts w:ascii="Arial" w:hAnsi="Arial"/>
                              <w:b/>
                            </w:rPr>
                            <w:t>Federal Communications Commission</w:t>
                          </w:r>
                        </w:p>
                        <w:p w:rsidR="00141035" w:rsidRDefault="0014103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41035" w:rsidRDefault="0014103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141035" w:rsidRDefault="00141035">
                    <w:pPr>
                      <w:rPr>
                        <w:rFonts w:ascii="Arial" w:hAnsi="Arial"/>
                        <w:b/>
                      </w:rPr>
                    </w:pPr>
                    <w:r>
                      <w:rPr>
                        <w:rFonts w:ascii="Arial" w:hAnsi="Arial"/>
                        <w:b/>
                      </w:rPr>
                      <w:t>Federal Communications Commission</w:t>
                    </w:r>
                  </w:p>
                  <w:p w:rsidR="00141035" w:rsidRDefault="0014103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41035" w:rsidRDefault="00141035">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035" w:rsidRDefault="00141035">
                          <w:pPr>
                            <w:spacing w:before="40"/>
                            <w:jc w:val="right"/>
                            <w:rPr>
                              <w:rFonts w:ascii="Arial" w:hAnsi="Arial"/>
                              <w:b/>
                              <w:sz w:val="16"/>
                            </w:rPr>
                          </w:pPr>
                          <w:r>
                            <w:rPr>
                              <w:rFonts w:ascii="Arial" w:hAnsi="Arial"/>
                              <w:b/>
                              <w:sz w:val="16"/>
                            </w:rPr>
                            <w:t>News Media Information 202 / 418-0500</w:t>
                          </w:r>
                        </w:p>
                        <w:p w:rsidR="00141035" w:rsidRDefault="0014103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141035" w:rsidRDefault="00141035">
                          <w:pPr>
                            <w:jc w:val="right"/>
                            <w:rPr>
                              <w:rFonts w:ascii="Arial" w:hAnsi="Arial"/>
                              <w:b/>
                              <w:sz w:val="16"/>
                            </w:rPr>
                          </w:pPr>
                          <w:r>
                            <w:rPr>
                              <w:rFonts w:ascii="Arial" w:hAnsi="Arial"/>
                              <w:b/>
                              <w:sz w:val="16"/>
                            </w:rPr>
                            <w:t>TTY: 1-888-835-5322</w:t>
                          </w:r>
                        </w:p>
                        <w:p w:rsidR="00141035" w:rsidRDefault="0014103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141035" w:rsidRDefault="00141035">
                    <w:pPr>
                      <w:spacing w:before="40"/>
                      <w:jc w:val="right"/>
                      <w:rPr>
                        <w:rFonts w:ascii="Arial" w:hAnsi="Arial"/>
                        <w:b/>
                        <w:sz w:val="16"/>
                      </w:rPr>
                    </w:pPr>
                    <w:r>
                      <w:rPr>
                        <w:rFonts w:ascii="Arial" w:hAnsi="Arial"/>
                        <w:b/>
                        <w:sz w:val="16"/>
                      </w:rPr>
                      <w:t>News Media Information 202 / 418-0500</w:t>
                    </w:r>
                  </w:p>
                  <w:p w:rsidR="00141035" w:rsidRDefault="0014103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141035" w:rsidRDefault="00141035">
                    <w:pPr>
                      <w:jc w:val="right"/>
                      <w:rPr>
                        <w:rFonts w:ascii="Arial" w:hAnsi="Arial"/>
                        <w:b/>
                        <w:sz w:val="16"/>
                      </w:rPr>
                    </w:pPr>
                    <w:r>
                      <w:rPr>
                        <w:rFonts w:ascii="Arial" w:hAnsi="Arial"/>
                        <w:b/>
                        <w:sz w:val="16"/>
                      </w:rPr>
                      <w:t>TTY: 1-888-835-5322</w:t>
                    </w:r>
                  </w:p>
                  <w:p w:rsidR="00141035" w:rsidRDefault="00141035">
                    <w:pPr>
                      <w:jc w:val="right"/>
                    </w:pPr>
                  </w:p>
                </w:txbxContent>
              </v:textbox>
            </v:shape>
          </w:pict>
        </mc:Fallback>
      </mc:AlternateContent>
    </w:r>
  </w:p>
  <w:p w:rsidR="00141035" w:rsidRDefault="0014103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1E2088"/>
    <w:lvl w:ilvl="0">
      <w:start w:val="1"/>
      <w:numFmt w:val="bullet"/>
      <w:lvlText w:val=""/>
      <w:lvlJc w:val="left"/>
      <w:pPr>
        <w:tabs>
          <w:tab w:val="num" w:pos="360"/>
        </w:tabs>
        <w:ind w:left="360" w:hanging="360"/>
      </w:pPr>
      <w:rPr>
        <w:rFonts w:ascii="Symbol" w:hAnsi="Symbol" w:hint="default"/>
      </w:rPr>
    </w:lvl>
  </w:abstractNum>
  <w:abstractNum w:abstractNumId="1">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2"/>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265AE"/>
    <w:rsid w:val="0006189F"/>
    <w:rsid w:val="00067F0B"/>
    <w:rsid w:val="00070CF7"/>
    <w:rsid w:val="000B77B9"/>
    <w:rsid w:val="00105447"/>
    <w:rsid w:val="00110847"/>
    <w:rsid w:val="00117328"/>
    <w:rsid w:val="00133EB4"/>
    <w:rsid w:val="00141035"/>
    <w:rsid w:val="00153F05"/>
    <w:rsid w:val="00155CC3"/>
    <w:rsid w:val="00160854"/>
    <w:rsid w:val="001617F0"/>
    <w:rsid w:val="00173DF9"/>
    <w:rsid w:val="00193762"/>
    <w:rsid w:val="001B43C6"/>
    <w:rsid w:val="001D4B75"/>
    <w:rsid w:val="001E3338"/>
    <w:rsid w:val="00232109"/>
    <w:rsid w:val="002453B9"/>
    <w:rsid w:val="00274AEA"/>
    <w:rsid w:val="00292B97"/>
    <w:rsid w:val="00292CF8"/>
    <w:rsid w:val="002B5314"/>
    <w:rsid w:val="002C31AA"/>
    <w:rsid w:val="002C7A8B"/>
    <w:rsid w:val="002F524F"/>
    <w:rsid w:val="00306ECB"/>
    <w:rsid w:val="00325CBE"/>
    <w:rsid w:val="0033199A"/>
    <w:rsid w:val="00363B42"/>
    <w:rsid w:val="00364E03"/>
    <w:rsid w:val="00370BE0"/>
    <w:rsid w:val="00376CBE"/>
    <w:rsid w:val="00396EF9"/>
    <w:rsid w:val="003B0394"/>
    <w:rsid w:val="003C72EE"/>
    <w:rsid w:val="003E74A9"/>
    <w:rsid w:val="0043763A"/>
    <w:rsid w:val="00446EE7"/>
    <w:rsid w:val="004774BF"/>
    <w:rsid w:val="00485B47"/>
    <w:rsid w:val="004947D2"/>
    <w:rsid w:val="004C4172"/>
    <w:rsid w:val="004C422B"/>
    <w:rsid w:val="004E4F94"/>
    <w:rsid w:val="004E6CFC"/>
    <w:rsid w:val="004F6040"/>
    <w:rsid w:val="00500F28"/>
    <w:rsid w:val="0051483B"/>
    <w:rsid w:val="00517698"/>
    <w:rsid w:val="005314AD"/>
    <w:rsid w:val="0053785B"/>
    <w:rsid w:val="00573895"/>
    <w:rsid w:val="00586517"/>
    <w:rsid w:val="00602577"/>
    <w:rsid w:val="00613BFE"/>
    <w:rsid w:val="00627CA8"/>
    <w:rsid w:val="00666155"/>
    <w:rsid w:val="006842DF"/>
    <w:rsid w:val="00687DC0"/>
    <w:rsid w:val="00693B67"/>
    <w:rsid w:val="006E0598"/>
    <w:rsid w:val="006E189E"/>
    <w:rsid w:val="006E3616"/>
    <w:rsid w:val="006F4F2B"/>
    <w:rsid w:val="00700044"/>
    <w:rsid w:val="00720265"/>
    <w:rsid w:val="00727C84"/>
    <w:rsid w:val="00736A6D"/>
    <w:rsid w:val="00776C0A"/>
    <w:rsid w:val="00787251"/>
    <w:rsid w:val="007B0EC2"/>
    <w:rsid w:val="007D5579"/>
    <w:rsid w:val="007E2D24"/>
    <w:rsid w:val="007F418C"/>
    <w:rsid w:val="007F7633"/>
    <w:rsid w:val="007F7652"/>
    <w:rsid w:val="00821B15"/>
    <w:rsid w:val="008549D8"/>
    <w:rsid w:val="00864906"/>
    <w:rsid w:val="00893598"/>
    <w:rsid w:val="008A1E8D"/>
    <w:rsid w:val="008B338E"/>
    <w:rsid w:val="008E5C17"/>
    <w:rsid w:val="00933E31"/>
    <w:rsid w:val="009449B6"/>
    <w:rsid w:val="00946126"/>
    <w:rsid w:val="0094695F"/>
    <w:rsid w:val="009566E5"/>
    <w:rsid w:val="00971CD5"/>
    <w:rsid w:val="009811D0"/>
    <w:rsid w:val="009E15BA"/>
    <w:rsid w:val="00A1766A"/>
    <w:rsid w:val="00A24E31"/>
    <w:rsid w:val="00A6436B"/>
    <w:rsid w:val="00A7235B"/>
    <w:rsid w:val="00A94C0A"/>
    <w:rsid w:val="00AA5FF3"/>
    <w:rsid w:val="00AC6034"/>
    <w:rsid w:val="00AD6F4C"/>
    <w:rsid w:val="00B335F1"/>
    <w:rsid w:val="00B37244"/>
    <w:rsid w:val="00B44A02"/>
    <w:rsid w:val="00B60BA2"/>
    <w:rsid w:val="00B83EBC"/>
    <w:rsid w:val="00B90DEB"/>
    <w:rsid w:val="00BC3D2C"/>
    <w:rsid w:val="00BD08E9"/>
    <w:rsid w:val="00C007AF"/>
    <w:rsid w:val="00C2305D"/>
    <w:rsid w:val="00C474F1"/>
    <w:rsid w:val="00C678A3"/>
    <w:rsid w:val="00C726EE"/>
    <w:rsid w:val="00C739C5"/>
    <w:rsid w:val="00C83124"/>
    <w:rsid w:val="00C97192"/>
    <w:rsid w:val="00C9757C"/>
    <w:rsid w:val="00CB27C9"/>
    <w:rsid w:val="00CE3401"/>
    <w:rsid w:val="00CE68AA"/>
    <w:rsid w:val="00D17DC0"/>
    <w:rsid w:val="00D215CF"/>
    <w:rsid w:val="00D333D4"/>
    <w:rsid w:val="00D352B9"/>
    <w:rsid w:val="00D5035C"/>
    <w:rsid w:val="00D60EFF"/>
    <w:rsid w:val="00D62C87"/>
    <w:rsid w:val="00D712D7"/>
    <w:rsid w:val="00D74BAF"/>
    <w:rsid w:val="00D831F6"/>
    <w:rsid w:val="00DB1674"/>
    <w:rsid w:val="00DD5CC1"/>
    <w:rsid w:val="00DE1E1F"/>
    <w:rsid w:val="00DE5772"/>
    <w:rsid w:val="00DE5A81"/>
    <w:rsid w:val="00DF369C"/>
    <w:rsid w:val="00DF78C4"/>
    <w:rsid w:val="00E05061"/>
    <w:rsid w:val="00E054F2"/>
    <w:rsid w:val="00E05B99"/>
    <w:rsid w:val="00E05D26"/>
    <w:rsid w:val="00E33263"/>
    <w:rsid w:val="00E708D1"/>
    <w:rsid w:val="00E772E0"/>
    <w:rsid w:val="00EE0AEF"/>
    <w:rsid w:val="00EF1720"/>
    <w:rsid w:val="00F001C9"/>
    <w:rsid w:val="00F033B6"/>
    <w:rsid w:val="00F22573"/>
    <w:rsid w:val="00F47E87"/>
    <w:rsid w:val="00F77B78"/>
    <w:rsid w:val="00FA7527"/>
    <w:rsid w:val="00FE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Footnote Reference/,Style 17,Style 6"/>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basedOn w:val="Normal"/>
    <w:link w:val="FootnoteTextChar3"/>
    <w:semiHidden/>
    <w:rsid w:val="0051483B"/>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semiHidden/>
    <w:rsid w:val="00E33263"/>
    <w:pPr>
      <w:widowControl w:val="0"/>
      <w:jc w:val="center"/>
    </w:pPr>
    <w:rPr>
      <w:b/>
      <w:snapToGrid w:val="0"/>
      <w:sz w:val="28"/>
    </w:rPr>
  </w:style>
  <w:style w:type="character" w:customStyle="1" w:styleId="BodyTextChar">
    <w:name w:val="Body Text Char"/>
    <w:link w:val="BodyText"/>
    <w:semiHidden/>
    <w:rsid w:val="00E33263"/>
    <w:rPr>
      <w:b/>
      <w:snapToGrid w:val="0"/>
      <w:sz w:val="28"/>
    </w:rPr>
  </w:style>
  <w:style w:type="paragraph" w:customStyle="1" w:styleId="Style1">
    <w:name w:val="Style1"/>
    <w:basedOn w:val="BodyText"/>
    <w:rsid w:val="00E33263"/>
    <w:rPr>
      <w:sz w:val="20"/>
    </w:rPr>
  </w:style>
  <w:style w:type="paragraph" w:styleId="BodyText2">
    <w:name w:val="Body Text 2"/>
    <w:basedOn w:val="Normal"/>
    <w:link w:val="BodyText2Char"/>
    <w:rsid w:val="00736A6D"/>
    <w:pPr>
      <w:widowControl w:val="0"/>
      <w:spacing w:after="120" w:line="480" w:lineRule="auto"/>
      <w:jc w:val="both"/>
    </w:pPr>
    <w:rPr>
      <w:snapToGrid w:val="0"/>
      <w:kern w:val="28"/>
      <w:szCs w:val="22"/>
    </w:rPr>
  </w:style>
  <w:style w:type="character" w:customStyle="1" w:styleId="BodyText2Char">
    <w:name w:val="Body Text 2 Char"/>
    <w:link w:val="BodyText2"/>
    <w:rsid w:val="00736A6D"/>
    <w:rPr>
      <w:snapToGrid w:val="0"/>
      <w:kern w:val="28"/>
      <w:sz w:val="22"/>
      <w:szCs w:val="22"/>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semiHidden/>
    <w:rsid w:val="0051483B"/>
  </w:style>
  <w:style w:type="character" w:customStyle="1" w:styleId="FooterChar">
    <w:name w:val="Footer Char"/>
    <w:link w:val="Footer"/>
    <w:uiPriority w:val="99"/>
    <w:rsid w:val="00485B4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Footnote Reference/,Style 17,Style 6"/>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basedOn w:val="Normal"/>
    <w:link w:val="FootnoteTextChar3"/>
    <w:semiHidden/>
    <w:rsid w:val="0051483B"/>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semiHidden/>
    <w:rsid w:val="00E33263"/>
    <w:pPr>
      <w:widowControl w:val="0"/>
      <w:jc w:val="center"/>
    </w:pPr>
    <w:rPr>
      <w:b/>
      <w:snapToGrid w:val="0"/>
      <w:sz w:val="28"/>
    </w:rPr>
  </w:style>
  <w:style w:type="character" w:customStyle="1" w:styleId="BodyTextChar">
    <w:name w:val="Body Text Char"/>
    <w:link w:val="BodyText"/>
    <w:semiHidden/>
    <w:rsid w:val="00E33263"/>
    <w:rPr>
      <w:b/>
      <w:snapToGrid w:val="0"/>
      <w:sz w:val="28"/>
    </w:rPr>
  </w:style>
  <w:style w:type="paragraph" w:customStyle="1" w:styleId="Style1">
    <w:name w:val="Style1"/>
    <w:basedOn w:val="BodyText"/>
    <w:rsid w:val="00E33263"/>
    <w:rPr>
      <w:sz w:val="20"/>
    </w:rPr>
  </w:style>
  <w:style w:type="paragraph" w:styleId="BodyText2">
    <w:name w:val="Body Text 2"/>
    <w:basedOn w:val="Normal"/>
    <w:link w:val="BodyText2Char"/>
    <w:rsid w:val="00736A6D"/>
    <w:pPr>
      <w:widowControl w:val="0"/>
      <w:spacing w:after="120" w:line="480" w:lineRule="auto"/>
      <w:jc w:val="both"/>
    </w:pPr>
    <w:rPr>
      <w:snapToGrid w:val="0"/>
      <w:kern w:val="28"/>
      <w:szCs w:val="22"/>
    </w:rPr>
  </w:style>
  <w:style w:type="character" w:customStyle="1" w:styleId="BodyText2Char">
    <w:name w:val="Body Text 2 Char"/>
    <w:link w:val="BodyText2"/>
    <w:rsid w:val="00736A6D"/>
    <w:rPr>
      <w:snapToGrid w:val="0"/>
      <w:kern w:val="28"/>
      <w:sz w:val="22"/>
      <w:szCs w:val="22"/>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semiHidden/>
    <w:rsid w:val="0051483B"/>
  </w:style>
  <w:style w:type="character" w:customStyle="1" w:styleId="FooterChar">
    <w:name w:val="Footer Char"/>
    <w:link w:val="Footer"/>
    <w:uiPriority w:val="99"/>
    <w:rsid w:val="00485B4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FCC@BCPIWEB.com"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6112</Characters>
  <Application>Microsoft Office Word</Application>
  <DocSecurity>0</DocSecurity>
  <Lines>101</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7210</CharactersWithSpaces>
  <SharedDoc>false</SharedDoc>
  <HyperlinkBase> </HyperlinkBase>
  <HLinks>
    <vt:vector size="6" baseType="variant">
      <vt:variant>
        <vt:i4>7209031</vt:i4>
      </vt:variant>
      <vt:variant>
        <vt:i4>0</vt:i4>
      </vt:variant>
      <vt:variant>
        <vt:i4>0</vt:i4>
      </vt:variant>
      <vt:variant>
        <vt:i4>5</vt:i4>
      </vt:variant>
      <vt:variant>
        <vt:lpwstr>mailto:FCC@BCPIWEB.com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2015-08-17T21:03:00Z</dcterms:created>
  <dcterms:modified xsi:type="dcterms:W3CDTF">2015-08-17T21:03:00Z</dcterms:modified>
  <cp:category> </cp:category>
  <cp:contentStatus> </cp:contentStatus>
</cp:coreProperties>
</file>