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7E9B" w14:textId="77777777" w:rsidR="004C2EE3" w:rsidRPr="00193A4F" w:rsidRDefault="004C2EE3">
      <w:pPr>
        <w:jc w:val="center"/>
        <w:rPr>
          <w:b/>
          <w:szCs w:val="22"/>
        </w:rPr>
      </w:pPr>
      <w:bookmarkStart w:id="0" w:name="_GoBack"/>
      <w:bookmarkEnd w:id="0"/>
      <w:r w:rsidRPr="00193A4F">
        <w:rPr>
          <w:b/>
          <w:kern w:val="0"/>
          <w:szCs w:val="22"/>
        </w:rPr>
        <w:t>Before</w:t>
      </w:r>
      <w:r w:rsidRPr="00193A4F">
        <w:rPr>
          <w:b/>
          <w:szCs w:val="22"/>
        </w:rPr>
        <w:t xml:space="preserve"> the</w:t>
      </w:r>
    </w:p>
    <w:p w14:paraId="296ED607" w14:textId="77777777" w:rsidR="00921803" w:rsidRPr="00193A4F" w:rsidRDefault="00921803" w:rsidP="00921803">
      <w:pPr>
        <w:pStyle w:val="StyleBoldCentered"/>
        <w:rPr>
          <w:rFonts w:ascii="Times New Roman" w:hAnsi="Times New Roman"/>
        </w:rPr>
      </w:pPr>
      <w:r w:rsidRPr="00193A4F">
        <w:rPr>
          <w:rFonts w:ascii="Times New Roman" w:hAnsi="Times New Roman"/>
        </w:rPr>
        <w:t>F</w:t>
      </w:r>
      <w:r w:rsidRPr="00193A4F">
        <w:rPr>
          <w:rFonts w:ascii="Times New Roman" w:hAnsi="Times New Roman"/>
          <w:caps w:val="0"/>
        </w:rPr>
        <w:t>ederal Communications Commission</w:t>
      </w:r>
    </w:p>
    <w:p w14:paraId="1C159C98" w14:textId="182EE8E6" w:rsidR="004C2EE3" w:rsidRPr="00193A4F" w:rsidRDefault="00810B6F" w:rsidP="00096D8C">
      <w:pPr>
        <w:pStyle w:val="StyleBoldCentered"/>
        <w:rPr>
          <w:rFonts w:ascii="Times New Roman" w:hAnsi="Times New Roman"/>
        </w:rPr>
      </w:pPr>
      <w:r w:rsidRPr="00193A4F">
        <w:rPr>
          <w:rFonts w:ascii="Times New Roman" w:hAnsi="Times New Roman"/>
          <w:caps w:val="0"/>
        </w:rPr>
        <w:t>Washington, DC 20554</w:t>
      </w:r>
    </w:p>
    <w:p w14:paraId="042522BA" w14:textId="77777777" w:rsidR="004C2EE3" w:rsidRPr="00193A4F" w:rsidRDefault="004C2EE3" w:rsidP="0070224F">
      <w:pPr>
        <w:rPr>
          <w:szCs w:val="22"/>
        </w:rPr>
      </w:pPr>
    </w:p>
    <w:tbl>
      <w:tblPr>
        <w:tblW w:w="0" w:type="auto"/>
        <w:tblLayout w:type="fixed"/>
        <w:tblLook w:val="0000" w:firstRow="0" w:lastRow="0" w:firstColumn="0" w:lastColumn="0" w:noHBand="0" w:noVBand="0"/>
      </w:tblPr>
      <w:tblGrid>
        <w:gridCol w:w="4698"/>
        <w:gridCol w:w="630"/>
        <w:gridCol w:w="4248"/>
      </w:tblGrid>
      <w:tr w:rsidR="004C2EE3" w:rsidRPr="00193A4F" w14:paraId="7C142B07" w14:textId="77777777">
        <w:tc>
          <w:tcPr>
            <w:tcW w:w="4698" w:type="dxa"/>
          </w:tcPr>
          <w:p w14:paraId="1FB1F331" w14:textId="77777777" w:rsidR="004C2EE3" w:rsidRPr="00193A4F" w:rsidRDefault="004C2EE3">
            <w:pPr>
              <w:tabs>
                <w:tab w:val="center" w:pos="4680"/>
              </w:tabs>
              <w:suppressAutoHyphens/>
              <w:rPr>
                <w:spacing w:val="-2"/>
                <w:szCs w:val="22"/>
              </w:rPr>
            </w:pPr>
            <w:r w:rsidRPr="00193A4F">
              <w:rPr>
                <w:spacing w:val="-2"/>
                <w:szCs w:val="22"/>
              </w:rPr>
              <w:t>In the Matter of</w:t>
            </w:r>
          </w:p>
          <w:p w14:paraId="08CB6C6E" w14:textId="77777777" w:rsidR="004C2EE3" w:rsidRPr="00193A4F" w:rsidRDefault="004C2EE3">
            <w:pPr>
              <w:tabs>
                <w:tab w:val="center" w:pos="4680"/>
              </w:tabs>
              <w:suppressAutoHyphens/>
              <w:rPr>
                <w:spacing w:val="-2"/>
                <w:szCs w:val="22"/>
              </w:rPr>
            </w:pPr>
          </w:p>
          <w:p w14:paraId="7D3F9F24" w14:textId="7D0307F8" w:rsidR="002C65A5" w:rsidRPr="002C65A5" w:rsidRDefault="00332D08" w:rsidP="002C65A5">
            <w:pPr>
              <w:tabs>
                <w:tab w:val="center" w:pos="4680"/>
              </w:tabs>
              <w:suppressAutoHyphens/>
              <w:rPr>
                <w:szCs w:val="22"/>
              </w:rPr>
            </w:pPr>
            <w:r>
              <w:rPr>
                <w:szCs w:val="22"/>
              </w:rPr>
              <w:t>Latin Broadcasting Company</w:t>
            </w:r>
          </w:p>
          <w:p w14:paraId="0CC920DE" w14:textId="77777777" w:rsidR="002C65A5" w:rsidRPr="002C65A5" w:rsidRDefault="002C65A5" w:rsidP="002C65A5">
            <w:pPr>
              <w:tabs>
                <w:tab w:val="center" w:pos="4680"/>
              </w:tabs>
              <w:suppressAutoHyphens/>
              <w:rPr>
                <w:szCs w:val="22"/>
              </w:rPr>
            </w:pPr>
          </w:p>
          <w:p w14:paraId="1AFE90A2" w14:textId="1CF95FFE" w:rsidR="002C65A5" w:rsidRPr="002C65A5" w:rsidRDefault="00332D08" w:rsidP="002C65A5">
            <w:pPr>
              <w:tabs>
                <w:tab w:val="center" w:pos="4680"/>
              </w:tabs>
              <w:suppressAutoHyphens/>
              <w:rPr>
                <w:szCs w:val="22"/>
              </w:rPr>
            </w:pPr>
            <w:r>
              <w:rPr>
                <w:szCs w:val="22"/>
              </w:rPr>
              <w:t>Owner of Antenna Structure Number 1250803</w:t>
            </w:r>
          </w:p>
          <w:p w14:paraId="32FF623B" w14:textId="42C2B6AE" w:rsidR="002C65A5" w:rsidRPr="002C65A5" w:rsidRDefault="00332D08" w:rsidP="002C65A5">
            <w:pPr>
              <w:tabs>
                <w:tab w:val="center" w:pos="4680"/>
              </w:tabs>
              <w:suppressAutoHyphens/>
              <w:rPr>
                <w:szCs w:val="22"/>
              </w:rPr>
            </w:pPr>
            <w:r>
              <w:rPr>
                <w:szCs w:val="22"/>
              </w:rPr>
              <w:t>Dallas Center, IA</w:t>
            </w:r>
          </w:p>
          <w:p w14:paraId="7F0B7254" w14:textId="0B2C3627" w:rsidR="004C2EE3" w:rsidRPr="00193A4F" w:rsidRDefault="004C2EE3" w:rsidP="007115F7">
            <w:pPr>
              <w:tabs>
                <w:tab w:val="center" w:pos="4680"/>
              </w:tabs>
              <w:suppressAutoHyphens/>
              <w:rPr>
                <w:spacing w:val="-2"/>
                <w:szCs w:val="22"/>
              </w:rPr>
            </w:pPr>
          </w:p>
        </w:tc>
        <w:tc>
          <w:tcPr>
            <w:tcW w:w="630" w:type="dxa"/>
          </w:tcPr>
          <w:p w14:paraId="752DED75" w14:textId="77777777" w:rsidR="004C2EE3" w:rsidRPr="00193A4F" w:rsidRDefault="004C2EE3">
            <w:pPr>
              <w:tabs>
                <w:tab w:val="center" w:pos="4680"/>
              </w:tabs>
              <w:suppressAutoHyphens/>
              <w:rPr>
                <w:b/>
                <w:spacing w:val="-2"/>
                <w:szCs w:val="22"/>
              </w:rPr>
            </w:pPr>
            <w:r w:rsidRPr="00193A4F">
              <w:rPr>
                <w:b/>
                <w:spacing w:val="-2"/>
                <w:szCs w:val="22"/>
              </w:rPr>
              <w:t>)</w:t>
            </w:r>
          </w:p>
          <w:p w14:paraId="7DFBA5C0" w14:textId="77777777" w:rsidR="004C2EE3" w:rsidRPr="002A6579" w:rsidRDefault="004C2EE3">
            <w:pPr>
              <w:tabs>
                <w:tab w:val="center" w:pos="4680"/>
              </w:tabs>
              <w:suppressAutoHyphens/>
              <w:rPr>
                <w:b/>
                <w:spacing w:val="-2"/>
                <w:szCs w:val="22"/>
              </w:rPr>
            </w:pPr>
            <w:r w:rsidRPr="00193A4F">
              <w:rPr>
                <w:b/>
                <w:spacing w:val="-2"/>
                <w:szCs w:val="22"/>
              </w:rPr>
              <w:t>)</w:t>
            </w:r>
          </w:p>
          <w:p w14:paraId="3A12A785" w14:textId="77777777" w:rsidR="004C2EE3" w:rsidRPr="002A6579" w:rsidRDefault="004C2EE3">
            <w:pPr>
              <w:tabs>
                <w:tab w:val="center" w:pos="4680"/>
              </w:tabs>
              <w:suppressAutoHyphens/>
              <w:rPr>
                <w:b/>
                <w:spacing w:val="-2"/>
                <w:szCs w:val="22"/>
              </w:rPr>
            </w:pPr>
            <w:r w:rsidRPr="00193A4F">
              <w:rPr>
                <w:b/>
                <w:spacing w:val="-2"/>
                <w:szCs w:val="22"/>
              </w:rPr>
              <w:t>)</w:t>
            </w:r>
          </w:p>
          <w:p w14:paraId="78B15B06" w14:textId="77777777" w:rsidR="004C2EE3" w:rsidRPr="002A6579" w:rsidRDefault="004C2EE3">
            <w:pPr>
              <w:tabs>
                <w:tab w:val="center" w:pos="4680"/>
              </w:tabs>
              <w:suppressAutoHyphens/>
              <w:rPr>
                <w:b/>
                <w:spacing w:val="-2"/>
                <w:szCs w:val="22"/>
              </w:rPr>
            </w:pPr>
            <w:r w:rsidRPr="00193A4F">
              <w:rPr>
                <w:b/>
                <w:spacing w:val="-2"/>
                <w:szCs w:val="22"/>
              </w:rPr>
              <w:t>)</w:t>
            </w:r>
          </w:p>
          <w:p w14:paraId="46FE00D9" w14:textId="77777777" w:rsidR="004C2EE3" w:rsidRPr="002A6579" w:rsidRDefault="004C2EE3" w:rsidP="002D0E6B">
            <w:pPr>
              <w:tabs>
                <w:tab w:val="center" w:pos="4680"/>
              </w:tabs>
              <w:suppressAutoHyphens/>
              <w:rPr>
                <w:b/>
                <w:spacing w:val="-2"/>
                <w:szCs w:val="22"/>
              </w:rPr>
            </w:pPr>
            <w:r w:rsidRPr="00193A4F">
              <w:rPr>
                <w:b/>
                <w:spacing w:val="-2"/>
                <w:szCs w:val="22"/>
              </w:rPr>
              <w:t>)</w:t>
            </w:r>
          </w:p>
          <w:p w14:paraId="7796DA16" w14:textId="1ECED3ED" w:rsidR="009B6595" w:rsidRPr="002C65A5" w:rsidRDefault="002C65A5" w:rsidP="002D0E6B">
            <w:pPr>
              <w:tabs>
                <w:tab w:val="center" w:pos="4680"/>
              </w:tabs>
              <w:suppressAutoHyphens/>
              <w:rPr>
                <w:b/>
                <w:spacing w:val="-2"/>
                <w:szCs w:val="22"/>
              </w:rPr>
            </w:pPr>
            <w:r>
              <w:rPr>
                <w:b/>
                <w:spacing w:val="-2"/>
                <w:szCs w:val="22"/>
              </w:rPr>
              <w:t>)</w:t>
            </w:r>
          </w:p>
        </w:tc>
        <w:tc>
          <w:tcPr>
            <w:tcW w:w="4248" w:type="dxa"/>
          </w:tcPr>
          <w:p w14:paraId="71398589" w14:textId="77777777" w:rsidR="009B6595" w:rsidRPr="002A6579" w:rsidRDefault="009B6595" w:rsidP="002D0E6B">
            <w:pPr>
              <w:widowControl/>
              <w:tabs>
                <w:tab w:val="center" w:pos="4680"/>
              </w:tabs>
              <w:suppressAutoHyphens/>
              <w:rPr>
                <w:szCs w:val="22"/>
              </w:rPr>
            </w:pPr>
          </w:p>
          <w:p w14:paraId="46C4C93D" w14:textId="77777777" w:rsidR="009B6595" w:rsidRPr="002A6579" w:rsidRDefault="009B6595" w:rsidP="002D0E6B">
            <w:pPr>
              <w:widowControl/>
              <w:tabs>
                <w:tab w:val="center" w:pos="4680"/>
              </w:tabs>
              <w:suppressAutoHyphens/>
              <w:rPr>
                <w:szCs w:val="22"/>
              </w:rPr>
            </w:pPr>
          </w:p>
          <w:p w14:paraId="0668F55E" w14:textId="2DDD8606" w:rsidR="002D0E6B" w:rsidRPr="00193A4F" w:rsidRDefault="00933174" w:rsidP="002D0E6B">
            <w:pPr>
              <w:widowControl/>
              <w:tabs>
                <w:tab w:val="center" w:pos="4680"/>
              </w:tabs>
              <w:suppressAutoHyphens/>
              <w:rPr>
                <w:szCs w:val="22"/>
              </w:rPr>
            </w:pPr>
            <w:r w:rsidRPr="00193A4F">
              <w:rPr>
                <w:szCs w:val="22"/>
              </w:rPr>
              <w:t>File No.:  EB-</w:t>
            </w:r>
            <w:r w:rsidR="00332D08">
              <w:rPr>
                <w:szCs w:val="22"/>
              </w:rPr>
              <w:t>FIEL</w:t>
            </w:r>
            <w:r w:rsidR="005176D3">
              <w:rPr>
                <w:szCs w:val="22"/>
              </w:rPr>
              <w:t>D</w:t>
            </w:r>
            <w:r w:rsidR="00332D08">
              <w:rPr>
                <w:szCs w:val="22"/>
              </w:rPr>
              <w:t>SC</w:t>
            </w:r>
            <w:r w:rsidR="002C65A5">
              <w:rPr>
                <w:szCs w:val="22"/>
              </w:rPr>
              <w:t>R-12</w:t>
            </w:r>
            <w:r w:rsidRPr="00193A4F">
              <w:rPr>
                <w:szCs w:val="22"/>
              </w:rPr>
              <w:t>-</w:t>
            </w:r>
            <w:r w:rsidR="00332D08">
              <w:rPr>
                <w:szCs w:val="22"/>
              </w:rPr>
              <w:t>00003967</w:t>
            </w:r>
          </w:p>
          <w:p w14:paraId="29023089" w14:textId="1C6EF719" w:rsidR="00F4143A" w:rsidRPr="00193A4F" w:rsidRDefault="00F4143A" w:rsidP="00F4143A">
            <w:pPr>
              <w:widowControl/>
              <w:tabs>
                <w:tab w:val="center" w:pos="4680"/>
              </w:tabs>
              <w:suppressAutoHyphens/>
              <w:rPr>
                <w:szCs w:val="22"/>
              </w:rPr>
            </w:pPr>
            <w:r w:rsidRPr="00193A4F">
              <w:rPr>
                <w:szCs w:val="22"/>
              </w:rPr>
              <w:t xml:space="preserve">NAL/Acct. No.:  </w:t>
            </w:r>
            <w:r w:rsidR="00332D08">
              <w:rPr>
                <w:szCs w:val="22"/>
              </w:rPr>
              <w:t>201332560004</w:t>
            </w:r>
          </w:p>
          <w:p w14:paraId="215145B3" w14:textId="015FC114" w:rsidR="002D0E6B" w:rsidRDefault="00F4143A" w:rsidP="002D0E6B">
            <w:pPr>
              <w:widowControl/>
              <w:tabs>
                <w:tab w:val="center" w:pos="4680"/>
              </w:tabs>
              <w:suppressAutoHyphens/>
              <w:rPr>
                <w:szCs w:val="22"/>
              </w:rPr>
            </w:pPr>
            <w:r w:rsidRPr="00193A4F">
              <w:rPr>
                <w:szCs w:val="22"/>
              </w:rPr>
              <w:t xml:space="preserve">FRN:  </w:t>
            </w:r>
            <w:r w:rsidR="00332D08" w:rsidRPr="00783B16">
              <w:rPr>
                <w:noProof/>
                <w:color w:val="000000"/>
              </w:rPr>
              <w:t>0003763976</w:t>
            </w:r>
          </w:p>
          <w:p w14:paraId="3E8ED468" w14:textId="5D62BA5B" w:rsidR="002C65A5" w:rsidRDefault="002C65A5" w:rsidP="002D0E6B">
            <w:pPr>
              <w:widowControl/>
              <w:tabs>
                <w:tab w:val="center" w:pos="4680"/>
              </w:tabs>
              <w:suppressAutoHyphens/>
              <w:rPr>
                <w:szCs w:val="22"/>
              </w:rPr>
            </w:pPr>
          </w:p>
          <w:p w14:paraId="45EBA48A" w14:textId="3E5DA14F" w:rsidR="004C2EE3" w:rsidRPr="00193A4F" w:rsidRDefault="004C2EE3">
            <w:pPr>
              <w:tabs>
                <w:tab w:val="center" w:pos="4680"/>
              </w:tabs>
              <w:suppressAutoHyphens/>
              <w:rPr>
                <w:snapToGrid/>
                <w:spacing w:val="-2"/>
                <w:szCs w:val="22"/>
              </w:rPr>
            </w:pPr>
          </w:p>
        </w:tc>
      </w:tr>
    </w:tbl>
    <w:p w14:paraId="6B557C79" w14:textId="08776490" w:rsidR="00841AB1" w:rsidRPr="00193A4F" w:rsidRDefault="00F9736C" w:rsidP="00F021FA">
      <w:pPr>
        <w:pStyle w:val="StyleBoldCentered"/>
        <w:rPr>
          <w:rFonts w:ascii="Times New Roman" w:hAnsi="Times New Roman"/>
        </w:rPr>
      </w:pPr>
      <w:r w:rsidRPr="00193A4F">
        <w:rPr>
          <w:rFonts w:ascii="Times New Roman" w:hAnsi="Times New Roman"/>
        </w:rPr>
        <w:t>MEMORANDUM OPINION AND ORDER</w:t>
      </w:r>
    </w:p>
    <w:p w14:paraId="49952817" w14:textId="77777777" w:rsidR="004C2EE3" w:rsidRPr="00193A4F" w:rsidRDefault="004C2EE3">
      <w:pPr>
        <w:tabs>
          <w:tab w:val="left" w:pos="-720"/>
        </w:tabs>
        <w:suppressAutoHyphens/>
        <w:spacing w:line="227" w:lineRule="auto"/>
        <w:rPr>
          <w:spacing w:val="-2"/>
          <w:szCs w:val="22"/>
        </w:rPr>
      </w:pPr>
    </w:p>
    <w:p w14:paraId="7A2FD70A" w14:textId="401B60FA" w:rsidR="004C2EE3" w:rsidRPr="00193A4F" w:rsidRDefault="00332D08" w:rsidP="00133F79">
      <w:pPr>
        <w:tabs>
          <w:tab w:val="left" w:pos="720"/>
          <w:tab w:val="right" w:pos="9360"/>
        </w:tabs>
        <w:suppressAutoHyphens/>
        <w:spacing w:line="227" w:lineRule="auto"/>
        <w:rPr>
          <w:spacing w:val="-2"/>
          <w:szCs w:val="22"/>
        </w:rPr>
      </w:pPr>
      <w:r>
        <w:rPr>
          <w:b/>
          <w:spacing w:val="-2"/>
          <w:szCs w:val="22"/>
        </w:rPr>
        <w:t xml:space="preserve">Adopted:  </w:t>
      </w:r>
      <w:r w:rsidR="00B908B4">
        <w:rPr>
          <w:b/>
          <w:spacing w:val="-2"/>
          <w:szCs w:val="22"/>
        </w:rPr>
        <w:t>August 21</w:t>
      </w:r>
      <w:r w:rsidR="0045002D">
        <w:rPr>
          <w:b/>
          <w:spacing w:val="-2"/>
          <w:szCs w:val="22"/>
        </w:rPr>
        <w:t>, 2015</w:t>
      </w:r>
      <w:r w:rsidR="004C2EE3" w:rsidRPr="00193A4F">
        <w:rPr>
          <w:b/>
          <w:spacing w:val="-2"/>
          <w:szCs w:val="22"/>
        </w:rPr>
        <w:tab/>
      </w:r>
      <w:r w:rsidR="00822CE0" w:rsidRPr="00193A4F">
        <w:rPr>
          <w:b/>
          <w:spacing w:val="-2"/>
          <w:szCs w:val="22"/>
        </w:rPr>
        <w:t>Released</w:t>
      </w:r>
      <w:r w:rsidR="004C2EE3" w:rsidRPr="00193A4F">
        <w:rPr>
          <w:b/>
          <w:spacing w:val="-2"/>
          <w:szCs w:val="22"/>
        </w:rPr>
        <w:t>:</w:t>
      </w:r>
      <w:r w:rsidR="00822CE0" w:rsidRPr="00193A4F">
        <w:rPr>
          <w:b/>
          <w:spacing w:val="-2"/>
          <w:szCs w:val="22"/>
        </w:rPr>
        <w:t xml:space="preserve"> </w:t>
      </w:r>
      <w:r w:rsidR="004C2EE3" w:rsidRPr="00193A4F">
        <w:rPr>
          <w:b/>
          <w:spacing w:val="-2"/>
          <w:szCs w:val="22"/>
        </w:rPr>
        <w:t xml:space="preserve"> </w:t>
      </w:r>
      <w:r w:rsidR="00B908B4">
        <w:rPr>
          <w:b/>
          <w:spacing w:val="-2"/>
          <w:szCs w:val="22"/>
        </w:rPr>
        <w:t>August 21</w:t>
      </w:r>
      <w:r w:rsidR="0045002D">
        <w:rPr>
          <w:b/>
          <w:spacing w:val="-2"/>
          <w:szCs w:val="22"/>
        </w:rPr>
        <w:t>, 2015</w:t>
      </w:r>
    </w:p>
    <w:p w14:paraId="18598EED" w14:textId="77777777" w:rsidR="00822CE0" w:rsidRPr="00193A4F" w:rsidRDefault="00822CE0">
      <w:pPr>
        <w:rPr>
          <w:szCs w:val="22"/>
        </w:rPr>
      </w:pPr>
    </w:p>
    <w:p w14:paraId="3ECCC9FA" w14:textId="32F26D7C" w:rsidR="004C2EE3" w:rsidRPr="00193A4F" w:rsidRDefault="004C2EE3">
      <w:pPr>
        <w:rPr>
          <w:spacing w:val="-2"/>
          <w:szCs w:val="22"/>
        </w:rPr>
      </w:pPr>
      <w:r w:rsidRPr="00193A4F">
        <w:rPr>
          <w:szCs w:val="22"/>
        </w:rPr>
        <w:t xml:space="preserve">By </w:t>
      </w:r>
      <w:r w:rsidR="004E4A22" w:rsidRPr="00193A4F">
        <w:rPr>
          <w:szCs w:val="22"/>
        </w:rPr>
        <w:t>the</w:t>
      </w:r>
      <w:r w:rsidR="002A2D2E" w:rsidRPr="00193A4F">
        <w:rPr>
          <w:szCs w:val="22"/>
        </w:rPr>
        <w:t xml:space="preserve"> </w:t>
      </w:r>
      <w:r w:rsidR="002C65A5">
        <w:rPr>
          <w:szCs w:val="22"/>
        </w:rPr>
        <w:t xml:space="preserve">Regional Director, </w:t>
      </w:r>
      <w:r w:rsidR="00332D08">
        <w:rPr>
          <w:szCs w:val="22"/>
        </w:rPr>
        <w:t>South Central</w:t>
      </w:r>
      <w:r w:rsidR="002C65A5">
        <w:rPr>
          <w:szCs w:val="22"/>
        </w:rPr>
        <w:t xml:space="preserve"> Region,</w:t>
      </w:r>
      <w:r w:rsidR="00160A7F" w:rsidRPr="00193A4F">
        <w:rPr>
          <w:szCs w:val="22"/>
        </w:rPr>
        <w:t xml:space="preserve"> Enforcement Bureau</w:t>
      </w:r>
      <w:r w:rsidRPr="00193A4F">
        <w:rPr>
          <w:spacing w:val="-2"/>
          <w:szCs w:val="22"/>
        </w:rPr>
        <w:t>:</w:t>
      </w:r>
    </w:p>
    <w:p w14:paraId="516D5848" w14:textId="77777777" w:rsidR="00350348" w:rsidRPr="00193A4F" w:rsidRDefault="00350348">
      <w:pPr>
        <w:rPr>
          <w:spacing w:val="-2"/>
          <w:szCs w:val="22"/>
          <w:vertAlign w:val="subscript"/>
        </w:rPr>
      </w:pPr>
    </w:p>
    <w:p w14:paraId="6AE0A18A" w14:textId="4D9D8A37" w:rsidR="00160A7F" w:rsidRPr="00193A4F" w:rsidRDefault="001E7BB8" w:rsidP="006E5991">
      <w:pPr>
        <w:pStyle w:val="ParaNum"/>
        <w:rPr>
          <w:szCs w:val="22"/>
        </w:rPr>
      </w:pPr>
      <w:r>
        <w:rPr>
          <w:szCs w:val="22"/>
        </w:rPr>
        <w:t>We dismiss as untimely</w:t>
      </w:r>
      <w:r w:rsidR="00FD0D34" w:rsidRPr="00193A4F">
        <w:rPr>
          <w:szCs w:val="22"/>
        </w:rPr>
        <w:t xml:space="preserve"> the </w:t>
      </w:r>
      <w:r w:rsidR="0083291F" w:rsidRPr="00193A4F">
        <w:rPr>
          <w:szCs w:val="22"/>
        </w:rPr>
        <w:t xml:space="preserve">Petition for Reconsideration </w:t>
      </w:r>
      <w:r w:rsidR="003D14EB">
        <w:rPr>
          <w:szCs w:val="22"/>
        </w:rPr>
        <w:t xml:space="preserve">(Petition) </w:t>
      </w:r>
      <w:r w:rsidR="0083291F" w:rsidRPr="00193A4F">
        <w:rPr>
          <w:szCs w:val="22"/>
        </w:rPr>
        <w:t xml:space="preserve">filed by </w:t>
      </w:r>
      <w:r w:rsidR="00332D08">
        <w:rPr>
          <w:szCs w:val="22"/>
        </w:rPr>
        <w:t>Latin Broadcasting Company</w:t>
      </w:r>
      <w:r w:rsidR="002C65A5" w:rsidRPr="002C65A5">
        <w:rPr>
          <w:szCs w:val="22"/>
        </w:rPr>
        <w:t xml:space="preserve"> (</w:t>
      </w:r>
      <w:r w:rsidR="00332D08">
        <w:rPr>
          <w:szCs w:val="22"/>
        </w:rPr>
        <w:t>LBC</w:t>
      </w:r>
      <w:r w:rsidR="002C65A5" w:rsidRPr="002C65A5">
        <w:rPr>
          <w:szCs w:val="22"/>
        </w:rPr>
        <w:t>)</w:t>
      </w:r>
      <w:r w:rsidR="002C65A5">
        <w:rPr>
          <w:szCs w:val="22"/>
        </w:rPr>
        <w:t xml:space="preserve">, </w:t>
      </w:r>
      <w:r w:rsidR="00332D08">
        <w:rPr>
          <w:szCs w:val="22"/>
        </w:rPr>
        <w:t>owner of a</w:t>
      </w:r>
      <w:r w:rsidR="007D565D">
        <w:rPr>
          <w:szCs w:val="22"/>
        </w:rPr>
        <w:t>ntenna structure number 1250803 in</w:t>
      </w:r>
      <w:r w:rsidR="00332D08">
        <w:rPr>
          <w:szCs w:val="22"/>
        </w:rPr>
        <w:t xml:space="preserve"> Dallas Center</w:t>
      </w:r>
      <w:r w:rsidR="007D565D">
        <w:rPr>
          <w:szCs w:val="22"/>
        </w:rPr>
        <w:t>,</w:t>
      </w:r>
      <w:r w:rsidR="00332D08">
        <w:rPr>
          <w:szCs w:val="22"/>
        </w:rPr>
        <w:t xml:space="preserve"> Iowa (the Antenna Structure)</w:t>
      </w:r>
      <w:r w:rsidR="002C65A5">
        <w:rPr>
          <w:szCs w:val="22"/>
        </w:rPr>
        <w:t xml:space="preserve">, </w:t>
      </w:r>
      <w:r w:rsidR="0083291F" w:rsidRPr="00193A4F">
        <w:rPr>
          <w:szCs w:val="22"/>
        </w:rPr>
        <w:t xml:space="preserve">seeking reconsideration of </w:t>
      </w:r>
      <w:r w:rsidR="004608C0">
        <w:rPr>
          <w:szCs w:val="22"/>
        </w:rPr>
        <w:t xml:space="preserve">the </w:t>
      </w:r>
      <w:r w:rsidR="002C65A5">
        <w:rPr>
          <w:szCs w:val="22"/>
        </w:rPr>
        <w:t>Forfeiture Order</w:t>
      </w:r>
      <w:r w:rsidR="00FD0D34" w:rsidRPr="00193A4F">
        <w:rPr>
          <w:szCs w:val="22"/>
        </w:rPr>
        <w:t xml:space="preserve"> issued by the Enforcement Bureau</w:t>
      </w:r>
      <w:r w:rsidR="0083291F" w:rsidRPr="00193A4F">
        <w:rPr>
          <w:szCs w:val="22"/>
        </w:rPr>
        <w:t xml:space="preserve">.  In the </w:t>
      </w:r>
      <w:r w:rsidR="002C65A5">
        <w:rPr>
          <w:szCs w:val="22"/>
        </w:rPr>
        <w:t>Forfeiture Order</w:t>
      </w:r>
      <w:r w:rsidR="00000990" w:rsidRPr="00193A4F">
        <w:rPr>
          <w:szCs w:val="22"/>
        </w:rPr>
        <w:t>,</w:t>
      </w:r>
      <w:r w:rsidR="0083291F" w:rsidRPr="00193A4F">
        <w:rPr>
          <w:szCs w:val="22"/>
        </w:rPr>
        <w:t xml:space="preserve"> the </w:t>
      </w:r>
      <w:r w:rsidR="00FD0D34" w:rsidRPr="002A6579">
        <w:rPr>
          <w:szCs w:val="22"/>
        </w:rPr>
        <w:t>Enforcement Bureau</w:t>
      </w:r>
      <w:r w:rsidR="0083291F" w:rsidRPr="00193A4F">
        <w:rPr>
          <w:szCs w:val="22"/>
        </w:rPr>
        <w:t xml:space="preserve"> </w:t>
      </w:r>
      <w:r w:rsidR="00FD0D34" w:rsidRPr="00193A4F">
        <w:rPr>
          <w:szCs w:val="22"/>
        </w:rPr>
        <w:t xml:space="preserve">imposed a forfeiture of </w:t>
      </w:r>
      <w:r w:rsidR="00332D08">
        <w:rPr>
          <w:szCs w:val="22"/>
        </w:rPr>
        <w:t>$11,000</w:t>
      </w:r>
      <w:r w:rsidR="00FD0D34" w:rsidRPr="00193A4F">
        <w:rPr>
          <w:szCs w:val="22"/>
        </w:rPr>
        <w:t xml:space="preserve"> against</w:t>
      </w:r>
      <w:r w:rsidR="0083291F" w:rsidRPr="00193A4F">
        <w:rPr>
          <w:szCs w:val="22"/>
        </w:rPr>
        <w:t xml:space="preserve"> </w:t>
      </w:r>
      <w:r w:rsidR="00332D08">
        <w:rPr>
          <w:szCs w:val="22"/>
        </w:rPr>
        <w:t>LBC</w:t>
      </w:r>
      <w:r w:rsidR="0083291F" w:rsidRPr="00193A4F">
        <w:rPr>
          <w:szCs w:val="22"/>
        </w:rPr>
        <w:t xml:space="preserve"> </w:t>
      </w:r>
      <w:r w:rsidR="00FD0D34" w:rsidRPr="00193A4F">
        <w:rPr>
          <w:szCs w:val="22"/>
        </w:rPr>
        <w:t xml:space="preserve">for </w:t>
      </w:r>
      <w:r w:rsidR="002C65A5" w:rsidRPr="002C65A5">
        <w:rPr>
          <w:szCs w:val="22"/>
        </w:rPr>
        <w:t xml:space="preserve">willfully and repeatedly violating </w:t>
      </w:r>
      <w:r w:rsidR="00332D08" w:rsidRPr="00783B16">
        <w:t>Section 303(q) of the Communications Act of 1934, as amended (Act)</w:t>
      </w:r>
      <w:r w:rsidR="00332D08" w:rsidRPr="00783B16">
        <w:rPr>
          <w:rStyle w:val="FootnoteReference"/>
        </w:rPr>
        <w:footnoteReference w:id="2"/>
      </w:r>
      <w:r w:rsidR="00332D08" w:rsidRPr="00783B16">
        <w:t xml:space="preserve"> and Sections 17.48(a), 17.51(a), and 17.57</w:t>
      </w:r>
      <w:r w:rsidR="00332D08" w:rsidRPr="00783B16">
        <w:rPr>
          <w:b/>
        </w:rPr>
        <w:t xml:space="preserve"> </w:t>
      </w:r>
      <w:r w:rsidR="00332D08" w:rsidRPr="00783B16">
        <w:t>of the Commission’s rules (Rules)</w:t>
      </w:r>
      <w:r w:rsidR="00332D08" w:rsidRPr="00783B16">
        <w:rPr>
          <w:rStyle w:val="FootnoteReference"/>
        </w:rPr>
        <w:footnoteReference w:id="3"/>
      </w:r>
      <w:r w:rsidR="002C65A5" w:rsidRPr="002C65A5">
        <w:rPr>
          <w:szCs w:val="22"/>
        </w:rPr>
        <w:t xml:space="preserve"> by </w:t>
      </w:r>
      <w:r w:rsidR="00332D08">
        <w:rPr>
          <w:spacing w:val="-2"/>
        </w:rPr>
        <w:t xml:space="preserve">failing to </w:t>
      </w:r>
      <w:r w:rsidR="007D565D">
        <w:rPr>
          <w:spacing w:val="-2"/>
        </w:rPr>
        <w:t>exhibit required lighting on the Antenna S</w:t>
      </w:r>
      <w:r w:rsidR="00332D08">
        <w:rPr>
          <w:spacing w:val="-2"/>
        </w:rPr>
        <w:t>tructure, notify the Federal Aviation Administration (FAA) of the lighting outage, and inform the Commission regarding a change in antenna structure ownership information.</w:t>
      </w:r>
    </w:p>
    <w:p w14:paraId="4DB17633" w14:textId="2EDEC207" w:rsidR="001E7BB8" w:rsidRDefault="001E7BB8" w:rsidP="00336D51">
      <w:pPr>
        <w:pStyle w:val="ParaNum"/>
        <w:widowControl/>
        <w:rPr>
          <w:szCs w:val="22"/>
        </w:rPr>
      </w:pPr>
      <w:r w:rsidRPr="00A03CFB">
        <w:rPr>
          <w:rStyle w:val="documentbody"/>
        </w:rPr>
        <w:t>Section</w:t>
      </w:r>
      <w:r w:rsidRPr="00A03CFB">
        <w:rPr>
          <w:szCs w:val="22"/>
        </w:rPr>
        <w:t xml:space="preserve"> 405(a) of the Act</w:t>
      </w:r>
      <w:r>
        <w:rPr>
          <w:szCs w:val="22"/>
        </w:rPr>
        <w:t>, as implemented in Section 1.106(f) of the Rules,</w:t>
      </w:r>
      <w:r w:rsidR="003D14EB">
        <w:rPr>
          <w:szCs w:val="22"/>
        </w:rPr>
        <w:t xml:space="preserve"> </w:t>
      </w:r>
      <w:r>
        <w:rPr>
          <w:szCs w:val="22"/>
        </w:rPr>
        <w:t xml:space="preserve">requires a petition for reconsideration to be filed </w:t>
      </w:r>
      <w:r w:rsidRPr="007A5E36">
        <w:rPr>
          <w:i/>
          <w:szCs w:val="22"/>
        </w:rPr>
        <w:t>within</w:t>
      </w:r>
      <w:r>
        <w:rPr>
          <w:szCs w:val="22"/>
        </w:rPr>
        <w:t xml:space="preserve"> thirty (30) days of the date from which public notice of the action is given.</w:t>
      </w:r>
      <w:r w:rsidRPr="00A03CFB">
        <w:rPr>
          <w:rStyle w:val="FootnoteReference"/>
          <w:szCs w:val="22"/>
        </w:rPr>
        <w:footnoteReference w:id="4"/>
      </w:r>
      <w:r w:rsidR="003D14EB">
        <w:rPr>
          <w:szCs w:val="22"/>
        </w:rPr>
        <w:t xml:space="preserve">  P</w:t>
      </w:r>
      <w:r w:rsidRPr="00A03CFB">
        <w:rPr>
          <w:szCs w:val="22"/>
        </w:rPr>
        <w:t xml:space="preserve">ublic notice of the </w:t>
      </w:r>
      <w:r>
        <w:rPr>
          <w:szCs w:val="22"/>
        </w:rPr>
        <w:t xml:space="preserve">action </w:t>
      </w:r>
      <w:r w:rsidR="003D14EB">
        <w:rPr>
          <w:szCs w:val="22"/>
        </w:rPr>
        <w:t xml:space="preserve">in this case </w:t>
      </w:r>
      <w:r>
        <w:rPr>
          <w:szCs w:val="22"/>
        </w:rPr>
        <w:t xml:space="preserve">was given </w:t>
      </w:r>
      <w:r w:rsidRPr="00A03CFB">
        <w:rPr>
          <w:szCs w:val="22"/>
        </w:rPr>
        <w:t>on</w:t>
      </w:r>
      <w:r>
        <w:rPr>
          <w:szCs w:val="22"/>
        </w:rPr>
        <w:t xml:space="preserve"> July 15, 2014</w:t>
      </w:r>
      <w:r w:rsidRPr="00A03CFB">
        <w:rPr>
          <w:szCs w:val="22"/>
        </w:rPr>
        <w:t xml:space="preserve">, </w:t>
      </w:r>
      <w:r>
        <w:rPr>
          <w:szCs w:val="22"/>
        </w:rPr>
        <w:t xml:space="preserve">the date the </w:t>
      </w:r>
      <w:r w:rsidRPr="001E7BB8">
        <w:rPr>
          <w:szCs w:val="22"/>
        </w:rPr>
        <w:t>Forfeiture Order</w:t>
      </w:r>
      <w:r>
        <w:rPr>
          <w:szCs w:val="22"/>
        </w:rPr>
        <w:t xml:space="preserve"> was released.</w:t>
      </w:r>
      <w:r>
        <w:rPr>
          <w:rStyle w:val="FootnoteReference"/>
          <w:szCs w:val="22"/>
        </w:rPr>
        <w:footnoteReference w:id="5"/>
      </w:r>
      <w:r>
        <w:rPr>
          <w:szCs w:val="22"/>
        </w:rPr>
        <w:t xml:space="preserve">  Therefore, a petition for reconsideration of the </w:t>
      </w:r>
      <w:r w:rsidRPr="001E7BB8">
        <w:rPr>
          <w:szCs w:val="22"/>
        </w:rPr>
        <w:t xml:space="preserve">Forfeiture Order </w:t>
      </w:r>
      <w:r>
        <w:rPr>
          <w:szCs w:val="22"/>
        </w:rPr>
        <w:t>had to be filed with the Commission by August 14, 2014</w:t>
      </w:r>
      <w:r w:rsidR="003D14EB">
        <w:rPr>
          <w:szCs w:val="22"/>
        </w:rPr>
        <w:t xml:space="preserve"> </w:t>
      </w:r>
      <w:r>
        <w:rPr>
          <w:szCs w:val="22"/>
        </w:rPr>
        <w:t>in order to be considered timely.</w:t>
      </w:r>
      <w:r w:rsidRPr="00A03CFB">
        <w:rPr>
          <w:rStyle w:val="FootnoteReference"/>
          <w:szCs w:val="22"/>
        </w:rPr>
        <w:footnoteReference w:id="6"/>
      </w:r>
      <w:r w:rsidRPr="00A03CFB">
        <w:rPr>
          <w:szCs w:val="22"/>
        </w:rPr>
        <w:t xml:space="preserve">  </w:t>
      </w:r>
      <w:r>
        <w:rPr>
          <w:szCs w:val="22"/>
        </w:rPr>
        <w:t>LB</w:t>
      </w:r>
      <w:r w:rsidR="003D14EB">
        <w:rPr>
          <w:szCs w:val="22"/>
        </w:rPr>
        <w:t>C’s Petition</w:t>
      </w:r>
      <w:r>
        <w:rPr>
          <w:szCs w:val="22"/>
        </w:rPr>
        <w:t xml:space="preserve">, however, was not filed </w:t>
      </w:r>
      <w:r w:rsidR="003D14EB">
        <w:rPr>
          <w:szCs w:val="22"/>
        </w:rPr>
        <w:t xml:space="preserve">with the Commission </w:t>
      </w:r>
      <w:r>
        <w:rPr>
          <w:szCs w:val="22"/>
        </w:rPr>
        <w:t>until August 18</w:t>
      </w:r>
      <w:r w:rsidRPr="00A03CFB">
        <w:rPr>
          <w:szCs w:val="22"/>
        </w:rPr>
        <w:t>, 20</w:t>
      </w:r>
      <w:r>
        <w:rPr>
          <w:szCs w:val="22"/>
        </w:rPr>
        <w:t>14.</w:t>
      </w:r>
      <w:r>
        <w:rPr>
          <w:rStyle w:val="FootnoteReference"/>
          <w:szCs w:val="22"/>
        </w:rPr>
        <w:footnoteReference w:id="7"/>
      </w:r>
      <w:r>
        <w:rPr>
          <w:szCs w:val="22"/>
        </w:rPr>
        <w:t xml:space="preserve">  The time period for filing petitions for reconsideration is prescribed by statute, and the Commission may not, with one narrow exception</w:t>
      </w:r>
      <w:r w:rsidR="003D14EB">
        <w:rPr>
          <w:szCs w:val="22"/>
        </w:rPr>
        <w:t xml:space="preserve"> not applicable here</w:t>
      </w:r>
      <w:r>
        <w:rPr>
          <w:szCs w:val="22"/>
        </w:rPr>
        <w:t>, waive or extend the filing period.</w:t>
      </w:r>
      <w:r>
        <w:rPr>
          <w:rStyle w:val="FootnoteReference"/>
          <w:szCs w:val="22"/>
        </w:rPr>
        <w:footnoteReference w:id="8"/>
      </w:r>
      <w:r>
        <w:rPr>
          <w:szCs w:val="22"/>
        </w:rPr>
        <w:t xml:space="preserve">  Because we have no basis to extend or waive the 30-day filing period, we must dismiss LBC’s Petition</w:t>
      </w:r>
      <w:r w:rsidR="003D14EB">
        <w:rPr>
          <w:szCs w:val="22"/>
        </w:rPr>
        <w:t xml:space="preserve"> as untimely</w:t>
      </w:r>
      <w:r>
        <w:rPr>
          <w:szCs w:val="22"/>
        </w:rPr>
        <w:t>.</w:t>
      </w:r>
      <w:r w:rsidRPr="00A03CFB">
        <w:rPr>
          <w:rStyle w:val="FootnoteReference"/>
          <w:szCs w:val="22"/>
        </w:rPr>
        <w:footnoteReference w:id="9"/>
      </w:r>
    </w:p>
    <w:p w14:paraId="46A20DBD" w14:textId="3B3C4C56" w:rsidR="006F6E7B" w:rsidRPr="00D77F6B" w:rsidRDefault="001E7BB8" w:rsidP="007D10F1">
      <w:pPr>
        <w:pStyle w:val="ParaNum"/>
        <w:rPr>
          <w:szCs w:val="22"/>
        </w:rPr>
      </w:pPr>
      <w:r>
        <w:rPr>
          <w:szCs w:val="22"/>
        </w:rPr>
        <w:lastRenderedPageBreak/>
        <w:t xml:space="preserve">Even if we were to consider LBC’s </w:t>
      </w:r>
      <w:r w:rsidR="00160A7F" w:rsidRPr="00D77F6B">
        <w:rPr>
          <w:szCs w:val="22"/>
        </w:rPr>
        <w:t xml:space="preserve">Petition </w:t>
      </w:r>
      <w:r w:rsidR="003D14EB">
        <w:rPr>
          <w:szCs w:val="22"/>
        </w:rPr>
        <w:t>on its merits</w:t>
      </w:r>
      <w:r>
        <w:rPr>
          <w:szCs w:val="22"/>
        </w:rPr>
        <w:t>, we would deny it.</w:t>
      </w:r>
      <w:r w:rsidR="00FD0D34" w:rsidRPr="00D77F6B">
        <w:rPr>
          <w:spacing w:val="-2"/>
        </w:rPr>
        <w:t xml:space="preserve">  </w:t>
      </w:r>
      <w:r w:rsidR="00FD0D34" w:rsidRPr="00193A4F">
        <w:t>Reconside</w:t>
      </w:r>
      <w:r w:rsidR="006E5991" w:rsidRPr="00193A4F">
        <w:t>ration is appropriate only when</w:t>
      </w:r>
      <w:r w:rsidR="00FD0D34" w:rsidRPr="00193A4F">
        <w:t xml:space="preserve"> the petitioner either demonstrates a material error or omission in the underlying order or raises additional facts not known or not existing until after the petitioner’s last opportunity to present such matters.</w:t>
      </w:r>
      <w:r w:rsidR="00000990" w:rsidRPr="00193A4F">
        <w:rPr>
          <w:rStyle w:val="FootnoteReference"/>
        </w:rPr>
        <w:footnoteReference w:id="10"/>
      </w:r>
      <w:r w:rsidR="00FD0D34" w:rsidRPr="00193A4F">
        <w:t xml:space="preserve">  </w:t>
      </w:r>
      <w:r w:rsidR="007202AE">
        <w:t>LBC’</w:t>
      </w:r>
      <w:r w:rsidR="00D77F6B" w:rsidRPr="00D77F6B">
        <w:rPr>
          <w:szCs w:val="22"/>
        </w:rPr>
        <w:t>s</w:t>
      </w:r>
      <w:r w:rsidR="00FD0D34" w:rsidRPr="00D77F6B">
        <w:rPr>
          <w:szCs w:val="22"/>
        </w:rPr>
        <w:t xml:space="preserve"> Pet</w:t>
      </w:r>
      <w:r w:rsidR="00D26F9D" w:rsidRPr="00D77F6B">
        <w:rPr>
          <w:szCs w:val="22"/>
        </w:rPr>
        <w:t xml:space="preserve">ition fails to present such information warranting reconsideration.  </w:t>
      </w:r>
      <w:r w:rsidR="007202AE">
        <w:rPr>
          <w:szCs w:val="22"/>
        </w:rPr>
        <w:t>It</w:t>
      </w:r>
      <w:r w:rsidR="00D77F6B" w:rsidRPr="00D77F6B">
        <w:rPr>
          <w:szCs w:val="22"/>
        </w:rPr>
        <w:t xml:space="preserve"> r</w:t>
      </w:r>
      <w:r w:rsidR="003D14EB">
        <w:rPr>
          <w:szCs w:val="22"/>
        </w:rPr>
        <w:t xml:space="preserve">eiterates an argument previously </w:t>
      </w:r>
      <w:r w:rsidR="00375570">
        <w:rPr>
          <w:szCs w:val="22"/>
        </w:rPr>
        <w:t xml:space="preserve">presented </w:t>
      </w:r>
      <w:r w:rsidR="003D14EB">
        <w:rPr>
          <w:szCs w:val="22"/>
        </w:rPr>
        <w:t>to the Enforcement Bureau and rejected</w:t>
      </w:r>
      <w:r w:rsidR="00D77F6B" w:rsidRPr="00D77F6B">
        <w:rPr>
          <w:szCs w:val="22"/>
        </w:rPr>
        <w:t xml:space="preserve">: that the </w:t>
      </w:r>
      <w:r w:rsidR="003D14EB">
        <w:rPr>
          <w:szCs w:val="22"/>
        </w:rPr>
        <w:t xml:space="preserve">$11,000 </w:t>
      </w:r>
      <w:r w:rsidR="00D77F6B" w:rsidRPr="00D77F6B">
        <w:rPr>
          <w:szCs w:val="22"/>
        </w:rPr>
        <w:t xml:space="preserve">penalty </w:t>
      </w:r>
      <w:r w:rsidR="003D14EB">
        <w:rPr>
          <w:szCs w:val="22"/>
        </w:rPr>
        <w:t xml:space="preserve">imposed </w:t>
      </w:r>
      <w:r w:rsidR="00D77F6B" w:rsidRPr="00D77F6B">
        <w:rPr>
          <w:szCs w:val="22"/>
        </w:rPr>
        <w:t>is unenforceable under the Small Business Regulatory Enforcement and Fairness Act of 1996 (SBREFA)</w:t>
      </w:r>
      <w:r w:rsidR="00D77F6B" w:rsidRPr="00D77F6B">
        <w:rPr>
          <w:szCs w:val="22"/>
          <w:vertAlign w:val="superscript"/>
        </w:rPr>
        <w:footnoteReference w:id="11"/>
      </w:r>
      <w:r w:rsidR="00D77F6B" w:rsidRPr="00D77F6B">
        <w:rPr>
          <w:szCs w:val="22"/>
        </w:rPr>
        <w:t xml:space="preserve"> because the Commission allegedly never complied with its obligations under </w:t>
      </w:r>
      <w:r w:rsidR="00D77F6B">
        <w:rPr>
          <w:szCs w:val="22"/>
        </w:rPr>
        <w:t xml:space="preserve">the </w:t>
      </w:r>
      <w:r w:rsidR="00D77F6B" w:rsidRPr="00D77F6B">
        <w:rPr>
          <w:szCs w:val="22"/>
        </w:rPr>
        <w:t>SBREFA.</w:t>
      </w:r>
      <w:r w:rsidR="00D77F6B" w:rsidRPr="00D77F6B">
        <w:rPr>
          <w:szCs w:val="22"/>
          <w:vertAlign w:val="superscript"/>
        </w:rPr>
        <w:footnoteReference w:id="12"/>
      </w:r>
      <w:r w:rsidR="00AA11E8">
        <w:rPr>
          <w:szCs w:val="22"/>
        </w:rPr>
        <w:t xml:space="preserve">  We note that the Commission recently affirmed its determination that it has complied with its obligations under the SBREFA.</w:t>
      </w:r>
      <w:r w:rsidR="00AA11E8">
        <w:rPr>
          <w:rStyle w:val="FootnoteReference"/>
          <w:szCs w:val="22"/>
        </w:rPr>
        <w:footnoteReference w:id="13"/>
      </w:r>
      <w:r w:rsidR="00D77F6B" w:rsidRPr="00D77F6B">
        <w:rPr>
          <w:szCs w:val="22"/>
        </w:rPr>
        <w:t xml:space="preserve">  </w:t>
      </w:r>
      <w:r w:rsidR="00A40D81">
        <w:rPr>
          <w:szCs w:val="22"/>
        </w:rPr>
        <w:t xml:space="preserve">It also reiterates </w:t>
      </w:r>
      <w:r w:rsidR="003D14EB">
        <w:rPr>
          <w:szCs w:val="22"/>
        </w:rPr>
        <w:t xml:space="preserve">another argument previously rejected by the Enforcement Bureau that imposing </w:t>
      </w:r>
      <w:r w:rsidR="00A40D81">
        <w:rPr>
          <w:szCs w:val="22"/>
        </w:rPr>
        <w:t>a $4,000 forfeiture for failing to report a pro forma ownership c</w:t>
      </w:r>
      <w:r w:rsidR="00E716E3">
        <w:rPr>
          <w:szCs w:val="22"/>
        </w:rPr>
        <w:t>hange is excessive.</w:t>
      </w:r>
      <w:r w:rsidR="00B744B2">
        <w:rPr>
          <w:rStyle w:val="FootnoteReference"/>
          <w:szCs w:val="22"/>
        </w:rPr>
        <w:footnoteReference w:id="14"/>
      </w:r>
      <w:r w:rsidR="00E716E3">
        <w:rPr>
          <w:szCs w:val="22"/>
        </w:rPr>
        <w:t xml:space="preserve">  </w:t>
      </w:r>
      <w:r w:rsidR="00A40D81">
        <w:rPr>
          <w:szCs w:val="22"/>
        </w:rPr>
        <w:t xml:space="preserve">As the </w:t>
      </w:r>
      <w:r w:rsidR="003D14EB">
        <w:rPr>
          <w:szCs w:val="22"/>
        </w:rPr>
        <w:t xml:space="preserve">Enforcement </w:t>
      </w:r>
      <w:r w:rsidR="00E716E3">
        <w:rPr>
          <w:szCs w:val="22"/>
        </w:rPr>
        <w:t xml:space="preserve">Bureau </w:t>
      </w:r>
      <w:r w:rsidR="00482340">
        <w:rPr>
          <w:szCs w:val="22"/>
        </w:rPr>
        <w:t xml:space="preserve">noted </w:t>
      </w:r>
      <w:r w:rsidR="003D14EB">
        <w:rPr>
          <w:szCs w:val="22"/>
        </w:rPr>
        <w:t xml:space="preserve">in the Forfeiture Order, </w:t>
      </w:r>
      <w:r w:rsidR="00482340">
        <w:rPr>
          <w:szCs w:val="22"/>
        </w:rPr>
        <w:t xml:space="preserve">Section 17.57 of the Rules requires owners to notify the Commission of </w:t>
      </w:r>
      <w:r w:rsidR="00482340">
        <w:rPr>
          <w:i/>
          <w:szCs w:val="22"/>
        </w:rPr>
        <w:t xml:space="preserve">any </w:t>
      </w:r>
      <w:r w:rsidR="00482340">
        <w:rPr>
          <w:szCs w:val="22"/>
        </w:rPr>
        <w:t>change in ownership, not only those involving a change of control</w:t>
      </w:r>
      <w:r w:rsidR="00B15B1F">
        <w:rPr>
          <w:szCs w:val="22"/>
        </w:rPr>
        <w:t>,</w:t>
      </w:r>
      <w:r w:rsidR="00482340">
        <w:rPr>
          <w:szCs w:val="22"/>
        </w:rPr>
        <w:t xml:space="preserve"> and </w:t>
      </w:r>
      <w:r w:rsidR="00B15B1F">
        <w:rPr>
          <w:szCs w:val="22"/>
        </w:rPr>
        <w:t xml:space="preserve">it is undisputed that </w:t>
      </w:r>
      <w:r w:rsidR="00482340">
        <w:rPr>
          <w:szCs w:val="22"/>
        </w:rPr>
        <w:t>LBC failed to comply with that requirement for over three and a half years.</w:t>
      </w:r>
      <w:r w:rsidR="003D14EB">
        <w:rPr>
          <w:rStyle w:val="FootnoteReference"/>
          <w:szCs w:val="22"/>
        </w:rPr>
        <w:footnoteReference w:id="15"/>
      </w:r>
      <w:r w:rsidR="00482340">
        <w:rPr>
          <w:szCs w:val="22"/>
        </w:rPr>
        <w:t xml:space="preserve">  </w:t>
      </w:r>
      <w:r w:rsidR="00B15B1F">
        <w:rPr>
          <w:szCs w:val="22"/>
        </w:rPr>
        <w:t>We find no material error in the Bureau’s decision</w:t>
      </w:r>
      <w:r w:rsidR="00482340">
        <w:rPr>
          <w:szCs w:val="22"/>
        </w:rPr>
        <w:t>.</w:t>
      </w:r>
      <w:r w:rsidR="00E716E3">
        <w:rPr>
          <w:rStyle w:val="FootnoteReference"/>
          <w:szCs w:val="22"/>
        </w:rPr>
        <w:footnoteReference w:id="16"/>
      </w:r>
      <w:r w:rsidR="00482340">
        <w:rPr>
          <w:szCs w:val="22"/>
        </w:rPr>
        <w:t xml:space="preserve">  </w:t>
      </w:r>
      <w:r>
        <w:rPr>
          <w:szCs w:val="22"/>
        </w:rPr>
        <w:t>Therefore, even if the Petition was not time barred, we would</w:t>
      </w:r>
      <w:r w:rsidR="00AA11E8">
        <w:rPr>
          <w:szCs w:val="22"/>
        </w:rPr>
        <w:t xml:space="preserve"> </w:t>
      </w:r>
      <w:r w:rsidR="00D26F9D" w:rsidRPr="00D77F6B">
        <w:rPr>
          <w:szCs w:val="22"/>
        </w:rPr>
        <w:t xml:space="preserve">find that the </w:t>
      </w:r>
      <w:r w:rsidR="00FD0D34" w:rsidRPr="00D77F6B">
        <w:rPr>
          <w:szCs w:val="22"/>
        </w:rPr>
        <w:t>Enforcement Bureau</w:t>
      </w:r>
      <w:r w:rsidR="006F6E7B" w:rsidRPr="00D77F6B">
        <w:rPr>
          <w:szCs w:val="22"/>
        </w:rPr>
        <w:t xml:space="preserve"> properly decided the matter raised</w:t>
      </w:r>
      <w:r>
        <w:rPr>
          <w:szCs w:val="22"/>
        </w:rPr>
        <w:t xml:space="preserve"> and</w:t>
      </w:r>
      <w:r w:rsidR="006F6E7B" w:rsidRPr="00D77F6B">
        <w:rPr>
          <w:szCs w:val="22"/>
        </w:rPr>
        <w:t xml:space="preserve"> uphold the </w:t>
      </w:r>
      <w:r w:rsidR="00D77F6B">
        <w:rPr>
          <w:szCs w:val="22"/>
        </w:rPr>
        <w:t>Forfeiture</w:t>
      </w:r>
      <w:r w:rsidR="006F6E7B" w:rsidRPr="00D77F6B">
        <w:rPr>
          <w:szCs w:val="22"/>
        </w:rPr>
        <w:t xml:space="preserve"> Order for the reasons stated therein.</w:t>
      </w:r>
      <w:r w:rsidR="00D77F6B">
        <w:rPr>
          <w:szCs w:val="22"/>
        </w:rPr>
        <w:t xml:space="preserve">  </w:t>
      </w:r>
    </w:p>
    <w:p w14:paraId="51F5E6FF" w14:textId="7F2AB4F6" w:rsidR="009C3F66" w:rsidRPr="00193A4F" w:rsidRDefault="009C3F66" w:rsidP="00B56A00">
      <w:pPr>
        <w:pStyle w:val="ParaNum"/>
        <w:widowControl/>
      </w:pPr>
      <w:r w:rsidRPr="00193A4F">
        <w:t xml:space="preserve">Accordingly, </w:t>
      </w:r>
      <w:r w:rsidRPr="00193A4F">
        <w:rPr>
          <w:b/>
        </w:rPr>
        <w:t xml:space="preserve">IT IS ORDERED </w:t>
      </w:r>
      <w:r w:rsidRPr="00193A4F">
        <w:t>that, pursu</w:t>
      </w:r>
      <w:r w:rsidR="003D14EB">
        <w:t>ant to Section 405 of the Act</w:t>
      </w:r>
      <w:r w:rsidR="00CF4791" w:rsidRPr="00193A4F">
        <w:t xml:space="preserve"> </w:t>
      </w:r>
      <w:r w:rsidRPr="00193A4F">
        <w:t xml:space="preserve">and Section 1.106 of the </w:t>
      </w:r>
      <w:r w:rsidR="00D26F9D" w:rsidRPr="00193A4F">
        <w:t>Rules</w:t>
      </w:r>
      <w:r w:rsidRPr="00193A4F">
        <w:t xml:space="preserve">, the Petition for Reconsideration filed by </w:t>
      </w:r>
      <w:r w:rsidR="00B744B2">
        <w:t>Latin Broadcasting Company</w:t>
      </w:r>
      <w:r w:rsidR="00D94881" w:rsidRPr="00D94881">
        <w:t xml:space="preserve"> </w:t>
      </w:r>
      <w:r w:rsidR="001D7942" w:rsidRPr="00193A4F">
        <w:rPr>
          <w:spacing w:val="-2"/>
        </w:rPr>
        <w:t xml:space="preserve">is </w:t>
      </w:r>
      <w:r w:rsidRPr="00193A4F">
        <w:rPr>
          <w:spacing w:val="-2"/>
        </w:rPr>
        <w:t xml:space="preserve">hereby </w:t>
      </w:r>
      <w:r w:rsidR="001E7BB8">
        <w:rPr>
          <w:b/>
        </w:rPr>
        <w:t>DISMISSED</w:t>
      </w:r>
      <w:r w:rsidRPr="00193A4F">
        <w:t>.</w:t>
      </w:r>
      <w:r w:rsidR="00000990" w:rsidRPr="00193A4F">
        <w:rPr>
          <w:rStyle w:val="FootnoteReference"/>
        </w:rPr>
        <w:footnoteReference w:id="17"/>
      </w:r>
    </w:p>
    <w:p w14:paraId="61ABAE95" w14:textId="5C19E591" w:rsidR="009C3F66" w:rsidRPr="00193A4F" w:rsidRDefault="009C3F66" w:rsidP="00336D51">
      <w:pPr>
        <w:pStyle w:val="ParaNum"/>
        <w:widowControl/>
      </w:pPr>
      <w:r w:rsidRPr="00193A4F">
        <w:rPr>
          <w:b/>
        </w:rPr>
        <w:t>IT IS FURTHER ORDERED</w:t>
      </w:r>
      <w:r w:rsidRPr="00193A4F">
        <w:t xml:space="preserve"> that, pursuant to Section 503(b) of the </w:t>
      </w:r>
      <w:r w:rsidR="00D26F9D" w:rsidRPr="00193A4F">
        <w:t>Act</w:t>
      </w:r>
      <w:r w:rsidR="00901425" w:rsidRPr="00193A4F">
        <w:t xml:space="preserve"> </w:t>
      </w:r>
      <w:r w:rsidRPr="00193A4F">
        <w:t>and Sections 0.111, 0.311</w:t>
      </w:r>
      <w:r w:rsidR="00D26F9D" w:rsidRPr="00193A4F">
        <w:t>, and 1.80 of the R</w:t>
      </w:r>
      <w:r w:rsidRPr="00193A4F">
        <w:t xml:space="preserve">ules, </w:t>
      </w:r>
      <w:r w:rsidR="00B744B2">
        <w:t>Latin Broadcasting Company</w:t>
      </w:r>
      <w:r w:rsidR="00D94881" w:rsidRPr="00D94881">
        <w:t xml:space="preserve"> </w:t>
      </w:r>
      <w:r w:rsidRPr="00193A4F">
        <w:rPr>
          <w:b/>
        </w:rPr>
        <w:t>IS LIABLE FOR A MONETARY FORFEITURE</w:t>
      </w:r>
      <w:r w:rsidRPr="00193A4F">
        <w:t xml:space="preserve"> of </w:t>
      </w:r>
      <w:r w:rsidR="00B744B2">
        <w:t>eleven</w:t>
      </w:r>
      <w:r w:rsidR="00650953">
        <w:t xml:space="preserve"> thousand dollars (</w:t>
      </w:r>
      <w:r w:rsidR="00B744B2">
        <w:t>$11,0</w:t>
      </w:r>
      <w:r w:rsidR="00D94881">
        <w:t>00</w:t>
      </w:r>
      <w:r w:rsidR="00650953">
        <w:t>)</w:t>
      </w:r>
      <w:r w:rsidR="00D26F9D" w:rsidRPr="00193A4F">
        <w:t xml:space="preserve"> for </w:t>
      </w:r>
      <w:r w:rsidR="00B744B2">
        <w:t xml:space="preserve">violation of </w:t>
      </w:r>
      <w:r w:rsidR="00B744B2" w:rsidRPr="00783B16">
        <w:t>Section 303(q) of the Act and Sections 17.48(a), 17.51(a), and 17.57</w:t>
      </w:r>
      <w:r w:rsidR="00B744B2" w:rsidRPr="00783B16">
        <w:rPr>
          <w:b/>
        </w:rPr>
        <w:t xml:space="preserve"> </w:t>
      </w:r>
      <w:r w:rsidR="00B744B2">
        <w:t>of the Rules</w:t>
      </w:r>
      <w:r w:rsidRPr="00193A4F">
        <w:t>.</w:t>
      </w:r>
      <w:r w:rsidR="00000990" w:rsidRPr="00193A4F">
        <w:rPr>
          <w:rStyle w:val="FootnoteReference"/>
        </w:rPr>
        <w:footnoteReference w:id="18"/>
      </w:r>
    </w:p>
    <w:p w14:paraId="12558431" w14:textId="4F440190" w:rsidR="0083291F" w:rsidRPr="00193A4F" w:rsidRDefault="0083291F" w:rsidP="006E5991">
      <w:pPr>
        <w:pStyle w:val="ParaNum"/>
        <w:widowControl/>
        <w:tabs>
          <w:tab w:val="left" w:pos="360"/>
        </w:tabs>
        <w:rPr>
          <w:rFonts w:eastAsia="MS Mincho"/>
          <w:color w:val="000000"/>
          <w:szCs w:val="22"/>
        </w:rPr>
      </w:pPr>
      <w:r w:rsidRPr="00193A4F">
        <w:rPr>
          <w:rFonts w:eastAsia="MS Mincho"/>
          <w:szCs w:val="22"/>
        </w:rPr>
        <w:t>Payment of the forfeiture shall be made in the manner provided for in Sectio</w:t>
      </w:r>
      <w:r w:rsidR="00D26F9D" w:rsidRPr="00193A4F">
        <w:rPr>
          <w:rFonts w:eastAsia="MS Mincho"/>
          <w:szCs w:val="22"/>
        </w:rPr>
        <w:t>n 1.80 of the Rules</w:t>
      </w:r>
      <w:r w:rsidRPr="00193A4F">
        <w:rPr>
          <w:rFonts w:eastAsia="MS Mincho"/>
          <w:szCs w:val="22"/>
        </w:rPr>
        <w:t xml:space="preserve"> within thirty (30) calendar days after the release date of this Memorandum Opinion</w:t>
      </w:r>
      <w:r w:rsidR="00901425" w:rsidRPr="00193A4F">
        <w:rPr>
          <w:rFonts w:eastAsia="MS Mincho"/>
          <w:szCs w:val="22"/>
        </w:rPr>
        <w:t xml:space="preserve"> and</w:t>
      </w:r>
      <w:r w:rsidRPr="00193A4F">
        <w:rPr>
          <w:rFonts w:eastAsia="MS Mincho"/>
          <w:szCs w:val="22"/>
        </w:rPr>
        <w:t xml:space="preserve"> Order.</w:t>
      </w:r>
      <w:r w:rsidR="005224CB" w:rsidRPr="00193A4F">
        <w:rPr>
          <w:rStyle w:val="FootnoteReference"/>
          <w:rFonts w:eastAsia="MS Mincho"/>
          <w:szCs w:val="22"/>
        </w:rPr>
        <w:footnoteReference w:id="19"/>
      </w:r>
      <w:r w:rsidRPr="00193A4F">
        <w:rPr>
          <w:rFonts w:eastAsia="MS Mincho"/>
          <w:szCs w:val="22"/>
        </w:rPr>
        <w:t xml:space="preserve">  If </w:t>
      </w:r>
      <w:r w:rsidRPr="00193A4F">
        <w:rPr>
          <w:rFonts w:eastAsia="MS Mincho"/>
          <w:szCs w:val="22"/>
        </w:rPr>
        <w:lastRenderedPageBreak/>
        <w:t>the forfeiture is not paid within the period specified, the case may be referred to the U.S. Department of Justice for enforcement of the forfeiture pursuant</w:t>
      </w:r>
      <w:r w:rsidR="00D26F9D" w:rsidRPr="00193A4F">
        <w:rPr>
          <w:rFonts w:eastAsia="MS Mincho"/>
          <w:szCs w:val="22"/>
        </w:rPr>
        <w:t xml:space="preserve"> to Section 504(a) of the Act</w:t>
      </w:r>
      <w:r w:rsidRPr="00193A4F">
        <w:rPr>
          <w:rFonts w:eastAsia="MS Mincho"/>
          <w:szCs w:val="22"/>
        </w:rPr>
        <w:t>.</w:t>
      </w:r>
      <w:r w:rsidR="005224CB" w:rsidRPr="00193A4F">
        <w:rPr>
          <w:rStyle w:val="FootnoteReference"/>
          <w:rFonts w:eastAsia="MS Mincho"/>
          <w:szCs w:val="22"/>
        </w:rPr>
        <w:footnoteReference w:id="20"/>
      </w:r>
      <w:r w:rsidRPr="00193A4F">
        <w:rPr>
          <w:rFonts w:eastAsia="MS Mincho"/>
          <w:szCs w:val="22"/>
        </w:rPr>
        <w:t xml:space="preserve">  </w:t>
      </w:r>
    </w:p>
    <w:p w14:paraId="75BCFB27" w14:textId="428E96D9" w:rsidR="0083291F" w:rsidRPr="00193A4F" w:rsidRDefault="00193A4F" w:rsidP="006E5991">
      <w:pPr>
        <w:pStyle w:val="ParaNum"/>
        <w:widowControl/>
        <w:rPr>
          <w:rFonts w:eastAsia="MS Mincho"/>
          <w:szCs w:val="22"/>
        </w:rPr>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B744B2">
        <w:rPr>
          <w:szCs w:val="22"/>
        </w:rPr>
        <w:t>Latin Broadcasting Company</w:t>
      </w:r>
      <w:r w:rsidRPr="006D73F2">
        <w:rPr>
          <w:szCs w:val="22"/>
        </w:rPr>
        <w:t xml:space="preserve"> shall send electronic notification </w:t>
      </w:r>
      <w:r>
        <w:rPr>
          <w:szCs w:val="22"/>
        </w:rPr>
        <w:t xml:space="preserve">of </w:t>
      </w:r>
      <w:r w:rsidRPr="006D73F2">
        <w:rPr>
          <w:szCs w:val="22"/>
        </w:rPr>
        <w:t xml:space="preserve">payment to </w:t>
      </w:r>
      <w:r w:rsidR="00B744B2">
        <w:rPr>
          <w:szCs w:val="22"/>
        </w:rPr>
        <w:t>SC</w:t>
      </w:r>
      <w:r w:rsidR="00D94881">
        <w:rPr>
          <w:szCs w:val="22"/>
        </w:rPr>
        <w:t>R-Response@fcc.gov</w:t>
      </w:r>
      <w:r w:rsidRPr="006D73F2">
        <w:rPr>
          <w:szCs w:val="22"/>
        </w:rPr>
        <w:t xml:space="preserve"> on the date said payment is made.</w:t>
      </w:r>
      <w:r>
        <w:rPr>
          <w:szCs w:val="22"/>
        </w:rPr>
        <w:t xml:space="preserve">  </w:t>
      </w:r>
      <w:r w:rsidR="0083291F" w:rsidRPr="00193A4F">
        <w:rPr>
          <w:rFonts w:eastAsia="MS Mincho"/>
          <w:szCs w:val="22"/>
        </w:rPr>
        <w:t>Regardless of the form of payment, a completed FCC Form 159 (Remittance Advice) must be submitted.</w:t>
      </w:r>
      <w:r w:rsidR="005224CB" w:rsidRPr="00193A4F">
        <w:rPr>
          <w:rStyle w:val="FootnoteReference"/>
          <w:rFonts w:eastAsia="MS Mincho"/>
          <w:szCs w:val="22"/>
        </w:rPr>
        <w:footnoteReference w:id="21"/>
      </w:r>
      <w:r w:rsidR="0083291F" w:rsidRPr="00193A4F">
        <w:rPr>
          <w:rFonts w:eastAsia="MS Mincho"/>
          <w:szCs w:val="22"/>
        </w:rPr>
        <w:t xml:space="preserve">  When completing the FCC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r w:rsidR="0083291F" w:rsidRPr="00193A4F">
        <w:rPr>
          <w:color w:val="000000"/>
          <w:szCs w:val="22"/>
        </w:rPr>
        <w:t xml:space="preserve">  </w:t>
      </w:r>
    </w:p>
    <w:p w14:paraId="6DFBFF93" w14:textId="77777777" w:rsidR="0083291F" w:rsidRPr="00193A4F" w:rsidRDefault="0083291F" w:rsidP="006E5991">
      <w:pPr>
        <w:pStyle w:val="ParaNum"/>
        <w:keepLines/>
        <w:widowControl/>
        <w:numPr>
          <w:ilvl w:val="0"/>
          <w:numId w:val="8"/>
        </w:numPr>
        <w:tabs>
          <w:tab w:val="clear" w:pos="1080"/>
        </w:tabs>
        <w:rPr>
          <w:rFonts w:eastAsia="MS Mincho"/>
          <w:szCs w:val="22"/>
        </w:rPr>
      </w:pPr>
      <w:r w:rsidRPr="00193A4F">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7788A6B5" w14:textId="77777777" w:rsidR="0083291F" w:rsidRPr="00193A4F" w:rsidRDefault="0083291F" w:rsidP="006E5991">
      <w:pPr>
        <w:pStyle w:val="ParaNum"/>
        <w:keepNext/>
        <w:keepLines/>
        <w:widowControl/>
        <w:numPr>
          <w:ilvl w:val="0"/>
          <w:numId w:val="8"/>
        </w:numPr>
        <w:tabs>
          <w:tab w:val="clear" w:pos="1080"/>
        </w:tabs>
        <w:rPr>
          <w:rFonts w:eastAsia="MS Mincho"/>
          <w:szCs w:val="22"/>
        </w:rPr>
      </w:pPr>
      <w:r w:rsidRPr="00193A4F">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07054C8" w14:textId="77777777" w:rsidR="0083291F" w:rsidRPr="00193A4F" w:rsidRDefault="0083291F" w:rsidP="006E5991">
      <w:pPr>
        <w:pStyle w:val="ParaNum"/>
        <w:widowControl/>
        <w:numPr>
          <w:ilvl w:val="0"/>
          <w:numId w:val="8"/>
        </w:numPr>
        <w:tabs>
          <w:tab w:val="clear" w:pos="1080"/>
        </w:tabs>
        <w:rPr>
          <w:rFonts w:eastAsia="MS Mincho"/>
          <w:szCs w:val="22"/>
        </w:rPr>
      </w:pPr>
      <w:r w:rsidRPr="00193A4F">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87CF0F3" w14:textId="60BE2A7F" w:rsidR="001E7BB8" w:rsidRPr="00336D51" w:rsidRDefault="0083291F" w:rsidP="00336D51">
      <w:pPr>
        <w:pStyle w:val="ParaNum"/>
      </w:pPr>
      <w:r w:rsidRPr="00743D1E">
        <w:rPr>
          <w:rFonts w:eastAsia="MS Mincho"/>
        </w:rPr>
        <w:t>Any request for making full payment over time under an installment plan should be sent to:  Chief Financial Officer—Financial Operations, Federal Communications Commission, 445 12th Street, S.W., Room 1-A625, Washington, DC 20554.</w:t>
      </w:r>
      <w:r w:rsidR="006C1286" w:rsidRPr="00336D51">
        <w:rPr>
          <w:rStyle w:val="FootnoteReference"/>
          <w:rFonts w:eastAsia="MS Mincho"/>
          <w:sz w:val="22"/>
        </w:rPr>
        <w:footnoteReference w:id="22"/>
      </w:r>
      <w:r w:rsidRPr="00743D1E">
        <w:rPr>
          <w:rFonts w:eastAsia="MS Mincho"/>
        </w:rPr>
        <w:t xml:space="preserve">  </w:t>
      </w:r>
      <w:r w:rsidR="00E815FC" w:rsidRPr="00743D1E">
        <w:rPr>
          <w:rFonts w:eastAsia="MS Mincho"/>
        </w:rPr>
        <w:t>Q</w:t>
      </w:r>
      <w:r w:rsidRPr="00743D1E">
        <w:rPr>
          <w:rFonts w:eastAsia="MS Mincho"/>
        </w:rPr>
        <w:t>uestions re</w:t>
      </w:r>
      <w:r w:rsidR="00E815FC" w:rsidRPr="00743D1E">
        <w:rPr>
          <w:rFonts w:eastAsia="MS Mincho"/>
        </w:rPr>
        <w:t>garding payment procedures s</w:t>
      </w:r>
      <w:r w:rsidRPr="00743D1E">
        <w:rPr>
          <w:rFonts w:eastAsia="MS Mincho"/>
        </w:rPr>
        <w:t xml:space="preserve">hould </w:t>
      </w:r>
      <w:r w:rsidR="00E815FC" w:rsidRPr="00743D1E">
        <w:rPr>
          <w:rFonts w:eastAsia="MS Mincho"/>
        </w:rPr>
        <w:t>be directed to</w:t>
      </w:r>
      <w:r w:rsidRPr="00743D1E">
        <w:rPr>
          <w:rFonts w:eastAsia="MS Mincho"/>
        </w:rPr>
        <w:t xml:space="preserve"> the Financial Operations Group Help Desk by phone, 1-877-480-3201, or by e</w:t>
      </w:r>
      <w:r w:rsidRPr="00743D1E">
        <w:rPr>
          <w:rFonts w:eastAsia="MS Mincho"/>
        </w:rPr>
        <w:noBreakHyphen/>
        <w:t>mail, ARINQUIRIES@fcc.gov. </w:t>
      </w:r>
    </w:p>
    <w:p w14:paraId="2752011E" w14:textId="77777777" w:rsidR="003D14EB" w:rsidRDefault="003D14EB">
      <w:pPr>
        <w:widowControl/>
        <w:rPr>
          <w:b/>
          <w:szCs w:val="22"/>
        </w:rPr>
      </w:pPr>
      <w:r>
        <w:rPr>
          <w:b/>
          <w:szCs w:val="22"/>
        </w:rPr>
        <w:br w:type="page"/>
      </w:r>
    </w:p>
    <w:p w14:paraId="52C4C46A" w14:textId="6C377A0C" w:rsidR="007A3F4D" w:rsidRPr="007A3F4D" w:rsidRDefault="0083291F" w:rsidP="007A3F4D">
      <w:pPr>
        <w:pStyle w:val="ParaNum"/>
        <w:widowControl/>
        <w:rPr>
          <w:szCs w:val="22"/>
        </w:rPr>
      </w:pPr>
      <w:r w:rsidRPr="00193A4F">
        <w:rPr>
          <w:b/>
          <w:szCs w:val="22"/>
        </w:rPr>
        <w:t>IT IS FURTHER ORDERED</w:t>
      </w:r>
      <w:r w:rsidRPr="00193A4F">
        <w:rPr>
          <w:szCs w:val="22"/>
        </w:rPr>
        <w:t xml:space="preserve"> </w:t>
      </w:r>
      <w:r w:rsidR="00C94F1E" w:rsidRPr="00193A4F">
        <w:rPr>
          <w:szCs w:val="22"/>
        </w:rPr>
        <w:t>that a copy of this Memorandum Opinion and Order</w:t>
      </w:r>
      <w:r w:rsidR="00C94F1E" w:rsidRPr="00193A4F">
        <w:t xml:space="preserve"> </w:t>
      </w:r>
      <w:r w:rsidR="00193A4F" w:rsidRPr="004749BE">
        <w:rPr>
          <w:color w:val="000000" w:themeColor="text1"/>
          <w:szCs w:val="22"/>
        </w:rPr>
        <w:t>shall be sent by first class mail and certified mail, return receipt requested, to</w:t>
      </w:r>
      <w:r w:rsidR="007A3F4D" w:rsidRPr="007A3F4D">
        <w:rPr>
          <w:color w:val="000000" w:themeColor="text1"/>
          <w:szCs w:val="22"/>
        </w:rPr>
        <w:t xml:space="preserve"> </w:t>
      </w:r>
      <w:r w:rsidR="00F213CA">
        <w:rPr>
          <w:color w:val="000000" w:themeColor="text1"/>
          <w:szCs w:val="22"/>
        </w:rPr>
        <w:t>Latin Broadcasting Company,</w:t>
      </w:r>
      <w:r w:rsidR="00F213CA">
        <w:rPr>
          <w:b/>
          <w:color w:val="000000" w:themeColor="text1"/>
          <w:szCs w:val="22"/>
        </w:rPr>
        <w:t xml:space="preserve"> </w:t>
      </w:r>
      <w:r w:rsidR="00F213CA" w:rsidRPr="00783B16">
        <w:rPr>
          <w:color w:val="000000"/>
        </w:rPr>
        <w:t>301 Ashworth Rd., West Des Moines, IA  50265</w:t>
      </w:r>
      <w:r w:rsidR="00F213CA">
        <w:rPr>
          <w:color w:val="000000"/>
        </w:rPr>
        <w:t xml:space="preserve"> and to its counsel, David Tillotson, 4606 Charleston Terrace, NW, Washington, DC 20007</w:t>
      </w:r>
      <w:r w:rsidR="007A3F4D" w:rsidRPr="007A3F4D">
        <w:rPr>
          <w:color w:val="000000" w:themeColor="text1"/>
          <w:szCs w:val="22"/>
        </w:rPr>
        <w:t>-1911.</w:t>
      </w:r>
    </w:p>
    <w:p w14:paraId="787A5A41" w14:textId="61B00493" w:rsidR="002A6579" w:rsidRDefault="007A3F4D" w:rsidP="007A3F4D">
      <w:pPr>
        <w:pStyle w:val="ParaNum"/>
        <w:widowControl/>
        <w:numPr>
          <w:ilvl w:val="0"/>
          <w:numId w:val="0"/>
        </w:numPr>
        <w:ind w:left="720"/>
        <w:rPr>
          <w:szCs w:val="22"/>
        </w:rPr>
      </w:pPr>
      <w:r>
        <w:rPr>
          <w:szCs w:val="22"/>
        </w:rPr>
        <w:t xml:space="preserve"> </w:t>
      </w:r>
    </w:p>
    <w:p w14:paraId="09AD5671" w14:textId="77777777" w:rsidR="0083291F" w:rsidRPr="002A6579" w:rsidRDefault="0083291F" w:rsidP="0083291F">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Pr="002A6579">
        <w:t>FEDERAL COMMUNICATIONS COMMISSION</w:t>
      </w:r>
    </w:p>
    <w:p w14:paraId="18D1D256" w14:textId="77777777" w:rsidR="0083291F" w:rsidRPr="00193A4F" w:rsidRDefault="0083291F" w:rsidP="0083291F">
      <w:pPr>
        <w:rPr>
          <w:szCs w:val="22"/>
        </w:rPr>
      </w:pPr>
    </w:p>
    <w:p w14:paraId="52ECFF9A" w14:textId="77777777" w:rsidR="002D0E6B" w:rsidRDefault="002D0E6B" w:rsidP="002D0E6B">
      <w:pPr>
        <w:rPr>
          <w:szCs w:val="22"/>
        </w:rPr>
      </w:pPr>
    </w:p>
    <w:p w14:paraId="370E7006" w14:textId="77777777" w:rsidR="00F4143A" w:rsidRDefault="00F4143A" w:rsidP="002D0E6B">
      <w:pPr>
        <w:rPr>
          <w:szCs w:val="22"/>
        </w:rPr>
      </w:pPr>
    </w:p>
    <w:p w14:paraId="3FEC5CC3" w14:textId="77777777" w:rsidR="00F4143A" w:rsidRPr="00193A4F" w:rsidRDefault="00F4143A" w:rsidP="002D0E6B">
      <w:pPr>
        <w:rPr>
          <w:szCs w:val="22"/>
        </w:rPr>
      </w:pPr>
    </w:p>
    <w:p w14:paraId="69168D30" w14:textId="138C4F8A" w:rsidR="002D0E6B" w:rsidRDefault="002D0E6B" w:rsidP="002D0E6B">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00F213CA">
        <w:rPr>
          <w:szCs w:val="22"/>
        </w:rPr>
        <w:t>Dennis P. Carlton</w:t>
      </w:r>
    </w:p>
    <w:p w14:paraId="26FB8DFF" w14:textId="44742DED" w:rsidR="007A3F4D" w:rsidRDefault="007A3F4D" w:rsidP="007A3F4D">
      <w:pPr>
        <w:ind w:left="3600" w:firstLine="720"/>
        <w:rPr>
          <w:szCs w:val="22"/>
        </w:rPr>
      </w:pPr>
      <w:r>
        <w:rPr>
          <w:szCs w:val="22"/>
        </w:rPr>
        <w:t>Regional Director</w:t>
      </w:r>
    </w:p>
    <w:p w14:paraId="1636840A" w14:textId="4AB19BA5" w:rsidR="007A3F4D" w:rsidRPr="00193A4F" w:rsidRDefault="00F213CA" w:rsidP="007A3F4D">
      <w:pPr>
        <w:ind w:left="3600" w:firstLine="720"/>
        <w:rPr>
          <w:szCs w:val="22"/>
        </w:rPr>
      </w:pPr>
      <w:r>
        <w:rPr>
          <w:szCs w:val="22"/>
        </w:rPr>
        <w:t>South Central</w:t>
      </w:r>
      <w:r w:rsidR="007A3F4D">
        <w:rPr>
          <w:szCs w:val="22"/>
        </w:rPr>
        <w:t xml:space="preserve"> Region</w:t>
      </w:r>
    </w:p>
    <w:p w14:paraId="17790016" w14:textId="23F8D565" w:rsidR="00B7594D" w:rsidRPr="006E5991" w:rsidRDefault="00160A7F" w:rsidP="008908CE">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t>Enforcement Bureau</w:t>
      </w:r>
    </w:p>
    <w:sectPr w:rsidR="00B7594D" w:rsidRPr="006E5991" w:rsidSect="002A657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952"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0F2E7" w14:textId="77777777" w:rsidR="002F1664" w:rsidRDefault="002F1664" w:rsidP="006E5991">
      <w:r>
        <w:separator/>
      </w:r>
    </w:p>
  </w:endnote>
  <w:endnote w:type="continuationSeparator" w:id="0">
    <w:p w14:paraId="41BB1BCE" w14:textId="77777777" w:rsidR="002F1664" w:rsidRDefault="002F1664" w:rsidP="00B23CDC">
      <w:r>
        <w:continuationSeparator/>
      </w:r>
    </w:p>
  </w:endnote>
  <w:endnote w:type="continuationNotice" w:id="1">
    <w:p w14:paraId="5CDEF61F" w14:textId="77777777" w:rsidR="002F1664" w:rsidRDefault="002F1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4D76" w14:textId="77777777" w:rsidR="005A48CB" w:rsidRDefault="005A4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6101"/>
      <w:docPartObj>
        <w:docPartGallery w:val="Page Numbers (Bottom of Page)"/>
        <w:docPartUnique/>
      </w:docPartObj>
    </w:sdtPr>
    <w:sdtEndPr>
      <w:rPr>
        <w:noProof/>
      </w:rPr>
    </w:sdtEndPr>
    <w:sdtContent>
      <w:p w14:paraId="0576FC45" w14:textId="77777777" w:rsidR="00EA5C9B" w:rsidRDefault="00EA5C9B">
        <w:pPr>
          <w:pStyle w:val="Footer"/>
          <w:jc w:val="center"/>
          <w:rPr>
            <w:noProof/>
          </w:rPr>
        </w:pPr>
        <w:r>
          <w:fldChar w:fldCharType="begin"/>
        </w:r>
        <w:r>
          <w:instrText xml:space="preserve"> PAGE   \* MERGEFORMAT </w:instrText>
        </w:r>
        <w:r>
          <w:fldChar w:fldCharType="separate"/>
        </w:r>
        <w:r w:rsidR="008B3D4F">
          <w:rPr>
            <w:noProof/>
          </w:rPr>
          <w:t>2</w:t>
        </w:r>
        <w:r>
          <w:rPr>
            <w:noProof/>
          </w:rPr>
          <w:fldChar w:fldCharType="end"/>
        </w:r>
      </w:p>
      <w:p w14:paraId="6459FA37" w14:textId="40B885C2" w:rsidR="00EA5C9B" w:rsidRDefault="008B3D4F">
        <w:pPr>
          <w:pStyle w:val="Footer"/>
          <w:jc w:val="center"/>
        </w:pPr>
      </w:p>
    </w:sdtContent>
  </w:sdt>
  <w:p w14:paraId="23743A11" w14:textId="77777777" w:rsidR="000571C2" w:rsidRPr="00332D08" w:rsidRDefault="000571C2" w:rsidP="00332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1F1CB" w14:textId="77777777" w:rsidR="005A48CB" w:rsidRDefault="005A4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1D9A9" w14:textId="77777777" w:rsidR="002F1664" w:rsidRDefault="002F1664" w:rsidP="00B23CDC">
      <w:r>
        <w:separator/>
      </w:r>
    </w:p>
  </w:footnote>
  <w:footnote w:type="continuationSeparator" w:id="0">
    <w:p w14:paraId="061C2B12" w14:textId="77777777" w:rsidR="002F1664" w:rsidRPr="006E5991" w:rsidRDefault="002F1664" w:rsidP="006E5991">
      <w:r>
        <w:continuationSeparator/>
      </w:r>
    </w:p>
  </w:footnote>
  <w:footnote w:type="continuationNotice" w:id="1">
    <w:p w14:paraId="63D60102" w14:textId="77777777" w:rsidR="002F1664" w:rsidRPr="006E5991" w:rsidRDefault="002F1664" w:rsidP="006E5991"/>
  </w:footnote>
  <w:footnote w:id="2">
    <w:p w14:paraId="3C523715" w14:textId="77777777" w:rsidR="00332D08" w:rsidRPr="004C7AA1" w:rsidRDefault="00332D08" w:rsidP="00332D08">
      <w:pPr>
        <w:pStyle w:val="FootnoteText"/>
      </w:pPr>
      <w:r w:rsidRPr="004C7AA1">
        <w:rPr>
          <w:rStyle w:val="FootnoteReference"/>
        </w:rPr>
        <w:footnoteRef/>
      </w:r>
      <w:r w:rsidRPr="004C7AA1">
        <w:t xml:space="preserve"> 47 U.S.C. § 303(q).</w:t>
      </w:r>
    </w:p>
  </w:footnote>
  <w:footnote w:id="3">
    <w:p w14:paraId="3917FD77" w14:textId="77777777" w:rsidR="00332D08" w:rsidRPr="004C7AA1" w:rsidRDefault="00332D08" w:rsidP="00332D08">
      <w:pPr>
        <w:pStyle w:val="FootnoteText"/>
      </w:pPr>
      <w:r w:rsidRPr="004C7AA1">
        <w:rPr>
          <w:rStyle w:val="FootnoteReference"/>
        </w:rPr>
        <w:footnoteRef/>
      </w:r>
      <w:r w:rsidRPr="004C7AA1">
        <w:t xml:space="preserve"> 47 C.F.R. §§ 17.48(a), 17.51(a), 17.57.</w:t>
      </w:r>
    </w:p>
  </w:footnote>
  <w:footnote w:id="4">
    <w:p w14:paraId="5EF51985" w14:textId="480E1E53" w:rsidR="001E7BB8" w:rsidRDefault="001E7BB8" w:rsidP="001E7BB8">
      <w:pPr>
        <w:pStyle w:val="FootnoteText"/>
      </w:pPr>
      <w:r>
        <w:rPr>
          <w:rStyle w:val="FootnoteReference"/>
        </w:rPr>
        <w:footnoteRef/>
      </w:r>
      <w:r w:rsidR="003D14EB">
        <w:t xml:space="preserve"> 47 U.S.C. § 405(a); </w:t>
      </w:r>
      <w:r>
        <w:t xml:space="preserve">47 C.F.R. § 1.106(f).    </w:t>
      </w:r>
    </w:p>
  </w:footnote>
  <w:footnote w:id="5">
    <w:p w14:paraId="12CA7BB5" w14:textId="285C9BC2" w:rsidR="001E7BB8" w:rsidRDefault="001E7BB8" w:rsidP="001E7BB8">
      <w:pPr>
        <w:pStyle w:val="FootnoteText"/>
      </w:pPr>
      <w:r>
        <w:rPr>
          <w:rStyle w:val="FootnoteReference"/>
        </w:rPr>
        <w:footnoteRef/>
      </w:r>
      <w:r>
        <w:t xml:space="preserve"> </w:t>
      </w:r>
      <w:r w:rsidR="003D14EB">
        <w:rPr>
          <w:i/>
        </w:rPr>
        <w:t>See Latin Broad. Co.</w:t>
      </w:r>
      <w:r w:rsidRPr="002A7495">
        <w:t xml:space="preserve">, </w:t>
      </w:r>
      <w:r>
        <w:t>Forfeiture Order, 29 FCC Rcd 8223 (En</w:t>
      </w:r>
      <w:r w:rsidR="003D14EB">
        <w:t xml:space="preserve">f. Bur. 2014), </w:t>
      </w:r>
      <w:r w:rsidR="003D14EB">
        <w:rPr>
          <w:i/>
        </w:rPr>
        <w:t>aff’g</w:t>
      </w:r>
      <w:r>
        <w:t xml:space="preserve"> </w:t>
      </w:r>
      <w:r w:rsidR="003D14EB">
        <w:rPr>
          <w:i/>
        </w:rPr>
        <w:t>Latin Broad. Co.</w:t>
      </w:r>
      <w:hyperlink r:id="rId1" w:history="1">
        <w:r w:rsidRPr="00EE03F8">
          <w:t>, Notice of Apparent Liabil</w:t>
        </w:r>
        <w:r>
          <w:t>ity for Forfeiture and Order, 28</w:t>
        </w:r>
        <w:r w:rsidRPr="00EE03F8">
          <w:t xml:space="preserve"> FCC Rcd </w:t>
        </w:r>
        <w:r>
          <w:t>2170 (Enf. Bur. 2013</w:t>
        </w:r>
        <w:r w:rsidRPr="00EE03F8">
          <w:t>)</w:t>
        </w:r>
      </w:hyperlink>
      <w:r w:rsidR="003D14EB">
        <w:t xml:space="preserve">; 47 C.F.R. § 1.4(b)(2) (stating public notice for non-rulemaking documents </w:t>
      </w:r>
      <w:r w:rsidR="00336D51">
        <w:t xml:space="preserve">occurs on </w:t>
      </w:r>
      <w:r w:rsidR="003D14EB">
        <w:t xml:space="preserve">the release date). </w:t>
      </w:r>
      <w:r>
        <w:t xml:space="preserve">  </w:t>
      </w:r>
    </w:p>
  </w:footnote>
  <w:footnote w:id="6">
    <w:p w14:paraId="7BE0F488" w14:textId="77777777" w:rsidR="001E7BB8" w:rsidRPr="00597201" w:rsidRDefault="001E7BB8" w:rsidP="001E7BB8">
      <w:pPr>
        <w:pStyle w:val="FootnoteText"/>
      </w:pPr>
      <w:r>
        <w:rPr>
          <w:rStyle w:val="FootnoteReference"/>
        </w:rPr>
        <w:footnoteRef/>
      </w:r>
      <w:r>
        <w:t xml:space="preserve"> </w:t>
      </w:r>
      <w:r>
        <w:rPr>
          <w:i/>
        </w:rPr>
        <w:t>See</w:t>
      </w:r>
      <w:r>
        <w:t xml:space="preserve"> </w:t>
      </w:r>
      <w:r w:rsidRPr="00D4182E">
        <w:t>4</w:t>
      </w:r>
      <w:r w:rsidRPr="00D4182E">
        <w:rPr>
          <w:i/>
        </w:rPr>
        <w:t>7</w:t>
      </w:r>
      <w:r>
        <w:t xml:space="preserve"> C.F.R. §§ 1.106(f), 1.4(j).</w:t>
      </w:r>
    </w:p>
  </w:footnote>
  <w:footnote w:id="7">
    <w:p w14:paraId="4B140C8C" w14:textId="55480375" w:rsidR="001E7BB8" w:rsidRDefault="001E7BB8" w:rsidP="001E7BB8">
      <w:pPr>
        <w:pStyle w:val="FootnoteText"/>
      </w:pPr>
      <w:r>
        <w:rPr>
          <w:rStyle w:val="FootnoteReference"/>
        </w:rPr>
        <w:footnoteRef/>
      </w:r>
      <w:r>
        <w:t xml:space="preserve"> </w:t>
      </w:r>
      <w:r w:rsidRPr="002A7495">
        <w:rPr>
          <w:i/>
        </w:rPr>
        <w:t>See</w:t>
      </w:r>
      <w:r w:rsidRPr="002A7495">
        <w:t xml:space="preserve"> </w:t>
      </w:r>
      <w:r w:rsidR="003D14EB">
        <w:rPr>
          <w:i/>
        </w:rPr>
        <w:t>Latin Broad. Co.</w:t>
      </w:r>
      <w:r w:rsidRPr="00B56A00">
        <w:t>,</w:t>
      </w:r>
      <w:r w:rsidRPr="002A7495">
        <w:t xml:space="preserve"> Petition for Reconsideration (filed </w:t>
      </w:r>
      <w:r w:rsidRPr="001E7BB8">
        <w:t>Aug. 18, 2014</w:t>
      </w:r>
      <w:r w:rsidR="003D14EB">
        <w:t xml:space="preserve">) (on file in </w:t>
      </w:r>
      <w:r w:rsidR="003D14EB" w:rsidRPr="00193A4F">
        <w:rPr>
          <w:szCs w:val="22"/>
        </w:rPr>
        <w:t>EB-</w:t>
      </w:r>
      <w:r w:rsidR="003D14EB">
        <w:rPr>
          <w:szCs w:val="22"/>
        </w:rPr>
        <w:t>FIELDSCR-12</w:t>
      </w:r>
      <w:r w:rsidR="003D14EB" w:rsidRPr="00193A4F">
        <w:rPr>
          <w:szCs w:val="22"/>
        </w:rPr>
        <w:t>-</w:t>
      </w:r>
      <w:r w:rsidR="003D14EB">
        <w:rPr>
          <w:szCs w:val="22"/>
        </w:rPr>
        <w:t>00003967)</w:t>
      </w:r>
      <w:r w:rsidRPr="002A7495">
        <w:t>.</w:t>
      </w:r>
      <w:r>
        <w:t xml:space="preserve"> </w:t>
      </w:r>
    </w:p>
  </w:footnote>
  <w:footnote w:id="8">
    <w:p w14:paraId="4350BB47" w14:textId="2855073B" w:rsidR="001E7BB8" w:rsidRDefault="001E7BB8">
      <w:pPr>
        <w:pStyle w:val="FootnoteText"/>
      </w:pPr>
      <w:r>
        <w:rPr>
          <w:rStyle w:val="FootnoteReference"/>
        </w:rPr>
        <w:footnoteRef/>
      </w:r>
      <w:r>
        <w:t xml:space="preserve"> </w:t>
      </w:r>
      <w:r>
        <w:rPr>
          <w:szCs w:val="22"/>
        </w:rPr>
        <w:t xml:space="preserve">The narrow exception to the statutory filing period allows the Commission to extend or waive the 30-day filing period only in “extraordinary circumstances,” such as where the late-filing is due to the Commission’s failure to give a party timely notice of the action for which reconsideration is sought.  </w:t>
      </w:r>
      <w:r w:rsidRPr="00217D9E">
        <w:rPr>
          <w:i/>
        </w:rPr>
        <w:t xml:space="preserve">See </w:t>
      </w:r>
      <w:smartTag w:uri="urn:schemas-microsoft-com:office:smarttags" w:element="place">
        <w:smartTag w:uri="urn:schemas-microsoft-com:office:smarttags" w:element="City">
          <w:r w:rsidRPr="00217D9E">
            <w:rPr>
              <w:i/>
            </w:rPr>
            <w:t>Gardner</w:t>
          </w:r>
        </w:smartTag>
      </w:smartTag>
      <w:r w:rsidRPr="00217D9E">
        <w:rPr>
          <w:i/>
        </w:rPr>
        <w:t xml:space="preserve"> v. FCC</w:t>
      </w:r>
      <w:r>
        <w:t>, 530 F.2d 1086 (D.C. Cir. 1976).  However, no such circumstances are present here.</w:t>
      </w:r>
    </w:p>
  </w:footnote>
  <w:footnote w:id="9">
    <w:p w14:paraId="257750E7" w14:textId="62B6739B" w:rsidR="001E7BB8" w:rsidRPr="00DC3FEF" w:rsidRDefault="001E7BB8" w:rsidP="001E7BB8">
      <w:pPr>
        <w:pStyle w:val="FootnoteText"/>
      </w:pPr>
      <w:r>
        <w:rPr>
          <w:rStyle w:val="FootnoteReference"/>
        </w:rPr>
        <w:footnoteRef/>
      </w:r>
      <w:r>
        <w:t xml:space="preserve"> </w:t>
      </w:r>
      <w:r w:rsidR="003D14EB">
        <w:rPr>
          <w:i/>
        </w:rPr>
        <w:t>See, e.g., Washington Broad.</w:t>
      </w:r>
      <w:r>
        <w:rPr>
          <w:i/>
        </w:rPr>
        <w:t xml:space="preserve"> </w:t>
      </w:r>
      <w:r w:rsidR="003D14EB">
        <w:rPr>
          <w:i/>
        </w:rPr>
        <w:t>Mgmt.</w:t>
      </w:r>
      <w:r>
        <w:rPr>
          <w:i/>
        </w:rPr>
        <w:t xml:space="preserve"> Co., Inc.</w:t>
      </w:r>
      <w:r w:rsidR="00B908B4">
        <w:t xml:space="preserve">, Memorandum Opinion and Order, </w:t>
      </w:r>
      <w:r>
        <w:t xml:space="preserve">15 FCC Rcd 6607 (2000); </w:t>
      </w:r>
      <w:r w:rsidR="003D14EB">
        <w:rPr>
          <w:i/>
        </w:rPr>
        <w:t>Bay Broad. Corp.</w:t>
      </w:r>
      <w:r>
        <w:t xml:space="preserve">, Memorandum Opinion and Order, 15 FCC Rcd 23449 (Enf. Bur. 2000).  </w:t>
      </w:r>
    </w:p>
  </w:footnote>
  <w:footnote w:id="10">
    <w:p w14:paraId="650726A8" w14:textId="25160471" w:rsidR="00000990" w:rsidRPr="00193A4F" w:rsidRDefault="00000990">
      <w:pPr>
        <w:pStyle w:val="FootnoteText"/>
      </w:pPr>
      <w:r w:rsidRPr="00193A4F">
        <w:rPr>
          <w:rStyle w:val="FootnoteReference"/>
        </w:rPr>
        <w:footnoteRef/>
      </w:r>
      <w:r w:rsidRPr="00193A4F">
        <w:t xml:space="preserve"> </w:t>
      </w:r>
      <w:r w:rsidRPr="00193A4F">
        <w:rPr>
          <w:i/>
        </w:rPr>
        <w:t xml:space="preserve">See </w:t>
      </w:r>
      <w:r w:rsidRPr="00193A4F">
        <w:t xml:space="preserve">47 C.F.R. § 1.106(c); </w:t>
      </w:r>
      <w:r w:rsidRPr="00193A4F">
        <w:rPr>
          <w:i/>
        </w:rPr>
        <w:t>EZ Sacramento, Inc.</w:t>
      </w:r>
      <w:r w:rsidRPr="00193A4F">
        <w:t>,</w:t>
      </w:r>
      <w:r w:rsidRPr="00193A4F">
        <w:rPr>
          <w:i/>
        </w:rPr>
        <w:t xml:space="preserve"> </w:t>
      </w:r>
      <w:r w:rsidRPr="00193A4F">
        <w:t xml:space="preserve">Memorandum Opinion and Order, 15 FCC Rcd 18257, 18257, para. 2 (Enf. Bur. 2000) (citing </w:t>
      </w:r>
      <w:r w:rsidRPr="00193A4F">
        <w:rPr>
          <w:i/>
        </w:rPr>
        <w:t>WWIZ, Inc.</w:t>
      </w:r>
      <w:r w:rsidRPr="00193A4F">
        <w:t>,</w:t>
      </w:r>
      <w:r w:rsidRPr="00193A4F">
        <w:rPr>
          <w:i/>
        </w:rPr>
        <w:t xml:space="preserve"> </w:t>
      </w:r>
      <w:r w:rsidRPr="00193A4F">
        <w:t xml:space="preserve">Memorandum Opinion and Order, 37 FCC 685, 686 (1964), </w:t>
      </w:r>
      <w:r w:rsidRPr="00193A4F">
        <w:rPr>
          <w:i/>
        </w:rPr>
        <w:t>aff’d sub. nom. Lorain Journal Co. v. FCC</w:t>
      </w:r>
      <w:r w:rsidRPr="00193A4F">
        <w:t>,</w:t>
      </w:r>
      <w:r w:rsidRPr="00193A4F">
        <w:rPr>
          <w:i/>
        </w:rPr>
        <w:t xml:space="preserve"> </w:t>
      </w:r>
      <w:r w:rsidRPr="00193A4F">
        <w:t xml:space="preserve">351 F.2d 824 (D.C. Cir. 1965), </w:t>
      </w:r>
      <w:r w:rsidRPr="00193A4F">
        <w:rPr>
          <w:i/>
        </w:rPr>
        <w:t>cert. denied</w:t>
      </w:r>
      <w:r w:rsidRPr="00193A4F">
        <w:t>,</w:t>
      </w:r>
      <w:r w:rsidRPr="00193A4F">
        <w:rPr>
          <w:i/>
        </w:rPr>
        <w:t xml:space="preserve"> </w:t>
      </w:r>
      <w:r w:rsidRPr="00193A4F">
        <w:t xml:space="preserve">383 U.S. 967 (1966)); </w:t>
      </w:r>
      <w:r w:rsidRPr="00193A4F">
        <w:rPr>
          <w:i/>
        </w:rPr>
        <w:t>see also</w:t>
      </w:r>
      <w:r w:rsidRPr="00193A4F">
        <w:t xml:space="preserve"> </w:t>
      </w:r>
      <w:r w:rsidRPr="00193A4F">
        <w:rPr>
          <w:i/>
        </w:rPr>
        <w:t>Ely Radio</w:t>
      </w:r>
      <w:r w:rsidRPr="00193A4F">
        <w:t>,</w:t>
      </w:r>
      <w:r w:rsidRPr="00193A4F">
        <w:rPr>
          <w:i/>
        </w:rPr>
        <w:t xml:space="preserve"> LLC</w:t>
      </w:r>
      <w:r w:rsidRPr="00193A4F">
        <w:t xml:space="preserve">, Memorandum Opinion and Order, 27 FCC Rcd 7608, 7610, para. 6 (Enf. Bur. 2012) (articulating the standard of review for Petitions for Reconsideration). </w:t>
      </w:r>
    </w:p>
  </w:footnote>
  <w:footnote w:id="11">
    <w:p w14:paraId="03B66299" w14:textId="77777777" w:rsidR="00D77F6B" w:rsidRDefault="00D77F6B" w:rsidP="00D77F6B">
      <w:pPr>
        <w:pStyle w:val="FootnoteText"/>
      </w:pPr>
      <w:r>
        <w:rPr>
          <w:rStyle w:val="FootnoteReference"/>
        </w:rPr>
        <w:footnoteRef/>
      </w:r>
      <w:r>
        <w:t xml:space="preserve"> Pub. L. No. 104-121, 110 Stat. 847 (1996), as amended by Pub. L. No. 110-28, 121 Stat. 112 (2007).</w:t>
      </w:r>
    </w:p>
  </w:footnote>
  <w:footnote w:id="12">
    <w:p w14:paraId="5834DD24" w14:textId="389CF39E" w:rsidR="00D77F6B" w:rsidRDefault="00D77F6B" w:rsidP="00D77F6B">
      <w:pPr>
        <w:pStyle w:val="FootnoteText"/>
      </w:pPr>
      <w:r>
        <w:rPr>
          <w:rStyle w:val="FootnoteReference"/>
        </w:rPr>
        <w:footnoteRef/>
      </w:r>
      <w:r>
        <w:t xml:space="preserve"> </w:t>
      </w:r>
      <w:r w:rsidR="00B744B2">
        <w:t>Petition at 2</w:t>
      </w:r>
      <w:r w:rsidRPr="00D77F6B">
        <w:t>–3.</w:t>
      </w:r>
    </w:p>
  </w:footnote>
  <w:footnote w:id="13">
    <w:p w14:paraId="394475EF" w14:textId="35E3EA03" w:rsidR="00AA11E8" w:rsidRPr="00D94881" w:rsidRDefault="00AA11E8" w:rsidP="00AA11E8">
      <w:pPr>
        <w:pStyle w:val="FootnoteText"/>
      </w:pPr>
      <w:r>
        <w:rPr>
          <w:rStyle w:val="FootnoteReference"/>
        </w:rPr>
        <w:footnoteRef/>
      </w:r>
      <w:r>
        <w:t xml:space="preserve"> </w:t>
      </w:r>
      <w:r w:rsidR="00650953">
        <w:rPr>
          <w:i/>
        </w:rPr>
        <w:t>See N. C</w:t>
      </w:r>
      <w:r>
        <w:rPr>
          <w:i/>
        </w:rPr>
        <w:t>nty</w:t>
      </w:r>
      <w:r w:rsidR="00650953">
        <w:rPr>
          <w:i/>
        </w:rPr>
        <w:t>. Broad. Corp.</w:t>
      </w:r>
      <w:r>
        <w:t>, Memorandum Opinion and Order, 29 FCC Rcd 13261 (2014) (the Commission’s existing forfeiture policy, including the various factors by which a proposed forfeiture may be adjusted upward or downward based on the facts presented, complies with the SBREFA).</w:t>
      </w:r>
    </w:p>
  </w:footnote>
  <w:footnote w:id="14">
    <w:p w14:paraId="7F4C76C4" w14:textId="7CCF2CC6" w:rsidR="00B744B2" w:rsidRDefault="00B744B2">
      <w:pPr>
        <w:pStyle w:val="FootnoteText"/>
      </w:pPr>
      <w:r>
        <w:rPr>
          <w:rStyle w:val="FootnoteReference"/>
        </w:rPr>
        <w:footnoteRef/>
      </w:r>
      <w:r>
        <w:t xml:space="preserve"> Petition at 1</w:t>
      </w:r>
      <w:r w:rsidRPr="00D77F6B">
        <w:t>–</w:t>
      </w:r>
      <w:r>
        <w:t>2.</w:t>
      </w:r>
    </w:p>
  </w:footnote>
  <w:footnote w:id="15">
    <w:p w14:paraId="03A3BB4D" w14:textId="4A502BA9" w:rsidR="003D14EB" w:rsidRDefault="003D14EB">
      <w:pPr>
        <w:pStyle w:val="FootnoteText"/>
      </w:pPr>
      <w:r>
        <w:rPr>
          <w:rStyle w:val="FootnoteReference"/>
        </w:rPr>
        <w:footnoteRef/>
      </w:r>
      <w:r>
        <w:t xml:space="preserve"> Forfeiture Order, 29 FCC Rcd at 8225, para. 7.</w:t>
      </w:r>
    </w:p>
  </w:footnote>
  <w:footnote w:id="16">
    <w:p w14:paraId="4304BAB6" w14:textId="5FB6E288" w:rsidR="00E716E3" w:rsidRDefault="00E716E3">
      <w:pPr>
        <w:pStyle w:val="FootnoteText"/>
      </w:pPr>
      <w:r>
        <w:rPr>
          <w:rStyle w:val="FootnoteReference"/>
        </w:rPr>
        <w:footnoteRef/>
      </w:r>
      <w:r>
        <w:t xml:space="preserve"> LBC also asserts that it is irrelevant that it changed </w:t>
      </w:r>
      <w:r w:rsidR="00B15B1F">
        <w:t>the addresses, phone numbers, and e-mails for</w:t>
      </w:r>
      <w:r w:rsidR="00F83446">
        <w:t xml:space="preserve"> both</w:t>
      </w:r>
      <w:r w:rsidR="00B15B1F">
        <w:t xml:space="preserve"> its owner and designated contact person</w:t>
      </w:r>
      <w:r w:rsidR="003D14EB">
        <w:t>,</w:t>
      </w:r>
      <w:r w:rsidR="00F83446">
        <w:t xml:space="preserve"> absent proof that the </w:t>
      </w:r>
      <w:r>
        <w:t>old information would not reach the owner</w:t>
      </w:r>
      <w:r w:rsidR="001F6C77">
        <w:t xml:space="preserve">. </w:t>
      </w:r>
      <w:r w:rsidR="00F07AAC">
        <w:t xml:space="preserve"> </w:t>
      </w:r>
      <w:r>
        <w:t xml:space="preserve">However, this </w:t>
      </w:r>
      <w:r w:rsidR="00B15B1F">
        <w:t xml:space="preserve">factual </w:t>
      </w:r>
      <w:r w:rsidR="00B744B2">
        <w:t xml:space="preserve">information is part of the record and we find no evidence that the </w:t>
      </w:r>
      <w:r w:rsidR="003D14EB">
        <w:t xml:space="preserve">Enforcement </w:t>
      </w:r>
      <w:r w:rsidR="00B744B2">
        <w:t>Bu</w:t>
      </w:r>
      <w:r w:rsidR="00924990">
        <w:t>reau erred by referencing it</w:t>
      </w:r>
      <w:r w:rsidR="003D14EB">
        <w:t xml:space="preserve"> in the Forfeiture Order</w:t>
      </w:r>
      <w:r w:rsidR="00924990">
        <w:t>.</w:t>
      </w:r>
      <w:r w:rsidR="003D14EB">
        <w:t xml:space="preserve">  </w:t>
      </w:r>
      <w:r w:rsidR="003D14EB">
        <w:rPr>
          <w:i/>
        </w:rPr>
        <w:t>Id</w:t>
      </w:r>
      <w:r w:rsidR="003D14EB" w:rsidRPr="00336D51">
        <w:rPr>
          <w:i/>
        </w:rPr>
        <w:t>.</w:t>
      </w:r>
      <w:r w:rsidR="00361805">
        <w:t xml:space="preserve">  </w:t>
      </w:r>
      <w:r w:rsidR="00F07AAC">
        <w:t xml:space="preserve">  </w:t>
      </w:r>
    </w:p>
  </w:footnote>
  <w:footnote w:id="17">
    <w:p w14:paraId="2AA285A5" w14:textId="12BDF1F5" w:rsidR="00000990" w:rsidRPr="00193A4F" w:rsidRDefault="00000990">
      <w:pPr>
        <w:pStyle w:val="FootnoteText"/>
      </w:pPr>
      <w:r w:rsidRPr="00193A4F">
        <w:rPr>
          <w:rStyle w:val="FootnoteReference"/>
        </w:rPr>
        <w:footnoteRef/>
      </w:r>
      <w:r w:rsidRPr="00193A4F">
        <w:t xml:space="preserve"> 47 U.S.C. § 405; 47 C.F.R. § 1.106.</w:t>
      </w:r>
    </w:p>
  </w:footnote>
  <w:footnote w:id="18">
    <w:p w14:paraId="58528086" w14:textId="6B95C479" w:rsidR="00000990" w:rsidRPr="00193A4F" w:rsidRDefault="00000990">
      <w:pPr>
        <w:pStyle w:val="FootnoteText"/>
      </w:pPr>
      <w:r w:rsidRPr="00193A4F">
        <w:rPr>
          <w:rStyle w:val="FootnoteReference"/>
        </w:rPr>
        <w:footnoteRef/>
      </w:r>
      <w:r w:rsidRPr="00193A4F">
        <w:t xml:space="preserve"> </w:t>
      </w:r>
      <w:r w:rsidR="005224CB" w:rsidRPr="00193A4F">
        <w:t>47 U.S.C. §</w:t>
      </w:r>
      <w:r w:rsidR="00B744B2" w:rsidRPr="00193A4F">
        <w:t>§</w:t>
      </w:r>
      <w:r w:rsidR="005224CB" w:rsidRPr="00193A4F">
        <w:t xml:space="preserve"> </w:t>
      </w:r>
      <w:r w:rsidR="00B744B2">
        <w:t xml:space="preserve">303(q), </w:t>
      </w:r>
      <w:r w:rsidR="005224CB" w:rsidRPr="00193A4F">
        <w:t xml:space="preserve">503(b); </w:t>
      </w:r>
      <w:r w:rsidR="00D94881">
        <w:t xml:space="preserve">47 C.F.R. §§ 0.111, </w:t>
      </w:r>
      <w:r w:rsidR="00B744B2">
        <w:t>0.311, 1.80, 17.48(a), 17.51(a), 17.57</w:t>
      </w:r>
      <w:r w:rsidR="00D94881">
        <w:t>.</w:t>
      </w:r>
    </w:p>
  </w:footnote>
  <w:footnote w:id="19">
    <w:p w14:paraId="06F8F1A4" w14:textId="606C5762" w:rsidR="005224CB" w:rsidRPr="00193A4F" w:rsidRDefault="005224CB">
      <w:pPr>
        <w:pStyle w:val="FootnoteText"/>
      </w:pPr>
      <w:r w:rsidRPr="00193A4F">
        <w:rPr>
          <w:rStyle w:val="FootnoteReference"/>
        </w:rPr>
        <w:footnoteRef/>
      </w:r>
      <w:r w:rsidRPr="00193A4F">
        <w:t xml:space="preserve"> 47 C.F.R. § 1.80.</w:t>
      </w:r>
    </w:p>
  </w:footnote>
  <w:footnote w:id="20">
    <w:p w14:paraId="78114520" w14:textId="06ADEF02" w:rsidR="005224CB" w:rsidRPr="00193A4F" w:rsidRDefault="005224CB">
      <w:pPr>
        <w:pStyle w:val="FootnoteText"/>
      </w:pPr>
      <w:r w:rsidRPr="00193A4F">
        <w:rPr>
          <w:rStyle w:val="FootnoteReference"/>
        </w:rPr>
        <w:footnoteRef/>
      </w:r>
      <w:r w:rsidRPr="00193A4F">
        <w:t xml:space="preserve"> 47 U.S.C. § 504(a).</w:t>
      </w:r>
    </w:p>
  </w:footnote>
  <w:footnote w:id="21">
    <w:p w14:paraId="75B9279F" w14:textId="02BA3F90" w:rsidR="005224CB" w:rsidRPr="00193A4F" w:rsidRDefault="005224CB">
      <w:pPr>
        <w:pStyle w:val="FootnoteText"/>
      </w:pPr>
      <w:r w:rsidRPr="00193A4F">
        <w:rPr>
          <w:rStyle w:val="FootnoteReference"/>
        </w:rPr>
        <w:footnoteRef/>
      </w:r>
      <w:r w:rsidRPr="00193A4F">
        <w:t xml:space="preserve"> </w:t>
      </w:r>
      <w:r w:rsidRPr="00193A4F">
        <w:rPr>
          <w:rFonts w:eastAsia="MS Mincho"/>
        </w:rPr>
        <w:t>An FCC Form 159 and detailed instructions for completing the form may be obtained at http://www.fcc.gov/Forms/Form159/159.pdf.</w:t>
      </w:r>
    </w:p>
  </w:footnote>
  <w:footnote w:id="22">
    <w:p w14:paraId="5BBD6AAE" w14:textId="0954AC1E" w:rsidR="006C1286" w:rsidRDefault="006C1286">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EA205" w14:textId="77777777" w:rsidR="005A48CB" w:rsidRDefault="005A4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1D37" w14:textId="1ADD6FD9" w:rsidR="00277AEC" w:rsidRPr="00331410" w:rsidRDefault="00277AEC" w:rsidP="00277AEC">
    <w:pPr>
      <w:pStyle w:val="Header"/>
      <w:rPr>
        <w:b w:val="0"/>
        <w:szCs w:val="22"/>
      </w:rPr>
    </w:pPr>
    <w:r>
      <w:tab/>
    </w:r>
    <w:r w:rsidRPr="00331410">
      <w:rPr>
        <w:szCs w:val="22"/>
      </w:rPr>
      <w:t>Federal Communications Commission</w:t>
    </w:r>
    <w:r w:rsidRPr="00331410">
      <w:rPr>
        <w:szCs w:val="22"/>
      </w:rPr>
      <w:tab/>
    </w:r>
    <w:r>
      <w:rPr>
        <w:szCs w:val="22"/>
      </w:rPr>
      <w:t>DA 15-</w:t>
    </w:r>
    <w:r w:rsidR="00B908B4">
      <w:rPr>
        <w:szCs w:val="22"/>
      </w:rPr>
      <w:t>939</w:t>
    </w:r>
  </w:p>
  <w:p w14:paraId="06CB737E" w14:textId="390CD0E5" w:rsidR="00277AEC" w:rsidRDefault="00277AEC" w:rsidP="00277AEC">
    <w:pPr>
      <w:pStyle w:val="Header"/>
    </w:pPr>
    <w:r>
      <w:rPr>
        <w:noProof/>
      </w:rPr>
      <mc:AlternateContent>
        <mc:Choice Requires="wps">
          <w:drawing>
            <wp:anchor distT="0" distB="0" distL="114300" distR="114300" simplePos="0" relativeHeight="251665408" behindDoc="0" locked="0" layoutInCell="0" allowOverlap="1" wp14:anchorId="5CCB3303" wp14:editId="236A1DFA">
              <wp:simplePos x="0" y="0"/>
              <wp:positionH relativeFrom="column">
                <wp:posOffset>0</wp:posOffset>
              </wp:positionH>
              <wp:positionV relativeFrom="paragraph">
                <wp:posOffset>22225</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56D5C2"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6QBvyB0CAAA3BAAADgAAAAAAAAAAAAAAAAAuAgAAZHJzL2Uyb0RvYy54bWxQSwECLQAUAAYA&#10;CAAAACEA7ikortgAAAAEAQAADwAAAAAAAAAAAAAAAAB3BAAAZHJzL2Rvd25yZXYueG1sUEsFBgAA&#10;AAAEAAQA8wAAAHwFAAAAAA==&#10;" o:allowincell="f" strokeweight="1.5pt"/>
          </w:pict>
        </mc:Fallback>
      </mc:AlternateContent>
    </w:r>
  </w:p>
  <w:p w14:paraId="2627E7F6" w14:textId="77777777" w:rsidR="00193A4F" w:rsidRDefault="00193A4F" w:rsidP="00193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E967A" w14:textId="48B39696" w:rsidR="00277AEC" w:rsidRPr="00331410" w:rsidRDefault="00277AEC" w:rsidP="00277AEC">
    <w:pPr>
      <w:pStyle w:val="Header"/>
      <w:rPr>
        <w:b w:val="0"/>
        <w:szCs w:val="22"/>
      </w:rPr>
    </w:pPr>
    <w:r>
      <w:tab/>
    </w:r>
    <w:r w:rsidRPr="00331410">
      <w:rPr>
        <w:szCs w:val="22"/>
      </w:rPr>
      <w:t>Federal Communications Commission</w:t>
    </w:r>
    <w:r w:rsidRPr="00331410">
      <w:rPr>
        <w:szCs w:val="22"/>
      </w:rPr>
      <w:tab/>
    </w:r>
    <w:r>
      <w:rPr>
        <w:szCs w:val="22"/>
      </w:rPr>
      <w:t>DA 15-</w:t>
    </w:r>
    <w:r w:rsidR="00B908B4">
      <w:rPr>
        <w:szCs w:val="22"/>
      </w:rPr>
      <w:t>939</w:t>
    </w:r>
  </w:p>
  <w:p w14:paraId="30BFBB36" w14:textId="1573B031" w:rsidR="00277AEC" w:rsidRDefault="00277AEC" w:rsidP="00277AEC">
    <w:pPr>
      <w:pStyle w:val="Header"/>
    </w:pPr>
    <w:r>
      <w:rPr>
        <w:noProof/>
      </w:rPr>
      <mc:AlternateContent>
        <mc:Choice Requires="wps">
          <w:drawing>
            <wp:anchor distT="0" distB="0" distL="114300" distR="114300" simplePos="0" relativeHeight="251663360" behindDoc="0" locked="0" layoutInCell="0" allowOverlap="1" wp14:anchorId="4EA5CAE5" wp14:editId="50A64361">
              <wp:simplePos x="0" y="0"/>
              <wp:positionH relativeFrom="column">
                <wp:posOffset>0</wp:posOffset>
              </wp:positionH>
              <wp:positionV relativeFrom="paragraph">
                <wp:posOffset>22225</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7A459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JYeLBR0CAAA3BAAADgAAAAAAAAAAAAAAAAAuAgAAZHJzL2Uyb0RvYy54bWxQSwECLQAUAAYA&#10;CAAAACEA7ikortgAAAAEAQAADwAAAAAAAAAAAAAAAAB3BAAAZHJzL2Rvd25yZXYueG1sUEsFBgAA&#10;AAAEAAQA8wAAAHwFAAAAAA==&#10;" o:allowincell="f" strokeweight="1.5pt"/>
          </w:pict>
        </mc:Fallback>
      </mc:AlternateContent>
    </w:r>
  </w:p>
  <w:p w14:paraId="2EE065EB" w14:textId="1DD8EDEA" w:rsidR="0009224B" w:rsidRPr="006E5991" w:rsidRDefault="0009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A21FC2"/>
    <w:multiLevelType w:val="hybridMultilevel"/>
    <w:tmpl w:val="2BDE5D32"/>
    <w:lvl w:ilvl="0" w:tplc="ABA43370">
      <w:start w:val="1"/>
      <w:numFmt w:val="decimal"/>
      <w:lvlText w:val="%1."/>
      <w:lvlJc w:val="left"/>
      <w:pPr>
        <w:tabs>
          <w:tab w:val="num" w:pos="1440"/>
        </w:tabs>
        <w:ind w:left="720" w:firstLine="720"/>
      </w:pPr>
      <w:rPr>
        <w:rFonts w:ascii="Times New Roman" w:hAnsi="Times New Roman"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8"/>
  </w:num>
  <w:num w:numId="8">
    <w:abstractNumId w:val="4"/>
  </w:num>
  <w:num w:numId="9">
    <w:abstractNumId w:val="7"/>
  </w:num>
  <w:num w:numId="10">
    <w:abstractNumId w:val="7"/>
  </w:num>
  <w:num w:numId="11">
    <w:abstractNumId w:val="7"/>
    <w:lvlOverride w:ilvl="0">
      <w:startOverride w:val="1"/>
    </w:lvlOverride>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0990"/>
    <w:rsid w:val="0000707F"/>
    <w:rsid w:val="00036039"/>
    <w:rsid w:val="00037F90"/>
    <w:rsid w:val="000571C2"/>
    <w:rsid w:val="00070C69"/>
    <w:rsid w:val="000875BF"/>
    <w:rsid w:val="0009224B"/>
    <w:rsid w:val="00096D8C"/>
    <w:rsid w:val="000A3765"/>
    <w:rsid w:val="000C0B65"/>
    <w:rsid w:val="000C0D26"/>
    <w:rsid w:val="000C16E9"/>
    <w:rsid w:val="000E05FE"/>
    <w:rsid w:val="000E2358"/>
    <w:rsid w:val="000E28BB"/>
    <w:rsid w:val="000E3D42"/>
    <w:rsid w:val="000F527C"/>
    <w:rsid w:val="001035C9"/>
    <w:rsid w:val="00114FA6"/>
    <w:rsid w:val="00122BD5"/>
    <w:rsid w:val="00126CF9"/>
    <w:rsid w:val="00133F79"/>
    <w:rsid w:val="00160A7F"/>
    <w:rsid w:val="00162EA6"/>
    <w:rsid w:val="00163B01"/>
    <w:rsid w:val="001803F3"/>
    <w:rsid w:val="00187C61"/>
    <w:rsid w:val="00193A4F"/>
    <w:rsid w:val="00194A66"/>
    <w:rsid w:val="001B2C60"/>
    <w:rsid w:val="001B6AB2"/>
    <w:rsid w:val="001C11EB"/>
    <w:rsid w:val="001D12BB"/>
    <w:rsid w:val="001D6BCF"/>
    <w:rsid w:val="001D7942"/>
    <w:rsid w:val="001E01CA"/>
    <w:rsid w:val="001E7BB8"/>
    <w:rsid w:val="001F5DDA"/>
    <w:rsid w:val="001F6C77"/>
    <w:rsid w:val="00211EE5"/>
    <w:rsid w:val="00242C09"/>
    <w:rsid w:val="00251755"/>
    <w:rsid w:val="00252BA4"/>
    <w:rsid w:val="00275CF5"/>
    <w:rsid w:val="00277AEC"/>
    <w:rsid w:val="0028301F"/>
    <w:rsid w:val="00285017"/>
    <w:rsid w:val="00285D0C"/>
    <w:rsid w:val="002A2D2E"/>
    <w:rsid w:val="002A6579"/>
    <w:rsid w:val="002A7495"/>
    <w:rsid w:val="002C00E8"/>
    <w:rsid w:val="002C65A5"/>
    <w:rsid w:val="002D0E6B"/>
    <w:rsid w:val="002D351E"/>
    <w:rsid w:val="002F1664"/>
    <w:rsid w:val="00303F13"/>
    <w:rsid w:val="003178AB"/>
    <w:rsid w:val="00327AA8"/>
    <w:rsid w:val="00332D08"/>
    <w:rsid w:val="00336D51"/>
    <w:rsid w:val="00343749"/>
    <w:rsid w:val="00350348"/>
    <w:rsid w:val="00355335"/>
    <w:rsid w:val="00357336"/>
    <w:rsid w:val="00361805"/>
    <w:rsid w:val="003660ED"/>
    <w:rsid w:val="00375570"/>
    <w:rsid w:val="003A6917"/>
    <w:rsid w:val="003B0550"/>
    <w:rsid w:val="003B5145"/>
    <w:rsid w:val="003B694F"/>
    <w:rsid w:val="003D14EB"/>
    <w:rsid w:val="003F171C"/>
    <w:rsid w:val="00402558"/>
    <w:rsid w:val="00402D33"/>
    <w:rsid w:val="00412FC5"/>
    <w:rsid w:val="00422276"/>
    <w:rsid w:val="004242F1"/>
    <w:rsid w:val="00434BAC"/>
    <w:rsid w:val="00445A00"/>
    <w:rsid w:val="0045002D"/>
    <w:rsid w:val="004519A1"/>
    <w:rsid w:val="00451B0F"/>
    <w:rsid w:val="004608C0"/>
    <w:rsid w:val="004822E9"/>
    <w:rsid w:val="00482340"/>
    <w:rsid w:val="00486E95"/>
    <w:rsid w:val="004B2A7F"/>
    <w:rsid w:val="004C2EE3"/>
    <w:rsid w:val="004E01B1"/>
    <w:rsid w:val="004E36FF"/>
    <w:rsid w:val="004E4A22"/>
    <w:rsid w:val="00503880"/>
    <w:rsid w:val="00511968"/>
    <w:rsid w:val="005176D3"/>
    <w:rsid w:val="005224CB"/>
    <w:rsid w:val="00534310"/>
    <w:rsid w:val="00552734"/>
    <w:rsid w:val="0055614C"/>
    <w:rsid w:val="0055746A"/>
    <w:rsid w:val="005605B5"/>
    <w:rsid w:val="00573650"/>
    <w:rsid w:val="00586D68"/>
    <w:rsid w:val="005A48CB"/>
    <w:rsid w:val="005C760D"/>
    <w:rsid w:val="005E14C2"/>
    <w:rsid w:val="005E6DE0"/>
    <w:rsid w:val="00603918"/>
    <w:rsid w:val="00607BA5"/>
    <w:rsid w:val="0061180A"/>
    <w:rsid w:val="00616F49"/>
    <w:rsid w:val="00620339"/>
    <w:rsid w:val="00626EB6"/>
    <w:rsid w:val="006305B1"/>
    <w:rsid w:val="00650953"/>
    <w:rsid w:val="00655D03"/>
    <w:rsid w:val="006770B5"/>
    <w:rsid w:val="00683388"/>
    <w:rsid w:val="00683F84"/>
    <w:rsid w:val="0069331F"/>
    <w:rsid w:val="00693C65"/>
    <w:rsid w:val="006A593E"/>
    <w:rsid w:val="006A6A81"/>
    <w:rsid w:val="006A6B3E"/>
    <w:rsid w:val="006B2271"/>
    <w:rsid w:val="006C1286"/>
    <w:rsid w:val="006E5991"/>
    <w:rsid w:val="006F0DEA"/>
    <w:rsid w:val="006F6E7B"/>
    <w:rsid w:val="006F7393"/>
    <w:rsid w:val="0070224F"/>
    <w:rsid w:val="007115F7"/>
    <w:rsid w:val="007202AE"/>
    <w:rsid w:val="007225B2"/>
    <w:rsid w:val="007433C9"/>
    <w:rsid w:val="00743D1E"/>
    <w:rsid w:val="00754445"/>
    <w:rsid w:val="00785689"/>
    <w:rsid w:val="0079754B"/>
    <w:rsid w:val="007A1E6D"/>
    <w:rsid w:val="007A3F4D"/>
    <w:rsid w:val="007B0EB2"/>
    <w:rsid w:val="007B71BE"/>
    <w:rsid w:val="007D0E8E"/>
    <w:rsid w:val="007D10F1"/>
    <w:rsid w:val="007D565D"/>
    <w:rsid w:val="0080027E"/>
    <w:rsid w:val="00800AA8"/>
    <w:rsid w:val="00800B3C"/>
    <w:rsid w:val="00810B6F"/>
    <w:rsid w:val="00822CE0"/>
    <w:rsid w:val="0083291F"/>
    <w:rsid w:val="00841335"/>
    <w:rsid w:val="00841AB1"/>
    <w:rsid w:val="008469D5"/>
    <w:rsid w:val="00864DA0"/>
    <w:rsid w:val="008908CE"/>
    <w:rsid w:val="008A36DD"/>
    <w:rsid w:val="008A5F2D"/>
    <w:rsid w:val="008B3D4F"/>
    <w:rsid w:val="008C68F1"/>
    <w:rsid w:val="008C7956"/>
    <w:rsid w:val="008E026D"/>
    <w:rsid w:val="00901425"/>
    <w:rsid w:val="00915D6F"/>
    <w:rsid w:val="00916167"/>
    <w:rsid w:val="00917FA4"/>
    <w:rsid w:val="0092117B"/>
    <w:rsid w:val="00921803"/>
    <w:rsid w:val="00924990"/>
    <w:rsid w:val="00926503"/>
    <w:rsid w:val="00933174"/>
    <w:rsid w:val="00933976"/>
    <w:rsid w:val="00934E08"/>
    <w:rsid w:val="00965C5A"/>
    <w:rsid w:val="00972589"/>
    <w:rsid w:val="009726D8"/>
    <w:rsid w:val="00991638"/>
    <w:rsid w:val="009B6595"/>
    <w:rsid w:val="009C3F66"/>
    <w:rsid w:val="009D7109"/>
    <w:rsid w:val="009E426C"/>
    <w:rsid w:val="009F76DB"/>
    <w:rsid w:val="00A173E4"/>
    <w:rsid w:val="00A31331"/>
    <w:rsid w:val="00A32C3B"/>
    <w:rsid w:val="00A40D81"/>
    <w:rsid w:val="00A45F4F"/>
    <w:rsid w:val="00A600A9"/>
    <w:rsid w:val="00A81EDF"/>
    <w:rsid w:val="00AA11E8"/>
    <w:rsid w:val="00AA55B7"/>
    <w:rsid w:val="00AA5B9E"/>
    <w:rsid w:val="00AB02A7"/>
    <w:rsid w:val="00AB2407"/>
    <w:rsid w:val="00AB53DF"/>
    <w:rsid w:val="00AC7A18"/>
    <w:rsid w:val="00AE005D"/>
    <w:rsid w:val="00B07E5C"/>
    <w:rsid w:val="00B15B1F"/>
    <w:rsid w:val="00B20659"/>
    <w:rsid w:val="00B23CDC"/>
    <w:rsid w:val="00B25B2B"/>
    <w:rsid w:val="00B37F19"/>
    <w:rsid w:val="00B41958"/>
    <w:rsid w:val="00B47B17"/>
    <w:rsid w:val="00B56A00"/>
    <w:rsid w:val="00B744B2"/>
    <w:rsid w:val="00B7594D"/>
    <w:rsid w:val="00B811F7"/>
    <w:rsid w:val="00B86C07"/>
    <w:rsid w:val="00B908B4"/>
    <w:rsid w:val="00B9450D"/>
    <w:rsid w:val="00B97820"/>
    <w:rsid w:val="00BA5DC6"/>
    <w:rsid w:val="00BA6196"/>
    <w:rsid w:val="00BA6ACC"/>
    <w:rsid w:val="00BC037B"/>
    <w:rsid w:val="00BC6D8C"/>
    <w:rsid w:val="00C1193E"/>
    <w:rsid w:val="00C13517"/>
    <w:rsid w:val="00C16446"/>
    <w:rsid w:val="00C20BB7"/>
    <w:rsid w:val="00C34006"/>
    <w:rsid w:val="00C35607"/>
    <w:rsid w:val="00C426B1"/>
    <w:rsid w:val="00C43A2F"/>
    <w:rsid w:val="00C63B0B"/>
    <w:rsid w:val="00C66160"/>
    <w:rsid w:val="00C66C7F"/>
    <w:rsid w:val="00C721AC"/>
    <w:rsid w:val="00C90D6A"/>
    <w:rsid w:val="00C94F1E"/>
    <w:rsid w:val="00CA247E"/>
    <w:rsid w:val="00CA6277"/>
    <w:rsid w:val="00CC72B6"/>
    <w:rsid w:val="00CF26FC"/>
    <w:rsid w:val="00CF4791"/>
    <w:rsid w:val="00D0218D"/>
    <w:rsid w:val="00D10AA4"/>
    <w:rsid w:val="00D25FB5"/>
    <w:rsid w:val="00D26F9D"/>
    <w:rsid w:val="00D30AFD"/>
    <w:rsid w:val="00D44223"/>
    <w:rsid w:val="00D563E9"/>
    <w:rsid w:val="00D66312"/>
    <w:rsid w:val="00D67325"/>
    <w:rsid w:val="00D77F6B"/>
    <w:rsid w:val="00D94881"/>
    <w:rsid w:val="00DA2529"/>
    <w:rsid w:val="00DB130A"/>
    <w:rsid w:val="00DB1C77"/>
    <w:rsid w:val="00DB2EBB"/>
    <w:rsid w:val="00DC10A1"/>
    <w:rsid w:val="00DC655F"/>
    <w:rsid w:val="00DD0B59"/>
    <w:rsid w:val="00DD7EBD"/>
    <w:rsid w:val="00DE1D2E"/>
    <w:rsid w:val="00DE3EBF"/>
    <w:rsid w:val="00DF2E51"/>
    <w:rsid w:val="00DF62B6"/>
    <w:rsid w:val="00E01B47"/>
    <w:rsid w:val="00E025F4"/>
    <w:rsid w:val="00E036EE"/>
    <w:rsid w:val="00E07225"/>
    <w:rsid w:val="00E1189D"/>
    <w:rsid w:val="00E25366"/>
    <w:rsid w:val="00E5409F"/>
    <w:rsid w:val="00E550A1"/>
    <w:rsid w:val="00E57EA6"/>
    <w:rsid w:val="00E716E3"/>
    <w:rsid w:val="00E72A40"/>
    <w:rsid w:val="00E75FC0"/>
    <w:rsid w:val="00E7655F"/>
    <w:rsid w:val="00E77F49"/>
    <w:rsid w:val="00E815FC"/>
    <w:rsid w:val="00EA5C9B"/>
    <w:rsid w:val="00EC0BC7"/>
    <w:rsid w:val="00EE6488"/>
    <w:rsid w:val="00EF61B1"/>
    <w:rsid w:val="00F021FA"/>
    <w:rsid w:val="00F052FC"/>
    <w:rsid w:val="00F07AAC"/>
    <w:rsid w:val="00F17677"/>
    <w:rsid w:val="00F213CA"/>
    <w:rsid w:val="00F4143A"/>
    <w:rsid w:val="00F4310A"/>
    <w:rsid w:val="00F548B2"/>
    <w:rsid w:val="00F553AB"/>
    <w:rsid w:val="00F62E97"/>
    <w:rsid w:val="00F64209"/>
    <w:rsid w:val="00F6699A"/>
    <w:rsid w:val="00F83446"/>
    <w:rsid w:val="00F86BAB"/>
    <w:rsid w:val="00F90AF8"/>
    <w:rsid w:val="00F93BF5"/>
    <w:rsid w:val="00F966B9"/>
    <w:rsid w:val="00F9736C"/>
    <w:rsid w:val="00FD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4F"/>
    <w:pPr>
      <w:widowControl w:val="0"/>
    </w:pPr>
    <w:rPr>
      <w:snapToGrid w:val="0"/>
      <w:kern w:val="28"/>
      <w:sz w:val="22"/>
    </w:rPr>
  </w:style>
  <w:style w:type="paragraph" w:styleId="Heading1">
    <w:name w:val="heading 1"/>
    <w:basedOn w:val="Normal"/>
    <w:next w:val="ParaNum"/>
    <w:qFormat/>
    <w:rsid w:val="008B3D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3D4F"/>
    <w:pPr>
      <w:keepNext/>
      <w:numPr>
        <w:ilvl w:val="1"/>
        <w:numId w:val="3"/>
      </w:numPr>
      <w:spacing w:after="120"/>
      <w:outlineLvl w:val="1"/>
    </w:pPr>
    <w:rPr>
      <w:b/>
    </w:rPr>
  </w:style>
  <w:style w:type="paragraph" w:styleId="Heading3">
    <w:name w:val="heading 3"/>
    <w:basedOn w:val="Normal"/>
    <w:next w:val="ParaNum"/>
    <w:qFormat/>
    <w:rsid w:val="008B3D4F"/>
    <w:pPr>
      <w:keepNext/>
      <w:numPr>
        <w:ilvl w:val="2"/>
        <w:numId w:val="3"/>
      </w:numPr>
      <w:tabs>
        <w:tab w:val="left" w:pos="2160"/>
      </w:tabs>
      <w:spacing w:after="120"/>
      <w:outlineLvl w:val="2"/>
    </w:pPr>
    <w:rPr>
      <w:b/>
    </w:rPr>
  </w:style>
  <w:style w:type="paragraph" w:styleId="Heading4">
    <w:name w:val="heading 4"/>
    <w:basedOn w:val="Normal"/>
    <w:next w:val="ParaNum"/>
    <w:qFormat/>
    <w:rsid w:val="008B3D4F"/>
    <w:pPr>
      <w:keepNext/>
      <w:numPr>
        <w:ilvl w:val="3"/>
        <w:numId w:val="3"/>
      </w:numPr>
      <w:tabs>
        <w:tab w:val="left" w:pos="2880"/>
      </w:tabs>
      <w:spacing w:after="120"/>
      <w:outlineLvl w:val="3"/>
    </w:pPr>
    <w:rPr>
      <w:b/>
    </w:rPr>
  </w:style>
  <w:style w:type="paragraph" w:styleId="Heading5">
    <w:name w:val="heading 5"/>
    <w:basedOn w:val="Normal"/>
    <w:next w:val="ParaNum"/>
    <w:qFormat/>
    <w:rsid w:val="008B3D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3D4F"/>
    <w:pPr>
      <w:numPr>
        <w:ilvl w:val="5"/>
        <w:numId w:val="3"/>
      </w:numPr>
      <w:tabs>
        <w:tab w:val="left" w:pos="4320"/>
      </w:tabs>
      <w:spacing w:after="120"/>
      <w:outlineLvl w:val="5"/>
    </w:pPr>
    <w:rPr>
      <w:b/>
    </w:rPr>
  </w:style>
  <w:style w:type="paragraph" w:styleId="Heading7">
    <w:name w:val="heading 7"/>
    <w:basedOn w:val="Normal"/>
    <w:next w:val="ParaNum"/>
    <w:qFormat/>
    <w:rsid w:val="008B3D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3D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3D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3D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3D4F"/>
  </w:style>
  <w:style w:type="paragraph" w:customStyle="1" w:styleId="ParaNum">
    <w:name w:val="ParaNum"/>
    <w:basedOn w:val="Normal"/>
    <w:link w:val="ParaNumChar"/>
    <w:rsid w:val="008B3D4F"/>
    <w:pPr>
      <w:numPr>
        <w:numId w:val="2"/>
      </w:numPr>
      <w:tabs>
        <w:tab w:val="clear" w:pos="1080"/>
        <w:tab w:val="num" w:pos="1440"/>
      </w:tabs>
      <w:spacing w:after="120"/>
    </w:pPr>
  </w:style>
  <w:style w:type="paragraph" w:styleId="EndnoteText">
    <w:name w:val="endnote text"/>
    <w:basedOn w:val="Normal"/>
    <w:semiHidden/>
    <w:rsid w:val="008B3D4F"/>
    <w:rPr>
      <w:sz w:val="20"/>
    </w:rPr>
  </w:style>
  <w:style w:type="character" w:styleId="EndnoteReference">
    <w:name w:val="endnote reference"/>
    <w:semiHidden/>
    <w:rsid w:val="008B3D4F"/>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8B3D4F"/>
    <w:pPr>
      <w:spacing w:after="120"/>
    </w:pPr>
  </w:style>
  <w:style w:type="character" w:styleId="FootnoteReference">
    <w:name w:val="footnote reference"/>
    <w:aliases w:val="Style 4,Appel note de bas de p,Style 12,(NECG) Footnote Reference,Style 124,Style 13,o,fr,Style 3"/>
    <w:rsid w:val="008B3D4F"/>
    <w:rPr>
      <w:rFonts w:ascii="Times New Roman" w:hAnsi="Times New Roman"/>
      <w:dstrike w:val="0"/>
      <w:color w:val="auto"/>
      <w:sz w:val="20"/>
      <w:vertAlign w:val="superscript"/>
    </w:rPr>
  </w:style>
  <w:style w:type="paragraph" w:styleId="TOC1">
    <w:name w:val="toc 1"/>
    <w:basedOn w:val="Normal"/>
    <w:next w:val="Normal"/>
    <w:semiHidden/>
    <w:rsid w:val="008B3D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3D4F"/>
    <w:pPr>
      <w:tabs>
        <w:tab w:val="left" w:pos="720"/>
        <w:tab w:val="right" w:leader="dot" w:pos="9360"/>
      </w:tabs>
      <w:suppressAutoHyphens/>
      <w:ind w:left="720" w:right="720" w:hanging="360"/>
    </w:pPr>
    <w:rPr>
      <w:noProof/>
    </w:rPr>
  </w:style>
  <w:style w:type="paragraph" w:styleId="TOC3">
    <w:name w:val="toc 3"/>
    <w:basedOn w:val="Normal"/>
    <w:next w:val="Normal"/>
    <w:semiHidden/>
    <w:rsid w:val="008B3D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3D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3D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3D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3D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3D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3D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3D4F"/>
    <w:pPr>
      <w:tabs>
        <w:tab w:val="right" w:pos="9360"/>
      </w:tabs>
      <w:suppressAutoHyphens/>
    </w:pPr>
  </w:style>
  <w:style w:type="character" w:customStyle="1" w:styleId="EquationCaption">
    <w:name w:val="_Equation Caption"/>
    <w:rsid w:val="008B3D4F"/>
  </w:style>
  <w:style w:type="paragraph" w:styleId="Header">
    <w:name w:val="header"/>
    <w:basedOn w:val="Normal"/>
    <w:link w:val="HeaderChar"/>
    <w:autoRedefine/>
    <w:rsid w:val="008B3D4F"/>
    <w:pPr>
      <w:tabs>
        <w:tab w:val="center" w:pos="4680"/>
        <w:tab w:val="right" w:pos="9360"/>
      </w:tabs>
    </w:pPr>
    <w:rPr>
      <w:b/>
    </w:rPr>
  </w:style>
  <w:style w:type="paragraph" w:styleId="Footer">
    <w:name w:val="footer"/>
    <w:basedOn w:val="Normal"/>
    <w:link w:val="FooterChar"/>
    <w:rsid w:val="008B3D4F"/>
    <w:pPr>
      <w:tabs>
        <w:tab w:val="center" w:pos="4320"/>
        <w:tab w:val="right" w:pos="8640"/>
      </w:tabs>
    </w:pPr>
  </w:style>
  <w:style w:type="character" w:styleId="PageNumber">
    <w:name w:val="page number"/>
    <w:basedOn w:val="DefaultParagraphFont"/>
    <w:rsid w:val="008B3D4F"/>
  </w:style>
  <w:style w:type="paragraph" w:styleId="BlockText">
    <w:name w:val="Block Text"/>
    <w:basedOn w:val="Normal"/>
    <w:rsid w:val="008B3D4F"/>
    <w:pPr>
      <w:spacing w:after="240"/>
      <w:ind w:left="1440" w:right="1440"/>
    </w:pPr>
  </w:style>
  <w:style w:type="paragraph" w:customStyle="1" w:styleId="Paratitle">
    <w:name w:val="Para title"/>
    <w:basedOn w:val="Normal"/>
    <w:rsid w:val="008B3D4F"/>
    <w:pPr>
      <w:tabs>
        <w:tab w:val="center" w:pos="9270"/>
      </w:tabs>
      <w:spacing w:after="240"/>
    </w:pPr>
    <w:rPr>
      <w:spacing w:val="-2"/>
    </w:rPr>
  </w:style>
  <w:style w:type="paragraph" w:customStyle="1" w:styleId="Bullet">
    <w:name w:val="Bullet"/>
    <w:basedOn w:val="Normal"/>
    <w:rsid w:val="008B3D4F"/>
    <w:pPr>
      <w:tabs>
        <w:tab w:val="left" w:pos="2160"/>
      </w:tabs>
      <w:spacing w:after="220"/>
      <w:ind w:left="2160" w:hanging="720"/>
    </w:pPr>
  </w:style>
  <w:style w:type="paragraph" w:customStyle="1" w:styleId="TableFormat">
    <w:name w:val="TableFormat"/>
    <w:basedOn w:val="Bullet"/>
    <w:rsid w:val="008B3D4F"/>
    <w:pPr>
      <w:tabs>
        <w:tab w:val="clear" w:pos="2160"/>
        <w:tab w:val="left" w:pos="5040"/>
      </w:tabs>
      <w:ind w:left="5040" w:hanging="3600"/>
    </w:pPr>
  </w:style>
  <w:style w:type="paragraph" w:customStyle="1" w:styleId="TOCTitle">
    <w:name w:val="TOC Title"/>
    <w:basedOn w:val="Normal"/>
    <w:rsid w:val="008B3D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3D4F"/>
    <w:pPr>
      <w:jc w:val="center"/>
    </w:pPr>
    <w:rPr>
      <w:rFonts w:ascii="Times New Roman Bold" w:hAnsi="Times New Roman Bold"/>
      <w:b/>
      <w:bCs/>
      <w:caps/>
      <w:szCs w:val="22"/>
    </w:rPr>
  </w:style>
  <w:style w:type="character" w:styleId="Hyperlink">
    <w:name w:val="Hyperlink"/>
    <w:rsid w:val="008B3D4F"/>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rsid w:val="00603918"/>
    <w:rPr>
      <w:snapToGrid w:val="0"/>
      <w:kern w:val="28"/>
      <w:sz w:val="22"/>
    </w:rPr>
  </w:style>
  <w:style w:type="character" w:customStyle="1" w:styleId="documentbody">
    <w:name w:val="documentbody"/>
    <w:basedOn w:val="DefaultParagraphFont"/>
    <w:rsid w:val="001E7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4F"/>
    <w:pPr>
      <w:widowControl w:val="0"/>
    </w:pPr>
    <w:rPr>
      <w:snapToGrid w:val="0"/>
      <w:kern w:val="28"/>
      <w:sz w:val="22"/>
    </w:rPr>
  </w:style>
  <w:style w:type="paragraph" w:styleId="Heading1">
    <w:name w:val="heading 1"/>
    <w:basedOn w:val="Normal"/>
    <w:next w:val="ParaNum"/>
    <w:qFormat/>
    <w:rsid w:val="008B3D4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3D4F"/>
    <w:pPr>
      <w:keepNext/>
      <w:numPr>
        <w:ilvl w:val="1"/>
        <w:numId w:val="3"/>
      </w:numPr>
      <w:spacing w:after="120"/>
      <w:outlineLvl w:val="1"/>
    </w:pPr>
    <w:rPr>
      <w:b/>
    </w:rPr>
  </w:style>
  <w:style w:type="paragraph" w:styleId="Heading3">
    <w:name w:val="heading 3"/>
    <w:basedOn w:val="Normal"/>
    <w:next w:val="ParaNum"/>
    <w:qFormat/>
    <w:rsid w:val="008B3D4F"/>
    <w:pPr>
      <w:keepNext/>
      <w:numPr>
        <w:ilvl w:val="2"/>
        <w:numId w:val="3"/>
      </w:numPr>
      <w:tabs>
        <w:tab w:val="left" w:pos="2160"/>
      </w:tabs>
      <w:spacing w:after="120"/>
      <w:outlineLvl w:val="2"/>
    </w:pPr>
    <w:rPr>
      <w:b/>
    </w:rPr>
  </w:style>
  <w:style w:type="paragraph" w:styleId="Heading4">
    <w:name w:val="heading 4"/>
    <w:basedOn w:val="Normal"/>
    <w:next w:val="ParaNum"/>
    <w:qFormat/>
    <w:rsid w:val="008B3D4F"/>
    <w:pPr>
      <w:keepNext/>
      <w:numPr>
        <w:ilvl w:val="3"/>
        <w:numId w:val="3"/>
      </w:numPr>
      <w:tabs>
        <w:tab w:val="left" w:pos="2880"/>
      </w:tabs>
      <w:spacing w:after="120"/>
      <w:outlineLvl w:val="3"/>
    </w:pPr>
    <w:rPr>
      <w:b/>
    </w:rPr>
  </w:style>
  <w:style w:type="paragraph" w:styleId="Heading5">
    <w:name w:val="heading 5"/>
    <w:basedOn w:val="Normal"/>
    <w:next w:val="ParaNum"/>
    <w:qFormat/>
    <w:rsid w:val="008B3D4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3D4F"/>
    <w:pPr>
      <w:numPr>
        <w:ilvl w:val="5"/>
        <w:numId w:val="3"/>
      </w:numPr>
      <w:tabs>
        <w:tab w:val="left" w:pos="4320"/>
      </w:tabs>
      <w:spacing w:after="120"/>
      <w:outlineLvl w:val="5"/>
    </w:pPr>
    <w:rPr>
      <w:b/>
    </w:rPr>
  </w:style>
  <w:style w:type="paragraph" w:styleId="Heading7">
    <w:name w:val="heading 7"/>
    <w:basedOn w:val="Normal"/>
    <w:next w:val="ParaNum"/>
    <w:qFormat/>
    <w:rsid w:val="008B3D4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3D4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3D4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B3D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3D4F"/>
  </w:style>
  <w:style w:type="paragraph" w:customStyle="1" w:styleId="ParaNum">
    <w:name w:val="ParaNum"/>
    <w:basedOn w:val="Normal"/>
    <w:link w:val="ParaNumChar"/>
    <w:rsid w:val="008B3D4F"/>
    <w:pPr>
      <w:numPr>
        <w:numId w:val="2"/>
      </w:numPr>
      <w:tabs>
        <w:tab w:val="clear" w:pos="1080"/>
        <w:tab w:val="num" w:pos="1440"/>
      </w:tabs>
      <w:spacing w:after="120"/>
    </w:pPr>
  </w:style>
  <w:style w:type="paragraph" w:styleId="EndnoteText">
    <w:name w:val="endnote text"/>
    <w:basedOn w:val="Normal"/>
    <w:semiHidden/>
    <w:rsid w:val="008B3D4F"/>
    <w:rPr>
      <w:sz w:val="20"/>
    </w:rPr>
  </w:style>
  <w:style w:type="character" w:styleId="EndnoteReference">
    <w:name w:val="endnote reference"/>
    <w:semiHidden/>
    <w:rsid w:val="008B3D4F"/>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8B3D4F"/>
    <w:pPr>
      <w:spacing w:after="120"/>
    </w:pPr>
  </w:style>
  <w:style w:type="character" w:styleId="FootnoteReference">
    <w:name w:val="footnote reference"/>
    <w:aliases w:val="Style 4,Appel note de bas de p,Style 12,(NECG) Footnote Reference,Style 124,Style 13,o,fr,Style 3"/>
    <w:rsid w:val="008B3D4F"/>
    <w:rPr>
      <w:rFonts w:ascii="Times New Roman" w:hAnsi="Times New Roman"/>
      <w:dstrike w:val="0"/>
      <w:color w:val="auto"/>
      <w:sz w:val="20"/>
      <w:vertAlign w:val="superscript"/>
    </w:rPr>
  </w:style>
  <w:style w:type="paragraph" w:styleId="TOC1">
    <w:name w:val="toc 1"/>
    <w:basedOn w:val="Normal"/>
    <w:next w:val="Normal"/>
    <w:semiHidden/>
    <w:rsid w:val="008B3D4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3D4F"/>
    <w:pPr>
      <w:tabs>
        <w:tab w:val="left" w:pos="720"/>
        <w:tab w:val="right" w:leader="dot" w:pos="9360"/>
      </w:tabs>
      <w:suppressAutoHyphens/>
      <w:ind w:left="720" w:right="720" w:hanging="360"/>
    </w:pPr>
    <w:rPr>
      <w:noProof/>
    </w:rPr>
  </w:style>
  <w:style w:type="paragraph" w:styleId="TOC3">
    <w:name w:val="toc 3"/>
    <w:basedOn w:val="Normal"/>
    <w:next w:val="Normal"/>
    <w:semiHidden/>
    <w:rsid w:val="008B3D4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3D4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3D4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3D4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3D4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3D4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3D4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3D4F"/>
    <w:pPr>
      <w:tabs>
        <w:tab w:val="right" w:pos="9360"/>
      </w:tabs>
      <w:suppressAutoHyphens/>
    </w:pPr>
  </w:style>
  <w:style w:type="character" w:customStyle="1" w:styleId="EquationCaption">
    <w:name w:val="_Equation Caption"/>
    <w:rsid w:val="008B3D4F"/>
  </w:style>
  <w:style w:type="paragraph" w:styleId="Header">
    <w:name w:val="header"/>
    <w:basedOn w:val="Normal"/>
    <w:link w:val="HeaderChar"/>
    <w:autoRedefine/>
    <w:rsid w:val="008B3D4F"/>
    <w:pPr>
      <w:tabs>
        <w:tab w:val="center" w:pos="4680"/>
        <w:tab w:val="right" w:pos="9360"/>
      </w:tabs>
    </w:pPr>
    <w:rPr>
      <w:b/>
    </w:rPr>
  </w:style>
  <w:style w:type="paragraph" w:styleId="Footer">
    <w:name w:val="footer"/>
    <w:basedOn w:val="Normal"/>
    <w:link w:val="FooterChar"/>
    <w:rsid w:val="008B3D4F"/>
    <w:pPr>
      <w:tabs>
        <w:tab w:val="center" w:pos="4320"/>
        <w:tab w:val="right" w:pos="8640"/>
      </w:tabs>
    </w:pPr>
  </w:style>
  <w:style w:type="character" w:styleId="PageNumber">
    <w:name w:val="page number"/>
    <w:basedOn w:val="DefaultParagraphFont"/>
    <w:rsid w:val="008B3D4F"/>
  </w:style>
  <w:style w:type="paragraph" w:styleId="BlockText">
    <w:name w:val="Block Text"/>
    <w:basedOn w:val="Normal"/>
    <w:rsid w:val="008B3D4F"/>
    <w:pPr>
      <w:spacing w:after="240"/>
      <w:ind w:left="1440" w:right="1440"/>
    </w:pPr>
  </w:style>
  <w:style w:type="paragraph" w:customStyle="1" w:styleId="Paratitle">
    <w:name w:val="Para title"/>
    <w:basedOn w:val="Normal"/>
    <w:rsid w:val="008B3D4F"/>
    <w:pPr>
      <w:tabs>
        <w:tab w:val="center" w:pos="9270"/>
      </w:tabs>
      <w:spacing w:after="240"/>
    </w:pPr>
    <w:rPr>
      <w:spacing w:val="-2"/>
    </w:rPr>
  </w:style>
  <w:style w:type="paragraph" w:customStyle="1" w:styleId="Bullet">
    <w:name w:val="Bullet"/>
    <w:basedOn w:val="Normal"/>
    <w:rsid w:val="008B3D4F"/>
    <w:pPr>
      <w:tabs>
        <w:tab w:val="left" w:pos="2160"/>
      </w:tabs>
      <w:spacing w:after="220"/>
      <w:ind w:left="2160" w:hanging="720"/>
    </w:pPr>
  </w:style>
  <w:style w:type="paragraph" w:customStyle="1" w:styleId="TableFormat">
    <w:name w:val="TableFormat"/>
    <w:basedOn w:val="Bullet"/>
    <w:rsid w:val="008B3D4F"/>
    <w:pPr>
      <w:tabs>
        <w:tab w:val="clear" w:pos="2160"/>
        <w:tab w:val="left" w:pos="5040"/>
      </w:tabs>
      <w:ind w:left="5040" w:hanging="3600"/>
    </w:pPr>
  </w:style>
  <w:style w:type="paragraph" w:customStyle="1" w:styleId="TOCTitle">
    <w:name w:val="TOC Title"/>
    <w:basedOn w:val="Normal"/>
    <w:rsid w:val="008B3D4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3D4F"/>
    <w:pPr>
      <w:jc w:val="center"/>
    </w:pPr>
    <w:rPr>
      <w:rFonts w:ascii="Times New Roman Bold" w:hAnsi="Times New Roman Bold"/>
      <w:b/>
      <w:bCs/>
      <w:caps/>
      <w:szCs w:val="22"/>
    </w:rPr>
  </w:style>
  <w:style w:type="character" w:styleId="Hyperlink">
    <w:name w:val="Hyperlink"/>
    <w:rsid w:val="008B3D4F"/>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0">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
    <w:locked/>
    <w:rsid w:val="002D0E6B"/>
    <w:rPr>
      <w:snapToGrid w:val="0"/>
      <w:kern w:val="28"/>
      <w:sz w:val="22"/>
    </w:rPr>
  </w:style>
  <w:style w:type="paragraph" w:styleId="BalloonText">
    <w:name w:val="Balloon Text"/>
    <w:basedOn w:val="Normal"/>
    <w:link w:val="BalloonTextChar"/>
    <w:rsid w:val="00917FA4"/>
    <w:rPr>
      <w:rFonts w:ascii="Tahoma" w:hAnsi="Tahoma" w:cs="Tahoma"/>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customStyle="1" w:styleId="FootnoteCharacters">
    <w:name w:val="Footnote Characters"/>
    <w:rsid w:val="00160A7F"/>
    <w:rPr>
      <w:rFonts w:ascii="Times New Roman" w:hAnsi="Times New Roman"/>
      <w:strike w:val="0"/>
      <w:dstrike w:val="0"/>
      <w:color w:val="auto"/>
      <w:sz w:val="20"/>
      <w:vertAlign w:val="superscript"/>
    </w:rPr>
  </w:style>
  <w:style w:type="character" w:customStyle="1" w:styleId="Footnote">
    <w:name w:val="Footnote"/>
    <w:rsid w:val="00160A7F"/>
    <w:rPr>
      <w:rFonts w:ascii="Times New Roman" w:hAnsi="Times New Roman"/>
      <w:sz w:val="20"/>
    </w:rPr>
  </w:style>
  <w:style w:type="character" w:styleId="CommentReference">
    <w:name w:val="annotation reference"/>
    <w:basedOn w:val="DefaultParagraphFont"/>
    <w:rsid w:val="009B6595"/>
    <w:rPr>
      <w:sz w:val="16"/>
      <w:szCs w:val="16"/>
    </w:rPr>
  </w:style>
  <w:style w:type="paragraph" w:styleId="CommentText">
    <w:name w:val="annotation text"/>
    <w:basedOn w:val="Normal"/>
    <w:link w:val="CommentTextChar"/>
    <w:rsid w:val="009B6595"/>
    <w:rPr>
      <w:sz w:val="20"/>
    </w:rPr>
  </w:style>
  <w:style w:type="character" w:customStyle="1" w:styleId="CommentTextChar">
    <w:name w:val="Comment Text Char"/>
    <w:basedOn w:val="DefaultParagraphFont"/>
    <w:link w:val="CommentText"/>
    <w:rsid w:val="009B6595"/>
    <w:rPr>
      <w:snapToGrid w:val="0"/>
      <w:kern w:val="28"/>
    </w:rPr>
  </w:style>
  <w:style w:type="paragraph" w:styleId="CommentSubject">
    <w:name w:val="annotation subject"/>
    <w:basedOn w:val="CommentText"/>
    <w:next w:val="CommentText"/>
    <w:link w:val="CommentSubjectChar"/>
    <w:rsid w:val="009B6595"/>
    <w:rPr>
      <w:b/>
      <w:bCs/>
    </w:rPr>
  </w:style>
  <w:style w:type="character" w:customStyle="1" w:styleId="CommentSubjectChar">
    <w:name w:val="Comment Subject Char"/>
    <w:basedOn w:val="CommentTextChar"/>
    <w:link w:val="CommentSubject"/>
    <w:rsid w:val="009B6595"/>
    <w:rPr>
      <w:b/>
      <w:bCs/>
      <w:snapToGrid w:val="0"/>
      <w:kern w:val="28"/>
    </w:rPr>
  </w:style>
  <w:style w:type="character" w:customStyle="1" w:styleId="HeaderChar">
    <w:name w:val="Header Char"/>
    <w:basedOn w:val="DefaultParagraphFont"/>
    <w:link w:val="Header"/>
    <w:rsid w:val="00E7655F"/>
    <w:rPr>
      <w:b/>
      <w:snapToGrid w:val="0"/>
      <w:kern w:val="28"/>
      <w:sz w:val="22"/>
    </w:rPr>
  </w:style>
  <w:style w:type="character" w:customStyle="1" w:styleId="FooterChar">
    <w:name w:val="Footer Char"/>
    <w:basedOn w:val="DefaultParagraphFont"/>
    <w:link w:val="Footer"/>
    <w:rsid w:val="00603918"/>
    <w:rPr>
      <w:snapToGrid w:val="0"/>
      <w:kern w:val="28"/>
      <w:sz w:val="22"/>
    </w:rPr>
  </w:style>
  <w:style w:type="character" w:customStyle="1" w:styleId="documentbody">
    <w:name w:val="documentbody"/>
    <w:basedOn w:val="DefaultParagraphFont"/>
    <w:rsid w:val="001E7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stlaw.com/Find/Default.wl?rs=dfa1.0&amp;vr=2.0&amp;DB=0004493&amp;FindType=Y&amp;SerialNum=202775386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1125</Words>
  <Characters>6061</Characters>
  <Application>Microsoft Office Word</Application>
  <DocSecurity>0</DocSecurity>
  <Lines>116</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2015-08-04T20:44:00Z</cp:lastPrinted>
  <dcterms:created xsi:type="dcterms:W3CDTF">2015-08-20T14:56:00Z</dcterms:created>
  <dcterms:modified xsi:type="dcterms:W3CDTF">2015-08-20T14:56:00Z</dcterms:modified>
  <cp:category> </cp:category>
  <cp:contentStatus> </cp:contentStatus>
</cp:coreProperties>
</file>