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BE" w:rsidRDefault="00D966BE">
      <w:pPr>
        <w:jc w:val="center"/>
        <w:rPr>
          <w:b/>
        </w:rPr>
      </w:pPr>
      <w:bookmarkStart w:id="0" w:name="_GoBack"/>
      <w:bookmarkEnd w:id="0"/>
      <w:r>
        <w:rPr>
          <w:b/>
        </w:rPr>
        <w:t>Before the</w:t>
      </w:r>
    </w:p>
    <w:p w:rsidR="00D966BE" w:rsidRDefault="00D966BE">
      <w:pPr>
        <w:jc w:val="center"/>
        <w:rPr>
          <w:b/>
        </w:rPr>
      </w:pPr>
      <w:r>
        <w:rPr>
          <w:b/>
        </w:rPr>
        <w:t>Federal Communications Commission</w:t>
      </w:r>
    </w:p>
    <w:p w:rsidR="00D966BE" w:rsidRDefault="00D966BE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D966BE" w:rsidRDefault="00D966BE"/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90"/>
        <w:gridCol w:w="4158"/>
        <w:gridCol w:w="72"/>
      </w:tblGrid>
      <w:tr w:rsidR="00796C5E" w:rsidTr="00982203">
        <w:tc>
          <w:tcPr>
            <w:tcW w:w="4698" w:type="dxa"/>
          </w:tcPr>
          <w:p w:rsidR="00796C5E" w:rsidRPr="007115F7" w:rsidRDefault="00796C5E" w:rsidP="00ED7619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720" w:type="dxa"/>
            <w:gridSpan w:val="2"/>
          </w:tcPr>
          <w:p w:rsidR="00796C5E" w:rsidRPr="00A7264C" w:rsidRDefault="00796C5E" w:rsidP="00ED761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</w:p>
        </w:tc>
        <w:tc>
          <w:tcPr>
            <w:tcW w:w="4230" w:type="dxa"/>
            <w:gridSpan w:val="2"/>
          </w:tcPr>
          <w:p w:rsidR="00796C5E" w:rsidRDefault="00796C5E" w:rsidP="00ED7619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</w:tr>
      <w:tr w:rsidR="006B59DF" w:rsidRPr="00AB6C6E" w:rsidTr="00982203">
        <w:trPr>
          <w:gridAfter w:val="1"/>
          <w:wAfter w:w="72" w:type="dxa"/>
        </w:trPr>
        <w:tc>
          <w:tcPr>
            <w:tcW w:w="4698" w:type="dxa"/>
          </w:tcPr>
          <w:p w:rsidR="006B59DF" w:rsidRPr="00D72DE2" w:rsidRDefault="006B59DF" w:rsidP="006B59DF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170D42">
              <w:rPr>
                <w:spacing w:val="-2"/>
              </w:rPr>
              <w:t>In the Matter of</w:t>
            </w:r>
          </w:p>
          <w:p w:rsidR="006B59DF" w:rsidRPr="00D72DE2" w:rsidRDefault="006B59DF" w:rsidP="006B59DF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6B59DF" w:rsidRPr="00D72DE2" w:rsidRDefault="006B59DF" w:rsidP="006B59DF">
            <w:pPr>
              <w:ind w:right="-18"/>
              <w:rPr>
                <w:szCs w:val="22"/>
              </w:rPr>
            </w:pPr>
            <w:r w:rsidRPr="00D72DE2">
              <w:rPr>
                <w:szCs w:val="22"/>
              </w:rPr>
              <w:t xml:space="preserve">Amendment of Parts 0, 1, 2, 15 and 18 of the Commission’s Rules regarding Authorization of Radiofrequency Equipment </w:t>
            </w:r>
          </w:p>
          <w:p w:rsidR="006B59DF" w:rsidRPr="00D72DE2" w:rsidRDefault="006B59DF" w:rsidP="006B59DF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6B59DF" w:rsidRPr="00D72DE2" w:rsidRDefault="006B59DF" w:rsidP="006B59DF">
            <w:pPr>
              <w:ind w:right="-18"/>
              <w:rPr>
                <w:spacing w:val="-2"/>
              </w:rPr>
            </w:pPr>
            <w:r w:rsidRPr="00D72DE2">
              <w:rPr>
                <w:spacing w:val="-2"/>
              </w:rPr>
              <w:t>Request for the Allowance of Optional Electronic</w:t>
            </w:r>
          </w:p>
          <w:p w:rsidR="006B59DF" w:rsidRPr="00D72DE2" w:rsidRDefault="006B59DF" w:rsidP="006B59DF">
            <w:pPr>
              <w:ind w:right="-18"/>
              <w:rPr>
                <w:spacing w:val="-2"/>
              </w:rPr>
            </w:pPr>
            <w:r w:rsidRPr="00D72DE2">
              <w:rPr>
                <w:spacing w:val="-2"/>
              </w:rPr>
              <w:t>Labeling for Wireless Devices</w:t>
            </w:r>
          </w:p>
        </w:tc>
        <w:tc>
          <w:tcPr>
            <w:tcW w:w="630" w:type="dxa"/>
          </w:tcPr>
          <w:p w:rsidR="006B59DF" w:rsidRPr="00D72DE2" w:rsidRDefault="006B59DF" w:rsidP="006B59DF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D72DE2">
              <w:rPr>
                <w:b/>
                <w:spacing w:val="-2"/>
              </w:rPr>
              <w:t>)</w:t>
            </w:r>
          </w:p>
          <w:p w:rsidR="006B59DF" w:rsidRPr="00D72DE2" w:rsidRDefault="006B59DF" w:rsidP="006B59DF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D72DE2">
              <w:rPr>
                <w:b/>
                <w:spacing w:val="-2"/>
              </w:rPr>
              <w:t>)</w:t>
            </w:r>
          </w:p>
          <w:p w:rsidR="006B59DF" w:rsidRPr="00D72DE2" w:rsidRDefault="006B59DF" w:rsidP="006B59DF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D72DE2">
              <w:rPr>
                <w:b/>
                <w:spacing w:val="-2"/>
              </w:rPr>
              <w:t>)</w:t>
            </w:r>
          </w:p>
          <w:p w:rsidR="006B59DF" w:rsidRPr="00D72DE2" w:rsidRDefault="006B59DF" w:rsidP="006B59DF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D72DE2">
              <w:rPr>
                <w:b/>
                <w:spacing w:val="-2"/>
              </w:rPr>
              <w:t>)</w:t>
            </w:r>
          </w:p>
          <w:p w:rsidR="006B59DF" w:rsidRPr="00D72DE2" w:rsidRDefault="006B59DF" w:rsidP="006B59DF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D72DE2">
              <w:rPr>
                <w:b/>
                <w:spacing w:val="-2"/>
              </w:rPr>
              <w:t>)</w:t>
            </w:r>
          </w:p>
          <w:p w:rsidR="006B59DF" w:rsidRPr="00D72DE2" w:rsidRDefault="006B59DF" w:rsidP="006B59DF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D72DE2">
              <w:rPr>
                <w:b/>
                <w:spacing w:val="-2"/>
              </w:rPr>
              <w:t>)</w:t>
            </w:r>
          </w:p>
          <w:p w:rsidR="006B59DF" w:rsidRPr="00D72DE2" w:rsidRDefault="006B59DF" w:rsidP="006B59DF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D72DE2">
              <w:rPr>
                <w:b/>
                <w:spacing w:val="-2"/>
              </w:rPr>
              <w:t>)</w:t>
            </w:r>
          </w:p>
          <w:p w:rsidR="006B59DF" w:rsidRPr="00D72DE2" w:rsidRDefault="006B59DF" w:rsidP="006B59DF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D72DE2">
              <w:rPr>
                <w:b/>
                <w:spacing w:val="-2"/>
              </w:rPr>
              <w:t>)</w:t>
            </w:r>
          </w:p>
          <w:p w:rsidR="006B59DF" w:rsidRPr="00D72DE2" w:rsidRDefault="006B59DF" w:rsidP="006B59DF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D72DE2">
              <w:rPr>
                <w:b/>
                <w:spacing w:val="-2"/>
              </w:rPr>
              <w:t>)</w:t>
            </w:r>
            <w:r w:rsidR="003B0C32">
              <w:rPr>
                <w:b/>
                <w:spacing w:val="-2"/>
              </w:rPr>
              <w:br/>
            </w:r>
          </w:p>
        </w:tc>
        <w:tc>
          <w:tcPr>
            <w:tcW w:w="4248" w:type="dxa"/>
            <w:gridSpan w:val="2"/>
          </w:tcPr>
          <w:p w:rsidR="006B59DF" w:rsidRPr="006B59DF" w:rsidRDefault="006B59DF" w:rsidP="006B59DF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6B59DF" w:rsidRPr="006B59DF" w:rsidRDefault="006B59DF" w:rsidP="006B59DF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6B59DF" w:rsidRPr="006B59DF" w:rsidRDefault="006B59DF" w:rsidP="006B59DF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6B59DF">
              <w:rPr>
                <w:spacing w:val="-2"/>
              </w:rPr>
              <w:t>ET Docket No. 15</w:t>
            </w:r>
            <w:r>
              <w:rPr>
                <w:spacing w:val="-2"/>
              </w:rPr>
              <w:t>-170</w:t>
            </w:r>
          </w:p>
          <w:p w:rsidR="006B59DF" w:rsidRPr="006B59DF" w:rsidRDefault="006B59DF" w:rsidP="006B59DF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6B59DF" w:rsidRPr="006B59DF" w:rsidRDefault="006B59DF" w:rsidP="006B59DF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6B59DF" w:rsidRPr="006B59DF" w:rsidRDefault="006B59DF" w:rsidP="006B59DF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6B59DF" w:rsidRPr="00AB6C6E" w:rsidRDefault="006B59DF" w:rsidP="006B59DF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6B59DF">
              <w:rPr>
                <w:spacing w:val="-2"/>
              </w:rPr>
              <w:t>RM-11673</w:t>
            </w:r>
          </w:p>
        </w:tc>
      </w:tr>
    </w:tbl>
    <w:p w:rsidR="00D966BE" w:rsidRDefault="0013665E" w:rsidP="0013665E">
      <w:pPr>
        <w:spacing w:before="120"/>
        <w:ind w:left="720" w:hanging="720"/>
        <w:jc w:val="center"/>
        <w:rPr>
          <w:b/>
          <w:spacing w:val="-2"/>
        </w:rPr>
      </w:pPr>
      <w:r>
        <w:rPr>
          <w:b/>
          <w:spacing w:val="-2"/>
        </w:rPr>
        <w:t>ORDER</w:t>
      </w:r>
    </w:p>
    <w:p w:rsidR="0013665E" w:rsidRDefault="0013665E" w:rsidP="0013665E">
      <w:pPr>
        <w:spacing w:before="120"/>
        <w:ind w:left="720" w:hanging="720"/>
        <w:jc w:val="center"/>
      </w:pPr>
    </w:p>
    <w:p w:rsidR="00D966BE" w:rsidRDefault="006B59DF">
      <w:pPr>
        <w:tabs>
          <w:tab w:val="left" w:pos="5760"/>
        </w:tabs>
        <w:rPr>
          <w:b/>
        </w:rPr>
      </w:pPr>
      <w:r>
        <w:rPr>
          <w:b/>
        </w:rPr>
        <w:t xml:space="preserve">Adopted:  August </w:t>
      </w:r>
      <w:r w:rsidR="003B0C32">
        <w:rPr>
          <w:b/>
        </w:rPr>
        <w:t>25</w:t>
      </w:r>
      <w:r>
        <w:rPr>
          <w:b/>
        </w:rPr>
        <w:t>, 2015</w:t>
      </w:r>
      <w:r w:rsidR="001F5058">
        <w:rPr>
          <w:b/>
        </w:rPr>
        <w:tab/>
      </w:r>
      <w:r w:rsidR="00D966BE">
        <w:rPr>
          <w:b/>
        </w:rPr>
        <w:tab/>
        <w:t xml:space="preserve">Released:  </w:t>
      </w:r>
      <w:r>
        <w:rPr>
          <w:b/>
        </w:rPr>
        <w:t xml:space="preserve">August </w:t>
      </w:r>
      <w:r w:rsidR="003B0C32">
        <w:rPr>
          <w:b/>
        </w:rPr>
        <w:t>25</w:t>
      </w:r>
      <w:r>
        <w:rPr>
          <w:b/>
        </w:rPr>
        <w:t>, 2015</w:t>
      </w:r>
    </w:p>
    <w:p w:rsidR="001F5058" w:rsidRPr="00C459CF" w:rsidRDefault="00C459CF">
      <w:pPr>
        <w:tabs>
          <w:tab w:val="left" w:pos="5760"/>
        </w:tabs>
        <w:rPr>
          <w:b/>
        </w:rPr>
      </w:pPr>
      <w:r>
        <w:rPr>
          <w:b/>
        </w:rPr>
        <w:br/>
        <w:t>Comment Date:  October 9, 2015</w:t>
      </w:r>
    </w:p>
    <w:p w:rsidR="00C459CF" w:rsidRDefault="00C459CF">
      <w:pPr>
        <w:tabs>
          <w:tab w:val="left" w:pos="5760"/>
        </w:tabs>
        <w:rPr>
          <w:b/>
        </w:rPr>
      </w:pPr>
      <w:r>
        <w:rPr>
          <w:b/>
        </w:rPr>
        <w:t>Reply Comment Date:  November 9, 2015</w:t>
      </w:r>
      <w:r>
        <w:rPr>
          <w:b/>
        </w:rPr>
        <w:br/>
      </w:r>
    </w:p>
    <w:p w:rsidR="00D966BE" w:rsidRDefault="00D966BE">
      <w:pPr>
        <w:tabs>
          <w:tab w:val="left" w:pos="5760"/>
        </w:tabs>
        <w:rPr>
          <w:spacing w:val="-2"/>
        </w:rPr>
      </w:pPr>
      <w:r>
        <w:t xml:space="preserve">By the </w:t>
      </w:r>
      <w:r>
        <w:rPr>
          <w:spacing w:val="-2"/>
        </w:rPr>
        <w:t>C</w:t>
      </w:r>
      <w:r w:rsidR="009C2FDB">
        <w:rPr>
          <w:spacing w:val="-2"/>
        </w:rPr>
        <w:t>hief</w:t>
      </w:r>
      <w:r w:rsidR="009B306F">
        <w:rPr>
          <w:spacing w:val="-2"/>
        </w:rPr>
        <w:t>, Office of</w:t>
      </w:r>
      <w:r w:rsidR="009C2FDB">
        <w:rPr>
          <w:spacing w:val="-2"/>
        </w:rPr>
        <w:t xml:space="preserve"> Engineer</w:t>
      </w:r>
      <w:r w:rsidR="009B306F">
        <w:rPr>
          <w:spacing w:val="-2"/>
        </w:rPr>
        <w:t>ing and Technology</w:t>
      </w:r>
      <w:r w:rsidR="009C2FDB">
        <w:rPr>
          <w:spacing w:val="-2"/>
        </w:rPr>
        <w:t>:</w:t>
      </w:r>
      <w:r>
        <w:rPr>
          <w:spacing w:val="-2"/>
        </w:rPr>
        <w:t xml:space="preserve">  </w:t>
      </w:r>
    </w:p>
    <w:p w:rsidR="00D966BE" w:rsidRDefault="00D966BE">
      <w:pPr>
        <w:tabs>
          <w:tab w:val="left" w:pos="5760"/>
        </w:tabs>
        <w:rPr>
          <w:spacing w:val="-2"/>
        </w:rPr>
      </w:pPr>
    </w:p>
    <w:p w:rsidR="00302E8B" w:rsidRDefault="00CB012C" w:rsidP="00DD61DD">
      <w:pPr>
        <w:pStyle w:val="ParaNum"/>
        <w:tabs>
          <w:tab w:val="clear" w:pos="1080"/>
        </w:tabs>
        <w:jc w:val="left"/>
      </w:pPr>
      <w:r>
        <w:rPr>
          <w:spacing w:val="-2"/>
        </w:rPr>
        <w:t xml:space="preserve">On </w:t>
      </w:r>
      <w:r w:rsidR="006B59DF">
        <w:rPr>
          <w:spacing w:val="-2"/>
        </w:rPr>
        <w:t>July 17</w:t>
      </w:r>
      <w:r w:rsidR="006B59DF">
        <w:t>, 2015</w:t>
      </w:r>
      <w:r w:rsidR="003E36E1">
        <w:rPr>
          <w:spacing w:val="-2"/>
        </w:rPr>
        <w:t xml:space="preserve">, the Commission adopted </w:t>
      </w:r>
      <w:r w:rsidR="006B59DF">
        <w:rPr>
          <w:spacing w:val="-2"/>
        </w:rPr>
        <w:t>a</w:t>
      </w:r>
      <w:r w:rsidR="00236BD2">
        <w:rPr>
          <w:spacing w:val="-2"/>
        </w:rPr>
        <w:t xml:space="preserve"> </w:t>
      </w:r>
      <w:r w:rsidR="00BD3596" w:rsidRPr="00524253">
        <w:rPr>
          <w:spacing w:val="-2"/>
        </w:rPr>
        <w:t>Notice of Proposed Rulemaking</w:t>
      </w:r>
      <w:r w:rsidR="003E36E1">
        <w:rPr>
          <w:spacing w:val="-2"/>
        </w:rPr>
        <w:t xml:space="preserve"> (“</w:t>
      </w:r>
      <w:r w:rsidR="006B59DF">
        <w:rPr>
          <w:i/>
          <w:spacing w:val="-2"/>
        </w:rPr>
        <w:t>NPRM</w:t>
      </w:r>
      <w:r w:rsidR="003E36E1">
        <w:rPr>
          <w:spacing w:val="-2"/>
        </w:rPr>
        <w:t>”)</w:t>
      </w:r>
      <w:r w:rsidR="00FB2E98">
        <w:rPr>
          <w:spacing w:val="-2"/>
        </w:rPr>
        <w:t xml:space="preserve"> </w:t>
      </w:r>
      <w:r w:rsidR="00CE644F">
        <w:rPr>
          <w:spacing w:val="-2"/>
        </w:rPr>
        <w:t xml:space="preserve">in the above captioned proceedings </w:t>
      </w:r>
      <w:r w:rsidR="006B59DF">
        <w:rPr>
          <w:spacing w:val="-2"/>
        </w:rPr>
        <w:t>to update the rules that govern the evaluation and approval of RF devices</w:t>
      </w:r>
      <w:r w:rsidR="003E36E1">
        <w:rPr>
          <w:spacing w:val="-2"/>
        </w:rPr>
        <w:t>.</w:t>
      </w:r>
      <w:r w:rsidR="003E36E1">
        <w:rPr>
          <w:rStyle w:val="FootnoteReference"/>
          <w:spacing w:val="-2"/>
        </w:rPr>
        <w:footnoteReference w:id="2"/>
      </w:r>
      <w:r w:rsidR="003E36E1">
        <w:rPr>
          <w:spacing w:val="-2"/>
        </w:rPr>
        <w:t xml:space="preserve">  </w:t>
      </w:r>
      <w:r w:rsidR="00BD3596">
        <w:rPr>
          <w:spacing w:val="-2"/>
        </w:rPr>
        <w:t xml:space="preserve">Comments </w:t>
      </w:r>
      <w:r w:rsidR="00236BD2">
        <w:rPr>
          <w:spacing w:val="-2"/>
        </w:rPr>
        <w:t xml:space="preserve">in </w:t>
      </w:r>
      <w:r w:rsidR="006B59DF">
        <w:rPr>
          <w:spacing w:val="-2"/>
        </w:rPr>
        <w:t>this proceeding</w:t>
      </w:r>
      <w:r w:rsidR="00236BD2">
        <w:rPr>
          <w:spacing w:val="-2"/>
        </w:rPr>
        <w:t xml:space="preserve"> </w:t>
      </w:r>
      <w:r w:rsidR="00F409D2">
        <w:rPr>
          <w:spacing w:val="-2"/>
        </w:rPr>
        <w:t>are</w:t>
      </w:r>
      <w:r w:rsidR="00EA5002">
        <w:rPr>
          <w:spacing w:val="-2"/>
        </w:rPr>
        <w:t xml:space="preserve"> due on September </w:t>
      </w:r>
      <w:r w:rsidR="00704581">
        <w:rPr>
          <w:spacing w:val="-2"/>
        </w:rPr>
        <w:t>9</w:t>
      </w:r>
      <w:r w:rsidR="00BD3596">
        <w:rPr>
          <w:spacing w:val="-2"/>
        </w:rPr>
        <w:t>, 201</w:t>
      </w:r>
      <w:r w:rsidR="00F409D2">
        <w:rPr>
          <w:spacing w:val="-2"/>
        </w:rPr>
        <w:t>5</w:t>
      </w:r>
      <w:r w:rsidR="00BD3596">
        <w:rPr>
          <w:spacing w:val="-2"/>
        </w:rPr>
        <w:t xml:space="preserve"> and reply comments are due on </w:t>
      </w:r>
      <w:r w:rsidR="00EA5002">
        <w:rPr>
          <w:spacing w:val="-2"/>
        </w:rPr>
        <w:t>September 2</w:t>
      </w:r>
      <w:r w:rsidR="00704581">
        <w:rPr>
          <w:spacing w:val="-2"/>
        </w:rPr>
        <w:t>2</w:t>
      </w:r>
      <w:r w:rsidR="00F409D2">
        <w:rPr>
          <w:spacing w:val="-2"/>
        </w:rPr>
        <w:t>, 2015</w:t>
      </w:r>
      <w:r w:rsidR="00BD3596">
        <w:rPr>
          <w:spacing w:val="-2"/>
        </w:rPr>
        <w:t>.</w:t>
      </w:r>
      <w:r w:rsidR="00BD3596">
        <w:rPr>
          <w:rStyle w:val="FootnoteReference"/>
          <w:spacing w:val="-2"/>
        </w:rPr>
        <w:footnoteReference w:id="3"/>
      </w:r>
    </w:p>
    <w:p w:rsidR="00BD3B14" w:rsidRPr="00BD3B14" w:rsidRDefault="006814BF" w:rsidP="007E35D8">
      <w:pPr>
        <w:pStyle w:val="ParaNum"/>
        <w:tabs>
          <w:tab w:val="clear" w:pos="1080"/>
          <w:tab w:val="num" w:pos="1440"/>
        </w:tabs>
      </w:pPr>
      <w:r>
        <w:t>Recently, the Telecommunications Industry Association (“TIA”) and the Information Technology Industry Council (“ITI”) jointly requested a 30-day extension of time for filing initial comments and a 15-day extension of time for filing reply comments.</w:t>
      </w:r>
      <w:r>
        <w:rPr>
          <w:rStyle w:val="FootnoteReference"/>
        </w:rPr>
        <w:footnoteReference w:id="4"/>
      </w:r>
      <w:r>
        <w:t xml:space="preserve">  </w:t>
      </w:r>
      <w:r w:rsidR="00704581">
        <w:t xml:space="preserve">Subsequently, </w:t>
      </w:r>
      <w:r w:rsidR="00EA5002">
        <w:t xml:space="preserve">the Consumer Electronics Association </w:t>
      </w:r>
      <w:r w:rsidR="00156508">
        <w:t>(“</w:t>
      </w:r>
      <w:r w:rsidR="00EA5002">
        <w:t>CEA</w:t>
      </w:r>
      <w:r w:rsidR="00156508">
        <w:t xml:space="preserve">”) </w:t>
      </w:r>
      <w:r w:rsidR="00FB2E98">
        <w:t xml:space="preserve">requested </w:t>
      </w:r>
      <w:r w:rsidR="00EA5002">
        <w:t>a two-week extension</w:t>
      </w:r>
      <w:r>
        <w:t xml:space="preserve"> of the time for filing </w:t>
      </w:r>
      <w:r w:rsidR="00EA5002">
        <w:t>comments and a three-week extension for filing re</w:t>
      </w:r>
      <w:r w:rsidR="00FB2E98">
        <w:t>ply comments.</w:t>
      </w:r>
      <w:r w:rsidR="00FB2E98">
        <w:rPr>
          <w:rStyle w:val="FootnoteReference"/>
        </w:rPr>
        <w:footnoteReference w:id="5"/>
      </w:r>
      <w:r w:rsidR="00FB2E98">
        <w:t xml:space="preserve">  </w:t>
      </w:r>
      <w:r w:rsidR="00CF15C4">
        <w:t>More recently, the American National Standards Institute Accredited Standards Committee C63 (“ANSI ASC63“) requested a 30-day extension of both the comment and reply comment deadlines.</w:t>
      </w:r>
      <w:r w:rsidR="00CF15C4">
        <w:rPr>
          <w:rStyle w:val="FootnoteReference"/>
        </w:rPr>
        <w:footnoteReference w:id="6"/>
      </w:r>
      <w:r w:rsidR="00CF15C4">
        <w:t xml:space="preserve">  </w:t>
      </w:r>
      <w:r w:rsidR="007F5D0A">
        <w:t xml:space="preserve">TIA and ITI state that the </w:t>
      </w:r>
      <w:r w:rsidR="007F5D0A" w:rsidRPr="007F5D0A">
        <w:rPr>
          <w:i/>
        </w:rPr>
        <w:t>NPRM</w:t>
      </w:r>
      <w:r w:rsidR="007F5D0A">
        <w:t xml:space="preserve"> addressed a “</w:t>
      </w:r>
      <w:r w:rsidR="007F5D0A" w:rsidRPr="007F5D0A">
        <w:t xml:space="preserve">wide range of equipment approval issues of a technical, legal, and practical nature, impacting a diverse set of </w:t>
      </w:r>
      <w:r w:rsidR="007F5D0A" w:rsidRPr="007F5D0A">
        <w:lastRenderedPageBreak/>
        <w:t>stakeholders, each of whom will need to closely analyze and consider the potential effect of the rule changes being considered</w:t>
      </w:r>
      <w:r w:rsidR="007F5D0A">
        <w:t>” and that the extension will allow the parties to submit more comprehensive responses.</w:t>
      </w:r>
      <w:r w:rsidR="00134505">
        <w:t xml:space="preserve">  TIA and ITI also </w:t>
      </w:r>
      <w:r w:rsidR="004E03CB">
        <w:t>contend</w:t>
      </w:r>
      <w:r w:rsidR="00134505">
        <w:t xml:space="preserve"> that the rule changes are closely related to the recent chan</w:t>
      </w:r>
      <w:r w:rsidR="004E03CB">
        <w:t>ges updating the Commission’s E</w:t>
      </w:r>
      <w:r w:rsidR="00134505">
        <w:t xml:space="preserve">quipment </w:t>
      </w:r>
      <w:r w:rsidR="004E03CB">
        <w:t>A</w:t>
      </w:r>
      <w:r w:rsidR="00134505">
        <w:t>uthorization program and the extension will ensure that they can consider issues</w:t>
      </w:r>
      <w:r w:rsidR="004E03CB">
        <w:t xml:space="preserve"> they consider to be related</w:t>
      </w:r>
      <w:r w:rsidR="00134505">
        <w:t>.</w:t>
      </w:r>
      <w:r w:rsidR="00134505">
        <w:rPr>
          <w:rStyle w:val="FootnoteReference"/>
        </w:rPr>
        <w:footnoteReference w:id="7"/>
      </w:r>
      <w:r w:rsidR="00134505">
        <w:t xml:space="preserve">  </w:t>
      </w:r>
      <w:r>
        <w:t>CEA states that this rulemaking concerns a complex and technical area and claims that the comment periods are insufficient for it to consult with its member companies</w:t>
      </w:r>
      <w:r w:rsidR="00050BEF">
        <w:t xml:space="preserve"> within the</w:t>
      </w:r>
      <w:r>
        <w:t xml:space="preserve"> timeframe</w:t>
      </w:r>
      <w:r w:rsidR="00050BEF">
        <w:t xml:space="preserve"> provided</w:t>
      </w:r>
      <w:r>
        <w:t>.</w:t>
      </w:r>
      <w:r w:rsidR="00C12F4D">
        <w:t xml:space="preserve">  In addition to similar comments related to the complexity of the proposals under consideration, ANSI ASC63 also expressed concerns related to late summer scheduling conflicts</w:t>
      </w:r>
      <w:r w:rsidR="009F7646">
        <w:t xml:space="preserve"> among its members</w:t>
      </w:r>
      <w:r w:rsidR="00C12F4D">
        <w:t xml:space="preserve">, including a conference that many of its members will attend in Germany that is coincident with the comment period. </w:t>
      </w:r>
    </w:p>
    <w:p w:rsidR="007F5D0A" w:rsidRDefault="00BD3B14" w:rsidP="007E35D8">
      <w:pPr>
        <w:pStyle w:val="ParaNum"/>
        <w:tabs>
          <w:tab w:val="clear" w:pos="1080"/>
        </w:tabs>
        <w:jc w:val="left"/>
      </w:pPr>
      <w:r>
        <w:t>The Commission does not routinely grant extensions of time in rulemaking proceedings.  However, we believe that extension</w:t>
      </w:r>
      <w:r w:rsidR="00C55B07">
        <w:t>s</w:t>
      </w:r>
      <w:r>
        <w:t xml:space="preserve"> of the </w:t>
      </w:r>
      <w:r w:rsidR="006A66EE">
        <w:t xml:space="preserve">comment </w:t>
      </w:r>
      <w:r w:rsidR="00614BE6">
        <w:t xml:space="preserve">and reply comment </w:t>
      </w:r>
      <w:r w:rsidR="006A66EE">
        <w:t>deadline</w:t>
      </w:r>
      <w:r w:rsidR="00614BE6">
        <w:t>s</w:t>
      </w:r>
      <w:r>
        <w:t xml:space="preserve"> will </w:t>
      </w:r>
      <w:r w:rsidR="0013665E">
        <w:t>provid</w:t>
      </w:r>
      <w:r w:rsidR="00621E9E">
        <w:t>e</w:t>
      </w:r>
      <w:r w:rsidR="0013665E">
        <w:t xml:space="preserve"> parties </w:t>
      </w:r>
      <w:r w:rsidR="00156508">
        <w:t xml:space="preserve">with </w:t>
      </w:r>
      <w:r w:rsidR="0013665E">
        <w:t>an opportunity</w:t>
      </w:r>
      <w:r>
        <w:t xml:space="preserve"> to </w:t>
      </w:r>
      <w:r w:rsidR="00156508">
        <w:t xml:space="preserve">more </w:t>
      </w:r>
      <w:r>
        <w:t xml:space="preserve">fully analyze </w:t>
      </w:r>
      <w:r w:rsidR="007D7507">
        <w:t xml:space="preserve">and respond to </w:t>
      </w:r>
      <w:r w:rsidR="006A66EE">
        <w:t xml:space="preserve">the </w:t>
      </w:r>
      <w:r w:rsidR="00156508">
        <w:t>complex technical issues raised in</w:t>
      </w:r>
      <w:r w:rsidR="00851373">
        <w:t xml:space="preserve"> this </w:t>
      </w:r>
      <w:r w:rsidR="00851373" w:rsidRPr="00851373">
        <w:rPr>
          <w:i/>
        </w:rPr>
        <w:t>NPRM</w:t>
      </w:r>
      <w:r w:rsidR="00B30698">
        <w:rPr>
          <w:i/>
        </w:rPr>
        <w:t>,</w:t>
      </w:r>
      <w:r w:rsidR="00B30698">
        <w:t xml:space="preserve"> thus</w:t>
      </w:r>
      <w:r w:rsidR="00B30698" w:rsidRPr="00B30698">
        <w:t xml:space="preserve"> </w:t>
      </w:r>
      <w:r w:rsidR="00B30698">
        <w:t>allowing development of a more complete record in these proceedings</w:t>
      </w:r>
      <w:r>
        <w:t xml:space="preserve">.  </w:t>
      </w:r>
      <w:r w:rsidR="002A67EC">
        <w:t>W</w:t>
      </w:r>
      <w:r w:rsidR="00B30698">
        <w:t>e</w:t>
      </w:r>
      <w:r w:rsidR="00614BE6">
        <w:t xml:space="preserve"> believe that </w:t>
      </w:r>
      <w:r w:rsidR="009741E4">
        <w:t xml:space="preserve">a </w:t>
      </w:r>
      <w:r w:rsidR="00156508">
        <w:t>30</w:t>
      </w:r>
      <w:r w:rsidR="001A1E67">
        <w:t>-</w:t>
      </w:r>
      <w:r w:rsidR="00156508">
        <w:t>day extension</w:t>
      </w:r>
      <w:r w:rsidR="00614BE6">
        <w:t xml:space="preserve"> </w:t>
      </w:r>
      <w:r w:rsidR="007F5D0A">
        <w:t xml:space="preserve">of the </w:t>
      </w:r>
      <w:r w:rsidR="00851373">
        <w:t xml:space="preserve">comment filing </w:t>
      </w:r>
      <w:r w:rsidR="005613EC">
        <w:t>period</w:t>
      </w:r>
      <w:r w:rsidR="00851373">
        <w:t xml:space="preserve"> </w:t>
      </w:r>
      <w:r w:rsidR="005613EC">
        <w:t xml:space="preserve">followed by a </w:t>
      </w:r>
      <w:r w:rsidR="00F871C2">
        <w:t>15</w:t>
      </w:r>
      <w:r w:rsidR="00851373">
        <w:t xml:space="preserve">-day </w:t>
      </w:r>
      <w:r w:rsidR="00F871C2">
        <w:t>extension to the</w:t>
      </w:r>
      <w:r w:rsidR="00851373">
        <w:t xml:space="preserve"> reply comment </w:t>
      </w:r>
      <w:r w:rsidR="009741E4">
        <w:t xml:space="preserve">filing </w:t>
      </w:r>
      <w:r w:rsidR="005613EC">
        <w:t>period</w:t>
      </w:r>
      <w:r w:rsidR="007F5D0A">
        <w:t xml:space="preserve"> </w:t>
      </w:r>
      <w:r w:rsidR="002A67EC">
        <w:t xml:space="preserve">should </w:t>
      </w:r>
      <w:r w:rsidR="005613EC">
        <w:t>provide</w:t>
      </w:r>
      <w:r w:rsidR="00F871C2">
        <w:t xml:space="preserve"> </w:t>
      </w:r>
      <w:r w:rsidR="002A67EC">
        <w:t>sufficient time to address the complex technical issues</w:t>
      </w:r>
      <w:r w:rsidR="007F5D0A">
        <w:t>.</w:t>
      </w:r>
    </w:p>
    <w:p w:rsidR="00BD3B14" w:rsidRDefault="00614BE6" w:rsidP="007E35D8">
      <w:pPr>
        <w:pStyle w:val="ParaNum"/>
        <w:tabs>
          <w:tab w:val="clear" w:pos="1080"/>
        </w:tabs>
        <w:jc w:val="left"/>
      </w:pPr>
      <w:r>
        <w:t xml:space="preserve">  </w:t>
      </w:r>
      <w:r w:rsidR="00BD3B14">
        <w:t xml:space="preserve">Accordingly, IT IS ORDERED, pursuant to the delegated authority contained in 47 C.F.R. §§ 0.31 and 0.241(a), that the </w:t>
      </w:r>
      <w:r w:rsidR="00FB2E98">
        <w:t>deadlines</w:t>
      </w:r>
      <w:r w:rsidR="00BD3B14">
        <w:t xml:space="preserve"> for filing </w:t>
      </w:r>
      <w:r w:rsidR="006A66EE">
        <w:t>comments</w:t>
      </w:r>
      <w:r w:rsidR="00BD3B14">
        <w:t xml:space="preserve"> </w:t>
      </w:r>
      <w:r w:rsidR="00FB2E98">
        <w:t xml:space="preserve">and reply comments </w:t>
      </w:r>
      <w:r w:rsidR="00BD3B14">
        <w:t>in the above captioned proceeding</w:t>
      </w:r>
      <w:r w:rsidR="00FB2E98">
        <w:t>s</w:t>
      </w:r>
      <w:r w:rsidR="00BD3B14">
        <w:t xml:space="preserve"> </w:t>
      </w:r>
      <w:r w:rsidR="00FB2E98">
        <w:t>ARE</w:t>
      </w:r>
      <w:r w:rsidR="00BD3B14">
        <w:t xml:space="preserve"> EXTENDED to </w:t>
      </w:r>
      <w:r w:rsidR="00851373">
        <w:t xml:space="preserve">October </w:t>
      </w:r>
      <w:r w:rsidR="00CF15C4">
        <w:t>9</w:t>
      </w:r>
      <w:r w:rsidR="00851373">
        <w:t xml:space="preserve">, 2015 and November </w:t>
      </w:r>
      <w:r w:rsidR="005613EC">
        <w:t>9</w:t>
      </w:r>
      <w:r w:rsidR="00FB2E98">
        <w:t>, 2015.</w:t>
      </w:r>
    </w:p>
    <w:p w:rsidR="00494339" w:rsidRDefault="00494339" w:rsidP="007D7608"/>
    <w:p w:rsidR="00BD3B14" w:rsidRDefault="00BD3B14" w:rsidP="007D7608">
      <w:r>
        <w:tab/>
      </w:r>
      <w:r>
        <w:tab/>
      </w:r>
      <w:r>
        <w:tab/>
      </w:r>
      <w:r>
        <w:tab/>
      </w:r>
      <w:r w:rsidR="007D7608">
        <w:tab/>
      </w:r>
      <w:r>
        <w:t>FEDERAL COMMUNICATIONS COMMISSION</w:t>
      </w:r>
    </w:p>
    <w:p w:rsidR="007D7608" w:rsidRDefault="007D7608" w:rsidP="007D7608"/>
    <w:p w:rsidR="007D7608" w:rsidRDefault="007D7608" w:rsidP="007D7608"/>
    <w:p w:rsidR="00BD3B14" w:rsidRDefault="00BD3B14" w:rsidP="007D7608"/>
    <w:p w:rsidR="00BD3B14" w:rsidRDefault="00BD3B14" w:rsidP="007D7608">
      <w:r>
        <w:tab/>
      </w:r>
      <w:r>
        <w:tab/>
      </w:r>
      <w:r>
        <w:tab/>
      </w:r>
      <w:r>
        <w:tab/>
      </w:r>
      <w:r w:rsidR="007D7608">
        <w:tab/>
      </w:r>
      <w:r w:rsidR="00705307">
        <w:t>Julius P. Knapp</w:t>
      </w:r>
    </w:p>
    <w:p w:rsidR="00D966BE" w:rsidRDefault="007D7608" w:rsidP="0013665E">
      <w:pPr>
        <w:rPr>
          <w:lang w:val="pt-BR"/>
        </w:rPr>
      </w:pPr>
      <w:r>
        <w:tab/>
      </w:r>
      <w:r>
        <w:tab/>
      </w:r>
      <w:r>
        <w:tab/>
      </w:r>
      <w:r>
        <w:tab/>
      </w:r>
      <w:r>
        <w:tab/>
        <w:t>Chief, Office of Engineering and Technology</w:t>
      </w:r>
      <w:r w:rsidR="00BD3B14">
        <w:tab/>
      </w:r>
    </w:p>
    <w:sectPr w:rsidR="00D966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0E4" w:rsidRDefault="009470E4">
      <w:r>
        <w:separator/>
      </w:r>
    </w:p>
  </w:endnote>
  <w:endnote w:type="continuationSeparator" w:id="0">
    <w:p w:rsidR="009470E4" w:rsidRDefault="0094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56" w:rsidRDefault="001854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DC" w:rsidRDefault="00EC63D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D5E3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56" w:rsidRDefault="001854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0E4" w:rsidRDefault="009470E4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9470E4" w:rsidRDefault="009470E4">
      <w:pPr>
        <w:rPr>
          <w:sz w:val="20"/>
        </w:rPr>
      </w:pPr>
      <w:r>
        <w:rPr>
          <w:sz w:val="20"/>
        </w:rPr>
        <w:separator/>
      </w:r>
    </w:p>
    <w:p w:rsidR="009470E4" w:rsidRDefault="009470E4">
      <w:pPr>
        <w:rPr>
          <w:sz w:val="20"/>
        </w:rPr>
      </w:pPr>
      <w:r>
        <w:rPr>
          <w:sz w:val="20"/>
        </w:rPr>
        <w:t>(...continued from previous page)</w:t>
      </w:r>
    </w:p>
  </w:footnote>
  <w:footnote w:type="continuationNotice" w:id="1">
    <w:p w:rsidR="009470E4" w:rsidRDefault="009470E4">
      <w:pPr>
        <w:jc w:val="right"/>
        <w:rPr>
          <w:sz w:val="20"/>
        </w:rPr>
      </w:pPr>
      <w:r>
        <w:rPr>
          <w:sz w:val="20"/>
        </w:rPr>
        <w:t>(continued....)</w:t>
      </w:r>
    </w:p>
  </w:footnote>
  <w:footnote w:id="2">
    <w:p w:rsidR="003E36E1" w:rsidRPr="003E36E1" w:rsidRDefault="003E36E1" w:rsidP="00EB5406">
      <w:pPr>
        <w:pStyle w:val="FootnoteText"/>
      </w:pPr>
      <w:r>
        <w:rPr>
          <w:rStyle w:val="FootnoteReference"/>
        </w:rPr>
        <w:footnoteRef/>
      </w:r>
      <w:r>
        <w:t>.</w:t>
      </w:r>
      <w:r w:rsidR="006B59DF" w:rsidRPr="006B59DF">
        <w:t>Amendment of Parts 0, 1, 2, 15 and 18 of the Commission’s Rules Regarding Authorization of Radiofrequency Equipment, ET Docket No. 15-170</w:t>
      </w:r>
      <w:r w:rsidR="006B59DF">
        <w:t xml:space="preserve">, </w:t>
      </w:r>
      <w:r w:rsidR="006B59DF" w:rsidRPr="006B59DF">
        <w:rPr>
          <w:i/>
        </w:rPr>
        <w:t>Notice of Proposed Rulemaking</w:t>
      </w:r>
      <w:r w:rsidR="006B59DF" w:rsidRPr="006B59DF">
        <w:t xml:space="preserve">, </w:t>
      </w:r>
      <w:r w:rsidR="006B59DF">
        <w:t>30 FCC Rcd 7725 (</w:t>
      </w:r>
      <w:r w:rsidR="006B59DF" w:rsidRPr="006B59DF">
        <w:t>2015)</w:t>
      </w:r>
      <w:r w:rsidR="006B59DF">
        <w:t>.</w:t>
      </w:r>
    </w:p>
  </w:footnote>
  <w:footnote w:id="3">
    <w:p w:rsidR="00BD3596" w:rsidRPr="00704581" w:rsidRDefault="00BD35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20E77">
        <w:t>The original comment and rep</w:t>
      </w:r>
      <w:r w:rsidR="00CF15C4">
        <w:t>ly dates were established as September</w:t>
      </w:r>
      <w:r w:rsidR="00320E77">
        <w:t xml:space="preserve"> 8 and 21</w:t>
      </w:r>
      <w:r w:rsidR="00CF15C4">
        <w:t xml:space="preserve">.  </w:t>
      </w:r>
      <w:r w:rsidR="000A38C6">
        <w:t>80</w:t>
      </w:r>
      <w:r>
        <w:t xml:space="preserve"> F</w:t>
      </w:r>
      <w:r w:rsidR="000A38C6">
        <w:t>ed. Reg. 46900</w:t>
      </w:r>
      <w:r w:rsidR="00EA5002">
        <w:t xml:space="preserve"> (Aug. 6, 2015)</w:t>
      </w:r>
      <w:r>
        <w:t>.</w:t>
      </w:r>
      <w:r w:rsidR="00704581">
        <w:t xml:space="preserve">  </w:t>
      </w:r>
      <w:r w:rsidR="00CF15C4">
        <w:t>These dates have been automatically revised as a result of a temporary shut-down of the Commission’s computers on several days</w:t>
      </w:r>
      <w:r w:rsidR="00F871C2">
        <w:t>.</w:t>
      </w:r>
      <w:r w:rsidR="00CF15C4">
        <w:t xml:space="preserve">  </w:t>
      </w:r>
      <w:r w:rsidR="00704581">
        <w:rPr>
          <w:i/>
        </w:rPr>
        <w:t>Public Notice,</w:t>
      </w:r>
      <w:r w:rsidR="00704581">
        <w:t xml:space="preserve"> </w:t>
      </w:r>
      <w:r w:rsidR="00704581" w:rsidRPr="003B6924">
        <w:rPr>
          <w:bCs/>
        </w:rPr>
        <w:t>Certain FCC Databases Will Be Unavailable And Filing Deadlines Will Be Extended In Early September to Accommodate A Significant FCC IT Upgrade</w:t>
      </w:r>
      <w:r w:rsidR="00704581">
        <w:rPr>
          <w:bCs/>
        </w:rPr>
        <w:t>, DA 15-940 (rel. August 20, 2015).</w:t>
      </w:r>
      <w:r w:rsidR="00704581">
        <w:t xml:space="preserve"> </w:t>
      </w:r>
    </w:p>
  </w:footnote>
  <w:footnote w:id="4">
    <w:p w:rsidR="006814BF" w:rsidRDefault="006814BF" w:rsidP="006814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D7605">
        <w:rPr>
          <w:i/>
        </w:rPr>
        <w:t>Joint Request for Extension of Comment Deadline</w:t>
      </w:r>
      <w:r>
        <w:t>, Telecommunications Industry Association and Information Technology Industry Council, ET Docket No. 15-170, filed August 12, 2015.</w:t>
      </w:r>
    </w:p>
  </w:footnote>
  <w:footnote w:id="5">
    <w:p w:rsidR="00FB2E98" w:rsidRDefault="00FB2E98" w:rsidP="00EB3419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 w:rsidR="005D7605" w:rsidRPr="005D7605">
        <w:rPr>
          <w:i/>
        </w:rPr>
        <w:t>Motion for Extension of Time</w:t>
      </w:r>
      <w:r w:rsidR="005D7605">
        <w:t xml:space="preserve">, Consumer Electronics Association, </w:t>
      </w:r>
      <w:r w:rsidR="005D7605" w:rsidRPr="005D7605">
        <w:t>ET Do</w:t>
      </w:r>
      <w:r w:rsidR="005D7605">
        <w:t>cket No. 15-170, filed August 11</w:t>
      </w:r>
      <w:r w:rsidR="005D7605" w:rsidRPr="005D7605">
        <w:t>, 2015.</w:t>
      </w:r>
    </w:p>
  </w:footnote>
  <w:footnote w:id="6">
    <w:p w:rsidR="00CF15C4" w:rsidRDefault="00CF15C4" w:rsidP="00CF15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D7605">
        <w:rPr>
          <w:i/>
        </w:rPr>
        <w:t>Motion for Extension of Time</w:t>
      </w:r>
      <w:r>
        <w:t xml:space="preserve">, American National Standards Institute Accredited Standards Committee C63, </w:t>
      </w:r>
      <w:r w:rsidRPr="005D7605">
        <w:t>ET Do</w:t>
      </w:r>
      <w:r>
        <w:t>cket No. 15-170, filed August 17</w:t>
      </w:r>
      <w:r w:rsidRPr="005D7605">
        <w:t>, 2015.</w:t>
      </w:r>
    </w:p>
  </w:footnote>
  <w:footnote w:id="7">
    <w:p w:rsidR="00134505" w:rsidRDefault="001345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E4C53">
        <w:t xml:space="preserve">TIA has </w:t>
      </w:r>
      <w:r>
        <w:t xml:space="preserve">filed </w:t>
      </w:r>
      <w:r w:rsidR="00DE4C53">
        <w:t>a petition</w:t>
      </w:r>
      <w:r>
        <w:t xml:space="preserve"> for reconsideration and/or clarification of the </w:t>
      </w:r>
      <w:r w:rsidR="004E03CB">
        <w:t>E</w:t>
      </w:r>
      <w:r>
        <w:t xml:space="preserve">quipment </w:t>
      </w:r>
      <w:r w:rsidR="004E03CB">
        <w:t>A</w:t>
      </w:r>
      <w:r>
        <w:t>uthorization program rules</w:t>
      </w:r>
      <w:r w:rsidR="004E03CB">
        <w:t xml:space="preserve"> as modified in </w:t>
      </w:r>
      <w:r w:rsidR="004E03CB" w:rsidRPr="006B59DF">
        <w:t>Amendment of Parts 0, 1, 2, 15 and 18 of the Commission’s Rules Regarding Authorization of Radiofrequency</w:t>
      </w:r>
      <w:r w:rsidR="004E03CB">
        <w:t xml:space="preserve"> Equipment, ET Docket No. 13-44, </w:t>
      </w:r>
      <w:r w:rsidR="004E03CB">
        <w:rPr>
          <w:i/>
        </w:rPr>
        <w:t>Report and Order</w:t>
      </w:r>
      <w:r w:rsidR="004E03CB" w:rsidRPr="006B59DF">
        <w:t xml:space="preserve">, </w:t>
      </w:r>
      <w:r w:rsidR="004E03CB">
        <w:t>29 FCC Rcd 16335 (</w:t>
      </w:r>
      <w:r w:rsidR="004E03CB" w:rsidRPr="006B59DF">
        <w:t>201</w:t>
      </w:r>
      <w:r w:rsidR="004E03CB">
        <w:t>4)</w:t>
      </w:r>
      <w:r>
        <w:t xml:space="preserve">. </w:t>
      </w:r>
      <w:r w:rsidRPr="00DE4C53">
        <w:rPr>
          <w:i/>
        </w:rPr>
        <w:t>Petition for Clarification and/or Reconsideration</w:t>
      </w:r>
      <w:r w:rsidRPr="00134505">
        <w:t>, Telecommunications Industry Association</w:t>
      </w:r>
      <w:r>
        <w:t xml:space="preserve">, </w:t>
      </w:r>
      <w:r w:rsidRPr="00134505">
        <w:t>ET Docket No. 13-44, RM-11652 (filed July 13, 2015)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56" w:rsidRDefault="001854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DC" w:rsidRDefault="00EC63DC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b/>
      </w:rPr>
    </w:pPr>
    <w:r>
      <w:rPr>
        <w:b/>
      </w:rPr>
      <w:tab/>
      <w:t>Federal Communications Commission</w:t>
    </w:r>
    <w:r>
      <w:rPr>
        <w:b/>
      </w:rPr>
      <w:tab/>
    </w:r>
    <w:r w:rsidR="003F3905">
      <w:rPr>
        <w:b/>
      </w:rPr>
      <w:t>DA</w:t>
    </w:r>
    <w:r>
      <w:rPr>
        <w:b/>
      </w:rPr>
      <w:t xml:space="preserve"> </w:t>
    </w:r>
    <w:r w:rsidR="00BD3596">
      <w:rPr>
        <w:b/>
      </w:rPr>
      <w:t>1</w:t>
    </w:r>
    <w:r w:rsidR="003B0C32">
      <w:rPr>
        <w:b/>
      </w:rPr>
      <w:t>5</w:t>
    </w:r>
    <w:r>
      <w:rPr>
        <w:b/>
      </w:rPr>
      <w:t>-</w:t>
    </w:r>
    <w:r w:rsidR="003F3905">
      <w:rPr>
        <w:b/>
      </w:rPr>
      <w:t>956</w:t>
    </w:r>
    <w:r>
      <w:rPr>
        <w:b/>
      </w:rPr>
      <w:t xml:space="preserve"> </w:t>
    </w:r>
  </w:p>
  <w:p w:rsidR="00EC63DC" w:rsidRDefault="009C451C">
    <w:pPr>
      <w:pStyle w:val="Header"/>
      <w:tabs>
        <w:tab w:val="clear" w:pos="864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0613922" wp14:editId="7CD98EFC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63566F9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kk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7ikortgAAAAEAQAADwAAAGRycy9kb3ducmV2LnhtbEyPQU+DQBCF7yb+h82YeLOL1jYU&#10;WRpt4qU3sVGPU3YEIjtL2C2Ff+/oRY8vb/K9b/Lt5Do10hBazwZuFwko4srblmsDh9fnmxRUiMgW&#10;O89kYKYA2+LyIsfM+jO/0FjGWgmEQ4YGmhj7TOtQNeQwLHxPLN2nHxxGiUOt7YBngbtO3yXJWjts&#10;WRYa7GnXUPVVnpxQVu/p0x7Twzx35cfmfve2H9kZc301PT6AijTFv2P40Rd1KMTp6E9sg+oMyCPR&#10;wHIFSsrNci35+Jt1kev/8sU3AAAA//8DAFBLAQItABQABgAIAAAAIQC2gziS/gAAAOEBAAATAAAA&#10;AAAAAAAAAAAAAAAAAABbQ29udGVudF9UeXBlc10ueG1sUEsBAi0AFAAGAAgAAAAhADj9If/WAAAA&#10;lAEAAAsAAAAAAAAAAAAAAAAALwEAAF9yZWxzLy5yZWxzUEsBAi0AFAAGAAgAAAAhADIuuSQSAgAA&#10;KQQAAA4AAAAAAAAAAAAAAAAALgIAAGRycy9lMm9Eb2MueG1sUEsBAi0AFAAGAAgAAAAhAO4pKK7Y&#10;AAAABAEAAA8AAAAAAAAAAAAAAAAAbAQAAGRycy9kb3ducmV2LnhtbFBLBQYAAAAABAAEAPMAAABx&#10;BQAAAAA=&#10;" o:allowincell="f" strokeweight="1.5pt"/>
          </w:pict>
        </mc:Fallback>
      </mc:AlternateContent>
    </w:r>
  </w:p>
  <w:p w:rsidR="00EC63DC" w:rsidRDefault="00EC63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DC" w:rsidRDefault="00EC63DC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b/>
      </w:rPr>
    </w:pPr>
    <w:r>
      <w:rPr>
        <w:b/>
      </w:rPr>
      <w:tab/>
      <w:t>Federal Communications Commission</w:t>
    </w:r>
    <w:r>
      <w:rPr>
        <w:b/>
      </w:rPr>
      <w:tab/>
    </w:r>
    <w:r w:rsidR="003F3905">
      <w:rPr>
        <w:b/>
      </w:rPr>
      <w:t>DA</w:t>
    </w:r>
    <w:r>
      <w:rPr>
        <w:b/>
      </w:rPr>
      <w:t xml:space="preserve"> </w:t>
    </w:r>
    <w:r w:rsidR="00BD3596">
      <w:rPr>
        <w:b/>
      </w:rPr>
      <w:t>1</w:t>
    </w:r>
    <w:r w:rsidR="006B59DF">
      <w:rPr>
        <w:b/>
      </w:rPr>
      <w:t>5</w:t>
    </w:r>
    <w:r>
      <w:rPr>
        <w:b/>
      </w:rPr>
      <w:t>-</w:t>
    </w:r>
    <w:r w:rsidR="003F3905">
      <w:rPr>
        <w:b/>
      </w:rPr>
      <w:t>956</w:t>
    </w:r>
    <w:r>
      <w:rPr>
        <w:b/>
      </w:rPr>
      <w:t xml:space="preserve"> </w:t>
    </w:r>
  </w:p>
  <w:p w:rsidR="00EC63DC" w:rsidRDefault="009C451C">
    <w:pPr>
      <w:pStyle w:val="Header"/>
      <w:tabs>
        <w:tab w:val="clear" w:pos="864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0F818A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DuKSiu2AAAAAQBAAAPAAAAZHJzL2Rvd25yZXYueG1sTI9BT4NAEIXvJv6HzZh4s4vWNhRZ&#10;Gm3ipTexUY9TdgQiO0vYLYV/7+hFjy9v8r1v8u3kOjXSEFrPBm4XCSjiytuWawOH1+ebFFSIyBY7&#10;z2RgpgDb4vIix8z6M7/QWMZaCYRDhgaaGPtM61A15DAsfE8s3acfHEaJQ63tgGeBu07fJclaO2xZ&#10;FhrsaddQ9VWenFBW7+nTHtPDPHflx+Z+97Yf2RlzfTU9PoCKNMW/Y/jRF3UoxOnoT2yD6gzII9HA&#10;cgVKys1yLfn4m3WR6//yxTcAAAD//wMAUEsBAi0AFAAGAAgAAAAhALaDOJL+AAAA4QEAABMAAAAA&#10;AAAAAAAAAAAAAAAAAFtDb250ZW50X1R5cGVzXS54bWxQSwECLQAUAAYACAAAACEAOP0h/9YAAACU&#10;AQAACwAAAAAAAAAAAAAAAAAvAQAAX3JlbHMvLnJlbHNQSwECLQAUAAYACAAAACEASe3P1xECAAAp&#10;BAAADgAAAAAAAAAAAAAAAAAuAgAAZHJzL2Uyb0RvYy54bWxQSwECLQAUAAYACAAAACEA7ikortgA&#10;AAAEAQAADwAAAAAAAAAAAAAAAABrBAAAZHJzL2Rvd25yZXYueG1sUEsFBgAAAAAEAAQA8wAAAHAF&#10;AAAAAA==&#10;" o:allowincell="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4B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DC0737"/>
    <w:multiLevelType w:val="singleLevel"/>
    <w:tmpl w:val="58229FB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407268E"/>
    <w:multiLevelType w:val="hybridMultilevel"/>
    <w:tmpl w:val="F8AA3CC0"/>
    <w:lvl w:ilvl="0" w:tplc="A9605B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0B17A7"/>
    <w:multiLevelType w:val="hybridMultilevel"/>
    <w:tmpl w:val="6CE4E6E0"/>
    <w:lvl w:ilvl="0" w:tplc="302450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6ACE9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6AF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CE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CC60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7A7C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9CD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0AAA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CA8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0BED2869"/>
    <w:multiLevelType w:val="hybridMultilevel"/>
    <w:tmpl w:val="7FEAABF0"/>
    <w:lvl w:ilvl="0" w:tplc="83D85B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E188C6A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BE1CB2D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DEEAEC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C4ABCA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CFF2014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FAC0A7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990B92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4610576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13B2996"/>
    <w:multiLevelType w:val="hybridMultilevel"/>
    <w:tmpl w:val="2CD8CEAC"/>
    <w:lvl w:ilvl="0" w:tplc="B4349BFA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</w:lvl>
    <w:lvl w:ilvl="1" w:tplc="4DDED0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22E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C6B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88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F656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243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43D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B4A0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F3556B"/>
    <w:multiLevelType w:val="singleLevel"/>
    <w:tmpl w:val="5E58DF24"/>
    <w:lvl w:ilvl="0">
      <w:start w:val="1"/>
      <w:numFmt w:val="bullet"/>
      <w:pStyle w:val="Style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19BE457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A1269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2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3">
    <w:nsid w:val="21DE7B89"/>
    <w:multiLevelType w:val="singleLevel"/>
    <w:tmpl w:val="1F1261AA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4">
    <w:nsid w:val="260E1E9A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5467D2"/>
    <w:multiLevelType w:val="multilevel"/>
    <w:tmpl w:val="BF56F05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7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8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9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3">
    <w:nsid w:val="3D0F1B3D"/>
    <w:multiLevelType w:val="singleLevel"/>
    <w:tmpl w:val="4DCCE69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423063A3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7">
    <w:nsid w:val="4EE57E83"/>
    <w:multiLevelType w:val="multilevel"/>
    <w:tmpl w:val="D892E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8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9">
    <w:nsid w:val="541F6B38"/>
    <w:multiLevelType w:val="multilevel"/>
    <w:tmpl w:val="D892E40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30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1">
    <w:nsid w:val="5883562E"/>
    <w:multiLevelType w:val="hybridMultilevel"/>
    <w:tmpl w:val="16FAE300"/>
    <w:lvl w:ilvl="0" w:tplc="34C603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/>
      </w:rPr>
    </w:lvl>
    <w:lvl w:ilvl="1" w:tplc="A232C41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631ED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B864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D7A76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FECEB8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AE1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1E085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6AA46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9BA0F8A"/>
    <w:multiLevelType w:val="singleLevel"/>
    <w:tmpl w:val="5E322D4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3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34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697A2CD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>
    <w:nsid w:val="6A5D4B93"/>
    <w:multiLevelType w:val="hybridMultilevel"/>
    <w:tmpl w:val="108067A0"/>
    <w:lvl w:ilvl="0" w:tplc="1E56165C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38F3C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6A45A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E0CC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A1218F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8003F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F0ED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B0A4CB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99414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28935DD"/>
    <w:multiLevelType w:val="singleLevel"/>
    <w:tmpl w:val="1DF0F1EA"/>
    <w:lvl w:ilvl="0">
      <w:start w:val="4"/>
      <w:numFmt w:val="decimal"/>
      <w:lvlText w:val="(%1)"/>
      <w:lvlJc w:val="left"/>
      <w:pPr>
        <w:tabs>
          <w:tab w:val="num" w:pos="1815"/>
        </w:tabs>
        <w:ind w:left="1815" w:hanging="375"/>
      </w:pPr>
      <w:rPr>
        <w:rFonts w:hint="default"/>
      </w:rPr>
    </w:lvl>
  </w:abstractNum>
  <w:abstractNum w:abstractNumId="38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34"/>
  </w:num>
  <w:num w:numId="2">
    <w:abstractNumId w:val="38"/>
  </w:num>
  <w:num w:numId="3">
    <w:abstractNumId w:val="12"/>
  </w:num>
  <w:num w:numId="4">
    <w:abstractNumId w:val="29"/>
  </w:num>
  <w:num w:numId="5">
    <w:abstractNumId w:val="16"/>
  </w:num>
  <w:num w:numId="6">
    <w:abstractNumId w:val="33"/>
  </w:num>
  <w:num w:numId="7">
    <w:abstractNumId w:val="25"/>
  </w:num>
  <w:num w:numId="8">
    <w:abstractNumId w:val="17"/>
  </w:num>
  <w:num w:numId="9">
    <w:abstractNumId w:val="32"/>
  </w:num>
  <w:num w:numId="10">
    <w:abstractNumId w:val="22"/>
  </w:num>
  <w:num w:numId="11">
    <w:abstractNumId w:val="21"/>
  </w:num>
  <w:num w:numId="12">
    <w:abstractNumId w:val="18"/>
  </w:num>
  <w:num w:numId="13">
    <w:abstractNumId w:val="23"/>
  </w:num>
  <w:num w:numId="14">
    <w:abstractNumId w:val="30"/>
  </w:num>
  <w:num w:numId="15">
    <w:abstractNumId w:val="10"/>
  </w:num>
  <w:num w:numId="16">
    <w:abstractNumId w:val="11"/>
  </w:num>
  <w:num w:numId="17">
    <w:abstractNumId w:val="19"/>
  </w:num>
  <w:num w:numId="18">
    <w:abstractNumId w:val="4"/>
  </w:num>
  <w:num w:numId="19">
    <w:abstractNumId w:val="20"/>
  </w:num>
  <w:num w:numId="20">
    <w:abstractNumId w:val="26"/>
  </w:num>
  <w:num w:numId="21">
    <w:abstractNumId w:val="28"/>
  </w:num>
  <w:num w:numId="22">
    <w:abstractNumId w:val="9"/>
  </w:num>
  <w:num w:numId="23">
    <w:abstractNumId w:val="7"/>
  </w:num>
  <w:num w:numId="24">
    <w:abstractNumId w:val="1"/>
  </w:num>
  <w:num w:numId="25">
    <w:abstractNumId w:val="6"/>
  </w:num>
  <w:num w:numId="26">
    <w:abstractNumId w:val="36"/>
  </w:num>
  <w:num w:numId="27">
    <w:abstractNumId w:val="31"/>
  </w:num>
  <w:num w:numId="28">
    <w:abstractNumId w:val="27"/>
  </w:num>
  <w:num w:numId="29">
    <w:abstractNumId w:val="24"/>
  </w:num>
  <w:num w:numId="30">
    <w:abstractNumId w:val="13"/>
  </w:num>
  <w:num w:numId="31">
    <w:abstractNumId w:val="37"/>
  </w:num>
  <w:num w:numId="32">
    <w:abstractNumId w:val="14"/>
  </w:num>
  <w:num w:numId="33">
    <w:abstractNumId w:val="8"/>
  </w:num>
  <w:num w:numId="34">
    <w:abstractNumId w:val="35"/>
  </w:num>
  <w:num w:numId="35">
    <w:abstractNumId w:val="0"/>
  </w:num>
  <w:num w:numId="36">
    <w:abstractNumId w:val="15"/>
  </w:num>
  <w:num w:numId="37">
    <w:abstractNumId w:val="5"/>
  </w:num>
  <w:num w:numId="38">
    <w:abstractNumId w:val="3"/>
  </w:num>
  <w:num w:numId="39">
    <w:abstractNumId w:val="2"/>
  </w:num>
  <w:num w:numId="40">
    <w:abstractNumId w:val="23"/>
  </w:num>
  <w:num w:numId="41">
    <w:abstractNumId w:val="23"/>
  </w:num>
  <w:num w:numId="42">
    <w:abstractNumId w:val="23"/>
  </w:num>
  <w:num w:numId="43">
    <w:abstractNumId w:val="23"/>
  </w:num>
  <w:num w:numId="44">
    <w:abstractNumId w:val="23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6F"/>
    <w:rsid w:val="00003F04"/>
    <w:rsid w:val="000162F9"/>
    <w:rsid w:val="000426A1"/>
    <w:rsid w:val="0005099B"/>
    <w:rsid w:val="00050BEF"/>
    <w:rsid w:val="00057057"/>
    <w:rsid w:val="0006259D"/>
    <w:rsid w:val="00063854"/>
    <w:rsid w:val="00065E5B"/>
    <w:rsid w:val="00066335"/>
    <w:rsid w:val="00070D0E"/>
    <w:rsid w:val="000A18F4"/>
    <w:rsid w:val="000A38C6"/>
    <w:rsid w:val="000A7307"/>
    <w:rsid w:val="000B1F9E"/>
    <w:rsid w:val="000D6100"/>
    <w:rsid w:val="000F1777"/>
    <w:rsid w:val="000F4E1F"/>
    <w:rsid w:val="00116FAA"/>
    <w:rsid w:val="001174AE"/>
    <w:rsid w:val="00125AA2"/>
    <w:rsid w:val="00134505"/>
    <w:rsid w:val="00135008"/>
    <w:rsid w:val="001362F0"/>
    <w:rsid w:val="0013665E"/>
    <w:rsid w:val="00154140"/>
    <w:rsid w:val="00156508"/>
    <w:rsid w:val="001643DF"/>
    <w:rsid w:val="00181F1F"/>
    <w:rsid w:val="00185456"/>
    <w:rsid w:val="0019321F"/>
    <w:rsid w:val="0019598C"/>
    <w:rsid w:val="001A1E67"/>
    <w:rsid w:val="001A36E7"/>
    <w:rsid w:val="001A6F2C"/>
    <w:rsid w:val="001B5D3D"/>
    <w:rsid w:val="001E304E"/>
    <w:rsid w:val="001E590D"/>
    <w:rsid w:val="001F5058"/>
    <w:rsid w:val="0020396F"/>
    <w:rsid w:val="00204DFD"/>
    <w:rsid w:val="0021728C"/>
    <w:rsid w:val="00236BD2"/>
    <w:rsid w:val="002623CB"/>
    <w:rsid w:val="0028112A"/>
    <w:rsid w:val="00286DFE"/>
    <w:rsid w:val="0029381A"/>
    <w:rsid w:val="00293DAC"/>
    <w:rsid w:val="002A0376"/>
    <w:rsid w:val="002A67EC"/>
    <w:rsid w:val="002B2453"/>
    <w:rsid w:val="002B27D9"/>
    <w:rsid w:val="002C7E77"/>
    <w:rsid w:val="00302E8B"/>
    <w:rsid w:val="00314EDC"/>
    <w:rsid w:val="00320E77"/>
    <w:rsid w:val="00333522"/>
    <w:rsid w:val="00354631"/>
    <w:rsid w:val="0036405A"/>
    <w:rsid w:val="003707FB"/>
    <w:rsid w:val="00377FFB"/>
    <w:rsid w:val="00391B93"/>
    <w:rsid w:val="003966EC"/>
    <w:rsid w:val="00397739"/>
    <w:rsid w:val="003B0C32"/>
    <w:rsid w:val="003B6924"/>
    <w:rsid w:val="003D1067"/>
    <w:rsid w:val="003D2407"/>
    <w:rsid w:val="003D5335"/>
    <w:rsid w:val="003E36E1"/>
    <w:rsid w:val="003E5F45"/>
    <w:rsid w:val="003F273A"/>
    <w:rsid w:val="003F3905"/>
    <w:rsid w:val="004059A7"/>
    <w:rsid w:val="004137B1"/>
    <w:rsid w:val="004149C9"/>
    <w:rsid w:val="004172EA"/>
    <w:rsid w:val="0044204B"/>
    <w:rsid w:val="0045488B"/>
    <w:rsid w:val="0048375A"/>
    <w:rsid w:val="004873D5"/>
    <w:rsid w:val="0049381B"/>
    <w:rsid w:val="00493A1D"/>
    <w:rsid w:val="00494339"/>
    <w:rsid w:val="004A4A13"/>
    <w:rsid w:val="004A7365"/>
    <w:rsid w:val="004A7F22"/>
    <w:rsid w:val="004B1914"/>
    <w:rsid w:val="004D5CA5"/>
    <w:rsid w:val="004E03CB"/>
    <w:rsid w:val="004F1BB3"/>
    <w:rsid w:val="00524253"/>
    <w:rsid w:val="005322B7"/>
    <w:rsid w:val="00546D73"/>
    <w:rsid w:val="00552AA3"/>
    <w:rsid w:val="0055628F"/>
    <w:rsid w:val="005613EC"/>
    <w:rsid w:val="00583470"/>
    <w:rsid w:val="00590987"/>
    <w:rsid w:val="005C56A6"/>
    <w:rsid w:val="005D6282"/>
    <w:rsid w:val="005D6BD5"/>
    <w:rsid w:val="005D7605"/>
    <w:rsid w:val="006065FE"/>
    <w:rsid w:val="00614BE6"/>
    <w:rsid w:val="00614DC9"/>
    <w:rsid w:val="00621E9E"/>
    <w:rsid w:val="0062739C"/>
    <w:rsid w:val="0064388D"/>
    <w:rsid w:val="00645977"/>
    <w:rsid w:val="00650C61"/>
    <w:rsid w:val="0065339E"/>
    <w:rsid w:val="00654062"/>
    <w:rsid w:val="00664E18"/>
    <w:rsid w:val="006730EE"/>
    <w:rsid w:val="006814BF"/>
    <w:rsid w:val="006908BA"/>
    <w:rsid w:val="006963EC"/>
    <w:rsid w:val="006A66EE"/>
    <w:rsid w:val="006B59DF"/>
    <w:rsid w:val="006E6DF8"/>
    <w:rsid w:val="006F1DAE"/>
    <w:rsid w:val="006F27FD"/>
    <w:rsid w:val="00701DAA"/>
    <w:rsid w:val="00704581"/>
    <w:rsid w:val="00705307"/>
    <w:rsid w:val="00733BE0"/>
    <w:rsid w:val="007415B8"/>
    <w:rsid w:val="007746A2"/>
    <w:rsid w:val="00775B8A"/>
    <w:rsid w:val="00796C5E"/>
    <w:rsid w:val="007A5E89"/>
    <w:rsid w:val="007D7507"/>
    <w:rsid w:val="007D7608"/>
    <w:rsid w:val="007E35D8"/>
    <w:rsid w:val="007F5D0A"/>
    <w:rsid w:val="0081516D"/>
    <w:rsid w:val="00817CF7"/>
    <w:rsid w:val="0082583F"/>
    <w:rsid w:val="00851373"/>
    <w:rsid w:val="0086211E"/>
    <w:rsid w:val="00885E4F"/>
    <w:rsid w:val="008D2C99"/>
    <w:rsid w:val="008E2E23"/>
    <w:rsid w:val="00906BCF"/>
    <w:rsid w:val="0090745F"/>
    <w:rsid w:val="00910043"/>
    <w:rsid w:val="009277A1"/>
    <w:rsid w:val="009303D9"/>
    <w:rsid w:val="00931EE1"/>
    <w:rsid w:val="009470E4"/>
    <w:rsid w:val="00963EFD"/>
    <w:rsid w:val="009741E4"/>
    <w:rsid w:val="0097531C"/>
    <w:rsid w:val="00977C8E"/>
    <w:rsid w:val="00982203"/>
    <w:rsid w:val="00987219"/>
    <w:rsid w:val="0099126E"/>
    <w:rsid w:val="00997254"/>
    <w:rsid w:val="009A2B90"/>
    <w:rsid w:val="009A6ACE"/>
    <w:rsid w:val="009B2820"/>
    <w:rsid w:val="009B306F"/>
    <w:rsid w:val="009B3192"/>
    <w:rsid w:val="009B667B"/>
    <w:rsid w:val="009B67F7"/>
    <w:rsid w:val="009C2FDB"/>
    <w:rsid w:val="009C451C"/>
    <w:rsid w:val="009D32B3"/>
    <w:rsid w:val="009D3339"/>
    <w:rsid w:val="009E583D"/>
    <w:rsid w:val="009F3C96"/>
    <w:rsid w:val="009F7646"/>
    <w:rsid w:val="00A1634A"/>
    <w:rsid w:val="00A2373D"/>
    <w:rsid w:val="00A268DA"/>
    <w:rsid w:val="00A4228A"/>
    <w:rsid w:val="00A430BE"/>
    <w:rsid w:val="00A456DC"/>
    <w:rsid w:val="00A6053A"/>
    <w:rsid w:val="00A84EAA"/>
    <w:rsid w:val="00A97540"/>
    <w:rsid w:val="00AA5F26"/>
    <w:rsid w:val="00AD5D30"/>
    <w:rsid w:val="00AD5E3F"/>
    <w:rsid w:val="00B04484"/>
    <w:rsid w:val="00B30698"/>
    <w:rsid w:val="00B46AA2"/>
    <w:rsid w:val="00B82565"/>
    <w:rsid w:val="00B90E59"/>
    <w:rsid w:val="00B9698E"/>
    <w:rsid w:val="00BA0B27"/>
    <w:rsid w:val="00BA1BD9"/>
    <w:rsid w:val="00BB344A"/>
    <w:rsid w:val="00BC7CB5"/>
    <w:rsid w:val="00BD3369"/>
    <w:rsid w:val="00BD3596"/>
    <w:rsid w:val="00BD3B14"/>
    <w:rsid w:val="00BF5BF6"/>
    <w:rsid w:val="00BF6778"/>
    <w:rsid w:val="00C12F4D"/>
    <w:rsid w:val="00C37397"/>
    <w:rsid w:val="00C459CF"/>
    <w:rsid w:val="00C55B07"/>
    <w:rsid w:val="00CB012C"/>
    <w:rsid w:val="00CB65F5"/>
    <w:rsid w:val="00CB726E"/>
    <w:rsid w:val="00CC1A12"/>
    <w:rsid w:val="00CC6AAF"/>
    <w:rsid w:val="00CE40A9"/>
    <w:rsid w:val="00CE644F"/>
    <w:rsid w:val="00CF15C4"/>
    <w:rsid w:val="00D01F32"/>
    <w:rsid w:val="00D05CFB"/>
    <w:rsid w:val="00D12DF7"/>
    <w:rsid w:val="00D12FA2"/>
    <w:rsid w:val="00D36095"/>
    <w:rsid w:val="00D74523"/>
    <w:rsid w:val="00D90C46"/>
    <w:rsid w:val="00D95C51"/>
    <w:rsid w:val="00D966BE"/>
    <w:rsid w:val="00DA1921"/>
    <w:rsid w:val="00DD61DD"/>
    <w:rsid w:val="00DE4C53"/>
    <w:rsid w:val="00E03E8E"/>
    <w:rsid w:val="00E1056A"/>
    <w:rsid w:val="00E111B1"/>
    <w:rsid w:val="00E17B4F"/>
    <w:rsid w:val="00E25A73"/>
    <w:rsid w:val="00E457BF"/>
    <w:rsid w:val="00E62702"/>
    <w:rsid w:val="00E707C9"/>
    <w:rsid w:val="00EA0A94"/>
    <w:rsid w:val="00EA239B"/>
    <w:rsid w:val="00EA5002"/>
    <w:rsid w:val="00EA644B"/>
    <w:rsid w:val="00EA6CE3"/>
    <w:rsid w:val="00EB3419"/>
    <w:rsid w:val="00EB5406"/>
    <w:rsid w:val="00EC1553"/>
    <w:rsid w:val="00EC3964"/>
    <w:rsid w:val="00EC63DC"/>
    <w:rsid w:val="00F071BC"/>
    <w:rsid w:val="00F36B9E"/>
    <w:rsid w:val="00F37043"/>
    <w:rsid w:val="00F3726C"/>
    <w:rsid w:val="00F405A3"/>
    <w:rsid w:val="00F409D2"/>
    <w:rsid w:val="00F4207B"/>
    <w:rsid w:val="00F54D81"/>
    <w:rsid w:val="00F871C2"/>
    <w:rsid w:val="00F91D23"/>
    <w:rsid w:val="00FA0C26"/>
    <w:rsid w:val="00FB2E98"/>
    <w:rsid w:val="00FC144D"/>
    <w:rsid w:val="00FD429A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ParaNum"/>
    <w:qFormat/>
    <w:pPr>
      <w:keepNext/>
      <w:widowControl w:val="0"/>
      <w:numPr>
        <w:numId w:val="4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ParaNum"/>
    <w:qFormat/>
    <w:pPr>
      <w:keepNext/>
      <w:widowControl w:val="0"/>
      <w:numPr>
        <w:ilvl w:val="1"/>
        <w:numId w:val="4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widowControl w:val="0"/>
      <w:numPr>
        <w:ilvl w:val="2"/>
        <w:numId w:val="4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widowControl w:val="0"/>
      <w:numPr>
        <w:ilvl w:val="3"/>
        <w:numId w:val="4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widowControl w:val="0"/>
      <w:numPr>
        <w:ilvl w:val="4"/>
        <w:numId w:val="4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widowControl w:val="0"/>
      <w:numPr>
        <w:ilvl w:val="5"/>
        <w:numId w:val="4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widowControl w:val="0"/>
      <w:numPr>
        <w:ilvl w:val="6"/>
        <w:numId w:val="4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widowControl w:val="0"/>
      <w:numPr>
        <w:ilvl w:val="7"/>
        <w:numId w:val="4"/>
      </w:numPr>
      <w:spacing w:after="220"/>
      <w:jc w:val="both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widowControl w:val="0"/>
      <w:numPr>
        <w:ilvl w:val="8"/>
        <w:numId w:val="4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pPr>
      <w:widowControl w:val="0"/>
      <w:numPr>
        <w:numId w:val="13"/>
      </w:numPr>
      <w:tabs>
        <w:tab w:val="left" w:pos="1440"/>
      </w:tabs>
      <w:spacing w:after="220"/>
      <w:jc w:val="both"/>
    </w:pPr>
  </w:style>
  <w:style w:type="paragraph" w:styleId="FootnoteText">
    <w:name w:val="footnote text"/>
    <w:basedOn w:val="Normal"/>
    <w:semiHidden/>
    <w:pPr>
      <w:tabs>
        <w:tab w:val="left" w:pos="180"/>
        <w:tab w:val="left" w:pos="720"/>
        <w:tab w:val="left" w:pos="1440"/>
        <w:tab w:val="left" w:pos="2160"/>
      </w:tabs>
      <w:spacing w:after="120"/>
      <w:jc w:val="both"/>
    </w:pPr>
    <w:rPr>
      <w:sz w:val="20"/>
    </w:rPr>
  </w:style>
  <w:style w:type="paragraph" w:customStyle="1" w:styleId="Bullet">
    <w:name w:val="Bullet"/>
    <w:basedOn w:val="Normal"/>
    <w:pPr>
      <w:widowControl w:val="0"/>
      <w:numPr>
        <w:numId w:val="9"/>
      </w:numPr>
      <w:tabs>
        <w:tab w:val="clear" w:pos="2520"/>
      </w:tabs>
      <w:spacing w:after="220"/>
      <w:ind w:left="2160" w:hanging="720"/>
      <w:jc w:val="both"/>
    </w:p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TableFormat">
    <w:name w:val="Table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pPr>
      <w:widowControl w:val="0"/>
      <w:tabs>
        <w:tab w:val="left" w:pos="1440"/>
        <w:tab w:val="right" w:leader="dot" w:pos="9360"/>
      </w:tabs>
      <w:suppressAutoHyphens/>
      <w:ind w:left="1440" w:right="720" w:hanging="720"/>
      <w:jc w:val="both"/>
    </w:p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pPr>
      <w:widowControl w:val="0"/>
      <w:tabs>
        <w:tab w:val="right" w:leader="dot" w:pos="9360"/>
      </w:tabs>
      <w:suppressAutoHyphens/>
      <w:spacing w:before="220"/>
      <w:ind w:left="720" w:right="720" w:hanging="720"/>
      <w:jc w:val="both"/>
    </w:pPr>
    <w:rPr>
      <w:caps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2160"/>
        <w:tab w:val="right" w:leader="dot" w:pos="9360"/>
      </w:tabs>
      <w:suppressAutoHyphens/>
      <w:ind w:left="2160" w:right="720" w:hanging="720"/>
      <w:jc w:val="both"/>
    </w:pPr>
  </w:style>
  <w:style w:type="paragraph" w:styleId="TOC4">
    <w:name w:val="toc 4"/>
    <w:basedOn w:val="Normal"/>
    <w:next w:val="Normal"/>
    <w:semiHidden/>
    <w:pPr>
      <w:widowControl w:val="0"/>
      <w:tabs>
        <w:tab w:val="left" w:pos="2880"/>
        <w:tab w:val="right" w:leader="dot" w:pos="9360"/>
      </w:tabs>
      <w:suppressAutoHyphens/>
      <w:ind w:left="2880" w:right="720" w:hanging="720"/>
      <w:jc w:val="both"/>
    </w:pPr>
  </w:style>
  <w:style w:type="paragraph" w:styleId="TOC5">
    <w:name w:val="toc 5"/>
    <w:basedOn w:val="Normal"/>
    <w:next w:val="Normal"/>
    <w:semiHidden/>
    <w:pPr>
      <w:widowControl w:val="0"/>
      <w:tabs>
        <w:tab w:val="left" w:pos="3600"/>
        <w:tab w:val="right" w:leader="dot" w:pos="9360"/>
      </w:tabs>
      <w:suppressAutoHyphens/>
      <w:ind w:left="3600" w:right="720" w:hanging="720"/>
      <w:jc w:val="both"/>
    </w:pPr>
  </w:style>
  <w:style w:type="paragraph" w:styleId="TOC6">
    <w:name w:val="toc 6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7">
    <w:name w:val="toc 7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8">
    <w:name w:val="toc 8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9">
    <w:name w:val="toc 9"/>
    <w:basedOn w:val="Normal"/>
    <w:next w:val="Normal"/>
    <w:semiHidden/>
    <w:pPr>
      <w:tabs>
        <w:tab w:val="left" w:leader="dot" w:pos="9360"/>
      </w:tabs>
      <w:ind w:left="720" w:hanging="720"/>
      <w:jc w:val="both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parastyle">
    <w:name w:val="parastyle"/>
    <w:basedOn w:val="Normal"/>
    <w:pPr>
      <w:widowControl w:val="0"/>
      <w:tabs>
        <w:tab w:val="num" w:pos="360"/>
      </w:tabs>
      <w:outlineLvl w:val="0"/>
    </w:pPr>
    <w:rPr>
      <w:snapToGrid w:val="0"/>
      <w:sz w:val="24"/>
    </w:rPr>
  </w:style>
  <w:style w:type="paragraph" w:customStyle="1" w:styleId="Style3">
    <w:name w:val="Style3"/>
    <w:basedOn w:val="ParaNum"/>
    <w:pPr>
      <w:numPr>
        <w:numId w:val="0"/>
      </w:numPr>
      <w:ind w:firstLine="720"/>
    </w:pPr>
  </w:style>
  <w:style w:type="paragraph" w:customStyle="1" w:styleId="Style5">
    <w:name w:val="Style5"/>
    <w:basedOn w:val="TOC2"/>
    <w:rPr>
      <w:noProof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Heading">
    <w:name w:val="index heading"/>
    <w:basedOn w:val="Normal"/>
    <w:next w:val="Index1"/>
    <w:semiHidden/>
  </w:style>
  <w:style w:type="paragraph" w:styleId="BodyText">
    <w:name w:val="Body Text"/>
    <w:basedOn w:val="Normal"/>
    <w:pPr>
      <w:widowControl w:val="0"/>
      <w:tabs>
        <w:tab w:val="left" w:pos="-1440"/>
        <w:tab w:val="left" w:pos="-720"/>
      </w:tabs>
      <w:suppressAutoHyphens/>
      <w:spacing w:line="227" w:lineRule="auto"/>
      <w:jc w:val="both"/>
    </w:pPr>
    <w:rPr>
      <w:snapToGrid w:val="0"/>
      <w:spacing w:val="-2"/>
      <w:sz w:val="24"/>
    </w:rPr>
  </w:style>
  <w:style w:type="paragraph" w:customStyle="1" w:styleId="Style1">
    <w:name w:val="Style1"/>
    <w:basedOn w:val="Normal"/>
    <w:pPr>
      <w:numPr>
        <w:numId w:val="25"/>
      </w:numPr>
    </w:pPr>
  </w:style>
  <w:style w:type="paragraph" w:customStyle="1" w:styleId="Style2">
    <w:name w:val="Style2"/>
    <w:basedOn w:val="Normal"/>
    <w:pPr>
      <w:numPr>
        <w:numId w:val="23"/>
      </w:numPr>
      <w:jc w:val="both"/>
    </w:pPr>
    <w:rPr>
      <w:b/>
      <w:i/>
    </w:rPr>
  </w:style>
  <w:style w:type="paragraph" w:customStyle="1" w:styleId="Style4">
    <w:name w:val="Style4"/>
    <w:basedOn w:val="Normal"/>
    <w:pPr>
      <w:tabs>
        <w:tab w:val="num" w:pos="1080"/>
      </w:tabs>
      <w:ind w:left="1080" w:hanging="360"/>
      <w:jc w:val="both"/>
    </w:pPr>
    <w:rPr>
      <w:b/>
      <w:i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Indent2">
    <w:name w:val="Body Text Indent 2"/>
    <w:basedOn w:val="Normal"/>
    <w:pPr>
      <w:ind w:left="720" w:hanging="72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customStyle="1" w:styleId="a">
    <w:name w:val="脚注番号"/>
    <w:rPr>
      <w:vertAlign w:val="superscript"/>
    </w:rPr>
  </w:style>
  <w:style w:type="character" w:customStyle="1" w:styleId="WW-">
    <w:name w:val="WW-脚注番号"/>
    <w:rPr>
      <w:vertAlign w:val="superscript"/>
    </w:rPr>
  </w:style>
  <w:style w:type="character" w:customStyle="1" w:styleId="documentbody">
    <w:name w:val="documentbody"/>
    <w:basedOn w:val="DefaultParagraphFont"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DocumentMap">
    <w:name w:val="Document Map"/>
    <w:basedOn w:val="Normal"/>
    <w:semiHidden/>
    <w:rsid w:val="00BD3369"/>
    <w:pPr>
      <w:shd w:val="clear" w:color="auto" w:fill="000080"/>
    </w:pPr>
    <w:rPr>
      <w:rFonts w:ascii="Tahoma" w:hAnsi="Tahoma" w:cs="Tahoma"/>
    </w:rPr>
  </w:style>
  <w:style w:type="paragraph" w:styleId="TOAHeading">
    <w:name w:val="toa heading"/>
    <w:basedOn w:val="Normal"/>
    <w:next w:val="Normal"/>
    <w:semiHidden/>
    <w:rsid w:val="009B306F"/>
    <w:pPr>
      <w:widowControl w:val="0"/>
      <w:tabs>
        <w:tab w:val="right" w:pos="9360"/>
      </w:tabs>
      <w:suppressAutoHyphens/>
    </w:pPr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2A67E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A67EC"/>
  </w:style>
  <w:style w:type="character" w:customStyle="1" w:styleId="CommentSubjectChar">
    <w:name w:val="Comment Subject Char"/>
    <w:basedOn w:val="CommentTextChar"/>
    <w:link w:val="CommentSubject"/>
    <w:rsid w:val="002A67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ParaNum"/>
    <w:qFormat/>
    <w:pPr>
      <w:keepNext/>
      <w:widowControl w:val="0"/>
      <w:numPr>
        <w:numId w:val="4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ParaNum"/>
    <w:qFormat/>
    <w:pPr>
      <w:keepNext/>
      <w:widowControl w:val="0"/>
      <w:numPr>
        <w:ilvl w:val="1"/>
        <w:numId w:val="4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widowControl w:val="0"/>
      <w:numPr>
        <w:ilvl w:val="2"/>
        <w:numId w:val="4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widowControl w:val="0"/>
      <w:numPr>
        <w:ilvl w:val="3"/>
        <w:numId w:val="4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widowControl w:val="0"/>
      <w:numPr>
        <w:ilvl w:val="4"/>
        <w:numId w:val="4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widowControl w:val="0"/>
      <w:numPr>
        <w:ilvl w:val="5"/>
        <w:numId w:val="4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widowControl w:val="0"/>
      <w:numPr>
        <w:ilvl w:val="6"/>
        <w:numId w:val="4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widowControl w:val="0"/>
      <w:numPr>
        <w:ilvl w:val="7"/>
        <w:numId w:val="4"/>
      </w:numPr>
      <w:spacing w:after="220"/>
      <w:jc w:val="both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widowControl w:val="0"/>
      <w:numPr>
        <w:ilvl w:val="8"/>
        <w:numId w:val="4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pPr>
      <w:widowControl w:val="0"/>
      <w:numPr>
        <w:numId w:val="13"/>
      </w:numPr>
      <w:tabs>
        <w:tab w:val="left" w:pos="1440"/>
      </w:tabs>
      <w:spacing w:after="220"/>
      <w:jc w:val="both"/>
    </w:pPr>
  </w:style>
  <w:style w:type="paragraph" w:styleId="FootnoteText">
    <w:name w:val="footnote text"/>
    <w:basedOn w:val="Normal"/>
    <w:semiHidden/>
    <w:pPr>
      <w:tabs>
        <w:tab w:val="left" w:pos="180"/>
        <w:tab w:val="left" w:pos="720"/>
        <w:tab w:val="left" w:pos="1440"/>
        <w:tab w:val="left" w:pos="2160"/>
      </w:tabs>
      <w:spacing w:after="120"/>
      <w:jc w:val="both"/>
    </w:pPr>
    <w:rPr>
      <w:sz w:val="20"/>
    </w:rPr>
  </w:style>
  <w:style w:type="paragraph" w:customStyle="1" w:styleId="Bullet">
    <w:name w:val="Bullet"/>
    <w:basedOn w:val="Normal"/>
    <w:pPr>
      <w:widowControl w:val="0"/>
      <w:numPr>
        <w:numId w:val="9"/>
      </w:numPr>
      <w:tabs>
        <w:tab w:val="clear" w:pos="2520"/>
      </w:tabs>
      <w:spacing w:after="220"/>
      <w:ind w:left="2160" w:hanging="720"/>
      <w:jc w:val="both"/>
    </w:p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TableFormat">
    <w:name w:val="Table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pPr>
      <w:widowControl w:val="0"/>
      <w:tabs>
        <w:tab w:val="left" w:pos="1440"/>
        <w:tab w:val="right" w:leader="dot" w:pos="9360"/>
      </w:tabs>
      <w:suppressAutoHyphens/>
      <w:ind w:left="1440" w:right="720" w:hanging="720"/>
      <w:jc w:val="both"/>
    </w:p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pPr>
      <w:widowControl w:val="0"/>
      <w:tabs>
        <w:tab w:val="right" w:leader="dot" w:pos="9360"/>
      </w:tabs>
      <w:suppressAutoHyphens/>
      <w:spacing w:before="220"/>
      <w:ind w:left="720" w:right="720" w:hanging="720"/>
      <w:jc w:val="both"/>
    </w:pPr>
    <w:rPr>
      <w:caps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2160"/>
        <w:tab w:val="right" w:leader="dot" w:pos="9360"/>
      </w:tabs>
      <w:suppressAutoHyphens/>
      <w:ind w:left="2160" w:right="720" w:hanging="720"/>
      <w:jc w:val="both"/>
    </w:pPr>
  </w:style>
  <w:style w:type="paragraph" w:styleId="TOC4">
    <w:name w:val="toc 4"/>
    <w:basedOn w:val="Normal"/>
    <w:next w:val="Normal"/>
    <w:semiHidden/>
    <w:pPr>
      <w:widowControl w:val="0"/>
      <w:tabs>
        <w:tab w:val="left" w:pos="2880"/>
        <w:tab w:val="right" w:leader="dot" w:pos="9360"/>
      </w:tabs>
      <w:suppressAutoHyphens/>
      <w:ind w:left="2880" w:right="720" w:hanging="720"/>
      <w:jc w:val="both"/>
    </w:pPr>
  </w:style>
  <w:style w:type="paragraph" w:styleId="TOC5">
    <w:name w:val="toc 5"/>
    <w:basedOn w:val="Normal"/>
    <w:next w:val="Normal"/>
    <w:semiHidden/>
    <w:pPr>
      <w:widowControl w:val="0"/>
      <w:tabs>
        <w:tab w:val="left" w:pos="3600"/>
        <w:tab w:val="right" w:leader="dot" w:pos="9360"/>
      </w:tabs>
      <w:suppressAutoHyphens/>
      <w:ind w:left="3600" w:right="720" w:hanging="720"/>
      <w:jc w:val="both"/>
    </w:pPr>
  </w:style>
  <w:style w:type="paragraph" w:styleId="TOC6">
    <w:name w:val="toc 6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7">
    <w:name w:val="toc 7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8">
    <w:name w:val="toc 8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9">
    <w:name w:val="toc 9"/>
    <w:basedOn w:val="Normal"/>
    <w:next w:val="Normal"/>
    <w:semiHidden/>
    <w:pPr>
      <w:tabs>
        <w:tab w:val="left" w:leader="dot" w:pos="9360"/>
      </w:tabs>
      <w:ind w:left="720" w:hanging="720"/>
      <w:jc w:val="both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parastyle">
    <w:name w:val="parastyle"/>
    <w:basedOn w:val="Normal"/>
    <w:pPr>
      <w:widowControl w:val="0"/>
      <w:tabs>
        <w:tab w:val="num" w:pos="360"/>
      </w:tabs>
      <w:outlineLvl w:val="0"/>
    </w:pPr>
    <w:rPr>
      <w:snapToGrid w:val="0"/>
      <w:sz w:val="24"/>
    </w:rPr>
  </w:style>
  <w:style w:type="paragraph" w:customStyle="1" w:styleId="Style3">
    <w:name w:val="Style3"/>
    <w:basedOn w:val="ParaNum"/>
    <w:pPr>
      <w:numPr>
        <w:numId w:val="0"/>
      </w:numPr>
      <w:ind w:firstLine="720"/>
    </w:pPr>
  </w:style>
  <w:style w:type="paragraph" w:customStyle="1" w:styleId="Style5">
    <w:name w:val="Style5"/>
    <w:basedOn w:val="TOC2"/>
    <w:rPr>
      <w:noProof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Heading">
    <w:name w:val="index heading"/>
    <w:basedOn w:val="Normal"/>
    <w:next w:val="Index1"/>
    <w:semiHidden/>
  </w:style>
  <w:style w:type="paragraph" w:styleId="BodyText">
    <w:name w:val="Body Text"/>
    <w:basedOn w:val="Normal"/>
    <w:pPr>
      <w:widowControl w:val="0"/>
      <w:tabs>
        <w:tab w:val="left" w:pos="-1440"/>
        <w:tab w:val="left" w:pos="-720"/>
      </w:tabs>
      <w:suppressAutoHyphens/>
      <w:spacing w:line="227" w:lineRule="auto"/>
      <w:jc w:val="both"/>
    </w:pPr>
    <w:rPr>
      <w:snapToGrid w:val="0"/>
      <w:spacing w:val="-2"/>
      <w:sz w:val="24"/>
    </w:rPr>
  </w:style>
  <w:style w:type="paragraph" w:customStyle="1" w:styleId="Style1">
    <w:name w:val="Style1"/>
    <w:basedOn w:val="Normal"/>
    <w:pPr>
      <w:numPr>
        <w:numId w:val="25"/>
      </w:numPr>
    </w:pPr>
  </w:style>
  <w:style w:type="paragraph" w:customStyle="1" w:styleId="Style2">
    <w:name w:val="Style2"/>
    <w:basedOn w:val="Normal"/>
    <w:pPr>
      <w:numPr>
        <w:numId w:val="23"/>
      </w:numPr>
      <w:jc w:val="both"/>
    </w:pPr>
    <w:rPr>
      <w:b/>
      <w:i/>
    </w:rPr>
  </w:style>
  <w:style w:type="paragraph" w:customStyle="1" w:styleId="Style4">
    <w:name w:val="Style4"/>
    <w:basedOn w:val="Normal"/>
    <w:pPr>
      <w:tabs>
        <w:tab w:val="num" w:pos="1080"/>
      </w:tabs>
      <w:ind w:left="1080" w:hanging="360"/>
      <w:jc w:val="both"/>
    </w:pPr>
    <w:rPr>
      <w:b/>
      <w:i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Indent2">
    <w:name w:val="Body Text Indent 2"/>
    <w:basedOn w:val="Normal"/>
    <w:pPr>
      <w:ind w:left="720" w:hanging="72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customStyle="1" w:styleId="a">
    <w:name w:val="脚注番号"/>
    <w:rPr>
      <w:vertAlign w:val="superscript"/>
    </w:rPr>
  </w:style>
  <w:style w:type="character" w:customStyle="1" w:styleId="WW-">
    <w:name w:val="WW-脚注番号"/>
    <w:rPr>
      <w:vertAlign w:val="superscript"/>
    </w:rPr>
  </w:style>
  <w:style w:type="character" w:customStyle="1" w:styleId="documentbody">
    <w:name w:val="documentbody"/>
    <w:basedOn w:val="DefaultParagraphFont"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DocumentMap">
    <w:name w:val="Document Map"/>
    <w:basedOn w:val="Normal"/>
    <w:semiHidden/>
    <w:rsid w:val="00BD3369"/>
    <w:pPr>
      <w:shd w:val="clear" w:color="auto" w:fill="000080"/>
    </w:pPr>
    <w:rPr>
      <w:rFonts w:ascii="Tahoma" w:hAnsi="Tahoma" w:cs="Tahoma"/>
    </w:rPr>
  </w:style>
  <w:style w:type="paragraph" w:styleId="TOAHeading">
    <w:name w:val="toa heading"/>
    <w:basedOn w:val="Normal"/>
    <w:next w:val="Normal"/>
    <w:semiHidden/>
    <w:rsid w:val="009B306F"/>
    <w:pPr>
      <w:widowControl w:val="0"/>
      <w:tabs>
        <w:tab w:val="right" w:pos="9360"/>
      </w:tabs>
      <w:suppressAutoHyphens/>
    </w:pPr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2A67E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A67EC"/>
  </w:style>
  <w:style w:type="character" w:customStyle="1" w:styleId="CommentSubjectChar">
    <w:name w:val="Comment Subject Char"/>
    <w:basedOn w:val="CommentTextChar"/>
    <w:link w:val="CommentSubject"/>
    <w:rsid w:val="002A67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2928</Characters>
  <Application>Microsoft Office Word</Application>
  <DocSecurity>0</DocSecurity>
  <Lines>79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3473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2005-07-11T20:15:00Z</cp:lastPrinted>
  <dcterms:created xsi:type="dcterms:W3CDTF">2015-08-25T16:46:00Z</dcterms:created>
  <dcterms:modified xsi:type="dcterms:W3CDTF">2015-08-25T16:46:00Z</dcterms:modified>
  <cp:category> </cp:category>
  <cp:contentStatus> </cp:contentStatus>
</cp:coreProperties>
</file>