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3C" w:rsidRDefault="00A04C3C">
      <w:pPr>
        <w:pStyle w:val="Header"/>
        <w:tabs>
          <w:tab w:val="clear" w:pos="4320"/>
          <w:tab w:val="clear" w:pos="8640"/>
        </w:tabs>
        <w:jc w:val="both"/>
        <w:rPr>
          <w:szCs w:val="22"/>
        </w:rPr>
        <w:sectPr w:rsidR="00A04C3C" w:rsidSect="007426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0" w:name="OLE_LINK4"/>
      <w:bookmarkStart w:id="1" w:name="OLE_LINK5"/>
      <w:bookmarkStart w:id="2" w:name="_GoBack"/>
      <w:bookmarkEnd w:id="2"/>
    </w:p>
    <w:p w:rsidR="00A04C3C" w:rsidRDefault="00A04C3C" w:rsidP="005E22E2">
      <w:pPr>
        <w:jc w:val="right"/>
        <w:rPr>
          <w:b/>
          <w:szCs w:val="22"/>
        </w:rPr>
      </w:pPr>
      <w:r>
        <w:rPr>
          <w:b/>
          <w:szCs w:val="22"/>
        </w:rPr>
        <w:lastRenderedPageBreak/>
        <w:t>DA 15-</w:t>
      </w:r>
      <w:r w:rsidR="005B0F98">
        <w:rPr>
          <w:b/>
          <w:szCs w:val="22"/>
        </w:rPr>
        <w:t>957</w:t>
      </w:r>
    </w:p>
    <w:p w:rsidR="00A04C3C" w:rsidRDefault="00A04C3C" w:rsidP="005E22E2">
      <w:pPr>
        <w:jc w:val="right"/>
        <w:rPr>
          <w:b/>
          <w:szCs w:val="22"/>
        </w:rPr>
      </w:pPr>
      <w:r>
        <w:rPr>
          <w:b/>
          <w:szCs w:val="22"/>
        </w:rPr>
        <w:t>Released: A</w:t>
      </w:r>
      <w:r w:rsidR="00E362F4">
        <w:rPr>
          <w:b/>
          <w:szCs w:val="22"/>
        </w:rPr>
        <w:t xml:space="preserve">ugust </w:t>
      </w:r>
      <w:r w:rsidR="00584BF9">
        <w:rPr>
          <w:b/>
          <w:szCs w:val="22"/>
        </w:rPr>
        <w:t>25</w:t>
      </w:r>
      <w:r>
        <w:rPr>
          <w:b/>
          <w:szCs w:val="22"/>
        </w:rPr>
        <w:t>, 2015</w:t>
      </w:r>
    </w:p>
    <w:p w:rsidR="00A04C3C" w:rsidRDefault="00A04C3C" w:rsidP="005E22E2">
      <w:pPr>
        <w:jc w:val="center"/>
        <w:rPr>
          <w:b/>
          <w:szCs w:val="22"/>
        </w:rPr>
      </w:pPr>
    </w:p>
    <w:p w:rsidR="003A7C2D" w:rsidRDefault="003A7C2D">
      <w:pPr>
        <w:jc w:val="center"/>
        <w:rPr>
          <w:b/>
          <w:szCs w:val="22"/>
        </w:rPr>
      </w:pPr>
      <w:r>
        <w:rPr>
          <w:b/>
          <w:szCs w:val="22"/>
        </w:rPr>
        <w:t>MEDIA BUREA</w:t>
      </w:r>
      <w:r w:rsidR="00DB6D17">
        <w:rPr>
          <w:b/>
          <w:szCs w:val="22"/>
        </w:rPr>
        <w:t>U</w:t>
      </w:r>
      <w:r>
        <w:rPr>
          <w:b/>
          <w:szCs w:val="22"/>
        </w:rPr>
        <w:t xml:space="preserve"> REMINDS CLASS A TELEVISION STATIONS OF </w:t>
      </w:r>
    </w:p>
    <w:p w:rsidR="00A04C3C" w:rsidRDefault="00A04C3C">
      <w:pPr>
        <w:jc w:val="center"/>
        <w:rPr>
          <w:b/>
          <w:szCs w:val="22"/>
        </w:rPr>
      </w:pPr>
      <w:r>
        <w:rPr>
          <w:b/>
          <w:szCs w:val="22"/>
        </w:rPr>
        <w:t>SEPTEMBER 1, 2015</w:t>
      </w:r>
      <w:r w:rsidR="003A7C2D">
        <w:rPr>
          <w:b/>
          <w:szCs w:val="22"/>
        </w:rPr>
        <w:t xml:space="preserve"> D</w:t>
      </w:r>
      <w:r>
        <w:rPr>
          <w:b/>
          <w:szCs w:val="22"/>
        </w:rPr>
        <w:t>IGITAL TRANSITION DATE</w:t>
      </w:r>
    </w:p>
    <w:p w:rsidR="00A04C3C" w:rsidRDefault="00A04C3C">
      <w:pPr>
        <w:jc w:val="center"/>
        <w:rPr>
          <w:b/>
          <w:szCs w:val="22"/>
        </w:rPr>
      </w:pPr>
    </w:p>
    <w:p w:rsidR="005C6F58" w:rsidRDefault="003A7C2D">
      <w:pPr>
        <w:pStyle w:val="Paranum"/>
        <w:widowControl/>
        <w:numPr>
          <w:ilvl w:val="0"/>
          <w:numId w:val="0"/>
        </w:numPr>
        <w:spacing w:after="120"/>
        <w:ind w:firstLine="720"/>
        <w:jc w:val="left"/>
        <w:rPr>
          <w:snapToGrid w:val="0"/>
        </w:rPr>
      </w:pPr>
      <w:r>
        <w:rPr>
          <w:szCs w:val="22"/>
        </w:rPr>
        <w:t>By this Public Notice, t</w:t>
      </w:r>
      <w:r w:rsidR="004E4D4F">
        <w:rPr>
          <w:szCs w:val="22"/>
        </w:rPr>
        <w:t xml:space="preserve">he Media Bureau reminds Class A television stations of the upcoming </w:t>
      </w:r>
      <w:r w:rsidR="004E4D4F" w:rsidRPr="003A7C2D">
        <w:rPr>
          <w:b/>
          <w:szCs w:val="22"/>
        </w:rPr>
        <w:t>September 1, 2015</w:t>
      </w:r>
      <w:r w:rsidR="004E4D4F">
        <w:rPr>
          <w:szCs w:val="22"/>
        </w:rPr>
        <w:t xml:space="preserve"> digital transition date.  </w:t>
      </w:r>
      <w:r w:rsidR="00A04C3C">
        <w:rPr>
          <w:szCs w:val="22"/>
        </w:rPr>
        <w:t xml:space="preserve">In its </w:t>
      </w:r>
      <w:r w:rsidR="00A04C3C">
        <w:rPr>
          <w:i/>
          <w:szCs w:val="22"/>
        </w:rPr>
        <w:t>LPTV DTV Second Report and Order</w:t>
      </w:r>
      <w:r w:rsidR="00A04C3C">
        <w:rPr>
          <w:szCs w:val="22"/>
        </w:rPr>
        <w:t>,</w:t>
      </w:r>
      <w:r w:rsidR="00A04C3C">
        <w:rPr>
          <w:rStyle w:val="FootnoteReference"/>
          <w:szCs w:val="22"/>
        </w:rPr>
        <w:footnoteReference w:id="1"/>
      </w:r>
      <w:r w:rsidR="00A04C3C">
        <w:rPr>
          <w:szCs w:val="22"/>
        </w:rPr>
        <w:t xml:space="preserve"> the Commission established a </w:t>
      </w:r>
      <w:r w:rsidR="00A04C3C" w:rsidRPr="003A7C2D">
        <w:rPr>
          <w:b/>
          <w:szCs w:val="22"/>
        </w:rPr>
        <w:t>September 1, 2015</w:t>
      </w:r>
      <w:r w:rsidR="00A04C3C">
        <w:rPr>
          <w:szCs w:val="22"/>
        </w:rPr>
        <w:t xml:space="preserve"> deadline for Class A television stations to terminate analog operations and transition to digital.</w:t>
      </w:r>
      <w:r w:rsidR="004E4D4F">
        <w:rPr>
          <w:rStyle w:val="FootnoteReference"/>
          <w:szCs w:val="22"/>
        </w:rPr>
        <w:footnoteReference w:id="2"/>
      </w:r>
      <w:r w:rsidR="00EA654D">
        <w:rPr>
          <w:szCs w:val="22"/>
        </w:rPr>
        <w:t xml:space="preserve">  Therefore, </w:t>
      </w:r>
      <w:r w:rsidR="00A04C3C">
        <w:rPr>
          <w:snapToGrid w:val="0"/>
        </w:rPr>
        <w:t xml:space="preserve">Class A </w:t>
      </w:r>
      <w:r w:rsidR="00EA654D">
        <w:rPr>
          <w:snapToGrid w:val="0"/>
        </w:rPr>
        <w:t xml:space="preserve">television </w:t>
      </w:r>
      <w:r w:rsidR="00A04C3C">
        <w:rPr>
          <w:snapToGrid w:val="0"/>
        </w:rPr>
        <w:t xml:space="preserve">stations may no longer operate </w:t>
      </w:r>
      <w:r w:rsidR="005C6F58">
        <w:rPr>
          <w:snapToGrid w:val="0"/>
        </w:rPr>
        <w:t xml:space="preserve">any facility </w:t>
      </w:r>
      <w:r w:rsidR="00A04C3C">
        <w:rPr>
          <w:snapToGrid w:val="0"/>
        </w:rPr>
        <w:t>in analog mode</w:t>
      </w:r>
      <w:r w:rsidR="00C40DDB">
        <w:rPr>
          <w:snapToGrid w:val="0"/>
        </w:rPr>
        <w:t xml:space="preserve"> associated with their Class A license</w:t>
      </w:r>
      <w:r w:rsidR="00A04C3C">
        <w:rPr>
          <w:snapToGrid w:val="0"/>
        </w:rPr>
        <w:t xml:space="preserve"> after </w:t>
      </w:r>
      <w:r w:rsidR="00A04C3C" w:rsidRPr="003A7C2D">
        <w:rPr>
          <w:b/>
          <w:snapToGrid w:val="0"/>
        </w:rPr>
        <w:t>11:59 pm, local time, on September 1, 2015</w:t>
      </w:r>
      <w:r w:rsidR="00A04C3C">
        <w:rPr>
          <w:snapToGrid w:val="0"/>
        </w:rPr>
        <w:t>.</w:t>
      </w:r>
      <w:r w:rsidR="00A04C3C">
        <w:rPr>
          <w:rStyle w:val="FootnoteReference"/>
          <w:snapToGrid w:val="0"/>
        </w:rPr>
        <w:footnoteReference w:id="3"/>
      </w:r>
      <w:r w:rsidR="00A04C3C">
        <w:rPr>
          <w:snapToGrid w:val="0"/>
        </w:rPr>
        <w:t xml:space="preserve">  </w:t>
      </w:r>
    </w:p>
    <w:p w:rsidR="00A04C3C" w:rsidRDefault="005C6F58">
      <w:pPr>
        <w:pStyle w:val="Paranum"/>
        <w:widowControl/>
        <w:numPr>
          <w:ilvl w:val="0"/>
          <w:numId w:val="0"/>
        </w:numPr>
        <w:spacing w:after="120"/>
        <w:ind w:firstLine="720"/>
        <w:jc w:val="left"/>
        <w:rPr>
          <w:snapToGrid w:val="0"/>
        </w:rPr>
      </w:pPr>
      <w:r>
        <w:rPr>
          <w:snapToGrid w:val="0"/>
        </w:rPr>
        <w:t xml:space="preserve">We remind </w:t>
      </w:r>
      <w:r w:rsidR="00A04C3C">
        <w:rPr>
          <w:snapToGrid w:val="0"/>
        </w:rPr>
        <w:t xml:space="preserve">Class A television stations that have not completed constructing their digital facilities </w:t>
      </w:r>
      <w:r>
        <w:rPr>
          <w:snapToGrid w:val="0"/>
        </w:rPr>
        <w:t xml:space="preserve">that they </w:t>
      </w:r>
      <w:r w:rsidR="00A04C3C">
        <w:rPr>
          <w:snapToGrid w:val="0"/>
        </w:rPr>
        <w:t>must go silent while they complete construction.</w:t>
      </w:r>
      <w:r>
        <w:rPr>
          <w:snapToGrid w:val="0"/>
        </w:rPr>
        <w:t xml:space="preserve">  In addition, </w:t>
      </w:r>
      <w:r w:rsidR="00EA654D" w:rsidRPr="00EA654D">
        <w:rPr>
          <w:snapToGrid w:val="0"/>
        </w:rPr>
        <w:t>Class A television stations may limit or discontinue operation for a period of not more than 30 days without further authority from the Commission.  If a station remains silent beyond 30 days, informal written request to remain silent must be made to the Commission no later than the 30th day for such additional time as may be deemed necessary.</w:t>
      </w:r>
      <w:r w:rsidR="00A04C3C">
        <w:rPr>
          <w:rStyle w:val="FootnoteReference"/>
          <w:snapToGrid w:val="0"/>
        </w:rPr>
        <w:footnoteReference w:id="4"/>
      </w:r>
      <w:r w:rsidR="00A04C3C">
        <w:rPr>
          <w:snapToGrid w:val="0"/>
        </w:rPr>
        <w:t xml:space="preserve">  </w:t>
      </w:r>
      <w:r w:rsidR="003A7C2D">
        <w:rPr>
          <w:snapToGrid w:val="0"/>
        </w:rPr>
        <w:t>In addition, stations that remain silent for 12 consecutive months risk losing their station authorization.</w:t>
      </w:r>
      <w:r w:rsidR="003A7C2D">
        <w:rPr>
          <w:rStyle w:val="FootnoteReference"/>
          <w:snapToGrid w:val="0"/>
        </w:rPr>
        <w:footnoteReference w:id="5"/>
      </w:r>
    </w:p>
    <w:p w:rsidR="003A7C2D" w:rsidRDefault="003A7C2D">
      <w:pPr>
        <w:pStyle w:val="Paranum"/>
        <w:widowControl/>
        <w:numPr>
          <w:ilvl w:val="0"/>
          <w:numId w:val="0"/>
        </w:numPr>
        <w:spacing w:after="120"/>
        <w:ind w:firstLine="720"/>
        <w:jc w:val="left"/>
        <w:rPr>
          <w:snapToGrid w:val="0"/>
        </w:rPr>
      </w:pPr>
      <w:r w:rsidRPr="003A7C2D">
        <w:rPr>
          <w:snapToGrid w:val="0"/>
        </w:rPr>
        <w:t>Class A television stations that require additional time to complete construction of their digital facilities beyond the</w:t>
      </w:r>
      <w:r>
        <w:rPr>
          <w:snapToGrid w:val="0"/>
        </w:rPr>
        <w:t xml:space="preserve"> </w:t>
      </w:r>
      <w:r w:rsidRPr="003A7C2D">
        <w:rPr>
          <w:b/>
          <w:snapToGrid w:val="0"/>
        </w:rPr>
        <w:t>September 1, 2015</w:t>
      </w:r>
      <w:r>
        <w:rPr>
          <w:snapToGrid w:val="0"/>
        </w:rPr>
        <w:t xml:space="preserve"> transition date may submit a request for tolling</w:t>
      </w:r>
      <w:r w:rsidRPr="003A7C2D">
        <w:rPr>
          <w:snapToGrid w:val="0"/>
        </w:rPr>
        <w:t>.</w:t>
      </w:r>
      <w:r>
        <w:rPr>
          <w:rStyle w:val="FootnoteReference"/>
          <w:snapToGrid w:val="0"/>
        </w:rPr>
        <w:footnoteReference w:id="6"/>
      </w:r>
      <w:r w:rsidRPr="003A7C2D">
        <w:rPr>
          <w:snapToGrid w:val="0"/>
        </w:rPr>
        <w:t xml:space="preserve">  </w:t>
      </w:r>
      <w:r>
        <w:rPr>
          <w:snapToGrid w:val="0"/>
        </w:rPr>
        <w:t>Applications for extension of time are no longer accepted for Class A television station digital construction permits.</w:t>
      </w:r>
      <w:r>
        <w:rPr>
          <w:rStyle w:val="FootnoteReference"/>
          <w:snapToGrid w:val="0"/>
        </w:rPr>
        <w:footnoteReference w:id="7"/>
      </w:r>
      <w:r>
        <w:rPr>
          <w:snapToGrid w:val="0"/>
        </w:rPr>
        <w:t xml:space="preserve">  </w:t>
      </w:r>
      <w:r>
        <w:rPr>
          <w:snapToGrid w:val="0"/>
        </w:rPr>
        <w:lastRenderedPageBreak/>
        <w:t xml:space="preserve">Stations seeking tolling </w:t>
      </w:r>
      <w:r w:rsidR="00E362F4">
        <w:rPr>
          <w:snapToGrid w:val="0"/>
        </w:rPr>
        <w:t xml:space="preserve">of the </w:t>
      </w:r>
      <w:r w:rsidR="00E362F4" w:rsidRPr="00E362F4">
        <w:rPr>
          <w:b/>
          <w:snapToGrid w:val="0"/>
        </w:rPr>
        <w:t>September 1, 2015</w:t>
      </w:r>
      <w:r w:rsidR="00E362F4">
        <w:rPr>
          <w:snapToGrid w:val="0"/>
        </w:rPr>
        <w:t xml:space="preserve"> digital deadline </w:t>
      </w:r>
      <w:r>
        <w:rPr>
          <w:snapToGrid w:val="0"/>
        </w:rPr>
        <w:t>are urged to submit their requests as soon as possible.</w:t>
      </w:r>
      <w:r>
        <w:rPr>
          <w:rStyle w:val="FootnoteReference"/>
          <w:snapToGrid w:val="0"/>
        </w:rPr>
        <w:footnoteReference w:id="8"/>
      </w:r>
      <w:r w:rsidR="00680253">
        <w:rPr>
          <w:snapToGrid w:val="0"/>
        </w:rPr>
        <w:t xml:space="preserve"> </w:t>
      </w:r>
    </w:p>
    <w:p w:rsidR="003A7C2D" w:rsidRDefault="003A7C2D">
      <w:pPr>
        <w:pStyle w:val="Paranum"/>
        <w:widowControl/>
        <w:numPr>
          <w:ilvl w:val="0"/>
          <w:numId w:val="0"/>
        </w:numPr>
        <w:spacing w:after="120"/>
        <w:ind w:firstLine="720"/>
        <w:jc w:val="left"/>
        <w:rPr>
          <w:snapToGrid w:val="0"/>
        </w:rPr>
      </w:pPr>
      <w:r>
        <w:rPr>
          <w:snapToGrid w:val="0"/>
        </w:rPr>
        <w:t xml:space="preserve">Finally, we remind </w:t>
      </w:r>
      <w:r w:rsidR="007A597D">
        <w:rPr>
          <w:snapToGrid w:val="0"/>
        </w:rPr>
        <w:t xml:space="preserve">the </w:t>
      </w:r>
      <w:r>
        <w:rPr>
          <w:snapToGrid w:val="0"/>
        </w:rPr>
        <w:t>Class A television stations that</w:t>
      </w:r>
      <w:r w:rsidR="007A597D">
        <w:rPr>
          <w:snapToGrid w:val="0"/>
        </w:rPr>
        <w:t xml:space="preserve"> have not yet completed the transition that</w:t>
      </w:r>
      <w:r>
        <w:rPr>
          <w:snapToGrid w:val="0"/>
        </w:rPr>
        <w:t xml:space="preserve"> they are obligated to notify their viewers </w:t>
      </w:r>
      <w:r w:rsidR="0073695B">
        <w:rPr>
          <w:snapToGrid w:val="0"/>
        </w:rPr>
        <w:t xml:space="preserve">on-air </w:t>
      </w:r>
      <w:r>
        <w:rPr>
          <w:snapToGrid w:val="0"/>
        </w:rPr>
        <w:t>of their forthcoming digital transition.</w:t>
      </w:r>
      <w:r w:rsidR="0073695B">
        <w:rPr>
          <w:rStyle w:val="FootnoteReference"/>
          <w:snapToGrid w:val="0"/>
        </w:rPr>
        <w:footnoteReference w:id="9"/>
      </w:r>
      <w:r>
        <w:rPr>
          <w:snapToGrid w:val="0"/>
        </w:rPr>
        <w:t xml:space="preserve">  </w:t>
      </w:r>
      <w:r w:rsidR="0073695B">
        <w:rPr>
          <w:snapToGrid w:val="0"/>
        </w:rPr>
        <w:t>Stations may decide on the frequency and format of their viewer notifications</w:t>
      </w:r>
      <w:r w:rsidR="00680253">
        <w:rPr>
          <w:snapToGrid w:val="0"/>
        </w:rPr>
        <w:t>,</w:t>
      </w:r>
      <w:r w:rsidR="0073695B">
        <w:rPr>
          <w:snapToGrid w:val="0"/>
        </w:rPr>
        <w:t xml:space="preserve"> however, </w:t>
      </w:r>
      <w:r w:rsidR="0073695B" w:rsidRPr="0073695B">
        <w:rPr>
          <w:snapToGrid w:val="0"/>
        </w:rPr>
        <w:t>notification must be done on the air at a time when the highest number of viewers is watching.</w:t>
      </w:r>
      <w:r w:rsidR="0073695B">
        <w:rPr>
          <w:rStyle w:val="FootnoteReference"/>
          <w:snapToGrid w:val="0"/>
        </w:rPr>
        <w:footnoteReference w:id="10"/>
      </w:r>
      <w:r w:rsidR="0073695B" w:rsidRPr="0073695B">
        <w:rPr>
          <w:snapToGrid w:val="0"/>
        </w:rPr>
        <w:t xml:space="preserve">  </w:t>
      </w:r>
    </w:p>
    <w:p w:rsidR="00A04C3C" w:rsidRDefault="00A04C3C">
      <w:pPr>
        <w:pStyle w:val="Paranum"/>
        <w:numPr>
          <w:ilvl w:val="0"/>
          <w:numId w:val="0"/>
        </w:numPr>
        <w:spacing w:after="120"/>
        <w:ind w:firstLine="720"/>
      </w:pPr>
      <w:r>
        <w:rPr>
          <w:szCs w:val="22"/>
        </w:rPr>
        <w:t>For additional information or questions</w:t>
      </w:r>
      <w:r>
        <w:t>, please contact Shaun A. Maher of the Video Division, Media Bureau at (202) 418-2324</w:t>
      </w:r>
      <w:r w:rsidR="00E20C39">
        <w:t xml:space="preserve">, </w:t>
      </w:r>
      <w:hyperlink r:id="rId14" w:history="1">
        <w:r w:rsidR="00E20C39" w:rsidRPr="00D115E9">
          <w:rPr>
            <w:rStyle w:val="Hyperlink"/>
          </w:rPr>
          <w:t>Shaun.Maher@fcc.gov</w:t>
        </w:r>
      </w:hyperlink>
      <w:r>
        <w:t>.</w:t>
      </w:r>
    </w:p>
    <w:p w:rsidR="00D107F4" w:rsidRDefault="00D107F4">
      <w:pPr>
        <w:pStyle w:val="Paranum"/>
        <w:numPr>
          <w:ilvl w:val="0"/>
          <w:numId w:val="0"/>
        </w:numPr>
        <w:spacing w:after="120"/>
        <w:ind w:firstLine="720"/>
      </w:pPr>
    </w:p>
    <w:p w:rsidR="00A04C3C" w:rsidRDefault="00A04C3C">
      <w:pPr>
        <w:pStyle w:val="ParaNum0"/>
        <w:numPr>
          <w:ilvl w:val="0"/>
          <w:numId w:val="0"/>
        </w:numPr>
        <w:tabs>
          <w:tab w:val="left" w:pos="720"/>
        </w:tabs>
        <w:jc w:val="center"/>
        <w:rPr>
          <w:b/>
          <w:szCs w:val="22"/>
        </w:rPr>
      </w:pPr>
      <w:r>
        <w:rPr>
          <w:b/>
          <w:szCs w:val="22"/>
        </w:rPr>
        <w:t>-- FCC --</w:t>
      </w:r>
      <w:bookmarkEnd w:id="0"/>
      <w:bookmarkEnd w:id="1"/>
    </w:p>
    <w:sectPr w:rsidR="00A04C3C" w:rsidSect="00742606">
      <w:footerReference w:type="default" r:id="rId15"/>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66" w:rsidRDefault="00BF4B66">
      <w:r>
        <w:separator/>
      </w:r>
    </w:p>
  </w:endnote>
  <w:endnote w:type="continuationSeparator" w:id="0">
    <w:p w:rsidR="00BF4B66" w:rsidRDefault="00BF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3C" w:rsidRDefault="00A0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4C3C" w:rsidRDefault="00A04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3C" w:rsidRDefault="00A0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7F4">
      <w:rPr>
        <w:rStyle w:val="PageNumber"/>
        <w:noProof/>
      </w:rPr>
      <w:t>2</w:t>
    </w:r>
    <w:r>
      <w:rPr>
        <w:rStyle w:val="PageNumber"/>
      </w:rPr>
      <w:fldChar w:fldCharType="end"/>
    </w:r>
  </w:p>
  <w:p w:rsidR="00A04C3C" w:rsidRDefault="00A04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03" w:rsidRDefault="00F02B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F4" w:rsidRDefault="00D107F4" w:rsidP="00742606">
    <w:pPr>
      <w:pStyle w:val="Footer"/>
      <w:jc w:val="center"/>
    </w:pPr>
    <w:r>
      <w:fldChar w:fldCharType="begin"/>
    </w:r>
    <w:r>
      <w:instrText xml:space="preserve"> PAGE   \* MERGEFORMAT </w:instrText>
    </w:r>
    <w:r>
      <w:fldChar w:fldCharType="separate"/>
    </w:r>
    <w:r w:rsidR="000B2A2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66" w:rsidRDefault="00BF4B66">
      <w:r>
        <w:separator/>
      </w:r>
    </w:p>
  </w:footnote>
  <w:footnote w:type="continuationSeparator" w:id="0">
    <w:p w:rsidR="00BF4B66" w:rsidRDefault="00BF4B66">
      <w:r>
        <w:continuationSeparator/>
      </w:r>
    </w:p>
  </w:footnote>
  <w:footnote w:id="1">
    <w:p w:rsidR="00A04C3C" w:rsidRPr="0012482C" w:rsidRDefault="00A04C3C"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i/>
          <w:sz w:val="20"/>
        </w:rPr>
        <w:t>See Amendment of Parts 73 and 74 of the Commission’s Rules to Establish Rules for Digital Low Power Television, Television Translator, and Television Booster Stations</w:t>
      </w:r>
      <w:r w:rsidRPr="0012482C">
        <w:rPr>
          <w:i/>
          <w:sz w:val="20"/>
          <w:lang w:val="en-US"/>
        </w:rPr>
        <w:t xml:space="preserve"> and to Amend Rules for Digital Class A Television Stations, </w:t>
      </w:r>
      <w:r w:rsidRPr="0012482C">
        <w:rPr>
          <w:sz w:val="20"/>
          <w:lang w:val="en-US"/>
        </w:rPr>
        <w:t>MB Docket No. 03-185, Second Report and Order, 26 FCC Rcd 10732 (2011)</w:t>
      </w:r>
      <w:r w:rsidR="0073695B" w:rsidRPr="0012482C">
        <w:rPr>
          <w:sz w:val="20"/>
          <w:lang w:val="en-US"/>
        </w:rPr>
        <w:t xml:space="preserve"> (</w:t>
      </w:r>
      <w:r w:rsidR="0073695B" w:rsidRPr="0012482C">
        <w:rPr>
          <w:i/>
          <w:sz w:val="20"/>
          <w:lang w:val="en-US"/>
        </w:rPr>
        <w:t>LPTV DTV Second Report and Order</w:t>
      </w:r>
      <w:r w:rsidR="0073695B" w:rsidRPr="0012482C">
        <w:rPr>
          <w:sz w:val="20"/>
          <w:lang w:val="en-US"/>
        </w:rPr>
        <w:t>)</w:t>
      </w:r>
      <w:r w:rsidRPr="0012482C">
        <w:rPr>
          <w:sz w:val="20"/>
          <w:lang w:val="en-US"/>
        </w:rPr>
        <w:t>.</w:t>
      </w:r>
    </w:p>
  </w:footnote>
  <w:footnote w:id="2">
    <w:p w:rsidR="004E4D4F" w:rsidRPr="0012482C" w:rsidRDefault="004E4D4F"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sz w:val="20"/>
          <w:lang w:val="en-US"/>
        </w:rPr>
        <w:t xml:space="preserve">The September 1, 2015 transition date has been suspended for low power television (LPTV) and TV translator stations pending resolution of the Commission’s rulemaking proceeding to consider establishment of a new digital transition date for these stations.  </w:t>
      </w:r>
      <w:r w:rsidRPr="0012482C">
        <w:rPr>
          <w:i/>
          <w:sz w:val="20"/>
        </w:rPr>
        <w:t>See</w:t>
      </w:r>
      <w:r w:rsidR="005C6F58" w:rsidRPr="0012482C">
        <w:rPr>
          <w:i/>
          <w:sz w:val="20"/>
          <w:lang w:val="en-US"/>
        </w:rPr>
        <w:t xml:space="preserve"> Suspension of September 1, 2015 Digital Transition Date for Low Power Television and TV Translator Stations</w:t>
      </w:r>
      <w:r w:rsidR="005C6F58" w:rsidRPr="0012482C">
        <w:rPr>
          <w:sz w:val="20"/>
          <w:lang w:val="en-US"/>
        </w:rPr>
        <w:t>, Public Notice, 30 FCC Rcd 3741 (MB 2015);</w:t>
      </w:r>
      <w:r w:rsidRPr="0012482C">
        <w:rPr>
          <w:i/>
          <w:sz w:val="20"/>
        </w:rPr>
        <w:t xml:space="preserve"> Amendment of Parts 73 and 74 of the Commission’s Rules to Establish Rules for Digital Low Power Television, Television Translator, and Television Booster Stations</w:t>
      </w:r>
      <w:r w:rsidRPr="0012482C">
        <w:rPr>
          <w:sz w:val="20"/>
        </w:rPr>
        <w:t xml:space="preserve">, MB Docket No. 03-185, Third Notice of Proposed Rulemaking, </w:t>
      </w:r>
      <w:r w:rsidRPr="0012482C">
        <w:rPr>
          <w:sz w:val="20"/>
          <w:lang w:val="en-US"/>
        </w:rPr>
        <w:t>29 FCC Rcd 12536 (</w:t>
      </w:r>
      <w:r w:rsidRPr="0012482C">
        <w:rPr>
          <w:sz w:val="20"/>
        </w:rPr>
        <w:t>2014)</w:t>
      </w:r>
      <w:r w:rsidRPr="0012482C">
        <w:rPr>
          <w:sz w:val="20"/>
          <w:lang w:val="en-US"/>
        </w:rPr>
        <w:t>.</w:t>
      </w:r>
    </w:p>
  </w:footnote>
  <w:footnote w:id="3">
    <w:p w:rsidR="00A04C3C" w:rsidRPr="0012482C" w:rsidRDefault="00A04C3C"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i/>
          <w:sz w:val="20"/>
          <w:lang w:val="en-US"/>
        </w:rPr>
        <w:t>See</w:t>
      </w:r>
      <w:r w:rsidRPr="0012482C">
        <w:rPr>
          <w:sz w:val="20"/>
          <w:lang w:val="en-US"/>
        </w:rPr>
        <w:t xml:space="preserve"> 47 C.F.R. § 74.731(l).</w:t>
      </w:r>
      <w:r w:rsidR="00EA654D" w:rsidRPr="0012482C">
        <w:rPr>
          <w:sz w:val="20"/>
          <w:lang w:val="en-US"/>
        </w:rPr>
        <w:t xml:space="preserve">  Upon discontinuation of analog service, </w:t>
      </w:r>
      <w:r w:rsidR="00C40DDB" w:rsidRPr="0012482C">
        <w:rPr>
          <w:sz w:val="20"/>
          <w:lang w:val="en-US"/>
        </w:rPr>
        <w:t xml:space="preserve">all Class A </w:t>
      </w:r>
      <w:r w:rsidR="00EA654D" w:rsidRPr="0012482C">
        <w:rPr>
          <w:sz w:val="20"/>
          <w:lang w:val="en-US"/>
        </w:rPr>
        <w:t xml:space="preserve">stations </w:t>
      </w:r>
      <w:r w:rsidR="00C40DDB" w:rsidRPr="0012482C">
        <w:rPr>
          <w:sz w:val="20"/>
          <w:lang w:val="en-US"/>
        </w:rPr>
        <w:t>are required to</w:t>
      </w:r>
      <w:r w:rsidR="00EA654D" w:rsidRPr="0012482C">
        <w:rPr>
          <w:sz w:val="20"/>
          <w:lang w:val="en-US"/>
        </w:rPr>
        <w:t xml:space="preserve"> forward their analog authorizations to the Commission</w:t>
      </w:r>
      <w:r w:rsidR="00C40DDB" w:rsidRPr="0012482C">
        <w:rPr>
          <w:sz w:val="20"/>
          <w:lang w:val="en-US"/>
        </w:rPr>
        <w:t xml:space="preserve"> for cancellation</w:t>
      </w:r>
      <w:r w:rsidR="00EA654D" w:rsidRPr="0012482C">
        <w:rPr>
          <w:sz w:val="20"/>
          <w:lang w:val="en-US"/>
        </w:rPr>
        <w:t>.</w:t>
      </w:r>
      <w:r w:rsidR="00C40DDB" w:rsidRPr="0012482C">
        <w:rPr>
          <w:sz w:val="20"/>
          <w:lang w:val="en-US"/>
        </w:rPr>
        <w:t xml:space="preserve">  The analog authorizations must be sent to the FCC, Attention:  Video Division, Media Bureau.</w:t>
      </w:r>
      <w:r w:rsidR="00EA654D" w:rsidRPr="0012482C">
        <w:rPr>
          <w:sz w:val="20"/>
          <w:lang w:val="en-US"/>
        </w:rPr>
        <w:t xml:space="preserve">  </w:t>
      </w:r>
      <w:r w:rsidR="00EA654D" w:rsidRPr="0012482C">
        <w:rPr>
          <w:i/>
          <w:sz w:val="20"/>
          <w:lang w:val="en-US"/>
        </w:rPr>
        <w:t>See</w:t>
      </w:r>
      <w:r w:rsidR="00EA654D" w:rsidRPr="0012482C">
        <w:rPr>
          <w:sz w:val="20"/>
          <w:lang w:val="en-US"/>
        </w:rPr>
        <w:t xml:space="preserve"> 47 C.F.R. § 73.1750.  </w:t>
      </w:r>
    </w:p>
  </w:footnote>
  <w:footnote w:id="4">
    <w:p w:rsidR="00A04C3C" w:rsidRPr="0012482C" w:rsidRDefault="00A04C3C" w:rsidP="001D4E8C">
      <w:pPr>
        <w:pStyle w:val="FootnoteText"/>
        <w:spacing w:after="120"/>
        <w:rPr>
          <w:i/>
          <w:sz w:val="20"/>
          <w:lang w:val="en-US"/>
        </w:rPr>
      </w:pPr>
      <w:r w:rsidRPr="0012482C">
        <w:rPr>
          <w:rStyle w:val="FootnoteReference"/>
          <w:sz w:val="20"/>
        </w:rPr>
        <w:footnoteRef/>
      </w:r>
      <w:r w:rsidRPr="0012482C">
        <w:rPr>
          <w:sz w:val="20"/>
        </w:rPr>
        <w:t xml:space="preserve"> </w:t>
      </w:r>
      <w:r w:rsidRPr="0012482C">
        <w:rPr>
          <w:i/>
          <w:sz w:val="20"/>
          <w:lang w:val="en-US"/>
        </w:rPr>
        <w:t xml:space="preserve">See </w:t>
      </w:r>
      <w:r w:rsidRPr="0012482C">
        <w:rPr>
          <w:sz w:val="20"/>
          <w:lang w:val="en-US"/>
        </w:rPr>
        <w:t>47 C.F.R. § 73.1740(a)(4)</w:t>
      </w:r>
      <w:r w:rsidR="003A7C2D" w:rsidRPr="0012482C">
        <w:rPr>
          <w:sz w:val="20"/>
          <w:lang w:val="en-US"/>
        </w:rPr>
        <w:t xml:space="preserve">.  </w:t>
      </w:r>
    </w:p>
  </w:footnote>
  <w:footnote w:id="5">
    <w:p w:rsidR="003A7C2D" w:rsidRPr="0012482C" w:rsidRDefault="003A7C2D"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i/>
          <w:sz w:val="20"/>
          <w:lang w:val="en-US"/>
        </w:rPr>
        <w:t xml:space="preserve">See </w:t>
      </w:r>
      <w:r w:rsidRPr="0012482C">
        <w:rPr>
          <w:sz w:val="20"/>
        </w:rPr>
        <w:t>47 U.S.C. § 312(g)</w:t>
      </w:r>
      <w:r w:rsidRPr="0012482C">
        <w:rPr>
          <w:sz w:val="20"/>
          <w:lang w:val="en-US"/>
        </w:rPr>
        <w:t>.</w:t>
      </w:r>
      <w:r w:rsidRPr="0012482C">
        <w:rPr>
          <w:sz w:val="20"/>
        </w:rPr>
        <w:t xml:space="preserve">   </w:t>
      </w:r>
    </w:p>
  </w:footnote>
  <w:footnote w:id="6">
    <w:p w:rsidR="003A7C2D" w:rsidRPr="0012482C" w:rsidRDefault="003A7C2D"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i/>
          <w:sz w:val="20"/>
        </w:rPr>
        <w:t xml:space="preserve">See </w:t>
      </w:r>
      <w:r w:rsidRPr="0012482C">
        <w:rPr>
          <w:sz w:val="20"/>
        </w:rPr>
        <w:t>47 C.F.R. § 74.788(c)</w:t>
      </w:r>
      <w:r w:rsidRPr="0012482C">
        <w:rPr>
          <w:sz w:val="20"/>
          <w:lang w:val="en-US"/>
        </w:rPr>
        <w:t xml:space="preserve"> and </w:t>
      </w:r>
      <w:r w:rsidRPr="0012482C">
        <w:rPr>
          <w:sz w:val="20"/>
        </w:rPr>
        <w:t>§ 73.3598(b).</w:t>
      </w:r>
    </w:p>
  </w:footnote>
  <w:footnote w:id="7">
    <w:p w:rsidR="003A7C2D" w:rsidRPr="0012482C" w:rsidRDefault="003A7C2D" w:rsidP="001D4E8C">
      <w:pPr>
        <w:pStyle w:val="FootnoteText"/>
        <w:spacing w:after="120"/>
        <w:rPr>
          <w:i/>
          <w:sz w:val="20"/>
          <w:lang w:val="en-US"/>
        </w:rPr>
      </w:pPr>
      <w:r w:rsidRPr="0012482C">
        <w:rPr>
          <w:rStyle w:val="FootnoteReference"/>
          <w:sz w:val="20"/>
        </w:rPr>
        <w:footnoteRef/>
      </w:r>
      <w:r w:rsidRPr="0012482C">
        <w:rPr>
          <w:sz w:val="20"/>
        </w:rPr>
        <w:t xml:space="preserve"> </w:t>
      </w:r>
      <w:r w:rsidRPr="0012482C">
        <w:rPr>
          <w:i/>
          <w:sz w:val="20"/>
          <w:lang w:val="en-US"/>
        </w:rPr>
        <w:t>Id.</w:t>
      </w:r>
    </w:p>
  </w:footnote>
  <w:footnote w:id="8">
    <w:p w:rsidR="003A7C2D" w:rsidRPr="0012482C" w:rsidRDefault="003A7C2D"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sz w:val="20"/>
          <w:lang w:val="en-US"/>
        </w:rPr>
        <w:t xml:space="preserve">Tolling requests </w:t>
      </w:r>
      <w:r w:rsidR="00E20C39" w:rsidRPr="0012482C">
        <w:rPr>
          <w:sz w:val="20"/>
          <w:lang w:val="en-US"/>
        </w:rPr>
        <w:t>may be</w:t>
      </w:r>
      <w:r w:rsidR="005C6F58" w:rsidRPr="0012482C">
        <w:rPr>
          <w:sz w:val="20"/>
          <w:lang w:val="en-US"/>
        </w:rPr>
        <w:t xml:space="preserve"> submitted in writing with the Secretary’s office</w:t>
      </w:r>
      <w:r w:rsidR="00E20C39" w:rsidRPr="0012482C">
        <w:rPr>
          <w:sz w:val="20"/>
          <w:lang w:val="en-US"/>
        </w:rPr>
        <w:t xml:space="preserve"> or electronically through the Licensing and Management System (LMS), </w:t>
      </w:r>
      <w:hyperlink r:id="rId1" w:history="1">
        <w:r w:rsidR="00E20C39" w:rsidRPr="0012482C">
          <w:rPr>
            <w:rStyle w:val="Hyperlink"/>
            <w:sz w:val="20"/>
            <w:lang w:val="en-US"/>
          </w:rPr>
          <w:t>https://enterpriseefiling.fcc.gov/dataentry/login.html</w:t>
        </w:r>
      </w:hyperlink>
      <w:r w:rsidR="00E20C39" w:rsidRPr="0012482C">
        <w:rPr>
          <w:sz w:val="20"/>
          <w:lang w:val="en-US"/>
        </w:rPr>
        <w:t>.  T</w:t>
      </w:r>
      <w:r w:rsidR="005C6F58" w:rsidRPr="0012482C">
        <w:rPr>
          <w:sz w:val="20"/>
          <w:lang w:val="en-US"/>
        </w:rPr>
        <w:t>o expedite the processing of these requests, stations should also email a copy to Shaun Maher of the Video Division</w:t>
      </w:r>
      <w:r w:rsidR="00E20C39" w:rsidRPr="0012482C">
        <w:rPr>
          <w:sz w:val="20"/>
          <w:lang w:val="en-US"/>
        </w:rPr>
        <w:t>, Media Bureau</w:t>
      </w:r>
      <w:r w:rsidR="005C6F58" w:rsidRPr="0012482C">
        <w:rPr>
          <w:sz w:val="20"/>
          <w:lang w:val="en-US"/>
        </w:rPr>
        <w:t xml:space="preserve"> at </w:t>
      </w:r>
      <w:hyperlink r:id="rId2" w:history="1">
        <w:r w:rsidR="005C6F58" w:rsidRPr="0012482C">
          <w:rPr>
            <w:rStyle w:val="Hyperlink"/>
            <w:sz w:val="20"/>
            <w:lang w:val="en-US"/>
          </w:rPr>
          <w:t>Shaun.Maher@fcc.gov</w:t>
        </w:r>
      </w:hyperlink>
      <w:r w:rsidR="005C6F58" w:rsidRPr="0012482C">
        <w:rPr>
          <w:sz w:val="20"/>
          <w:lang w:val="en-US"/>
        </w:rPr>
        <w:t xml:space="preserve">. </w:t>
      </w:r>
    </w:p>
  </w:footnote>
  <w:footnote w:id="9">
    <w:p w:rsidR="0073695B" w:rsidRPr="0012482C" w:rsidRDefault="0073695B" w:rsidP="001D4E8C">
      <w:pPr>
        <w:pStyle w:val="FootnoteText"/>
        <w:spacing w:after="120"/>
        <w:rPr>
          <w:sz w:val="20"/>
          <w:lang w:val="en-US"/>
        </w:rPr>
      </w:pPr>
      <w:r w:rsidRPr="0012482C">
        <w:rPr>
          <w:rStyle w:val="FootnoteReference"/>
          <w:sz w:val="20"/>
        </w:rPr>
        <w:footnoteRef/>
      </w:r>
      <w:r w:rsidRPr="0012482C">
        <w:rPr>
          <w:sz w:val="20"/>
        </w:rPr>
        <w:t xml:space="preserve"> </w:t>
      </w:r>
      <w:r w:rsidRPr="0012482C">
        <w:rPr>
          <w:i/>
          <w:sz w:val="20"/>
          <w:lang w:val="en-US"/>
        </w:rPr>
        <w:t>LPTV DTV Second Report and Order</w:t>
      </w:r>
      <w:r w:rsidRPr="0012482C">
        <w:rPr>
          <w:sz w:val="20"/>
          <w:lang w:val="en-US"/>
        </w:rPr>
        <w:t>, 26 FCC Rcd at 10756, para. 49.</w:t>
      </w:r>
    </w:p>
  </w:footnote>
  <w:footnote w:id="10">
    <w:p w:rsidR="0073695B" w:rsidRPr="0073695B" w:rsidRDefault="0073695B" w:rsidP="001D4E8C">
      <w:pPr>
        <w:pStyle w:val="FootnoteText"/>
        <w:spacing w:after="120"/>
        <w:rPr>
          <w:i/>
          <w:lang w:val="en-US"/>
        </w:rPr>
      </w:pPr>
      <w:r w:rsidRPr="0012482C">
        <w:rPr>
          <w:rStyle w:val="FootnoteReference"/>
          <w:sz w:val="20"/>
        </w:rPr>
        <w:footnoteRef/>
      </w:r>
      <w:r w:rsidRPr="0012482C">
        <w:rPr>
          <w:sz w:val="20"/>
        </w:rPr>
        <w:t xml:space="preserve"> </w:t>
      </w:r>
      <w:r w:rsidRPr="0012482C">
        <w:rPr>
          <w:i/>
          <w:sz w:val="20"/>
          <w:lang w:val="en-US"/>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03" w:rsidRDefault="00F02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03" w:rsidRDefault="00F02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3C" w:rsidRDefault="005E22E2" w:rsidP="00742606">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5680" behindDoc="0" locked="0" layoutInCell="0" allowOverlap="1" wp14:anchorId="7F53E2DF" wp14:editId="50338AE8">
              <wp:simplePos x="0" y="0"/>
              <wp:positionH relativeFrom="column">
                <wp:posOffset>-55457</wp:posOffset>
              </wp:positionH>
              <wp:positionV relativeFrom="paragraph">
                <wp:posOffset>739140</wp:posOffset>
              </wp:positionV>
              <wp:extent cx="2770505"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C3C" w:rsidRDefault="00A04C3C">
                          <w:pPr>
                            <w:rPr>
                              <w:rFonts w:ascii="Arial" w:hAnsi="Arial"/>
                              <w:b/>
                            </w:rPr>
                          </w:pPr>
                          <w:r>
                            <w:rPr>
                              <w:rFonts w:ascii="Arial" w:hAnsi="Arial"/>
                              <w:b/>
                            </w:rPr>
                            <w:t>Federal Communications Commission</w:t>
                          </w:r>
                        </w:p>
                        <w:p w:rsidR="00A04C3C" w:rsidRDefault="00A04C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04C3C" w:rsidRDefault="00A04C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53E2DF" id="_x0000_t202" coordsize="21600,21600" o:spt="202" path="m,l,21600r21600,l21600,xe">
              <v:stroke joinstyle="miter"/>
              <v:path gradientshapeok="t" o:connecttype="rect"/>
            </v:shapetype>
            <v:shape id="Text Box 1" o:spid="_x0000_s1026" type="#_x0000_t202" style="position:absolute;margin-left:-4.35pt;margin-top:58.2pt;width:218.15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" o:allowincell="f" stroked="f">
              <v:textbox>
                <w:txbxContent>
                  <w:p w:rsidR="00A04C3C" w:rsidRDefault="00A04C3C">
                    <w:pPr>
                      <w:rPr>
                        <w:rFonts w:ascii="Arial" w:hAnsi="Arial"/>
                        <w:b/>
                      </w:rPr>
                    </w:pPr>
                    <w:r>
                      <w:rPr>
                        <w:rFonts w:ascii="Arial" w:hAnsi="Arial"/>
                        <w:b/>
                      </w:rPr>
                      <w:t>Federal Communications Commission</w:t>
                    </w:r>
                  </w:p>
                  <w:p w:rsidR="00A04C3C" w:rsidRDefault="00A04C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04C3C" w:rsidRDefault="00A04C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6704" behindDoc="0" locked="0" layoutInCell="0" allowOverlap="1" wp14:anchorId="3E4C4BB0" wp14:editId="10008751">
          <wp:simplePos x="0" y="0"/>
          <wp:positionH relativeFrom="column">
            <wp:posOffset>-663575</wp:posOffset>
          </wp:positionH>
          <wp:positionV relativeFrom="paragraph">
            <wp:posOffset>116417</wp:posOffset>
          </wp:positionV>
          <wp:extent cx="530225" cy="530225"/>
          <wp:effectExtent l="0" t="0" r="3175" b="3175"/>
          <wp:wrapTopAndBottom/>
          <wp:docPr id="4"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3C">
      <w:rPr>
        <w:rFonts w:ascii="News Gothic MT" w:hAnsi="News Gothic MT"/>
        <w:b/>
        <w:kern w:val="28"/>
        <w:sz w:val="96"/>
      </w:rPr>
      <w:t>PUBLIC NOTICE</w:t>
    </w:r>
  </w:p>
  <w:p w:rsidR="00A04C3C" w:rsidRDefault="0074260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752" behindDoc="0" locked="0" layoutInCell="0" allowOverlap="1" wp14:anchorId="22BD3707" wp14:editId="4FF4CA4E">
              <wp:simplePos x="0" y="0"/>
              <wp:positionH relativeFrom="column">
                <wp:posOffset>3776980</wp:posOffset>
              </wp:positionH>
              <wp:positionV relativeFrom="paragraph">
                <wp:posOffset>62865</wp:posOffset>
              </wp:positionV>
              <wp:extent cx="220916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C3C" w:rsidRDefault="00A04C3C">
                          <w:pPr>
                            <w:spacing w:before="40"/>
                            <w:jc w:val="right"/>
                            <w:rPr>
                              <w:rFonts w:ascii="Arial" w:hAnsi="Arial"/>
                              <w:b/>
                              <w:sz w:val="16"/>
                            </w:rPr>
                          </w:pPr>
                          <w:r>
                            <w:rPr>
                              <w:rFonts w:ascii="Arial" w:hAnsi="Arial"/>
                              <w:b/>
                              <w:sz w:val="16"/>
                            </w:rPr>
                            <w:t>News Media Information 202 / 418-0500</w:t>
                          </w:r>
                        </w:p>
                        <w:p w:rsidR="00A04C3C" w:rsidRDefault="00A04C3C">
                          <w:pPr>
                            <w:jc w:val="right"/>
                            <w:rPr>
                              <w:rFonts w:ascii="Arial" w:hAnsi="Arial"/>
                              <w:b/>
                              <w:sz w:val="16"/>
                            </w:rPr>
                          </w:pPr>
                          <w:r>
                            <w:rPr>
                              <w:rFonts w:ascii="Arial" w:hAnsi="Arial"/>
                              <w:b/>
                              <w:sz w:val="16"/>
                            </w:rPr>
                            <w:tab/>
                            <w:t>Internet: http://www.fcc.gov</w:t>
                          </w:r>
                        </w:p>
                        <w:p w:rsidR="00A04C3C" w:rsidRDefault="00A04C3C" w:rsidP="00D107F4">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D3707" id="Text Box 4" o:spid="_x0000_s1027" type="#_x0000_t202" style="position:absolute;left:0;text-align:left;margin-left:297.4pt;margin-top:4.95pt;width:173.95pt;height: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" o:allowincell="f" stroked="f">
              <v:textbox inset=",0,,0">
                <w:txbxContent>
                  <w:p w:rsidR="00A04C3C" w:rsidRDefault="00A04C3C">
                    <w:pPr>
                      <w:spacing w:before="40"/>
                      <w:jc w:val="right"/>
                      <w:rPr>
                        <w:rFonts w:ascii="Arial" w:hAnsi="Arial"/>
                        <w:b/>
                        <w:sz w:val="16"/>
                      </w:rPr>
                    </w:pPr>
                    <w:r>
                      <w:rPr>
                        <w:rFonts w:ascii="Arial" w:hAnsi="Arial"/>
                        <w:b/>
                        <w:sz w:val="16"/>
                      </w:rPr>
                      <w:t>News Media Information 202 / 418-0500</w:t>
                    </w:r>
                  </w:p>
                  <w:p w:rsidR="00A04C3C" w:rsidRDefault="00A04C3C">
                    <w:pPr>
                      <w:jc w:val="right"/>
                      <w:rPr>
                        <w:rFonts w:ascii="Arial" w:hAnsi="Arial"/>
                        <w:b/>
                        <w:sz w:val="16"/>
                      </w:rPr>
                    </w:pPr>
                    <w:r>
                      <w:rPr>
                        <w:rFonts w:ascii="Arial" w:hAnsi="Arial"/>
                        <w:b/>
                        <w:sz w:val="16"/>
                      </w:rPr>
                      <w:tab/>
                      <w:t>Internet: http://www.fcc.gov</w:t>
                    </w:r>
                  </w:p>
                  <w:p w:rsidR="00A04C3C" w:rsidRDefault="00A04C3C" w:rsidP="00D107F4">
                    <w:pPr>
                      <w:jc w:val="right"/>
                    </w:pPr>
                    <w:r>
                      <w:rPr>
                        <w:rFonts w:ascii="Arial" w:hAnsi="Arial"/>
                        <w:b/>
                        <w:sz w:val="16"/>
                      </w:rPr>
                      <w:t>TTY: 1-888-835-5322</w:t>
                    </w:r>
                  </w:p>
                </w:txbxContent>
              </v:textbox>
            </v:shape>
          </w:pict>
        </mc:Fallback>
      </mc:AlternateContent>
    </w:r>
    <w:r>
      <w:rPr>
        <w:rFonts w:ascii="Arial" w:hAnsi="Arial"/>
        <w:b/>
        <w:noProof/>
      </w:rPr>
      <mc:AlternateContent>
        <mc:Choice Requires="wps">
          <w:drawing>
            <wp:anchor distT="0" distB="0" distL="114300" distR="114300" simplePos="0" relativeHeight="251657728" behindDoc="0" locked="0" layoutInCell="0" allowOverlap="1" wp14:anchorId="7D01E61A" wp14:editId="4CE5767F">
              <wp:simplePos x="0" y="0"/>
              <wp:positionH relativeFrom="column">
                <wp:posOffset>0</wp:posOffset>
              </wp:positionH>
              <wp:positionV relativeFrom="paragraph">
                <wp:posOffset>697865</wp:posOffset>
              </wp:positionV>
              <wp:extent cx="592645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B6DC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6.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rN8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" o:allowincell="f"/>
          </w:pict>
        </mc:Fallback>
      </mc:AlternateContent>
    </w:r>
  </w:p>
  <w:p w:rsidR="00A04C3C" w:rsidRDefault="00A04C3C" w:rsidP="005E22E2">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601A501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C5B5BC3"/>
    <w:multiLevelType w:val="hybridMultilevel"/>
    <w:tmpl w:val="2CEA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D180CED0"/>
    <w:lvl w:ilvl="0">
      <w:start w:val="1"/>
      <w:numFmt w:val="decimal"/>
      <w:pStyle w:val="ParaNum0"/>
      <w:lvlText w:val="%1."/>
      <w:lvlJc w:val="left"/>
      <w:pPr>
        <w:tabs>
          <w:tab w:val="num" w:pos="1170"/>
        </w:tabs>
        <w:ind w:left="90" w:firstLine="720"/>
      </w:pPr>
    </w:lvl>
  </w:abstractNum>
  <w:abstractNum w:abstractNumId="9">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num w:numId="1">
    <w:abstractNumId w:val="5"/>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F"/>
    <w:rsid w:val="00044380"/>
    <w:rsid w:val="000562F4"/>
    <w:rsid w:val="000B2A25"/>
    <w:rsid w:val="000F4B21"/>
    <w:rsid w:val="00105D2A"/>
    <w:rsid w:val="0012482C"/>
    <w:rsid w:val="001B01A4"/>
    <w:rsid w:val="001D4E8C"/>
    <w:rsid w:val="003A7C2D"/>
    <w:rsid w:val="004E4D4F"/>
    <w:rsid w:val="00584BF9"/>
    <w:rsid w:val="00591157"/>
    <w:rsid w:val="005B0F98"/>
    <w:rsid w:val="005C6F58"/>
    <w:rsid w:val="005E22E2"/>
    <w:rsid w:val="00631217"/>
    <w:rsid w:val="00642733"/>
    <w:rsid w:val="00680253"/>
    <w:rsid w:val="0073695B"/>
    <w:rsid w:val="00742606"/>
    <w:rsid w:val="007A597D"/>
    <w:rsid w:val="007B2621"/>
    <w:rsid w:val="00A04C3C"/>
    <w:rsid w:val="00AA7724"/>
    <w:rsid w:val="00BF4B66"/>
    <w:rsid w:val="00C40DDB"/>
    <w:rsid w:val="00C9695D"/>
    <w:rsid w:val="00D107F4"/>
    <w:rsid w:val="00DB6D17"/>
    <w:rsid w:val="00E20C39"/>
    <w:rsid w:val="00E362F4"/>
    <w:rsid w:val="00EA654D"/>
    <w:rsid w:val="00EB0913"/>
    <w:rsid w:val="00F0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basedOn w:val="Normal"/>
    <w:link w:val="FootnoteTextChar3"/>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link w:val="ParaNumChar"/>
    <w:qFormat/>
    <w:pPr>
      <w:widowControl w:val="0"/>
      <w:numPr>
        <w:numId w:val="13"/>
      </w:numPr>
      <w:tabs>
        <w:tab w:val="num" w:pos="1440"/>
      </w:tabs>
      <w:spacing w:after="120"/>
    </w:pPr>
    <w:rPr>
      <w:snapToGrid w:val="0"/>
      <w:kern w:val="28"/>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rPr>
      <w:sz w:val="22"/>
    </w:rPr>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
    <w:locked/>
    <w:rPr>
      <w:rFonts w:cs="Times New Roman"/>
      <w:sz w:val="24"/>
    </w:rPr>
  </w:style>
  <w:style w:type="character" w:customStyle="1" w:styleId="FooterChar">
    <w:name w:val="Footer Char"/>
    <w:link w:val="Footer"/>
    <w:uiPriority w:val="99"/>
    <w:rsid w:val="00D107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basedOn w:val="Normal"/>
    <w:link w:val="FootnoteTextChar3"/>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link w:val="ParaNumChar"/>
    <w:qFormat/>
    <w:pPr>
      <w:widowControl w:val="0"/>
      <w:numPr>
        <w:numId w:val="13"/>
      </w:numPr>
      <w:tabs>
        <w:tab w:val="num" w:pos="1440"/>
      </w:tabs>
      <w:spacing w:after="120"/>
    </w:pPr>
    <w:rPr>
      <w:snapToGrid w:val="0"/>
      <w:kern w:val="28"/>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rPr>
      <w:sz w:val="22"/>
    </w:rPr>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
    <w:locked/>
    <w:rPr>
      <w:rFonts w:cs="Times New Roman"/>
      <w:sz w:val="24"/>
    </w:rPr>
  </w:style>
  <w:style w:type="character" w:customStyle="1" w:styleId="FooterChar">
    <w:name w:val="Footer Char"/>
    <w:link w:val="Footer"/>
    <w:uiPriority w:val="99"/>
    <w:rsid w:val="00D107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haun.Maher@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haun.Maher@fcc.gov" TargetMode="External"/><Relationship Id="rId1" Type="http://schemas.openxmlformats.org/officeDocument/2006/relationships/hyperlink" Target="https://enterpriseefiling.fcc.gov/dataentry/logi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1879</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2228</CharactersWithSpaces>
  <SharedDoc>false</SharedDoc>
  <HyperlinkBase> </HyperlinkBase>
  <HLinks>
    <vt:vector size="18" baseType="variant">
      <vt:variant>
        <vt:i4>8192031</vt:i4>
      </vt:variant>
      <vt:variant>
        <vt:i4>0</vt:i4>
      </vt:variant>
      <vt:variant>
        <vt:i4>0</vt:i4>
      </vt:variant>
      <vt:variant>
        <vt:i4>5</vt:i4>
      </vt:variant>
      <vt:variant>
        <vt:lpwstr>mailto:Shaun.Maher@fcc.gov</vt:lpwstr>
      </vt:variant>
      <vt:variant>
        <vt:lpwstr/>
      </vt:variant>
      <vt:variant>
        <vt:i4>8192031</vt:i4>
      </vt:variant>
      <vt:variant>
        <vt:i4>3</vt:i4>
      </vt:variant>
      <vt:variant>
        <vt:i4>0</vt:i4>
      </vt:variant>
      <vt:variant>
        <vt:i4>5</vt:i4>
      </vt:variant>
      <vt:variant>
        <vt:lpwstr>mailto:Shaun.Maher@fcc.gov</vt:lpwstr>
      </vt:variant>
      <vt:variant>
        <vt:lpwstr/>
      </vt:variant>
      <vt:variant>
        <vt:i4>2228268</vt:i4>
      </vt:variant>
      <vt:variant>
        <vt:i4>0</vt:i4>
      </vt:variant>
      <vt:variant>
        <vt:i4>0</vt:i4>
      </vt:variant>
      <vt:variant>
        <vt:i4>5</vt:i4>
      </vt:variant>
      <vt:variant>
        <vt:lpwstr>https://enterpriseefiling.fcc.gov/dataentry/login.html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2014-09-22T15:55:00Z</cp:lastPrinted>
  <dcterms:created xsi:type="dcterms:W3CDTF">2015-08-25T16:56:00Z</dcterms:created>
  <dcterms:modified xsi:type="dcterms:W3CDTF">2015-08-25T16:56:00Z</dcterms:modified>
  <cp:category> </cp:category>
  <cp:contentStatus> </cp:contentStatus>
</cp:coreProperties>
</file>