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4" w:rsidRDefault="00C519D4">
      <w:pPr>
        <w:widowControl/>
        <w:rPr>
          <w:color w:val="000000"/>
          <w:sz w:val="23"/>
        </w:rPr>
        <w:sectPr w:rsidR="00C5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962B06" w:rsidRPr="00962B06" w:rsidRDefault="00962B06" w:rsidP="00962B06">
      <w:pPr>
        <w:widowControl/>
        <w:suppressAutoHyphens/>
        <w:jc w:val="right"/>
        <w:rPr>
          <w:b/>
          <w:color w:val="000000"/>
        </w:rPr>
      </w:pPr>
      <w:r w:rsidRPr="00962B06">
        <w:rPr>
          <w:b/>
          <w:color w:val="000000"/>
        </w:rPr>
        <w:lastRenderedPageBreak/>
        <w:t>DA 1</w:t>
      </w:r>
      <w:r w:rsidR="00A03AFB">
        <w:rPr>
          <w:b/>
          <w:color w:val="000000"/>
        </w:rPr>
        <w:t>5</w:t>
      </w:r>
      <w:r w:rsidRPr="00962B06">
        <w:rPr>
          <w:b/>
          <w:color w:val="000000"/>
        </w:rPr>
        <w:t>-</w:t>
      </w:r>
      <w:r w:rsidR="00766E9D">
        <w:rPr>
          <w:b/>
          <w:color w:val="000000"/>
        </w:rPr>
        <w:t>965</w:t>
      </w:r>
    </w:p>
    <w:p w:rsidR="00962B06" w:rsidRPr="00962B06" w:rsidRDefault="00962B06" w:rsidP="00962B06">
      <w:pPr>
        <w:widowControl/>
        <w:suppressAutoHyphens/>
        <w:spacing w:after="240"/>
        <w:jc w:val="right"/>
        <w:rPr>
          <w:b/>
          <w:color w:val="000000"/>
        </w:rPr>
      </w:pPr>
      <w:r w:rsidRPr="00962B06">
        <w:rPr>
          <w:b/>
          <w:color w:val="000000"/>
        </w:rPr>
        <w:t xml:space="preserve">Released:  </w:t>
      </w:r>
      <w:r w:rsidR="008B1ED5">
        <w:rPr>
          <w:b/>
          <w:color w:val="000000"/>
        </w:rPr>
        <w:t>August 26</w:t>
      </w:r>
      <w:r w:rsidRPr="00962B06">
        <w:rPr>
          <w:b/>
          <w:color w:val="000000"/>
        </w:rPr>
        <w:t>, 201</w:t>
      </w:r>
      <w:r w:rsidR="00A03AFB">
        <w:rPr>
          <w:b/>
          <w:color w:val="000000"/>
        </w:rPr>
        <w:t>5</w:t>
      </w:r>
    </w:p>
    <w:p w:rsidR="00962B06" w:rsidRPr="00962B06" w:rsidRDefault="00962B06" w:rsidP="00962B06">
      <w:pPr>
        <w:widowControl/>
        <w:suppressAutoHyphens/>
        <w:jc w:val="center"/>
        <w:rPr>
          <w:b/>
          <w:szCs w:val="22"/>
        </w:rPr>
      </w:pPr>
      <w:r w:rsidRPr="00962B06">
        <w:rPr>
          <w:b/>
          <w:szCs w:val="22"/>
        </w:rPr>
        <w:t xml:space="preserve">DOMESTIC SECTION 214 APPLICATION GRANTED FOR THE TRANSFER OF CONTROL OF </w:t>
      </w:r>
      <w:r w:rsidR="007B0B83">
        <w:rPr>
          <w:b/>
          <w:szCs w:val="22"/>
        </w:rPr>
        <w:t xml:space="preserve">FREEDOM RING COMMUNICATIONS, LLC D/B/A BAYRING COMMUNICATIONS TO OXFORD COUNTY TELEPHONE &amp; TELEGRAPH COMPANY </w:t>
      </w:r>
    </w:p>
    <w:p w:rsidR="00962B06" w:rsidRPr="00962B06" w:rsidRDefault="00962B06" w:rsidP="00962B06">
      <w:pPr>
        <w:widowControl/>
        <w:suppressAutoHyphens/>
        <w:jc w:val="center"/>
        <w:rPr>
          <w:b/>
          <w:color w:val="000000"/>
          <w:szCs w:val="22"/>
        </w:rPr>
      </w:pPr>
    </w:p>
    <w:p w:rsidR="00962B06" w:rsidRPr="00962B06" w:rsidRDefault="00962B06" w:rsidP="00962B06">
      <w:pPr>
        <w:widowControl/>
        <w:suppressAutoHyphens/>
        <w:spacing w:after="240"/>
        <w:jc w:val="center"/>
        <w:rPr>
          <w:b/>
          <w:color w:val="000000"/>
          <w:szCs w:val="22"/>
        </w:rPr>
      </w:pPr>
      <w:r w:rsidRPr="00962B06">
        <w:rPr>
          <w:b/>
          <w:color w:val="000000"/>
          <w:szCs w:val="22"/>
        </w:rPr>
        <w:t>WC Docket No. 1</w:t>
      </w:r>
      <w:r w:rsidR="007B0B83">
        <w:rPr>
          <w:b/>
          <w:color w:val="000000"/>
          <w:szCs w:val="22"/>
        </w:rPr>
        <w:t>5-133</w:t>
      </w:r>
    </w:p>
    <w:p w:rsidR="00962B06" w:rsidRPr="00962B06" w:rsidRDefault="00245958" w:rsidP="006539D4">
      <w:pPr>
        <w:widowControl/>
        <w:autoSpaceDE w:val="0"/>
        <w:autoSpaceDN w:val="0"/>
        <w:adjustRightInd w:val="0"/>
        <w:ind w:firstLine="720"/>
        <w:jc w:val="left"/>
        <w:rPr>
          <w:snapToGrid/>
          <w:kern w:val="0"/>
          <w:szCs w:val="22"/>
        </w:rPr>
      </w:pPr>
      <w:r>
        <w:rPr>
          <w:snapToGrid/>
          <w:color w:val="231F20"/>
          <w:kern w:val="0"/>
          <w:szCs w:val="22"/>
        </w:rPr>
        <w:t xml:space="preserve">One June </w:t>
      </w:r>
      <w:r w:rsidR="007B0B83" w:rsidRPr="007B0B83">
        <w:rPr>
          <w:snapToGrid/>
          <w:color w:val="231F20"/>
          <w:kern w:val="0"/>
          <w:szCs w:val="22"/>
        </w:rPr>
        <w:t>5, 2015, Utel, Inc. (Utel) and Oxford County Telephone &amp; Telegraph Company (Oxford)</w:t>
      </w:r>
      <w:r w:rsidR="007B0B83" w:rsidRPr="007B0B83">
        <w:rPr>
          <w:snapToGrid/>
          <w:kern w:val="0"/>
          <w:szCs w:val="22"/>
        </w:rPr>
        <w:t xml:space="preserve"> (together, Applicants) filed an application pursuant to section 214 of the Communications Act of 1934, as amended (Act), seeking approval to transfer control of </w:t>
      </w:r>
      <w:r w:rsidR="007B0B83" w:rsidRPr="007B0B83">
        <w:rPr>
          <w:snapToGrid/>
          <w:color w:val="231F20"/>
          <w:kern w:val="0"/>
          <w:szCs w:val="22"/>
        </w:rPr>
        <w:t>Freedom Ring Communications, LLC d/b/a BayRing Communications (BayRing) from Utel to Oxford</w:t>
      </w:r>
      <w:r w:rsidR="007B0B83">
        <w:rPr>
          <w:snapToGrid/>
          <w:color w:val="231F20"/>
          <w:kern w:val="0"/>
          <w:szCs w:val="22"/>
        </w:rPr>
        <w:t>.</w:t>
      </w:r>
      <w:r w:rsidR="007B0B83" w:rsidRPr="007B0B83">
        <w:rPr>
          <w:snapToGrid/>
          <w:kern w:val="0"/>
          <w:szCs w:val="22"/>
          <w:vertAlign w:val="superscript"/>
        </w:rPr>
        <w:t xml:space="preserve"> </w:t>
      </w:r>
      <w:r w:rsidR="007B0B83" w:rsidRPr="007B0B83">
        <w:rPr>
          <w:snapToGrid/>
          <w:kern w:val="0"/>
          <w:szCs w:val="22"/>
          <w:vertAlign w:val="superscript"/>
        </w:rPr>
        <w:footnoteReference w:id="1"/>
      </w:r>
      <w:r w:rsidR="007B0B83" w:rsidRPr="007B0B83">
        <w:rPr>
          <w:snapToGrid/>
          <w:kern w:val="0"/>
          <w:szCs w:val="22"/>
        </w:rPr>
        <w:t xml:space="preserve"> </w:t>
      </w:r>
      <w:r w:rsidR="007B0B83">
        <w:rPr>
          <w:snapToGrid/>
          <w:color w:val="231F20"/>
          <w:kern w:val="0"/>
          <w:szCs w:val="22"/>
        </w:rPr>
        <w:t xml:space="preserve"> </w:t>
      </w:r>
      <w:r w:rsidR="006539D4">
        <w:rPr>
          <w:snapToGrid/>
          <w:kern w:val="0"/>
          <w:szCs w:val="22"/>
        </w:rPr>
        <w:t xml:space="preserve">  </w:t>
      </w:r>
      <w:r w:rsidR="00962B06" w:rsidRPr="00962B06">
        <w:rPr>
          <w:szCs w:val="22"/>
        </w:rPr>
        <w:t xml:space="preserve">  </w:t>
      </w:r>
    </w:p>
    <w:p w:rsidR="00962B06" w:rsidRPr="00962B06" w:rsidRDefault="00962B06" w:rsidP="00962B06">
      <w:pPr>
        <w:ind w:firstLine="720"/>
        <w:rPr>
          <w:szCs w:val="22"/>
        </w:rPr>
      </w:pPr>
    </w:p>
    <w:p w:rsidR="00962B06" w:rsidRPr="00962B06" w:rsidRDefault="00962B06" w:rsidP="006539D4">
      <w:pPr>
        <w:ind w:firstLine="720"/>
        <w:jc w:val="left"/>
        <w:rPr>
          <w:snapToGrid/>
          <w:kern w:val="0"/>
        </w:rPr>
      </w:pPr>
      <w:r w:rsidRPr="00962B06">
        <w:rPr>
          <w:szCs w:val="22"/>
        </w:rPr>
        <w:t xml:space="preserve">On </w:t>
      </w:r>
      <w:r w:rsidR="003262F8">
        <w:rPr>
          <w:szCs w:val="22"/>
        </w:rPr>
        <w:t>June 16, 2015</w:t>
      </w:r>
      <w:r w:rsidRPr="00962B06">
        <w:rPr>
          <w:szCs w:val="22"/>
        </w:rPr>
        <w:t>, the Wireline Competition Bureau (Bureau) released a Public Notice requesting comment on th</w:t>
      </w:r>
      <w:r w:rsidR="00811BE9">
        <w:rPr>
          <w:szCs w:val="22"/>
        </w:rPr>
        <w:t>e Application</w:t>
      </w:r>
      <w:r w:rsidRPr="00962B06">
        <w:rPr>
          <w:szCs w:val="22"/>
        </w:rPr>
        <w:t>.</w:t>
      </w:r>
      <w:r w:rsidRPr="00962B06">
        <w:rPr>
          <w:szCs w:val="22"/>
          <w:vertAlign w:val="superscript"/>
        </w:rPr>
        <w:footnoteReference w:id="2"/>
      </w:r>
      <w:r w:rsidRPr="00962B06">
        <w:rPr>
          <w:szCs w:val="22"/>
        </w:rPr>
        <w:t xml:space="preserve">  </w:t>
      </w:r>
      <w:r w:rsidR="003262F8">
        <w:t>On June 22, 2015, the Department of Justice</w:t>
      </w:r>
      <w:r w:rsidR="00BF72C0">
        <w:t xml:space="preserve"> (DOJ)</w:t>
      </w:r>
      <w:r w:rsidR="003262F8">
        <w:t>, including the Federal Bureau of Investigation, with the concurrence of the U.S. Department of Homeland Security and the U.S. Department of Defense (collectively, the Executive Branch Agencies), filed a letter requesting that the Commission defer action on this proceeding while they completed their review of any national security, law enforcement, and public safety issues.</w:t>
      </w:r>
      <w:r w:rsidR="003262F8">
        <w:rPr>
          <w:rStyle w:val="FootnoteReference"/>
        </w:rPr>
        <w:footnoteReference w:id="3"/>
      </w:r>
      <w:r w:rsidR="003262F8">
        <w:t xml:space="preserve">  </w:t>
      </w:r>
      <w:r w:rsidRPr="00962B06">
        <w:rPr>
          <w:color w:val="000000"/>
          <w:szCs w:val="22"/>
        </w:rPr>
        <w:t xml:space="preserve">We deferred action on the application in response to the </w:t>
      </w:r>
      <w:r w:rsidRPr="00962B06">
        <w:rPr>
          <w:color w:val="000000"/>
          <w:szCs w:val="22"/>
        </w:rPr>
        <w:lastRenderedPageBreak/>
        <w:t>Executive Branch Agencies’ request.</w:t>
      </w:r>
      <w:r w:rsidRPr="00962B06">
        <w:rPr>
          <w:szCs w:val="22"/>
          <w:vertAlign w:val="superscript"/>
        </w:rPr>
        <w:footnoteReference w:id="4"/>
      </w:r>
      <w:r w:rsidRPr="00962B06">
        <w:rPr>
          <w:snapToGrid/>
          <w:kern w:val="0"/>
          <w:szCs w:val="22"/>
        </w:rPr>
        <w:t xml:space="preserve">   </w:t>
      </w:r>
    </w:p>
    <w:p w:rsidR="00962B06" w:rsidRPr="00962B06" w:rsidRDefault="00962B06" w:rsidP="00962B06">
      <w:pPr>
        <w:ind w:firstLine="720"/>
        <w:jc w:val="left"/>
        <w:rPr>
          <w:color w:val="000000"/>
          <w:szCs w:val="22"/>
        </w:rPr>
      </w:pPr>
    </w:p>
    <w:p w:rsidR="00962B06" w:rsidRPr="00193AC3" w:rsidRDefault="00962B06" w:rsidP="00962B06">
      <w:pPr>
        <w:ind w:firstLine="720"/>
        <w:jc w:val="left"/>
        <w:rPr>
          <w:color w:val="000000"/>
          <w:szCs w:val="22"/>
        </w:rPr>
      </w:pPr>
      <w:r w:rsidRPr="00193AC3">
        <w:rPr>
          <w:szCs w:val="22"/>
        </w:rPr>
        <w:t xml:space="preserve">On </w:t>
      </w:r>
      <w:r w:rsidR="003262F8">
        <w:rPr>
          <w:szCs w:val="22"/>
        </w:rPr>
        <w:t>August 25,</w:t>
      </w:r>
      <w:r w:rsidRPr="00193AC3">
        <w:rPr>
          <w:szCs w:val="22"/>
        </w:rPr>
        <w:t xml:space="preserve"> 201</w:t>
      </w:r>
      <w:r w:rsidR="00274BFF" w:rsidRPr="00193AC3">
        <w:rPr>
          <w:szCs w:val="22"/>
        </w:rPr>
        <w:t>5</w:t>
      </w:r>
      <w:r w:rsidRPr="00193AC3">
        <w:rPr>
          <w:szCs w:val="22"/>
        </w:rPr>
        <w:t xml:space="preserve">, </w:t>
      </w:r>
      <w:r w:rsidR="00274BFF" w:rsidRPr="00193AC3">
        <w:rPr>
          <w:szCs w:val="22"/>
        </w:rPr>
        <w:t xml:space="preserve">the </w:t>
      </w:r>
      <w:r w:rsidR="003262F8">
        <w:rPr>
          <w:szCs w:val="22"/>
        </w:rPr>
        <w:t>Executive Branch Agencies</w:t>
      </w:r>
      <w:r w:rsidR="00A03AFB">
        <w:rPr>
          <w:szCs w:val="22"/>
        </w:rPr>
        <w:t xml:space="preserve"> </w:t>
      </w:r>
      <w:r w:rsidR="00274BFF" w:rsidRPr="00193AC3">
        <w:rPr>
          <w:szCs w:val="22"/>
        </w:rPr>
        <w:t xml:space="preserve">submitted </w:t>
      </w:r>
      <w:r w:rsidRPr="00193AC3">
        <w:rPr>
          <w:szCs w:val="22"/>
        </w:rPr>
        <w:t>a Petition to Adopt Conditions to Authorizations and Licenses (Petition).</w:t>
      </w:r>
      <w:r w:rsidRPr="00193AC3">
        <w:rPr>
          <w:szCs w:val="22"/>
          <w:vertAlign w:val="superscript"/>
        </w:rPr>
        <w:footnoteReference w:id="5"/>
      </w:r>
      <w:r w:rsidRPr="00193AC3">
        <w:rPr>
          <w:szCs w:val="22"/>
        </w:rPr>
        <w:t xml:space="preserve">  In the Petition, the </w:t>
      </w:r>
      <w:r w:rsidR="003262F8">
        <w:rPr>
          <w:szCs w:val="22"/>
        </w:rPr>
        <w:t>Executive Branch Agencies</w:t>
      </w:r>
      <w:r w:rsidR="00274BFF" w:rsidRPr="00193AC3">
        <w:rPr>
          <w:szCs w:val="22"/>
        </w:rPr>
        <w:t xml:space="preserve"> </w:t>
      </w:r>
      <w:r w:rsidRPr="00193AC3">
        <w:rPr>
          <w:szCs w:val="22"/>
        </w:rPr>
        <w:t>advise the Commission that</w:t>
      </w:r>
      <w:r w:rsidR="003262F8">
        <w:rPr>
          <w:szCs w:val="22"/>
        </w:rPr>
        <w:t xml:space="preserve"> they have no objection to the Commission </w:t>
      </w:r>
      <w:r w:rsidRPr="00193AC3">
        <w:rPr>
          <w:szCs w:val="22"/>
        </w:rPr>
        <w:t xml:space="preserve">granting its consent in this proceeding, provided the </w:t>
      </w:r>
      <w:r w:rsidRPr="00193AC3">
        <w:rPr>
          <w:color w:val="000000"/>
          <w:szCs w:val="22"/>
        </w:rPr>
        <w:t xml:space="preserve">Commission conditions its </w:t>
      </w:r>
      <w:r w:rsidR="00274BFF" w:rsidRPr="00193AC3">
        <w:rPr>
          <w:color w:val="000000"/>
          <w:szCs w:val="22"/>
        </w:rPr>
        <w:t xml:space="preserve">consent on the </w:t>
      </w:r>
      <w:r w:rsidR="003262F8">
        <w:rPr>
          <w:color w:val="000000"/>
          <w:szCs w:val="22"/>
        </w:rPr>
        <w:t>compliance by Oxford and its parent, Oxford Networks Holdings, Inc. (together, the Oxford Entities)</w:t>
      </w:r>
      <w:r w:rsidR="00BF72C0">
        <w:rPr>
          <w:color w:val="000000"/>
          <w:szCs w:val="22"/>
        </w:rPr>
        <w:t>,</w:t>
      </w:r>
      <w:r w:rsidR="003262F8">
        <w:rPr>
          <w:color w:val="000000"/>
          <w:szCs w:val="22"/>
        </w:rPr>
        <w:t xml:space="preserve"> with t</w:t>
      </w:r>
      <w:r w:rsidR="00193AC3" w:rsidRPr="00193AC3">
        <w:rPr>
          <w:color w:val="000000"/>
          <w:szCs w:val="22"/>
        </w:rPr>
        <w:t>he commitments and undertakings set forth in the April 2</w:t>
      </w:r>
      <w:r w:rsidR="003262F8">
        <w:rPr>
          <w:color w:val="000000"/>
          <w:szCs w:val="22"/>
        </w:rPr>
        <w:t>8</w:t>
      </w:r>
      <w:r w:rsidR="00193AC3" w:rsidRPr="00193AC3">
        <w:rPr>
          <w:color w:val="000000"/>
          <w:szCs w:val="22"/>
        </w:rPr>
        <w:t>, 201</w:t>
      </w:r>
      <w:r w:rsidR="003262F8">
        <w:rPr>
          <w:color w:val="000000"/>
          <w:szCs w:val="22"/>
        </w:rPr>
        <w:t>4</w:t>
      </w:r>
      <w:r w:rsidR="00193AC3" w:rsidRPr="00193AC3">
        <w:rPr>
          <w:color w:val="000000"/>
          <w:szCs w:val="22"/>
        </w:rPr>
        <w:t xml:space="preserve"> Letter of Agreement</w:t>
      </w:r>
      <w:r w:rsidR="00193AC3">
        <w:rPr>
          <w:color w:val="000000"/>
          <w:szCs w:val="22"/>
        </w:rPr>
        <w:t xml:space="preserve"> (</w:t>
      </w:r>
      <w:r w:rsidR="00BF72C0">
        <w:rPr>
          <w:color w:val="000000"/>
          <w:szCs w:val="22"/>
        </w:rPr>
        <w:t>Agreement)</w:t>
      </w:r>
      <w:r w:rsidR="00193AC3">
        <w:rPr>
          <w:color w:val="000000"/>
          <w:szCs w:val="22"/>
        </w:rPr>
        <w:t xml:space="preserve"> from </w:t>
      </w:r>
      <w:r w:rsidR="00B92219">
        <w:rPr>
          <w:color w:val="000000"/>
          <w:szCs w:val="22"/>
        </w:rPr>
        <w:t>the</w:t>
      </w:r>
      <w:r w:rsidR="008B1ED5">
        <w:rPr>
          <w:color w:val="000000"/>
          <w:szCs w:val="22"/>
        </w:rPr>
        <w:t xml:space="preserve"> Oxford Entities t</w:t>
      </w:r>
      <w:r w:rsidR="00193AC3" w:rsidRPr="00193AC3">
        <w:rPr>
          <w:color w:val="000000"/>
          <w:szCs w:val="22"/>
        </w:rPr>
        <w:t xml:space="preserve">o the </w:t>
      </w:r>
      <w:r w:rsidR="008B1ED5">
        <w:rPr>
          <w:color w:val="000000"/>
          <w:szCs w:val="22"/>
        </w:rPr>
        <w:t>DOJ</w:t>
      </w:r>
      <w:r w:rsidR="00A03AFB">
        <w:rPr>
          <w:color w:val="000000"/>
          <w:szCs w:val="22"/>
        </w:rPr>
        <w:t>.</w:t>
      </w:r>
      <w:r w:rsidR="00193AC3" w:rsidRPr="00193AC3">
        <w:rPr>
          <w:color w:val="000000"/>
          <w:szCs w:val="22"/>
        </w:rPr>
        <w:t xml:space="preserve"> </w:t>
      </w:r>
      <w:bookmarkStart w:id="1" w:name="SearchTerm"/>
      <w:r w:rsidRPr="00193AC3">
        <w:rPr>
          <w:szCs w:val="22"/>
          <w:vertAlign w:val="superscript"/>
        </w:rPr>
        <w:footnoteReference w:id="6"/>
      </w:r>
      <w:r w:rsidRPr="00193AC3">
        <w:rPr>
          <w:color w:val="000000"/>
          <w:szCs w:val="22"/>
        </w:rPr>
        <w:t xml:space="preserve">  </w:t>
      </w:r>
      <w:r w:rsidR="008B1ED5">
        <w:rPr>
          <w:color w:val="000000"/>
          <w:szCs w:val="22"/>
        </w:rPr>
        <w:t>DOJ</w:t>
      </w:r>
      <w:r w:rsidR="00193AC3" w:rsidRPr="00193AC3">
        <w:rPr>
          <w:color w:val="000000"/>
          <w:szCs w:val="22"/>
        </w:rPr>
        <w:t xml:space="preserve"> </w:t>
      </w:r>
      <w:r w:rsidRPr="00193AC3">
        <w:rPr>
          <w:color w:val="000000"/>
          <w:szCs w:val="22"/>
        </w:rPr>
        <w:t xml:space="preserve">filed the </w:t>
      </w:r>
      <w:bookmarkStart w:id="2" w:name="SR;381"/>
      <w:bookmarkEnd w:id="2"/>
      <w:r w:rsidRPr="00193AC3">
        <w:rPr>
          <w:color w:val="000000"/>
          <w:szCs w:val="22"/>
        </w:rPr>
        <w:t>Petition</w:t>
      </w:r>
      <w:r w:rsidR="00193AC3" w:rsidRPr="00193AC3">
        <w:rPr>
          <w:color w:val="000000"/>
          <w:szCs w:val="22"/>
        </w:rPr>
        <w:t xml:space="preserve"> and</w:t>
      </w:r>
      <w:r w:rsidRPr="00193AC3">
        <w:rPr>
          <w:color w:val="000000"/>
          <w:szCs w:val="22"/>
        </w:rPr>
        <w:t xml:space="preserve"> </w:t>
      </w:r>
      <w:r w:rsidR="008B1ED5">
        <w:rPr>
          <w:color w:val="000000"/>
          <w:szCs w:val="22"/>
        </w:rPr>
        <w:t>Agreement</w:t>
      </w:r>
      <w:bookmarkStart w:id="3" w:name="SR;383"/>
      <w:bookmarkEnd w:id="3"/>
      <w:r w:rsidR="00193AC3" w:rsidRPr="00193AC3">
        <w:rPr>
          <w:color w:val="000000"/>
          <w:szCs w:val="22"/>
        </w:rPr>
        <w:t xml:space="preserve"> </w:t>
      </w:r>
      <w:r w:rsidRPr="00193AC3">
        <w:rPr>
          <w:color w:val="000000"/>
          <w:szCs w:val="22"/>
        </w:rPr>
        <w:t>in WC Docket No. 1</w:t>
      </w:r>
      <w:r w:rsidR="008B1ED5">
        <w:rPr>
          <w:color w:val="000000"/>
          <w:szCs w:val="22"/>
        </w:rPr>
        <w:t>5-133</w:t>
      </w:r>
      <w:r w:rsidRPr="00193AC3">
        <w:rPr>
          <w:color w:val="000000"/>
          <w:szCs w:val="22"/>
        </w:rPr>
        <w:t xml:space="preserve"> on </w:t>
      </w:r>
      <w:r w:rsidR="008B1ED5">
        <w:rPr>
          <w:color w:val="000000"/>
          <w:szCs w:val="22"/>
        </w:rPr>
        <w:t>August 25</w:t>
      </w:r>
      <w:r w:rsidRPr="00193AC3">
        <w:rPr>
          <w:color w:val="000000"/>
          <w:szCs w:val="22"/>
        </w:rPr>
        <w:t>, 201</w:t>
      </w:r>
      <w:r w:rsidR="00193AC3" w:rsidRPr="00193AC3">
        <w:rPr>
          <w:color w:val="000000"/>
          <w:szCs w:val="22"/>
        </w:rPr>
        <w:t>5</w:t>
      </w:r>
      <w:r w:rsidRPr="00193AC3">
        <w:rPr>
          <w:color w:val="000000"/>
          <w:szCs w:val="22"/>
        </w:rPr>
        <w:t>.</w:t>
      </w:r>
      <w:bookmarkStart w:id="4" w:name="FN[FN8]"/>
      <w:bookmarkEnd w:id="4"/>
    </w:p>
    <w:p w:rsidR="00962B06" w:rsidRPr="00193AC3" w:rsidRDefault="00962B06" w:rsidP="00962B06">
      <w:pPr>
        <w:ind w:firstLine="720"/>
        <w:jc w:val="left"/>
        <w:rPr>
          <w:color w:val="000000"/>
          <w:szCs w:val="22"/>
        </w:rPr>
      </w:pPr>
    </w:p>
    <w:p w:rsidR="00962B06" w:rsidRPr="008B1ED5" w:rsidRDefault="00962B06" w:rsidP="008B1ED5">
      <w:pPr>
        <w:ind w:firstLine="720"/>
        <w:jc w:val="left"/>
        <w:rPr>
          <w:color w:val="000000"/>
          <w:szCs w:val="22"/>
        </w:rPr>
      </w:pPr>
      <w:bookmarkStart w:id="5" w:name="sp_999_1"/>
      <w:bookmarkStart w:id="6" w:name="SDU_1"/>
      <w:bookmarkEnd w:id="5"/>
      <w:bookmarkEnd w:id="6"/>
      <w:r w:rsidRPr="00193AC3">
        <w:rPr>
          <w:color w:val="000000"/>
          <w:szCs w:val="22"/>
        </w:rPr>
        <w:t xml:space="preserve">The Bureau finds, upon consideration of the record, that grant of the application, subject to compliance with the </w:t>
      </w:r>
      <w:r w:rsidR="008B1ED5">
        <w:rPr>
          <w:color w:val="000000"/>
          <w:szCs w:val="22"/>
        </w:rPr>
        <w:t>Agreement</w:t>
      </w:r>
      <w:bookmarkStart w:id="7" w:name="SR;414"/>
      <w:bookmarkStart w:id="8" w:name="SR;416"/>
      <w:bookmarkEnd w:id="1"/>
      <w:bookmarkEnd w:id="7"/>
      <w:bookmarkEnd w:id="8"/>
      <w:r w:rsidRPr="00193AC3">
        <w:rPr>
          <w:color w:val="000000"/>
          <w:szCs w:val="22"/>
        </w:rPr>
        <w:t>, will serve the public interest, convenience, and necessity.</w:t>
      </w:r>
      <w:r w:rsidR="008B1ED5">
        <w:rPr>
          <w:rStyle w:val="FootnoteReference"/>
          <w:szCs w:val="22"/>
        </w:rPr>
        <w:footnoteReference w:id="7"/>
      </w:r>
      <w:r w:rsidRPr="00193AC3">
        <w:rPr>
          <w:color w:val="000000"/>
          <w:szCs w:val="22"/>
        </w:rPr>
        <w:t xml:space="preserve">  Consistent with Commission precedent, the Bureau accords the appropriate level of deference to the Executive Branch Agencies' expertise on national security and law enforcement issues.</w:t>
      </w:r>
      <w:bookmarkStart w:id="9" w:name="FN[FN9]"/>
      <w:bookmarkEnd w:id="9"/>
      <w:r w:rsidRPr="00193AC3">
        <w:rPr>
          <w:szCs w:val="22"/>
          <w:vertAlign w:val="superscript"/>
        </w:rPr>
        <w:t xml:space="preserve"> </w:t>
      </w:r>
      <w:r w:rsidRPr="00193AC3">
        <w:rPr>
          <w:szCs w:val="22"/>
          <w:vertAlign w:val="superscript"/>
        </w:rPr>
        <w:footnoteReference w:id="8"/>
      </w:r>
      <w:r w:rsidRPr="00193AC3">
        <w:rPr>
          <w:color w:val="000000"/>
          <w:szCs w:val="22"/>
        </w:rPr>
        <w:t xml:space="preserve">   Therefore, pursuant to section 214 of the Act, 47 U.S.C. § 214, and sections 0.91 and 0.291 of the Commission's rules, 47 C.F.R. §§ 0.91, 0.291, the Bureau hereby grants the Application discussed in this Public Notice subject to compliance with the </w:t>
      </w:r>
      <w:r w:rsidR="008B1ED5">
        <w:rPr>
          <w:color w:val="000000"/>
          <w:szCs w:val="22"/>
        </w:rPr>
        <w:t>Agreement</w:t>
      </w:r>
      <w:r w:rsidRPr="00193AC3">
        <w:rPr>
          <w:color w:val="000000"/>
          <w:szCs w:val="22"/>
        </w:rPr>
        <w:t xml:space="preserve"> described above.  </w:t>
      </w:r>
      <w:r w:rsidRPr="00193AC3">
        <w:t xml:space="preserve">A failure to comply with and/or remain in compliance with any of the provisions of the </w:t>
      </w:r>
      <w:r w:rsidR="008B1ED5">
        <w:t xml:space="preserve">Agreement </w:t>
      </w:r>
      <w:r w:rsidRPr="00193AC3">
        <w:t>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 </w:t>
      </w:r>
    </w:p>
    <w:p w:rsidR="00962B06" w:rsidRPr="00962B06" w:rsidRDefault="00962B06" w:rsidP="00962B06">
      <w:pPr>
        <w:ind w:firstLine="720"/>
        <w:jc w:val="left"/>
        <w:rPr>
          <w:color w:val="000000"/>
          <w:szCs w:val="22"/>
        </w:rPr>
      </w:pPr>
    </w:p>
    <w:p w:rsidR="00962B06" w:rsidRPr="00962B06" w:rsidRDefault="00962B06" w:rsidP="00962B06">
      <w:pPr>
        <w:ind w:firstLine="720"/>
        <w:jc w:val="left"/>
        <w:rPr>
          <w:color w:val="000000"/>
          <w:szCs w:val="22"/>
        </w:rPr>
      </w:pPr>
      <w:r w:rsidRPr="00962B06">
        <w:rPr>
          <w:color w:val="000000"/>
          <w:szCs w:val="22"/>
        </w:rPr>
        <w:t>Pursuant to section 1.103 of the Commission's rules, 47 C.F.R. § 1.103, the grant is effective upon release of this Public Notice.</w:t>
      </w:r>
      <w:bookmarkStart w:id="10" w:name="FN[FN11]"/>
      <w:bookmarkEnd w:id="10"/>
      <w:r w:rsidRPr="00962B06">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11" w:name="FN[FN12]"/>
      <w:bookmarkEnd w:id="11"/>
    </w:p>
    <w:p w:rsidR="00962B06" w:rsidRPr="00962B06" w:rsidRDefault="00962B06" w:rsidP="00962B06">
      <w:pPr>
        <w:ind w:firstLine="720"/>
        <w:jc w:val="left"/>
        <w:rPr>
          <w:color w:val="000000"/>
          <w:szCs w:val="22"/>
        </w:rPr>
      </w:pPr>
      <w:bookmarkStart w:id="12" w:name="sp_999_2"/>
      <w:bookmarkStart w:id="13" w:name="SDU_2"/>
      <w:bookmarkEnd w:id="12"/>
      <w:bookmarkEnd w:id="13"/>
    </w:p>
    <w:p w:rsidR="00C519D4" w:rsidRDefault="00962B06" w:rsidP="00BB2182">
      <w:pPr>
        <w:ind w:firstLine="720"/>
        <w:jc w:val="left"/>
        <w:rPr>
          <w:color w:val="000000"/>
          <w:szCs w:val="22"/>
        </w:rPr>
      </w:pPr>
      <w:r w:rsidRPr="00962B06">
        <w:rPr>
          <w:color w:val="000000"/>
          <w:szCs w:val="22"/>
        </w:rPr>
        <w:t>For further information, please contact Jodie May, Wireline Competition Bureau, Competition Policy Division, (202) 418-0913.</w:t>
      </w:r>
    </w:p>
    <w:sectPr w:rsidR="00C519D4">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F" w:rsidRDefault="00A51FFF">
      <w:pPr>
        <w:spacing w:line="20" w:lineRule="exact"/>
      </w:pPr>
    </w:p>
  </w:endnote>
  <w:endnote w:type="continuationSeparator" w:id="0">
    <w:p w:rsidR="00A51FFF" w:rsidRDefault="00A51FFF">
      <w:r>
        <w:t xml:space="preserve"> </w:t>
      </w:r>
    </w:p>
  </w:endnote>
  <w:endnote w:type="continuationNotice" w:id="1">
    <w:p w:rsidR="00A51FFF" w:rsidRDefault="00A51F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BDA" w:rsidRDefault="003F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350">
      <w:rPr>
        <w:rStyle w:val="PageNumber"/>
        <w:noProof/>
      </w:rPr>
      <w:t>2</w:t>
    </w:r>
    <w:r>
      <w:rPr>
        <w:rStyle w:val="PageNumber"/>
      </w:rPr>
      <w:fldChar w:fldCharType="end"/>
    </w:r>
  </w:p>
  <w:p w:rsidR="003F5BDA" w:rsidRDefault="003F5BDA">
    <w:pPr>
      <w:pStyle w:val="Footer"/>
    </w:pPr>
  </w:p>
  <w:p w:rsidR="003F5BDA" w:rsidRDefault="003F5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F" w:rsidRDefault="00A51FFF">
      <w:r>
        <w:separator/>
      </w:r>
    </w:p>
  </w:footnote>
  <w:footnote w:type="continuationSeparator" w:id="0">
    <w:p w:rsidR="00A51FFF" w:rsidRDefault="00A51FFF">
      <w:r>
        <w:continuationSeparator/>
      </w:r>
    </w:p>
  </w:footnote>
  <w:footnote w:id="1">
    <w:p w:rsidR="007B0B83" w:rsidRPr="00BA3BDF" w:rsidRDefault="007B0B83" w:rsidP="007B0B83">
      <w:pPr>
        <w:pStyle w:val="FootnoteText"/>
      </w:pPr>
      <w:r w:rsidRPr="00BA3BDF">
        <w:rPr>
          <w:rStyle w:val="FootnoteReference"/>
        </w:rPr>
        <w:footnoteRef/>
      </w:r>
      <w:r w:rsidRPr="00BA3BDF">
        <w:t xml:space="preserve">  47 C.F.R § 63.03; </w:t>
      </w:r>
      <w:r w:rsidRPr="00BA3BDF">
        <w:rPr>
          <w:i/>
        </w:rPr>
        <w:t xml:space="preserve">see </w:t>
      </w:r>
      <w:r w:rsidRPr="00BA3BDF">
        <w:t>47 U.S.C. § 214</w:t>
      </w:r>
      <w:r w:rsidR="002864AB">
        <w:t xml:space="preserve">; </w:t>
      </w:r>
      <w:r w:rsidR="002864AB" w:rsidRPr="002864AB">
        <w:rPr>
          <w:i/>
        </w:rPr>
        <w:t>Joint Application for Transfer of Indirect Control of a Holder of Domestic and International Section 214 Authorizations</w:t>
      </w:r>
      <w:r w:rsidR="002864AB">
        <w:t>, WC Do</w:t>
      </w:r>
      <w:r w:rsidR="00245958">
        <w:t xml:space="preserve">cket No. 15-133 (filed June </w:t>
      </w:r>
      <w:r w:rsidR="002864AB">
        <w:t>5, 2015) (Application)</w:t>
      </w:r>
      <w:r w:rsidRPr="00BA3BDF">
        <w:t>.</w:t>
      </w:r>
      <w:r w:rsidR="003262F8">
        <w:t xml:space="preserve">  </w:t>
      </w:r>
      <w:r w:rsidR="003262F8" w:rsidRPr="007B0B83">
        <w:rPr>
          <w:color w:val="231F20"/>
          <w:szCs w:val="22"/>
        </w:rPr>
        <w:t xml:space="preserve">BayRing, a Maine </w:t>
      </w:r>
      <w:r w:rsidR="003262F8" w:rsidRPr="007B0B83">
        <w:rPr>
          <w:szCs w:val="22"/>
        </w:rPr>
        <w:t>limited liability company and subsidiary</w:t>
      </w:r>
      <w:r w:rsidR="003262F8" w:rsidRPr="007B0B83">
        <w:rPr>
          <w:color w:val="231F20"/>
          <w:szCs w:val="22"/>
        </w:rPr>
        <w:t xml:space="preserve"> of Utel, provides competitive local exchange carrier (LEC) and other services in Maine, Massachusetts, and New Hampshire.  </w:t>
      </w:r>
      <w:r w:rsidR="003262F8" w:rsidRPr="007B0B83">
        <w:rPr>
          <w:bCs/>
          <w:color w:val="231F20"/>
          <w:szCs w:val="22"/>
        </w:rPr>
        <w:t>Oxford, a Maine corporation, and its subsidiaries provide incumbent LEC service to approximately 8,184 access lines in multiple exchanges in Maine</w:t>
      </w:r>
      <w:r w:rsidR="003262F8">
        <w:rPr>
          <w:bCs/>
          <w:color w:val="231F20"/>
          <w:szCs w:val="22"/>
        </w:rPr>
        <w:t xml:space="preserve">.  </w:t>
      </w:r>
      <w:r w:rsidR="003262F8">
        <w:rPr>
          <w:color w:val="231F20"/>
          <w:szCs w:val="22"/>
        </w:rPr>
        <w:t xml:space="preserve">Applicants state that </w:t>
      </w:r>
      <w:r w:rsidR="003262F8" w:rsidRPr="00114699">
        <w:rPr>
          <w:color w:val="231F20"/>
          <w:szCs w:val="22"/>
        </w:rPr>
        <w:t xml:space="preserve">BayRing does not provide telecommunications services in any of the Oxford </w:t>
      </w:r>
      <w:r w:rsidR="003262F8">
        <w:rPr>
          <w:color w:val="231F20"/>
          <w:szCs w:val="22"/>
        </w:rPr>
        <w:t>incumbent L</w:t>
      </w:r>
      <w:r w:rsidR="003262F8" w:rsidRPr="00114699">
        <w:rPr>
          <w:color w:val="231F20"/>
          <w:szCs w:val="22"/>
        </w:rPr>
        <w:t>EC territories.</w:t>
      </w:r>
      <w:r w:rsidR="003262F8">
        <w:rPr>
          <w:color w:val="231F20"/>
          <w:szCs w:val="22"/>
        </w:rPr>
        <w:t xml:space="preserve">  </w:t>
      </w:r>
      <w:r w:rsidR="003262F8">
        <w:rPr>
          <w:bCs/>
          <w:color w:val="231F20"/>
          <w:szCs w:val="22"/>
        </w:rPr>
        <w:t xml:space="preserve">Oxford’s competitive LEC subsidiary, Oxford County Telephone Service Company (Oxford Service), provides service within the exchanges of Fairpoint NNE in Maine.  Oxford’s other competitive LEC subsidiary, Revolution Networks, LLC (Revolution), is certified to provide service in New Hampshire and Maine.  Applicants state that neither Oxford Service nor Revolution offer competitive LEC services within the certified territory of any independent incumbent LEC, including within Oxford’s incumbent LEC territory.  </w:t>
      </w:r>
      <w:r w:rsidR="003262F8">
        <w:rPr>
          <w:color w:val="231F20"/>
          <w:szCs w:val="22"/>
        </w:rPr>
        <w:t>In addition, Oxford provides interexchange service to the local service subscribers of its incumbent LECs and Oxford Services.  Oxford’s subsidiary, Northeast Competitive Access Providers, LLC, offers transport services through fiber facilities from Boston, MA to Bangor, Maine.</w:t>
      </w:r>
      <w:r w:rsidR="003262F8">
        <w:rPr>
          <w:bCs/>
          <w:color w:val="231F20"/>
          <w:szCs w:val="22"/>
        </w:rPr>
        <w:t xml:space="preserve"> </w:t>
      </w:r>
      <w:r w:rsidR="003262F8" w:rsidRPr="006539D4">
        <w:rPr>
          <w:szCs w:val="22"/>
        </w:rPr>
        <w:t xml:space="preserve">  </w:t>
      </w:r>
    </w:p>
  </w:footnote>
  <w:footnote w:id="2">
    <w:p w:rsidR="00962B06" w:rsidRDefault="00962B06" w:rsidP="00962B06">
      <w:pPr>
        <w:pStyle w:val="FootnoteText"/>
      </w:pPr>
      <w:r>
        <w:rPr>
          <w:rStyle w:val="FootnoteReference"/>
        </w:rPr>
        <w:footnoteRef/>
      </w:r>
      <w:r>
        <w:t xml:space="preserve"> </w:t>
      </w:r>
      <w:r w:rsidR="003262F8">
        <w:rPr>
          <w:i/>
        </w:rPr>
        <w:t>Domestic Section 214 Application Filed for the Transfer of Control of Freedom Ring Communications, LLC d/b/a BayRing Communications to Oxford County Telephone &amp; Telegraph Company</w:t>
      </w:r>
      <w:r w:rsidR="003262F8">
        <w:t>, WC Docket No. 15-133, Public Notice, DA 15-703 (rel. June 16, 2015)</w:t>
      </w:r>
      <w:r>
        <w:t>.</w:t>
      </w:r>
      <w:r>
        <w:rPr>
          <w:i/>
        </w:rPr>
        <w:t xml:space="preserve"> </w:t>
      </w:r>
    </w:p>
  </w:footnote>
  <w:footnote w:id="3">
    <w:p w:rsidR="003262F8" w:rsidRDefault="003262F8" w:rsidP="003262F8">
      <w:pPr>
        <w:pStyle w:val="FootnoteText"/>
      </w:pPr>
      <w:r>
        <w:rPr>
          <w:rStyle w:val="FootnoteReference"/>
        </w:rPr>
        <w:footnoteRef/>
      </w:r>
      <w:r>
        <w:t xml:space="preserve">  </w:t>
      </w:r>
      <w:r>
        <w:rPr>
          <w:i/>
        </w:rPr>
        <w:t>See</w:t>
      </w:r>
      <w:r>
        <w:t xml:space="preserve"> </w:t>
      </w:r>
      <w:r>
        <w:rPr>
          <w:rFonts w:ascii="Times New (W1)" w:hAnsi="Times New (W1)"/>
        </w:rPr>
        <w:t>Letter from Kristin A. Taylor, U.S. Department of Justice, to Marlene H. Dortch, FCC, WC</w:t>
      </w:r>
      <w:r>
        <w:t xml:space="preserve"> Docket No. 15-133 </w:t>
      </w:r>
      <w:r>
        <w:rPr>
          <w:rFonts w:ascii="Times New (W1)" w:hAnsi="Times New (W1)"/>
        </w:rPr>
        <w:t>(filed June 22, 2015).</w:t>
      </w:r>
    </w:p>
  </w:footnote>
  <w:footnote w:id="4">
    <w:p w:rsidR="00962B06" w:rsidRDefault="00962B06" w:rsidP="00962B06">
      <w:pPr>
        <w:pStyle w:val="FootnoteText"/>
      </w:pPr>
      <w:r>
        <w:rPr>
          <w:rStyle w:val="FootnoteReference"/>
        </w:rPr>
        <w:footnoteRef/>
      </w:r>
      <w:r>
        <w:t xml:space="preserve"> </w:t>
      </w:r>
      <w:r w:rsidRPr="00BD7F40">
        <w:rPr>
          <w:i/>
        </w:rPr>
        <w:t>Notice of Removal of Domestic Section 214 Application from Streamlined Treatment</w:t>
      </w:r>
      <w:r>
        <w:t>, WC Docket No. 1</w:t>
      </w:r>
      <w:r w:rsidR="008B1ED5">
        <w:t>5-133</w:t>
      </w:r>
      <w:r>
        <w:t xml:space="preserve">, Public Notice, </w:t>
      </w:r>
      <w:r w:rsidR="008B1ED5">
        <w:t>DA 15-792</w:t>
      </w:r>
      <w:r w:rsidR="006539D4">
        <w:t xml:space="preserve"> </w:t>
      </w:r>
      <w:r>
        <w:t>(</w:t>
      </w:r>
      <w:r w:rsidR="008B1ED5">
        <w:t>rel. July 7, 2015</w:t>
      </w:r>
      <w:r>
        <w:t>).</w:t>
      </w:r>
    </w:p>
  </w:footnote>
  <w:footnote w:id="5">
    <w:p w:rsidR="00962B06" w:rsidRDefault="00962B06" w:rsidP="00962B06">
      <w:pPr>
        <w:pStyle w:val="FootnoteText"/>
      </w:pPr>
      <w:r>
        <w:rPr>
          <w:rStyle w:val="FootnoteReference"/>
        </w:rPr>
        <w:footnoteRef/>
      </w:r>
      <w:r>
        <w:t xml:space="preserve"> Petition to Adopt Conditions to Authorizations and Licenses, WC Docket No. 1</w:t>
      </w:r>
      <w:r w:rsidR="008B1ED5">
        <w:t>5-133</w:t>
      </w:r>
      <w:r w:rsidR="00193AC3">
        <w:t xml:space="preserve"> a</w:t>
      </w:r>
      <w:r>
        <w:t>nd File No. ITC-T/C-201</w:t>
      </w:r>
      <w:r w:rsidR="008B1ED5">
        <w:t>50604-00140 (</w:t>
      </w:r>
      <w:r>
        <w:t xml:space="preserve">filed </w:t>
      </w:r>
      <w:r w:rsidR="008B1ED5">
        <w:t>Aug. 25</w:t>
      </w:r>
      <w:r>
        <w:t>, 201</w:t>
      </w:r>
      <w:r w:rsidR="00193AC3">
        <w:t>5</w:t>
      </w:r>
      <w:r>
        <w:t>).</w:t>
      </w:r>
    </w:p>
  </w:footnote>
  <w:footnote w:id="6">
    <w:p w:rsidR="00962B06" w:rsidRPr="00BD7F40" w:rsidRDefault="00962B06" w:rsidP="00962B06">
      <w:pPr>
        <w:pStyle w:val="FootnoteText"/>
      </w:pPr>
      <w:r>
        <w:rPr>
          <w:rStyle w:val="FootnoteReference"/>
        </w:rPr>
        <w:footnoteRef/>
      </w:r>
      <w:r>
        <w:t xml:space="preserve"> </w:t>
      </w:r>
      <w:r>
        <w:rPr>
          <w:i/>
        </w:rPr>
        <w:t>Id</w:t>
      </w:r>
      <w:r>
        <w:t>. at 1-2.</w:t>
      </w:r>
    </w:p>
  </w:footnote>
  <w:footnote w:id="7">
    <w:p w:rsidR="008B1ED5" w:rsidRPr="008B1ED5" w:rsidRDefault="008B1ED5">
      <w:pPr>
        <w:pStyle w:val="FootnoteText"/>
      </w:pPr>
      <w:r>
        <w:rPr>
          <w:rStyle w:val="FootnoteReference"/>
        </w:rPr>
        <w:footnoteRef/>
      </w:r>
      <w:r>
        <w:t xml:space="preserve"> </w:t>
      </w:r>
      <w:r>
        <w:rPr>
          <w:i/>
        </w:rPr>
        <w:t xml:space="preserve">See </w:t>
      </w:r>
      <w:r>
        <w:t>47 C.F.R. § 63.03(b)(2)(ii).</w:t>
      </w:r>
    </w:p>
  </w:footnote>
  <w:footnote w:id="8">
    <w:p w:rsidR="00962B06" w:rsidRDefault="00962B06" w:rsidP="00962B06">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1D" w:rsidRDefault="00FC0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1D" w:rsidRDefault="00FC0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F5BDA" w:rsidRPr="00FC365D" w:rsidRDefault="003F5BDA">
    <w:pPr>
      <w:suppressAutoHyphens/>
      <w:ind w:firstLine="1080"/>
      <w:rPr>
        <w:rFonts w:ascii="Arial" w:hAnsi="Arial" w:cs="Arial"/>
      </w:rPr>
    </w:pPr>
    <w:r w:rsidRPr="00FC365D">
      <w:rPr>
        <w:rFonts w:ascii="Arial" w:hAnsi="Arial" w:cs="Arial"/>
        <w:b/>
        <w:sz w:val="96"/>
      </w:rPr>
      <w:t>PUBLIC NOTICE</w:t>
    </w:r>
  </w:p>
  <w:p w:rsidR="003F5BDA" w:rsidRDefault="003F5BDA">
    <w:pPr>
      <w:suppressAutoHyphens/>
      <w:rPr>
        <w:rFonts w:ascii="Arial Narrow" w:hAnsi="Arial Narrow"/>
      </w:rPr>
    </w:pP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v:textbox>
            </v:shape>
          </w:pict>
        </mc:Fallback>
      </mc:AlternateContent>
    </w:r>
    <w:r>
      <w:rPr>
        <w:rFonts w:ascii="Arial Narrow" w:hAnsi="Arial Narrow"/>
        <w:b/>
      </w:rPr>
      <w:tab/>
    </w:r>
    <w:r>
      <w:rPr>
        <w:rFonts w:ascii="Arial Narrow" w:hAnsi="Arial Narrow"/>
        <w:b/>
      </w:rPr>
      <w:tab/>
      <w:t>Federal Communications Commission</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F5BDA" w:rsidRDefault="003F5BD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F5BDA" w:rsidRDefault="003F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867871"/>
    <w:multiLevelType w:val="hybridMultilevel"/>
    <w:tmpl w:val="BF0CE232"/>
    <w:lvl w:ilvl="0" w:tplc="DBDAB39C">
      <w:start w:val="1"/>
      <w:numFmt w:val="decimal"/>
      <w:lvlText w:val="%1."/>
      <w:lvlJc w:val="left"/>
      <w:pPr>
        <w:tabs>
          <w:tab w:val="num" w:pos="720"/>
        </w:tabs>
        <w:ind w:left="720" w:hanging="360"/>
      </w:pPr>
    </w:lvl>
    <w:lvl w:ilvl="1" w:tplc="DE201A04" w:tentative="1">
      <w:start w:val="1"/>
      <w:numFmt w:val="lowerLetter"/>
      <w:lvlText w:val="%2."/>
      <w:lvlJc w:val="left"/>
      <w:pPr>
        <w:tabs>
          <w:tab w:val="num" w:pos="1440"/>
        </w:tabs>
        <w:ind w:left="1440" w:hanging="360"/>
      </w:pPr>
    </w:lvl>
    <w:lvl w:ilvl="2" w:tplc="8FAE8102" w:tentative="1">
      <w:start w:val="1"/>
      <w:numFmt w:val="lowerRoman"/>
      <w:lvlText w:val="%3."/>
      <w:lvlJc w:val="right"/>
      <w:pPr>
        <w:tabs>
          <w:tab w:val="num" w:pos="2160"/>
        </w:tabs>
        <w:ind w:left="2160" w:hanging="180"/>
      </w:pPr>
    </w:lvl>
    <w:lvl w:ilvl="3" w:tplc="8EF4A986" w:tentative="1">
      <w:start w:val="1"/>
      <w:numFmt w:val="decimal"/>
      <w:lvlText w:val="%4."/>
      <w:lvlJc w:val="left"/>
      <w:pPr>
        <w:tabs>
          <w:tab w:val="num" w:pos="2880"/>
        </w:tabs>
        <w:ind w:left="2880" w:hanging="360"/>
      </w:pPr>
    </w:lvl>
    <w:lvl w:ilvl="4" w:tplc="F7425F02" w:tentative="1">
      <w:start w:val="1"/>
      <w:numFmt w:val="lowerLetter"/>
      <w:lvlText w:val="%5."/>
      <w:lvlJc w:val="left"/>
      <w:pPr>
        <w:tabs>
          <w:tab w:val="num" w:pos="3600"/>
        </w:tabs>
        <w:ind w:left="3600" w:hanging="360"/>
      </w:pPr>
    </w:lvl>
    <w:lvl w:ilvl="5" w:tplc="22E6122E" w:tentative="1">
      <w:start w:val="1"/>
      <w:numFmt w:val="lowerRoman"/>
      <w:lvlText w:val="%6."/>
      <w:lvlJc w:val="right"/>
      <w:pPr>
        <w:tabs>
          <w:tab w:val="num" w:pos="4320"/>
        </w:tabs>
        <w:ind w:left="4320" w:hanging="180"/>
      </w:pPr>
    </w:lvl>
    <w:lvl w:ilvl="6" w:tplc="C72436B8" w:tentative="1">
      <w:start w:val="1"/>
      <w:numFmt w:val="decimal"/>
      <w:lvlText w:val="%7."/>
      <w:lvlJc w:val="left"/>
      <w:pPr>
        <w:tabs>
          <w:tab w:val="num" w:pos="5040"/>
        </w:tabs>
        <w:ind w:left="5040" w:hanging="360"/>
      </w:pPr>
    </w:lvl>
    <w:lvl w:ilvl="7" w:tplc="B5C610A4" w:tentative="1">
      <w:start w:val="1"/>
      <w:numFmt w:val="lowerLetter"/>
      <w:lvlText w:val="%8."/>
      <w:lvlJc w:val="left"/>
      <w:pPr>
        <w:tabs>
          <w:tab w:val="num" w:pos="5760"/>
        </w:tabs>
        <w:ind w:left="5760" w:hanging="360"/>
      </w:pPr>
    </w:lvl>
    <w:lvl w:ilvl="8" w:tplc="DB3879EE"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2D6667"/>
    <w:multiLevelType w:val="hybridMultilevel"/>
    <w:tmpl w:val="55006EB2"/>
    <w:lvl w:ilvl="0" w:tplc="2C4A7FEA">
      <w:start w:val="1"/>
      <w:numFmt w:val="decimal"/>
      <w:lvlText w:val="%1."/>
      <w:lvlJc w:val="left"/>
      <w:pPr>
        <w:tabs>
          <w:tab w:val="num" w:pos="630"/>
        </w:tabs>
        <w:ind w:left="630" w:hanging="360"/>
      </w:pPr>
      <w:rPr>
        <w:b w:val="0"/>
      </w:rPr>
    </w:lvl>
    <w:lvl w:ilvl="1" w:tplc="987E7D9E" w:tentative="1">
      <w:start w:val="1"/>
      <w:numFmt w:val="lowerLetter"/>
      <w:lvlText w:val="%2."/>
      <w:lvlJc w:val="left"/>
      <w:pPr>
        <w:tabs>
          <w:tab w:val="num" w:pos="1350"/>
        </w:tabs>
        <w:ind w:left="1350" w:hanging="360"/>
      </w:pPr>
    </w:lvl>
    <w:lvl w:ilvl="2" w:tplc="BD9E0870" w:tentative="1">
      <w:start w:val="1"/>
      <w:numFmt w:val="lowerRoman"/>
      <w:lvlText w:val="%3."/>
      <w:lvlJc w:val="right"/>
      <w:pPr>
        <w:tabs>
          <w:tab w:val="num" w:pos="2070"/>
        </w:tabs>
        <w:ind w:left="2070" w:hanging="180"/>
      </w:pPr>
    </w:lvl>
    <w:lvl w:ilvl="3" w:tplc="348C48A8" w:tentative="1">
      <w:start w:val="1"/>
      <w:numFmt w:val="decimal"/>
      <w:lvlText w:val="%4."/>
      <w:lvlJc w:val="left"/>
      <w:pPr>
        <w:tabs>
          <w:tab w:val="num" w:pos="2790"/>
        </w:tabs>
        <w:ind w:left="2790" w:hanging="360"/>
      </w:pPr>
    </w:lvl>
    <w:lvl w:ilvl="4" w:tplc="EA86B0F6" w:tentative="1">
      <w:start w:val="1"/>
      <w:numFmt w:val="lowerLetter"/>
      <w:lvlText w:val="%5."/>
      <w:lvlJc w:val="left"/>
      <w:pPr>
        <w:tabs>
          <w:tab w:val="num" w:pos="3510"/>
        </w:tabs>
        <w:ind w:left="3510" w:hanging="360"/>
      </w:pPr>
    </w:lvl>
    <w:lvl w:ilvl="5" w:tplc="699AD8BA" w:tentative="1">
      <w:start w:val="1"/>
      <w:numFmt w:val="lowerRoman"/>
      <w:lvlText w:val="%6."/>
      <w:lvlJc w:val="right"/>
      <w:pPr>
        <w:tabs>
          <w:tab w:val="num" w:pos="4230"/>
        </w:tabs>
        <w:ind w:left="4230" w:hanging="180"/>
      </w:pPr>
    </w:lvl>
    <w:lvl w:ilvl="6" w:tplc="F14C9690" w:tentative="1">
      <w:start w:val="1"/>
      <w:numFmt w:val="decimal"/>
      <w:lvlText w:val="%7."/>
      <w:lvlJc w:val="left"/>
      <w:pPr>
        <w:tabs>
          <w:tab w:val="num" w:pos="4950"/>
        </w:tabs>
        <w:ind w:left="4950" w:hanging="360"/>
      </w:pPr>
    </w:lvl>
    <w:lvl w:ilvl="7" w:tplc="91A61AEA" w:tentative="1">
      <w:start w:val="1"/>
      <w:numFmt w:val="lowerLetter"/>
      <w:lvlText w:val="%8."/>
      <w:lvlJc w:val="left"/>
      <w:pPr>
        <w:tabs>
          <w:tab w:val="num" w:pos="5670"/>
        </w:tabs>
        <w:ind w:left="5670" w:hanging="360"/>
      </w:pPr>
    </w:lvl>
    <w:lvl w:ilvl="8" w:tplc="FF3C4CCA" w:tentative="1">
      <w:start w:val="1"/>
      <w:numFmt w:val="lowerRoman"/>
      <w:lvlText w:val="%9."/>
      <w:lvlJc w:val="right"/>
      <w:pPr>
        <w:tabs>
          <w:tab w:val="num" w:pos="6390"/>
        </w:tabs>
        <w:ind w:left="639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3DF0DF6"/>
    <w:multiLevelType w:val="hybridMultilevel"/>
    <w:tmpl w:val="79902C04"/>
    <w:lvl w:ilvl="0" w:tplc="01129018">
      <w:start w:val="1"/>
      <w:numFmt w:val="decimal"/>
      <w:lvlText w:val="%1."/>
      <w:lvlJc w:val="left"/>
      <w:pPr>
        <w:tabs>
          <w:tab w:val="num" w:pos="360"/>
        </w:tabs>
        <w:ind w:left="360" w:hanging="360"/>
      </w:pPr>
    </w:lvl>
    <w:lvl w:ilvl="1" w:tplc="73D89BFE" w:tentative="1">
      <w:start w:val="1"/>
      <w:numFmt w:val="lowerLetter"/>
      <w:lvlText w:val="%2."/>
      <w:lvlJc w:val="left"/>
      <w:pPr>
        <w:tabs>
          <w:tab w:val="num" w:pos="1080"/>
        </w:tabs>
        <w:ind w:left="1080" w:hanging="360"/>
      </w:pPr>
    </w:lvl>
    <w:lvl w:ilvl="2" w:tplc="F1889638" w:tentative="1">
      <w:start w:val="1"/>
      <w:numFmt w:val="lowerRoman"/>
      <w:lvlText w:val="%3."/>
      <w:lvlJc w:val="right"/>
      <w:pPr>
        <w:tabs>
          <w:tab w:val="num" w:pos="1800"/>
        </w:tabs>
        <w:ind w:left="1800" w:hanging="180"/>
      </w:pPr>
    </w:lvl>
    <w:lvl w:ilvl="3" w:tplc="7F2C260C" w:tentative="1">
      <w:start w:val="1"/>
      <w:numFmt w:val="decimal"/>
      <w:lvlText w:val="%4."/>
      <w:lvlJc w:val="left"/>
      <w:pPr>
        <w:tabs>
          <w:tab w:val="num" w:pos="2520"/>
        </w:tabs>
        <w:ind w:left="2520" w:hanging="360"/>
      </w:pPr>
    </w:lvl>
    <w:lvl w:ilvl="4" w:tplc="21B45D70" w:tentative="1">
      <w:start w:val="1"/>
      <w:numFmt w:val="lowerLetter"/>
      <w:lvlText w:val="%5."/>
      <w:lvlJc w:val="left"/>
      <w:pPr>
        <w:tabs>
          <w:tab w:val="num" w:pos="3240"/>
        </w:tabs>
        <w:ind w:left="3240" w:hanging="360"/>
      </w:pPr>
    </w:lvl>
    <w:lvl w:ilvl="5" w:tplc="E56E6646" w:tentative="1">
      <w:start w:val="1"/>
      <w:numFmt w:val="lowerRoman"/>
      <w:lvlText w:val="%6."/>
      <w:lvlJc w:val="right"/>
      <w:pPr>
        <w:tabs>
          <w:tab w:val="num" w:pos="3960"/>
        </w:tabs>
        <w:ind w:left="3960" w:hanging="180"/>
      </w:pPr>
    </w:lvl>
    <w:lvl w:ilvl="6" w:tplc="E6BA1B54" w:tentative="1">
      <w:start w:val="1"/>
      <w:numFmt w:val="decimal"/>
      <w:lvlText w:val="%7."/>
      <w:lvlJc w:val="left"/>
      <w:pPr>
        <w:tabs>
          <w:tab w:val="num" w:pos="4680"/>
        </w:tabs>
        <w:ind w:left="4680" w:hanging="360"/>
      </w:pPr>
    </w:lvl>
    <w:lvl w:ilvl="7" w:tplc="BEB48A40" w:tentative="1">
      <w:start w:val="1"/>
      <w:numFmt w:val="lowerLetter"/>
      <w:lvlText w:val="%8."/>
      <w:lvlJc w:val="left"/>
      <w:pPr>
        <w:tabs>
          <w:tab w:val="num" w:pos="5400"/>
        </w:tabs>
        <w:ind w:left="5400" w:hanging="360"/>
      </w:pPr>
    </w:lvl>
    <w:lvl w:ilvl="8" w:tplc="29BEE896" w:tentative="1">
      <w:start w:val="1"/>
      <w:numFmt w:val="lowerRoman"/>
      <w:lvlText w:val="%9."/>
      <w:lvlJc w:val="right"/>
      <w:pPr>
        <w:tabs>
          <w:tab w:val="num" w:pos="6120"/>
        </w:tabs>
        <w:ind w:left="6120" w:hanging="180"/>
      </w:pPr>
    </w:lvl>
  </w:abstractNum>
  <w:abstractNum w:abstractNumId="13">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7"/>
  </w:num>
  <w:num w:numId="31">
    <w:abstractNumId w:val="13"/>
  </w:num>
  <w:num w:numId="32">
    <w:abstractNumId w:val="9"/>
  </w:num>
  <w:num w:numId="33">
    <w:abstractNumId w:val="12"/>
  </w:num>
  <w:num w:numId="34">
    <w:abstractNumId w:val="2"/>
  </w:num>
  <w:num w:numId="35">
    <w:abstractNumId w:val="10"/>
  </w:num>
  <w:num w:numId="36">
    <w:abstractNumId w:val="8"/>
  </w:num>
  <w:num w:numId="37">
    <w:abstractNumId w:val="5"/>
  </w:num>
  <w:num w:numId="38">
    <w:abstractNumId w:val="6"/>
  </w:num>
  <w:num w:numId="39">
    <w:abstractNumId w:val="15"/>
  </w:num>
  <w:num w:numId="40">
    <w:abstractNumId w:val="1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4"/>
    <w:rsid w:val="00070AA3"/>
    <w:rsid w:val="00072E51"/>
    <w:rsid w:val="000F6F61"/>
    <w:rsid w:val="0011184A"/>
    <w:rsid w:val="001313DF"/>
    <w:rsid w:val="001502AB"/>
    <w:rsid w:val="001741A2"/>
    <w:rsid w:val="00193AC3"/>
    <w:rsid w:val="00193AD9"/>
    <w:rsid w:val="001A2900"/>
    <w:rsid w:val="001D3B79"/>
    <w:rsid w:val="001E0491"/>
    <w:rsid w:val="001E2194"/>
    <w:rsid w:val="001F35A7"/>
    <w:rsid w:val="002021D9"/>
    <w:rsid w:val="002031AA"/>
    <w:rsid w:val="002332AE"/>
    <w:rsid w:val="00240FE7"/>
    <w:rsid w:val="00245958"/>
    <w:rsid w:val="0025758D"/>
    <w:rsid w:val="002660CA"/>
    <w:rsid w:val="002713ED"/>
    <w:rsid w:val="00274BFF"/>
    <w:rsid w:val="00280C79"/>
    <w:rsid w:val="002864AB"/>
    <w:rsid w:val="002A190A"/>
    <w:rsid w:val="002F1DB3"/>
    <w:rsid w:val="003262F8"/>
    <w:rsid w:val="00332A75"/>
    <w:rsid w:val="00337F45"/>
    <w:rsid w:val="00386CC8"/>
    <w:rsid w:val="003A6F7F"/>
    <w:rsid w:val="003B0DA1"/>
    <w:rsid w:val="003C7350"/>
    <w:rsid w:val="003F5BDA"/>
    <w:rsid w:val="003F65D3"/>
    <w:rsid w:val="0042036A"/>
    <w:rsid w:val="004307A1"/>
    <w:rsid w:val="00431FEE"/>
    <w:rsid w:val="004329A8"/>
    <w:rsid w:val="0043525F"/>
    <w:rsid w:val="0046465E"/>
    <w:rsid w:val="00482113"/>
    <w:rsid w:val="0048479A"/>
    <w:rsid w:val="004A430F"/>
    <w:rsid w:val="004E3E49"/>
    <w:rsid w:val="0051444D"/>
    <w:rsid w:val="00516A52"/>
    <w:rsid w:val="0055115C"/>
    <w:rsid w:val="00561368"/>
    <w:rsid w:val="00582863"/>
    <w:rsid w:val="005A034B"/>
    <w:rsid w:val="005B45F7"/>
    <w:rsid w:val="005C2E3A"/>
    <w:rsid w:val="005C699D"/>
    <w:rsid w:val="005D06B7"/>
    <w:rsid w:val="005D65C6"/>
    <w:rsid w:val="00613D3A"/>
    <w:rsid w:val="006539D4"/>
    <w:rsid w:val="00662087"/>
    <w:rsid w:val="006A1653"/>
    <w:rsid w:val="006B306A"/>
    <w:rsid w:val="006E1B37"/>
    <w:rsid w:val="006E676D"/>
    <w:rsid w:val="006F03B1"/>
    <w:rsid w:val="00737A33"/>
    <w:rsid w:val="00753D9B"/>
    <w:rsid w:val="00766E9D"/>
    <w:rsid w:val="00790772"/>
    <w:rsid w:val="00792D42"/>
    <w:rsid w:val="007B0B83"/>
    <w:rsid w:val="007C516C"/>
    <w:rsid w:val="007D7028"/>
    <w:rsid w:val="00811BE9"/>
    <w:rsid w:val="00811DEC"/>
    <w:rsid w:val="008156B7"/>
    <w:rsid w:val="00832582"/>
    <w:rsid w:val="00861A39"/>
    <w:rsid w:val="00882966"/>
    <w:rsid w:val="008926F3"/>
    <w:rsid w:val="008B1ED5"/>
    <w:rsid w:val="008D10DE"/>
    <w:rsid w:val="008F0F3A"/>
    <w:rsid w:val="009228DB"/>
    <w:rsid w:val="00923B0D"/>
    <w:rsid w:val="00962B06"/>
    <w:rsid w:val="00976A0D"/>
    <w:rsid w:val="009C18B5"/>
    <w:rsid w:val="009D575C"/>
    <w:rsid w:val="00A03AFB"/>
    <w:rsid w:val="00A053DD"/>
    <w:rsid w:val="00A51FFF"/>
    <w:rsid w:val="00A54227"/>
    <w:rsid w:val="00AB3613"/>
    <w:rsid w:val="00AC4D23"/>
    <w:rsid w:val="00AD00CB"/>
    <w:rsid w:val="00AD15CC"/>
    <w:rsid w:val="00AE5BD8"/>
    <w:rsid w:val="00B07540"/>
    <w:rsid w:val="00B27B33"/>
    <w:rsid w:val="00B4654A"/>
    <w:rsid w:val="00B62906"/>
    <w:rsid w:val="00B90FC6"/>
    <w:rsid w:val="00B92219"/>
    <w:rsid w:val="00B96B1D"/>
    <w:rsid w:val="00BB2182"/>
    <w:rsid w:val="00BB5ACF"/>
    <w:rsid w:val="00BD28C4"/>
    <w:rsid w:val="00BD7F40"/>
    <w:rsid w:val="00BF72C0"/>
    <w:rsid w:val="00C0202D"/>
    <w:rsid w:val="00C17675"/>
    <w:rsid w:val="00C30043"/>
    <w:rsid w:val="00C519D4"/>
    <w:rsid w:val="00C54A49"/>
    <w:rsid w:val="00C627C4"/>
    <w:rsid w:val="00C63F47"/>
    <w:rsid w:val="00C65CB5"/>
    <w:rsid w:val="00C713CC"/>
    <w:rsid w:val="00C85D84"/>
    <w:rsid w:val="00C922CA"/>
    <w:rsid w:val="00CA2B5D"/>
    <w:rsid w:val="00CB77F1"/>
    <w:rsid w:val="00CD208C"/>
    <w:rsid w:val="00CE1B11"/>
    <w:rsid w:val="00D002F7"/>
    <w:rsid w:val="00D1029A"/>
    <w:rsid w:val="00D2187C"/>
    <w:rsid w:val="00D62A9F"/>
    <w:rsid w:val="00E00BB1"/>
    <w:rsid w:val="00E073A7"/>
    <w:rsid w:val="00E6043D"/>
    <w:rsid w:val="00E60CA9"/>
    <w:rsid w:val="00E65229"/>
    <w:rsid w:val="00E815C0"/>
    <w:rsid w:val="00E85381"/>
    <w:rsid w:val="00E90E75"/>
    <w:rsid w:val="00E95A59"/>
    <w:rsid w:val="00EB7B82"/>
    <w:rsid w:val="00EE199A"/>
    <w:rsid w:val="00F0706E"/>
    <w:rsid w:val="00F10037"/>
    <w:rsid w:val="00F41498"/>
    <w:rsid w:val="00F90C6E"/>
    <w:rsid w:val="00FA022E"/>
    <w:rsid w:val="00FA4A1D"/>
    <w:rsid w:val="00FA56B2"/>
    <w:rsid w:val="00FB2FE2"/>
    <w:rsid w:val="00FC031D"/>
    <w:rsid w:val="00FC3214"/>
    <w:rsid w:val="00FC365D"/>
    <w:rsid w:val="00FD2C22"/>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2923</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3457</CharactersWithSpaces>
  <SharedDoc>false</SharedDoc>
  <HyperlinkBase> </HyperlinkBase>
  <HLinks>
    <vt:vector size="12" baseType="variant">
      <vt:variant>
        <vt:i4>6553695</vt:i4>
      </vt:variant>
      <vt:variant>
        <vt:i4>3</vt:i4>
      </vt:variant>
      <vt:variant>
        <vt:i4>0</vt:i4>
      </vt:variant>
      <vt:variant>
        <vt:i4>5</vt:i4>
      </vt:variant>
      <vt:variant>
        <vt:lpwstr>mailto:fccebaccess@fcc.gov</vt:lpwstr>
      </vt:variant>
      <vt:variant>
        <vt:lpwstr/>
      </vt: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2011-05-23T21:27:00Z</cp:lastPrinted>
  <dcterms:created xsi:type="dcterms:W3CDTF">2015-08-26T16:38:00Z</dcterms:created>
  <dcterms:modified xsi:type="dcterms:W3CDTF">2015-08-26T16:38:00Z</dcterms:modified>
  <cp:category> </cp:category>
  <cp:contentStatus> </cp:contentStatus>
</cp:coreProperties>
</file>