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46747F">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D27120">
        <w:rPr>
          <w:szCs w:val="22"/>
        </w:rPr>
        <w:t xml:space="preserve"> </w:t>
      </w:r>
    </w:p>
    <w:p w:rsidR="00F80FFB" w:rsidRPr="00D27120" w:rsidRDefault="00F80FFB" w:rsidP="00F80FFB">
      <w:pPr>
        <w:jc w:val="right"/>
        <w:rPr>
          <w:b/>
          <w:szCs w:val="22"/>
        </w:rPr>
      </w:pPr>
      <w:r w:rsidRPr="00D27120">
        <w:rPr>
          <w:b/>
          <w:szCs w:val="22"/>
        </w:rPr>
        <w:lastRenderedPageBreak/>
        <w:t>DA 15-</w:t>
      </w:r>
      <w:r w:rsidR="009B1A42">
        <w:rPr>
          <w:b/>
          <w:szCs w:val="22"/>
        </w:rPr>
        <w:t>973</w:t>
      </w:r>
    </w:p>
    <w:p w:rsidR="00F80FFB" w:rsidRPr="00D27120" w:rsidRDefault="00933726" w:rsidP="00F80FFB">
      <w:pPr>
        <w:spacing w:before="60"/>
        <w:jc w:val="right"/>
        <w:rPr>
          <w:b/>
          <w:szCs w:val="22"/>
        </w:rPr>
      </w:pPr>
      <w:r>
        <w:rPr>
          <w:b/>
          <w:szCs w:val="22"/>
        </w:rPr>
        <w:t xml:space="preserve">August </w:t>
      </w:r>
      <w:r w:rsidR="00703EC6">
        <w:rPr>
          <w:b/>
          <w:szCs w:val="22"/>
        </w:rPr>
        <w:t>28</w:t>
      </w:r>
      <w:r w:rsidR="00F80FFB" w:rsidRPr="00D27120">
        <w:rPr>
          <w:b/>
          <w:szCs w:val="22"/>
        </w:rPr>
        <w:t>, 2015</w:t>
      </w:r>
    </w:p>
    <w:p w:rsidR="00F80FFB" w:rsidRPr="00D27120" w:rsidRDefault="00F80FFB" w:rsidP="00F80FFB">
      <w:pPr>
        <w:tabs>
          <w:tab w:val="left" w:pos="5900"/>
        </w:tabs>
        <w:rPr>
          <w:szCs w:val="22"/>
        </w:rPr>
      </w:pPr>
      <w:r w:rsidRPr="00D27120">
        <w:rPr>
          <w:szCs w:val="22"/>
        </w:rPr>
        <w:tab/>
      </w:r>
    </w:p>
    <w:p w:rsidR="006A554C" w:rsidRPr="00D27120" w:rsidRDefault="00F80FFB" w:rsidP="006A554C">
      <w:pPr>
        <w:jc w:val="center"/>
        <w:rPr>
          <w:b/>
          <w:szCs w:val="22"/>
        </w:rPr>
      </w:pPr>
      <w:r w:rsidRPr="00D27120">
        <w:rPr>
          <w:b/>
          <w:szCs w:val="22"/>
        </w:rPr>
        <w:t>DOMESTIC SECTION 214 A</w:t>
      </w:r>
      <w:r w:rsidR="00E44159" w:rsidRPr="00D27120">
        <w:rPr>
          <w:b/>
          <w:szCs w:val="22"/>
        </w:rPr>
        <w:t>P</w:t>
      </w:r>
      <w:r w:rsidR="006A554C" w:rsidRPr="00D27120">
        <w:rPr>
          <w:b/>
          <w:szCs w:val="22"/>
        </w:rPr>
        <w:t xml:space="preserve">PLICATION FILED FOR THE </w:t>
      </w:r>
    </w:p>
    <w:p w:rsidR="003664FF" w:rsidRDefault="00F80FFB" w:rsidP="003664FF">
      <w:pPr>
        <w:jc w:val="center"/>
        <w:rPr>
          <w:b/>
          <w:szCs w:val="22"/>
        </w:rPr>
      </w:pPr>
      <w:r w:rsidRPr="00D27120">
        <w:rPr>
          <w:b/>
          <w:szCs w:val="22"/>
        </w:rPr>
        <w:t xml:space="preserve">TRANSFER OF CONTROL OF </w:t>
      </w:r>
    </w:p>
    <w:p w:rsidR="006A554C" w:rsidRPr="00D27120" w:rsidRDefault="003664FF" w:rsidP="003664FF">
      <w:pPr>
        <w:jc w:val="center"/>
        <w:rPr>
          <w:b/>
          <w:szCs w:val="22"/>
        </w:rPr>
      </w:pPr>
      <w:r>
        <w:rPr>
          <w:b/>
          <w:szCs w:val="22"/>
        </w:rPr>
        <w:t>OPTIC ACCESS, LLC TO INTEGRA TELECOM HOLDINGS, INC.</w:t>
      </w:r>
    </w:p>
    <w:p w:rsidR="00F80FFB" w:rsidRPr="00D27120" w:rsidRDefault="00F80FFB" w:rsidP="00F80FFB">
      <w:pPr>
        <w:jc w:val="center"/>
        <w:rPr>
          <w:b/>
          <w:szCs w:val="22"/>
        </w:rPr>
      </w:pPr>
    </w:p>
    <w:p w:rsidR="00F80FFB" w:rsidRPr="00D27120" w:rsidRDefault="00F80FFB" w:rsidP="00F80FFB">
      <w:pPr>
        <w:spacing w:after="240"/>
        <w:jc w:val="center"/>
        <w:rPr>
          <w:b/>
          <w:szCs w:val="22"/>
        </w:rPr>
      </w:pPr>
      <w:r w:rsidRPr="00D27120">
        <w:rPr>
          <w:b/>
          <w:szCs w:val="22"/>
        </w:rPr>
        <w:t>STREAMLINED PLEADING CYCLE ESTABLISHED</w:t>
      </w:r>
    </w:p>
    <w:p w:rsidR="00F80FFB" w:rsidRPr="00D27120" w:rsidRDefault="00F80FFB" w:rsidP="00F80FFB">
      <w:pPr>
        <w:jc w:val="center"/>
        <w:rPr>
          <w:b/>
          <w:szCs w:val="22"/>
        </w:rPr>
      </w:pPr>
      <w:r w:rsidRPr="00D27120">
        <w:rPr>
          <w:b/>
          <w:szCs w:val="22"/>
        </w:rPr>
        <w:t>WC Docket No. 15-</w:t>
      </w:r>
      <w:r w:rsidR="00B558E7">
        <w:rPr>
          <w:b/>
          <w:szCs w:val="22"/>
        </w:rPr>
        <w:t>202</w:t>
      </w:r>
    </w:p>
    <w:p w:rsidR="00F80FFB" w:rsidRPr="00D27120" w:rsidRDefault="00F80FFB" w:rsidP="00F80FFB">
      <w:pPr>
        <w:jc w:val="center"/>
        <w:rPr>
          <w:szCs w:val="22"/>
        </w:rPr>
      </w:pPr>
    </w:p>
    <w:p w:rsidR="00F80FFB" w:rsidRPr="00D27120" w:rsidRDefault="00655B3B" w:rsidP="00F80FFB">
      <w:pPr>
        <w:pStyle w:val="NoSpacing"/>
        <w:rPr>
          <w:b/>
          <w:szCs w:val="22"/>
        </w:rPr>
      </w:pPr>
      <w:r w:rsidRPr="00D27120">
        <w:rPr>
          <w:b/>
          <w:szCs w:val="22"/>
        </w:rPr>
        <w:t xml:space="preserve">Comments Due:  </w:t>
      </w:r>
      <w:r w:rsidR="003664FF">
        <w:rPr>
          <w:b/>
          <w:szCs w:val="22"/>
        </w:rPr>
        <w:t>September</w:t>
      </w:r>
      <w:r w:rsidR="00F80FFB" w:rsidRPr="00D27120">
        <w:rPr>
          <w:b/>
          <w:szCs w:val="22"/>
        </w:rPr>
        <w:t xml:space="preserve"> </w:t>
      </w:r>
      <w:r w:rsidR="009B1A42">
        <w:rPr>
          <w:b/>
          <w:szCs w:val="22"/>
        </w:rPr>
        <w:t>11</w:t>
      </w:r>
      <w:r w:rsidR="00F80FFB" w:rsidRPr="00D27120">
        <w:rPr>
          <w:b/>
          <w:szCs w:val="22"/>
        </w:rPr>
        <w:t>, 2015</w:t>
      </w:r>
    </w:p>
    <w:p w:rsidR="00F80FFB" w:rsidRPr="00D27120" w:rsidRDefault="00F80FFB" w:rsidP="00F80FFB">
      <w:pPr>
        <w:pStyle w:val="NoSpacing"/>
        <w:rPr>
          <w:b/>
          <w:szCs w:val="22"/>
        </w:rPr>
      </w:pPr>
      <w:r w:rsidRPr="00D27120">
        <w:rPr>
          <w:b/>
          <w:szCs w:val="22"/>
        </w:rPr>
        <w:t xml:space="preserve">Reply Comments Due:  </w:t>
      </w:r>
      <w:r w:rsidR="0056768B" w:rsidRPr="00D27120">
        <w:rPr>
          <w:b/>
          <w:szCs w:val="22"/>
        </w:rPr>
        <w:t>September</w:t>
      </w:r>
      <w:r w:rsidR="00655B3B" w:rsidRPr="00D27120">
        <w:rPr>
          <w:b/>
          <w:szCs w:val="22"/>
        </w:rPr>
        <w:t xml:space="preserve"> </w:t>
      </w:r>
      <w:r w:rsidR="009B1A42">
        <w:rPr>
          <w:b/>
          <w:szCs w:val="22"/>
        </w:rPr>
        <w:t>18</w:t>
      </w:r>
      <w:r w:rsidRPr="00D27120">
        <w:rPr>
          <w:b/>
          <w:szCs w:val="22"/>
        </w:rPr>
        <w:t>, 2015</w:t>
      </w:r>
    </w:p>
    <w:p w:rsidR="00F80FFB" w:rsidRPr="00D27120" w:rsidRDefault="00F80FFB" w:rsidP="00F80FFB">
      <w:pPr>
        <w:pStyle w:val="NoSpacing"/>
        <w:rPr>
          <w:szCs w:val="22"/>
        </w:rPr>
      </w:pPr>
    </w:p>
    <w:p w:rsidR="00C6038C" w:rsidRPr="00D27120" w:rsidRDefault="005007B4" w:rsidP="00C6038C">
      <w:pPr>
        <w:spacing w:after="240"/>
        <w:ind w:firstLine="720"/>
        <w:rPr>
          <w:szCs w:val="22"/>
        </w:rPr>
      </w:pPr>
      <w:r>
        <w:rPr>
          <w:szCs w:val="22"/>
        </w:rPr>
        <w:t xml:space="preserve">On August 18, 2015, </w:t>
      </w:r>
      <w:r w:rsidR="003664FF">
        <w:rPr>
          <w:szCs w:val="22"/>
        </w:rPr>
        <w:t>opticAccess, LLC (opticAccess) and Integra Telecom Holdings, Inc. (Integra)</w:t>
      </w:r>
      <w:r w:rsidR="00321B06" w:rsidRPr="00D27120">
        <w:rPr>
          <w:szCs w:val="22"/>
        </w:rPr>
        <w:t xml:space="preserve"> </w:t>
      </w:r>
      <w:r w:rsidR="00F80FFB" w:rsidRPr="00D27120">
        <w:rPr>
          <w:szCs w:val="22"/>
        </w:rPr>
        <w:t xml:space="preserve">(together, Applicants) filed an application pursuant to section 214 of the Communications Act of 1934, as amended (Act), and section 63.03 of the Commission’s rules, requesting </w:t>
      </w:r>
      <w:r w:rsidR="0009126E">
        <w:rPr>
          <w:szCs w:val="22"/>
        </w:rPr>
        <w:t xml:space="preserve">consent </w:t>
      </w:r>
      <w:r w:rsidR="00321B06" w:rsidRPr="00D27120">
        <w:rPr>
          <w:szCs w:val="22"/>
        </w:rPr>
        <w:t xml:space="preserve">to </w:t>
      </w:r>
      <w:r w:rsidR="00F80FFB" w:rsidRPr="00D27120">
        <w:rPr>
          <w:szCs w:val="22"/>
        </w:rPr>
        <w:t>transfer</w:t>
      </w:r>
      <w:r w:rsidR="00FC73A8">
        <w:rPr>
          <w:szCs w:val="22"/>
        </w:rPr>
        <w:t xml:space="preserve"> ultimate</w:t>
      </w:r>
      <w:r w:rsidR="00F80FFB" w:rsidRPr="00D27120">
        <w:rPr>
          <w:szCs w:val="22"/>
        </w:rPr>
        <w:t xml:space="preserve"> control of</w:t>
      </w:r>
      <w:r w:rsidR="00FC73A8">
        <w:rPr>
          <w:szCs w:val="22"/>
        </w:rPr>
        <w:t xml:space="preserve"> opticAccess to Integra</w:t>
      </w:r>
      <w:r w:rsidR="00F80FFB" w:rsidRPr="00D27120">
        <w:rPr>
          <w:szCs w:val="22"/>
        </w:rPr>
        <w:t>.</w:t>
      </w:r>
      <w:r w:rsidR="00F80FFB" w:rsidRPr="00D27120">
        <w:rPr>
          <w:rStyle w:val="FootnoteReference"/>
          <w:szCs w:val="22"/>
        </w:rPr>
        <w:footnoteReference w:id="1"/>
      </w:r>
      <w:r w:rsidR="00F80FFB" w:rsidRPr="00D27120">
        <w:rPr>
          <w:szCs w:val="22"/>
        </w:rPr>
        <w:t xml:space="preserve">    </w:t>
      </w:r>
    </w:p>
    <w:p w:rsidR="009A7FBD" w:rsidRPr="00E1161E" w:rsidRDefault="006429B2" w:rsidP="00E1161E">
      <w:pPr>
        <w:autoSpaceDE w:val="0"/>
        <w:autoSpaceDN w:val="0"/>
        <w:adjustRightInd w:val="0"/>
        <w:ind w:firstLine="720"/>
        <w:rPr>
          <w:szCs w:val="22"/>
        </w:rPr>
      </w:pPr>
      <w:r>
        <w:t>opticAccess</w:t>
      </w:r>
      <w:r w:rsidR="00205B87" w:rsidRPr="00D27120">
        <w:t>,</w:t>
      </w:r>
      <w:r w:rsidR="00C6038C" w:rsidRPr="00D27120">
        <w:t xml:space="preserve"> a </w:t>
      </w:r>
      <w:r>
        <w:t xml:space="preserve">Nevada </w:t>
      </w:r>
      <w:r w:rsidRPr="006429B2">
        <w:t xml:space="preserve">privately-owned limited- liability </w:t>
      </w:r>
      <w:r>
        <w:t>company</w:t>
      </w:r>
      <w:r w:rsidR="0056768B" w:rsidRPr="00D27120">
        <w:t>,</w:t>
      </w:r>
      <w:r w:rsidR="00205B87" w:rsidRPr="00D27120">
        <w:t xml:space="preserve"> </w:t>
      </w:r>
      <w:r w:rsidRPr="006429B2">
        <w:t xml:space="preserve">is authorized to provide resold and facilities-based local exchange </w:t>
      </w:r>
      <w:r w:rsidR="00A3589F">
        <w:t xml:space="preserve">carrier (LEC) and interexchange </w:t>
      </w:r>
      <w:r w:rsidRPr="006429B2">
        <w:t>service</w:t>
      </w:r>
      <w:r w:rsidR="00A3589F">
        <w:t>s</w:t>
      </w:r>
      <w:r w:rsidR="00AE3CBB">
        <w:t xml:space="preserve"> </w:t>
      </w:r>
      <w:r w:rsidR="00A3589F">
        <w:rPr>
          <w:szCs w:val="22"/>
        </w:rPr>
        <w:t xml:space="preserve">in </w:t>
      </w:r>
      <w:r w:rsidRPr="00E1161E">
        <w:rPr>
          <w:szCs w:val="22"/>
        </w:rPr>
        <w:t xml:space="preserve">California. </w:t>
      </w:r>
      <w:r w:rsidR="00AE3CBB">
        <w:rPr>
          <w:szCs w:val="22"/>
        </w:rPr>
        <w:t xml:space="preserve"> </w:t>
      </w:r>
      <w:r w:rsidR="009A7FBD" w:rsidRPr="00E1161E">
        <w:rPr>
          <w:szCs w:val="22"/>
        </w:rPr>
        <w:t>opticAccess</w:t>
      </w:r>
      <w:r w:rsidRPr="00E1161E">
        <w:rPr>
          <w:szCs w:val="22"/>
        </w:rPr>
        <w:t xml:space="preserve"> is also authorized as a competitive telecommunications provider in Oregon.</w:t>
      </w:r>
      <w:r w:rsidR="00305EAF" w:rsidRPr="00E1161E">
        <w:rPr>
          <w:szCs w:val="22"/>
        </w:rPr>
        <w:t xml:space="preserve">  </w:t>
      </w:r>
    </w:p>
    <w:p w:rsidR="009A7FBD" w:rsidRDefault="009A7FBD" w:rsidP="006429B2">
      <w:pPr>
        <w:ind w:firstLine="720"/>
      </w:pPr>
    </w:p>
    <w:p w:rsidR="009A7FBD" w:rsidRDefault="009A7FBD" w:rsidP="006429B2">
      <w:pPr>
        <w:ind w:firstLine="720"/>
      </w:pPr>
      <w:r w:rsidRPr="009A7FBD">
        <w:t xml:space="preserve">Integra, an Oregon corporation, is a wholly owned subsidiary of Integra Telecom, Inc., an Oregon corporation.  Integra Telecom, Inc. is a wholly owned subsidiary of Integra Telecom Parent, Inc. (Integra Parent), a Delaware corporation.  Applicants state that Integra has several wholly owned subsidiaries that provide competitive LEC and long distance voice, data, and Internet services in Arizona, California, Colorado, Idaho, Minnesota, Montana, Nevada, North Dakota, Oregon, Utah, and Washington.  </w:t>
      </w:r>
    </w:p>
    <w:p w:rsidR="00515FB3" w:rsidRPr="00D27120" w:rsidRDefault="00515FB3" w:rsidP="00C6038C">
      <w:pPr>
        <w:autoSpaceDE w:val="0"/>
        <w:autoSpaceDN w:val="0"/>
        <w:adjustRightInd w:val="0"/>
        <w:ind w:firstLine="720"/>
        <w:rPr>
          <w:szCs w:val="22"/>
        </w:rPr>
      </w:pPr>
    </w:p>
    <w:p w:rsidR="005A5CC8" w:rsidRDefault="005A5CC8" w:rsidP="00E21EC9">
      <w:pPr>
        <w:autoSpaceDE w:val="0"/>
        <w:autoSpaceDN w:val="0"/>
        <w:adjustRightInd w:val="0"/>
        <w:ind w:firstLine="720"/>
        <w:rPr>
          <w:szCs w:val="22"/>
        </w:rPr>
      </w:pPr>
      <w:r w:rsidRPr="005A5CC8">
        <w:rPr>
          <w:szCs w:val="22"/>
        </w:rPr>
        <w:t>Applicants state that the following entities own a 10</w:t>
      </w:r>
      <w:r>
        <w:rPr>
          <w:szCs w:val="22"/>
        </w:rPr>
        <w:t xml:space="preserve"> percent</w:t>
      </w:r>
      <w:r w:rsidRPr="005A5CC8">
        <w:rPr>
          <w:szCs w:val="22"/>
        </w:rPr>
        <w:t xml:space="preserve"> or greater direct or indirect interest in Integra Parent:</w:t>
      </w:r>
      <w:bookmarkStart w:id="2" w:name="sp_999_5"/>
      <w:bookmarkStart w:id="3" w:name="SDU_5"/>
      <w:bookmarkEnd w:id="2"/>
      <w:bookmarkEnd w:id="3"/>
      <w:r w:rsidRPr="005A5CC8">
        <w:rPr>
          <w:szCs w:val="22"/>
        </w:rPr>
        <w:t xml:space="preserve">  (1) Searchlight Capital Partners GP, LP (Searchlight), a Delaware limited partnership, is the general partner to the Searchlight Fun</w:t>
      </w:r>
      <w:r w:rsidR="00B427D3">
        <w:rPr>
          <w:szCs w:val="22"/>
        </w:rPr>
        <w:t>ds which collectively hold 36.3</w:t>
      </w:r>
      <w:r w:rsidRPr="005A5CC8">
        <w:rPr>
          <w:szCs w:val="22"/>
        </w:rPr>
        <w:t xml:space="preserve"> percent of the common stock of </w:t>
      </w:r>
      <w:bookmarkStart w:id="4" w:name="SR;2579"/>
      <w:bookmarkEnd w:id="4"/>
      <w:r w:rsidRPr="005A5CC8">
        <w:rPr>
          <w:szCs w:val="22"/>
        </w:rPr>
        <w:t>Integra Parent.  The following individual Searchlight Funds, all Delaware limited partnerships, hold equity interests in </w:t>
      </w:r>
      <w:bookmarkStart w:id="5" w:name="SR;2595"/>
      <w:bookmarkEnd w:id="5"/>
      <w:r w:rsidRPr="005A5CC8">
        <w:rPr>
          <w:szCs w:val="22"/>
        </w:rPr>
        <w:t>Integra Parent:  S</w:t>
      </w:r>
      <w:r w:rsidR="00B427D3">
        <w:rPr>
          <w:szCs w:val="22"/>
        </w:rPr>
        <w:t>earchlight Capital PV, LP (17.3</w:t>
      </w:r>
      <w:r w:rsidRPr="005A5CC8">
        <w:rPr>
          <w:szCs w:val="22"/>
        </w:rPr>
        <w:t xml:space="preserve"> percent); Searchlight Capital, LP (9.8 percent); Searchligh</w:t>
      </w:r>
      <w:r w:rsidR="00B427D3">
        <w:rPr>
          <w:szCs w:val="22"/>
        </w:rPr>
        <w:t>t Capital (FC) AIV, LP (7.4</w:t>
      </w:r>
      <w:r w:rsidRPr="005A5CC8">
        <w:rPr>
          <w:szCs w:val="22"/>
        </w:rPr>
        <w:t xml:space="preserve"> percent); and Searchlight/SI</w:t>
      </w:r>
      <w:r w:rsidR="00B427D3">
        <w:rPr>
          <w:szCs w:val="22"/>
        </w:rPr>
        <w:t>P Holdco SPV III (BLZ), LP (1.9</w:t>
      </w:r>
      <w:r w:rsidRPr="005A5CC8">
        <w:rPr>
          <w:szCs w:val="22"/>
        </w:rPr>
        <w:t xml:space="preserve"> percent).  Applicants state that no equity holder in any of the Searchlight Funds will have a 10 </w:t>
      </w:r>
      <w:r w:rsidRPr="005A5CC8">
        <w:rPr>
          <w:szCs w:val="22"/>
        </w:rPr>
        <w:lastRenderedPageBreak/>
        <w:t>percent or greater ownership interest in </w:t>
      </w:r>
      <w:bookmarkStart w:id="6" w:name="SR;2645"/>
      <w:bookmarkEnd w:id="6"/>
      <w:r w:rsidRPr="005A5CC8">
        <w:rPr>
          <w:szCs w:val="22"/>
        </w:rPr>
        <w:t>Integra</w:t>
      </w:r>
      <w:bookmarkStart w:id="7" w:name="citeas((Cite_as:_2014_WL_3778504,_*6_(F."/>
      <w:bookmarkEnd w:id="7"/>
      <w:r w:rsidRPr="005A5CC8">
        <w:rPr>
          <w:szCs w:val="22"/>
        </w:rPr>
        <w:t>.</w:t>
      </w:r>
      <w:r w:rsidR="0032475C">
        <w:rPr>
          <w:rStyle w:val="FootnoteReference"/>
          <w:szCs w:val="22"/>
        </w:rPr>
        <w:footnoteReference w:id="2"/>
      </w:r>
      <w:r w:rsidR="00D91896">
        <w:rPr>
          <w:szCs w:val="22"/>
        </w:rPr>
        <w:t xml:space="preserve">  </w:t>
      </w:r>
      <w:r w:rsidR="009D2374" w:rsidRPr="009D2374">
        <w:rPr>
          <w:szCs w:val="22"/>
        </w:rPr>
        <w:t>(2) Tennenbaum Capital Partners, LLC (Tennenbaum), a Delaware limited liability company, is the investment manager to the Tennenbaum Funds wh</w:t>
      </w:r>
      <w:r w:rsidR="00B427D3">
        <w:rPr>
          <w:szCs w:val="22"/>
        </w:rPr>
        <w:t>ich in aggregate will hold 21.8</w:t>
      </w:r>
      <w:r w:rsidR="009D2374" w:rsidRPr="009D2374">
        <w:rPr>
          <w:szCs w:val="22"/>
        </w:rPr>
        <w:t xml:space="preserve"> percent of the common stock of </w:t>
      </w:r>
      <w:bookmarkStart w:id="8" w:name="SR;2678"/>
      <w:bookmarkEnd w:id="8"/>
      <w:r w:rsidR="009D2374" w:rsidRPr="009D2374">
        <w:rPr>
          <w:szCs w:val="22"/>
        </w:rPr>
        <w:t>Integra Parent.  The following Tennenbaum Funds, all Delaware entities, hold equity interests in</w:t>
      </w:r>
      <w:bookmarkStart w:id="9" w:name="SR;2693"/>
      <w:bookmarkEnd w:id="9"/>
      <w:r w:rsidR="009D2374" w:rsidRPr="009D2374">
        <w:rPr>
          <w:szCs w:val="22"/>
        </w:rPr>
        <w:t xml:space="preserve"> Integra Parent:  Special Value</w:t>
      </w:r>
      <w:r w:rsidR="00B427D3">
        <w:rPr>
          <w:szCs w:val="22"/>
        </w:rPr>
        <w:t xml:space="preserve"> Continuation Partners, LP (1.3</w:t>
      </w:r>
      <w:r w:rsidR="009D2374" w:rsidRPr="009D2374">
        <w:rPr>
          <w:szCs w:val="22"/>
        </w:rPr>
        <w:t xml:space="preserve"> percent); Special</w:t>
      </w:r>
      <w:r w:rsidR="00B427D3">
        <w:rPr>
          <w:szCs w:val="22"/>
        </w:rPr>
        <w:t xml:space="preserve"> Value Expansion Fund, LLC (4.8</w:t>
      </w:r>
      <w:r w:rsidR="009D2374" w:rsidRPr="009D2374">
        <w:rPr>
          <w:szCs w:val="22"/>
        </w:rPr>
        <w:t xml:space="preserve"> percent); Special Val</w:t>
      </w:r>
      <w:r w:rsidR="00B427D3">
        <w:rPr>
          <w:szCs w:val="22"/>
        </w:rPr>
        <w:t>ue Opportunities Fund, LLC (5.7</w:t>
      </w:r>
      <w:r w:rsidR="009D2374" w:rsidRPr="009D2374">
        <w:rPr>
          <w:szCs w:val="22"/>
        </w:rPr>
        <w:t xml:space="preserve"> percent), and Tennenbaum Opp</w:t>
      </w:r>
      <w:r w:rsidR="00B427D3">
        <w:rPr>
          <w:szCs w:val="22"/>
        </w:rPr>
        <w:t>ortunities Partners V, LP (10.1</w:t>
      </w:r>
      <w:r w:rsidR="009D2374" w:rsidRPr="009D2374">
        <w:rPr>
          <w:szCs w:val="22"/>
        </w:rPr>
        <w:t xml:space="preserve"> percent).  Tennenbaum Opportunities Fund V, LLC, a Delaware limited company, owns 100 percent of the limited partnership interests in Tennenbaum Opportunities Partners V, LP</w:t>
      </w:r>
      <w:bookmarkStart w:id="10" w:name="SR;2765"/>
      <w:bookmarkEnd w:id="10"/>
      <w:r w:rsidR="009D2374" w:rsidRPr="009D2374">
        <w:rPr>
          <w:szCs w:val="22"/>
        </w:rPr>
        <w:t>.  Applicants state that no other equity holders in any of the Tennenbaum Funds will have in aggregate a 10 percent or greater ownership interest in </w:t>
      </w:r>
      <w:bookmarkStart w:id="11" w:name="SR;2786"/>
      <w:bookmarkEnd w:id="11"/>
      <w:r w:rsidR="009D2374" w:rsidRPr="009D2374">
        <w:rPr>
          <w:szCs w:val="22"/>
        </w:rPr>
        <w:t>Integra.</w:t>
      </w:r>
      <w:r w:rsidR="009D2374">
        <w:rPr>
          <w:szCs w:val="22"/>
        </w:rPr>
        <w:t xml:space="preserve">  </w:t>
      </w:r>
      <w:r w:rsidR="009D2374" w:rsidRPr="009D2374">
        <w:rPr>
          <w:szCs w:val="22"/>
        </w:rPr>
        <w:t>(3) Farallon Capital Management, LLC (Farallon), a Delaware limited liability company, is the investment manager to the Farallon Funds, which in aggregate will hold 17.7</w:t>
      </w:r>
      <w:r w:rsidR="00D91896" w:rsidRPr="00D91896">
        <w:rPr>
          <w:sz w:val="20"/>
        </w:rPr>
        <w:t xml:space="preserve"> </w:t>
      </w:r>
      <w:r w:rsidR="00D91896" w:rsidRPr="00D91896">
        <w:rPr>
          <w:szCs w:val="22"/>
        </w:rPr>
        <w:t xml:space="preserve">percent </w:t>
      </w:r>
      <w:r w:rsidR="009D2374" w:rsidRPr="009D2374">
        <w:rPr>
          <w:szCs w:val="22"/>
        </w:rPr>
        <w:t>of the common stock of Integra</w:t>
      </w:r>
      <w:bookmarkStart w:id="12" w:name="SR;2815"/>
      <w:bookmarkEnd w:id="12"/>
      <w:r w:rsidR="009D2374" w:rsidRPr="009D2374">
        <w:rPr>
          <w:szCs w:val="22"/>
        </w:rPr>
        <w:t xml:space="preserve"> Parent.</w:t>
      </w:r>
      <w:r w:rsidR="002A2546">
        <w:rPr>
          <w:rStyle w:val="FootnoteReference"/>
          <w:szCs w:val="22"/>
        </w:rPr>
        <w:footnoteReference w:id="3"/>
      </w:r>
      <w:r w:rsidR="009D2374" w:rsidRPr="009D2374">
        <w:rPr>
          <w:szCs w:val="22"/>
        </w:rPr>
        <w:t xml:space="preserve">  Applicants state that no equity holders in any of the Farallon Funds will have a 10 percent or greater ownership interest in</w:t>
      </w:r>
      <w:bookmarkStart w:id="13" w:name="SR;2988"/>
      <w:bookmarkEnd w:id="13"/>
      <w:r w:rsidR="009D2374" w:rsidRPr="009D2374">
        <w:rPr>
          <w:szCs w:val="22"/>
        </w:rPr>
        <w:t xml:space="preserve"> Integra.</w:t>
      </w:r>
    </w:p>
    <w:p w:rsidR="005A5CC8" w:rsidRDefault="005A5CC8" w:rsidP="00E21EC9">
      <w:pPr>
        <w:autoSpaceDE w:val="0"/>
        <w:autoSpaceDN w:val="0"/>
        <w:adjustRightInd w:val="0"/>
        <w:ind w:firstLine="720"/>
        <w:rPr>
          <w:szCs w:val="22"/>
        </w:rPr>
      </w:pPr>
    </w:p>
    <w:p w:rsidR="00F80FFB" w:rsidRPr="00D27120" w:rsidRDefault="00BE4CFF" w:rsidP="005F1B83">
      <w:pPr>
        <w:autoSpaceDE w:val="0"/>
        <w:autoSpaceDN w:val="0"/>
        <w:adjustRightInd w:val="0"/>
        <w:ind w:firstLine="720"/>
        <w:rPr>
          <w:szCs w:val="22"/>
        </w:rPr>
      </w:pPr>
      <w:r w:rsidRPr="00BE4CFF">
        <w:rPr>
          <w:szCs w:val="22"/>
        </w:rPr>
        <w:t xml:space="preserve">Pursuant to the terms of the proposed transaction, Integra will purchase the equity of </w:t>
      </w:r>
      <w:r>
        <w:rPr>
          <w:szCs w:val="22"/>
        </w:rPr>
        <w:t>opticAccess</w:t>
      </w:r>
      <w:r w:rsidRPr="00BE4CFF">
        <w:rPr>
          <w:szCs w:val="22"/>
        </w:rPr>
        <w:t xml:space="preserve">, and </w:t>
      </w:r>
      <w:r w:rsidR="005F1B83">
        <w:rPr>
          <w:szCs w:val="22"/>
        </w:rPr>
        <w:t>opticAccess</w:t>
      </w:r>
      <w:r w:rsidRPr="00BE4CFF">
        <w:rPr>
          <w:szCs w:val="22"/>
        </w:rPr>
        <w:t xml:space="preserve"> will become a wholly owned subsidiary of Integra, which will continue to be wholly owned by Integra Telecom, Inc., which will continue to be wholly owned by Integra</w:t>
      </w:r>
      <w:r w:rsidR="005F1B83">
        <w:rPr>
          <w:szCs w:val="22"/>
        </w:rPr>
        <w:t xml:space="preserve"> Telecom</w:t>
      </w:r>
      <w:r w:rsidRPr="00BE4CFF">
        <w:rPr>
          <w:szCs w:val="22"/>
        </w:rPr>
        <w:t xml:space="preserve"> Parent</w:t>
      </w:r>
      <w:r w:rsidR="005F1B83">
        <w:rPr>
          <w:szCs w:val="22"/>
        </w:rPr>
        <w:t>, Inc.</w:t>
      </w:r>
      <w:r w:rsidR="00E21EC9" w:rsidRPr="00D27120">
        <w:rPr>
          <w:szCs w:val="22"/>
        </w:rPr>
        <w:t xml:space="preserve"> </w:t>
      </w:r>
      <w:r w:rsidR="00F80FFB" w:rsidRPr="00D27120">
        <w:rPr>
          <w:szCs w:val="22"/>
        </w:rPr>
        <w:t>Applicants assert that the proposed transaction is entitled to presumptive streamlined treatment under section</w:t>
      </w:r>
      <w:r w:rsidR="002E2641" w:rsidRPr="00D27120">
        <w:rPr>
          <w:szCs w:val="22"/>
        </w:rPr>
        <w:t xml:space="preserve"> 63.03(b)(2)(i</w:t>
      </w:r>
      <w:r w:rsidR="00F80FFB" w:rsidRPr="00D27120">
        <w:rPr>
          <w:szCs w:val="22"/>
        </w:rPr>
        <w:t>) of the Commission’s rules and that a grant of the application will serve the public interest, convenience, and necessity.</w:t>
      </w:r>
      <w:r w:rsidR="00F80FFB" w:rsidRPr="00D27120">
        <w:rPr>
          <w:rStyle w:val="FootnoteReference"/>
          <w:szCs w:val="22"/>
        </w:rPr>
        <w:footnoteReference w:id="4"/>
      </w:r>
      <w:r w:rsidR="00F80FFB" w:rsidRPr="00D27120">
        <w:rPr>
          <w:szCs w:val="22"/>
        </w:rPr>
        <w:t xml:space="preserve">  </w:t>
      </w:r>
    </w:p>
    <w:p w:rsidR="004C5F29" w:rsidRPr="00D27120" w:rsidRDefault="004C5F29" w:rsidP="009D12E7">
      <w:pPr>
        <w:autoSpaceDE w:val="0"/>
        <w:autoSpaceDN w:val="0"/>
        <w:adjustRightInd w:val="0"/>
        <w:ind w:firstLine="720"/>
        <w:rPr>
          <w:szCs w:val="22"/>
        </w:rPr>
      </w:pPr>
    </w:p>
    <w:p w:rsidR="00E21EC9" w:rsidRPr="00D27120" w:rsidRDefault="00F80FFB" w:rsidP="00E21EC9">
      <w:pPr>
        <w:autoSpaceDE w:val="0"/>
        <w:autoSpaceDN w:val="0"/>
        <w:adjustRightInd w:val="0"/>
        <w:ind w:left="720"/>
        <w:rPr>
          <w:szCs w:val="22"/>
        </w:rPr>
      </w:pPr>
      <w:r w:rsidRPr="00D27120">
        <w:rPr>
          <w:szCs w:val="22"/>
        </w:rPr>
        <w:t xml:space="preserve">Domestic Section 214 Application Filed for the Transfer of Control of </w:t>
      </w:r>
      <w:r w:rsidR="005F1B83">
        <w:rPr>
          <w:szCs w:val="22"/>
        </w:rPr>
        <w:t>opticAccess</w:t>
      </w:r>
      <w:r w:rsidR="002A2546">
        <w:rPr>
          <w:szCs w:val="22"/>
        </w:rPr>
        <w:t>, LLC</w:t>
      </w:r>
      <w:r w:rsidR="00E21EC9" w:rsidRPr="00D27120">
        <w:rPr>
          <w:szCs w:val="22"/>
        </w:rPr>
        <w:t xml:space="preserve"> </w:t>
      </w:r>
    </w:p>
    <w:p w:rsidR="00F80FFB" w:rsidRPr="00D27120" w:rsidRDefault="00E21EC9" w:rsidP="00E21EC9">
      <w:pPr>
        <w:autoSpaceDE w:val="0"/>
        <w:autoSpaceDN w:val="0"/>
        <w:adjustRightInd w:val="0"/>
        <w:ind w:left="720"/>
        <w:rPr>
          <w:szCs w:val="22"/>
        </w:rPr>
      </w:pPr>
      <w:r w:rsidRPr="00D27120">
        <w:rPr>
          <w:szCs w:val="22"/>
        </w:rPr>
        <w:t xml:space="preserve">to </w:t>
      </w:r>
      <w:r w:rsidR="005F1B83" w:rsidRPr="005F1B83">
        <w:rPr>
          <w:szCs w:val="22"/>
        </w:rPr>
        <w:t>Integra Telecom Holdings, Inc.</w:t>
      </w:r>
      <w:r w:rsidR="00F80FFB" w:rsidRPr="00D27120">
        <w:rPr>
          <w:szCs w:val="22"/>
        </w:rPr>
        <w:t>, WC</w:t>
      </w:r>
      <w:r w:rsidR="00515FB3" w:rsidRPr="00D27120">
        <w:rPr>
          <w:szCs w:val="22"/>
        </w:rPr>
        <w:t xml:space="preserve"> Docket No. 15-</w:t>
      </w:r>
      <w:r w:rsidR="00B558E7">
        <w:rPr>
          <w:szCs w:val="22"/>
        </w:rPr>
        <w:t>202</w:t>
      </w:r>
      <w:r w:rsidR="00F80FFB" w:rsidRPr="00D27120">
        <w:rPr>
          <w:szCs w:val="22"/>
        </w:rPr>
        <w:t xml:space="preserve"> (filed </w:t>
      </w:r>
      <w:r w:rsidRPr="00D27120">
        <w:rPr>
          <w:szCs w:val="22"/>
        </w:rPr>
        <w:t>Aug.</w:t>
      </w:r>
      <w:r w:rsidR="00F80FFB" w:rsidRPr="00D27120">
        <w:rPr>
          <w:szCs w:val="22"/>
        </w:rPr>
        <w:t xml:space="preserve"> </w:t>
      </w:r>
      <w:r w:rsidR="00B427D3">
        <w:rPr>
          <w:szCs w:val="22"/>
        </w:rPr>
        <w:t>18</w:t>
      </w:r>
      <w:r w:rsidR="00F80FFB" w:rsidRPr="00D27120">
        <w:rPr>
          <w:szCs w:val="22"/>
        </w:rPr>
        <w:t>, 2015).</w:t>
      </w:r>
    </w:p>
    <w:p w:rsidR="00F80FFB" w:rsidRPr="00D27120" w:rsidRDefault="00F80FFB" w:rsidP="00F80FFB">
      <w:pPr>
        <w:autoSpaceDE w:val="0"/>
        <w:autoSpaceDN w:val="0"/>
        <w:adjustRightInd w:val="0"/>
        <w:ind w:left="720"/>
        <w:rPr>
          <w:szCs w:val="22"/>
        </w:rPr>
      </w:pPr>
    </w:p>
    <w:p w:rsidR="00F80FFB" w:rsidRPr="00D27120" w:rsidRDefault="00F80FFB" w:rsidP="00F80FFB">
      <w:pPr>
        <w:ind w:right="720"/>
        <w:rPr>
          <w:szCs w:val="22"/>
        </w:rPr>
      </w:pPr>
      <w:r w:rsidRPr="00D27120">
        <w:rPr>
          <w:b/>
          <w:szCs w:val="22"/>
          <w:u w:val="single"/>
        </w:rPr>
        <w:t>GENERAL INFORMATION</w:t>
      </w:r>
    </w:p>
    <w:p w:rsidR="00F80FFB" w:rsidRPr="00D27120" w:rsidRDefault="00F80FFB" w:rsidP="00F80FFB">
      <w:pPr>
        <w:ind w:right="720"/>
        <w:rPr>
          <w:szCs w:val="22"/>
        </w:rPr>
      </w:pPr>
    </w:p>
    <w:p w:rsidR="00F80FFB" w:rsidRPr="00D27120" w:rsidRDefault="00F80FFB" w:rsidP="00F80FFB">
      <w:pPr>
        <w:ind w:firstLine="720"/>
        <w:rPr>
          <w:szCs w:val="22"/>
        </w:rPr>
      </w:pPr>
      <w:r w:rsidRPr="00D27120">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655B3B" w:rsidRPr="00D27120">
        <w:rPr>
          <w:b/>
          <w:szCs w:val="22"/>
        </w:rPr>
        <w:t xml:space="preserve">on or before </w:t>
      </w:r>
      <w:r w:rsidR="005F1B83">
        <w:rPr>
          <w:b/>
          <w:szCs w:val="22"/>
        </w:rPr>
        <w:t>September</w:t>
      </w:r>
      <w:r w:rsidRPr="00D27120">
        <w:rPr>
          <w:b/>
          <w:szCs w:val="22"/>
        </w:rPr>
        <w:t xml:space="preserve"> </w:t>
      </w:r>
      <w:r w:rsidR="005E6A88">
        <w:rPr>
          <w:b/>
          <w:szCs w:val="22"/>
        </w:rPr>
        <w:t>11</w:t>
      </w:r>
      <w:r w:rsidRPr="00D27120">
        <w:rPr>
          <w:b/>
          <w:szCs w:val="22"/>
        </w:rPr>
        <w:t>, 2015</w:t>
      </w:r>
      <w:r w:rsidRPr="00D27120">
        <w:rPr>
          <w:szCs w:val="22"/>
        </w:rPr>
        <w:t xml:space="preserve">, and reply comments </w:t>
      </w:r>
      <w:r w:rsidRPr="00D27120">
        <w:rPr>
          <w:b/>
          <w:szCs w:val="22"/>
        </w:rPr>
        <w:t xml:space="preserve">on or before </w:t>
      </w:r>
      <w:r w:rsidR="0056768B" w:rsidRPr="00D27120">
        <w:rPr>
          <w:b/>
          <w:szCs w:val="22"/>
        </w:rPr>
        <w:t>September</w:t>
      </w:r>
      <w:r w:rsidRPr="00D27120">
        <w:rPr>
          <w:b/>
          <w:szCs w:val="22"/>
        </w:rPr>
        <w:t xml:space="preserve"> </w:t>
      </w:r>
      <w:r w:rsidR="005E6A88">
        <w:rPr>
          <w:b/>
          <w:szCs w:val="22"/>
        </w:rPr>
        <w:t>18</w:t>
      </w:r>
      <w:r w:rsidRPr="00D27120">
        <w:rPr>
          <w:b/>
          <w:szCs w:val="22"/>
        </w:rPr>
        <w:t>, 2015</w:t>
      </w:r>
      <w:r w:rsidRPr="00D27120">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D27120" w:rsidRDefault="00F80FFB" w:rsidP="00F80FFB">
      <w:pPr>
        <w:rPr>
          <w:szCs w:val="22"/>
        </w:rPr>
      </w:pPr>
    </w:p>
    <w:p w:rsidR="00F80FFB" w:rsidRPr="00D27120" w:rsidRDefault="00F80FFB" w:rsidP="00F80FFB">
      <w:pPr>
        <w:ind w:firstLine="720"/>
        <w:rPr>
          <w:szCs w:val="22"/>
        </w:rPr>
      </w:pPr>
      <w:r w:rsidRPr="00D27120">
        <w:rPr>
          <w:szCs w:val="22"/>
        </w:rPr>
        <w:t xml:space="preserve">Pursuant to section 63.03 of the Commission’s rules, 47 CFR § 63.03, parties to this proceeding should file any documents in this proceeding using the Commission’s Electronic Comment Filing System (ECFS):  http://apps.fcc.gov/ecfs/.  </w:t>
      </w:r>
    </w:p>
    <w:p w:rsidR="00F80FFB" w:rsidRPr="00D27120" w:rsidRDefault="00F80FFB" w:rsidP="00F80FFB">
      <w:pPr>
        <w:rPr>
          <w:szCs w:val="22"/>
        </w:rPr>
      </w:pPr>
    </w:p>
    <w:p w:rsidR="00F80FFB" w:rsidRPr="00D27120" w:rsidRDefault="00F80FFB" w:rsidP="00F80FFB">
      <w:pPr>
        <w:rPr>
          <w:b/>
          <w:szCs w:val="22"/>
        </w:rPr>
      </w:pPr>
      <w:r w:rsidRPr="00D27120">
        <w:rPr>
          <w:b/>
          <w:szCs w:val="22"/>
        </w:rPr>
        <w:t>In addition, e-mail one copy of each pleading to each of the following:</w:t>
      </w:r>
    </w:p>
    <w:p w:rsidR="00F80FFB" w:rsidRPr="00D27120" w:rsidRDefault="00F80FFB" w:rsidP="00F80FFB">
      <w:pPr>
        <w:rPr>
          <w:szCs w:val="22"/>
        </w:rPr>
      </w:pPr>
    </w:p>
    <w:p w:rsidR="00F80FFB" w:rsidRPr="00D27120" w:rsidRDefault="008A1274" w:rsidP="00F80FFB">
      <w:pPr>
        <w:numPr>
          <w:ilvl w:val="0"/>
          <w:numId w:val="18"/>
        </w:numPr>
        <w:rPr>
          <w:szCs w:val="22"/>
        </w:rPr>
      </w:pPr>
      <w:r w:rsidRPr="00D27120">
        <w:rPr>
          <w:szCs w:val="22"/>
        </w:rPr>
        <w:t>Myrva Freeman</w:t>
      </w:r>
      <w:r w:rsidR="00F80FFB" w:rsidRPr="00D27120">
        <w:rPr>
          <w:szCs w:val="22"/>
        </w:rPr>
        <w:t xml:space="preserve">, Competition Policy Division, Wireline Competition Bureau,  </w:t>
      </w:r>
      <w:r w:rsidRPr="00D27120">
        <w:rPr>
          <w:szCs w:val="22"/>
        </w:rPr>
        <w:t>myrva.freeman</w:t>
      </w:r>
      <w:r w:rsidR="00F80FFB" w:rsidRPr="00D27120">
        <w:rPr>
          <w:szCs w:val="22"/>
        </w:rPr>
        <w:t>@fcc.gov;</w:t>
      </w:r>
    </w:p>
    <w:p w:rsidR="00F80FFB" w:rsidRPr="00D27120" w:rsidRDefault="00F80FFB" w:rsidP="00F80FFB">
      <w:pPr>
        <w:rPr>
          <w:szCs w:val="22"/>
        </w:rPr>
      </w:pPr>
    </w:p>
    <w:p w:rsidR="00F80FFB" w:rsidRPr="00D27120" w:rsidRDefault="005F1B83" w:rsidP="00F80FFB">
      <w:pPr>
        <w:numPr>
          <w:ilvl w:val="0"/>
          <w:numId w:val="18"/>
        </w:numPr>
        <w:rPr>
          <w:szCs w:val="22"/>
        </w:rPr>
      </w:pPr>
      <w:r>
        <w:rPr>
          <w:szCs w:val="22"/>
        </w:rPr>
        <w:t>Gregory Kwan</w:t>
      </w:r>
      <w:r w:rsidR="00F80FFB" w:rsidRPr="00D27120">
        <w:rPr>
          <w:szCs w:val="22"/>
        </w:rPr>
        <w:t xml:space="preserve">, Competition Policy Division, Wireline Competition Bureau, </w:t>
      </w:r>
      <w:hyperlink r:id="rId14" w:history="1">
        <w:r w:rsidRPr="0036529D">
          <w:rPr>
            <w:rStyle w:val="Hyperlink"/>
            <w:szCs w:val="22"/>
          </w:rPr>
          <w:t>gregory.kwan@fcc.gov</w:t>
        </w:r>
      </w:hyperlink>
      <w:r w:rsidR="00F80FFB" w:rsidRPr="00D27120">
        <w:rPr>
          <w:szCs w:val="22"/>
        </w:rPr>
        <w:t>;</w:t>
      </w:r>
    </w:p>
    <w:p w:rsidR="00F80FFB" w:rsidRPr="00D27120" w:rsidRDefault="00F80FFB" w:rsidP="00F80FFB">
      <w:pPr>
        <w:pStyle w:val="ListParagraph"/>
        <w:rPr>
          <w:szCs w:val="22"/>
        </w:rPr>
      </w:pPr>
    </w:p>
    <w:p w:rsidR="00F80FFB" w:rsidRPr="00D27120" w:rsidRDefault="00F80FFB" w:rsidP="00F80FFB">
      <w:pPr>
        <w:numPr>
          <w:ilvl w:val="0"/>
          <w:numId w:val="18"/>
        </w:numPr>
        <w:rPr>
          <w:szCs w:val="22"/>
        </w:rPr>
      </w:pPr>
      <w:r w:rsidRPr="00D27120">
        <w:rPr>
          <w:szCs w:val="22"/>
        </w:rPr>
        <w:t xml:space="preserve">David Krech, Policy Division, International Bureau, </w:t>
      </w:r>
      <w:hyperlink r:id="rId15" w:history="1">
        <w:r w:rsidR="002A2546" w:rsidRPr="00BB5387">
          <w:rPr>
            <w:rStyle w:val="Hyperlink"/>
            <w:szCs w:val="22"/>
          </w:rPr>
          <w:t>david.krech@fcc.gov</w:t>
        </w:r>
      </w:hyperlink>
      <w:r w:rsidRPr="00D27120">
        <w:rPr>
          <w:szCs w:val="22"/>
        </w:rPr>
        <w:t>;</w:t>
      </w:r>
      <w:r w:rsidR="002A2546">
        <w:rPr>
          <w:szCs w:val="22"/>
        </w:rPr>
        <w:t xml:space="preserve"> Sumita Mukhoty, </w:t>
      </w:r>
      <w:r w:rsidR="00A3589F">
        <w:rPr>
          <w:szCs w:val="22"/>
        </w:rPr>
        <w:t>Policy Division, International Bureau, smita.mukhoty@fcc.gov;</w:t>
      </w:r>
    </w:p>
    <w:p w:rsidR="00F80FFB" w:rsidRPr="00D27120" w:rsidRDefault="00F80FFB" w:rsidP="00F80FFB">
      <w:pPr>
        <w:rPr>
          <w:szCs w:val="22"/>
        </w:rPr>
      </w:pPr>
    </w:p>
    <w:p w:rsidR="00F80FFB" w:rsidRPr="00D27120" w:rsidRDefault="00F80FFB" w:rsidP="00F80FFB">
      <w:pPr>
        <w:numPr>
          <w:ilvl w:val="0"/>
          <w:numId w:val="18"/>
        </w:numPr>
        <w:rPr>
          <w:szCs w:val="22"/>
        </w:rPr>
      </w:pPr>
      <w:r w:rsidRPr="00D27120">
        <w:rPr>
          <w:szCs w:val="22"/>
        </w:rPr>
        <w:t xml:space="preserve">Jim Bird, Office of General Counsel, </w:t>
      </w:r>
      <w:hyperlink r:id="rId16" w:history="1">
        <w:r w:rsidRPr="00D27120">
          <w:rPr>
            <w:rStyle w:val="Hyperlink"/>
            <w:szCs w:val="22"/>
          </w:rPr>
          <w:t>jim.bird@fcc.gov</w:t>
        </w:r>
      </w:hyperlink>
      <w:r w:rsidRPr="00D27120">
        <w:rPr>
          <w:szCs w:val="22"/>
        </w:rPr>
        <w:t>.</w:t>
      </w:r>
    </w:p>
    <w:p w:rsidR="00F80FFB" w:rsidRPr="00D27120" w:rsidRDefault="00F80FFB" w:rsidP="00F80FFB">
      <w:pPr>
        <w:rPr>
          <w:szCs w:val="22"/>
        </w:rPr>
      </w:pPr>
    </w:p>
    <w:p w:rsidR="00F80FFB" w:rsidRPr="00D27120" w:rsidRDefault="00F80FFB" w:rsidP="00F80FFB">
      <w:pPr>
        <w:ind w:firstLine="360"/>
        <w:rPr>
          <w:szCs w:val="22"/>
        </w:rPr>
      </w:pPr>
      <w:r w:rsidRPr="00D27120">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D27120" w:rsidRDefault="00F80FFB" w:rsidP="00F80FFB">
      <w:pPr>
        <w:rPr>
          <w:szCs w:val="22"/>
        </w:rPr>
      </w:pPr>
    </w:p>
    <w:p w:rsidR="00F80FFB" w:rsidRPr="00D27120" w:rsidRDefault="00F80FFB" w:rsidP="00F80FFB">
      <w:pPr>
        <w:ind w:firstLine="360"/>
        <w:rPr>
          <w:szCs w:val="22"/>
        </w:rPr>
      </w:pPr>
      <w:r w:rsidRPr="00D27120">
        <w:rPr>
          <w:szCs w:val="22"/>
        </w:rPr>
        <w:t xml:space="preserve">The proceeding in this Notice shall be treated as a “permit-but-disclose” proceeding in accordance with the Commission’s </w:t>
      </w:r>
      <w:r w:rsidRPr="00D27120">
        <w:rPr>
          <w:i/>
          <w:szCs w:val="22"/>
        </w:rPr>
        <w:t>ex parte</w:t>
      </w:r>
      <w:r w:rsidRPr="00D27120">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D27120" w:rsidRDefault="00F80FFB" w:rsidP="00F80FFB">
      <w:pPr>
        <w:rPr>
          <w:szCs w:val="22"/>
        </w:rPr>
      </w:pPr>
    </w:p>
    <w:p w:rsidR="00F80FFB" w:rsidRPr="00D27120" w:rsidRDefault="00F80FFB" w:rsidP="00F80FFB">
      <w:pPr>
        <w:rPr>
          <w:szCs w:val="22"/>
        </w:rPr>
      </w:pPr>
      <w:r w:rsidRPr="00D27120">
        <w:rPr>
          <w:szCs w:val="22"/>
        </w:rPr>
        <w:tab/>
        <w:t xml:space="preserve">For further information, please contact </w:t>
      </w:r>
      <w:r w:rsidR="008A1274" w:rsidRPr="00D27120">
        <w:rPr>
          <w:szCs w:val="22"/>
        </w:rPr>
        <w:t>Myrva Freeman at (202) 418-1506</w:t>
      </w:r>
      <w:r w:rsidRPr="00D27120">
        <w:rPr>
          <w:szCs w:val="22"/>
        </w:rPr>
        <w:t xml:space="preserve"> or </w:t>
      </w:r>
      <w:r w:rsidR="005F1B83">
        <w:rPr>
          <w:szCs w:val="22"/>
        </w:rPr>
        <w:t>Gregory Kwan</w:t>
      </w:r>
      <w:r w:rsidRPr="00D27120">
        <w:rPr>
          <w:szCs w:val="22"/>
        </w:rPr>
        <w:t xml:space="preserve"> at (202) 418-</w:t>
      </w:r>
      <w:r w:rsidR="005F1B83">
        <w:rPr>
          <w:szCs w:val="22"/>
        </w:rPr>
        <w:t>1191</w:t>
      </w:r>
      <w:r w:rsidRPr="00D27120">
        <w:rPr>
          <w:szCs w:val="22"/>
        </w:rPr>
        <w:t>.</w:t>
      </w:r>
    </w:p>
    <w:p w:rsidR="00F80FFB" w:rsidRPr="00D27120" w:rsidRDefault="00F80FFB" w:rsidP="00F80FFB">
      <w:pPr>
        <w:ind w:left="720" w:right="720"/>
        <w:rPr>
          <w:szCs w:val="22"/>
        </w:rPr>
      </w:pPr>
    </w:p>
    <w:p w:rsidR="00F80FFB" w:rsidRPr="00D27120" w:rsidRDefault="00F80FFB" w:rsidP="005F1B83">
      <w:pPr>
        <w:jc w:val="center"/>
        <w:rPr>
          <w:szCs w:val="22"/>
        </w:rPr>
      </w:pPr>
      <w:r w:rsidRPr="00D27120">
        <w:rPr>
          <w:b/>
          <w:szCs w:val="22"/>
        </w:rPr>
        <w:t>- FCC -</w:t>
      </w:r>
    </w:p>
    <w:p w:rsidR="00F80FFB" w:rsidRPr="00D27120" w:rsidRDefault="00F80FFB" w:rsidP="00F80FFB">
      <w:pPr>
        <w:spacing w:before="120" w:after="240"/>
        <w:rPr>
          <w:szCs w:val="22"/>
        </w:rPr>
      </w:pPr>
    </w:p>
    <w:p w:rsidR="00F80FFB" w:rsidRPr="00D27120"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AE" w:rsidRDefault="00C900AE">
      <w:r>
        <w:separator/>
      </w:r>
    </w:p>
  </w:endnote>
  <w:endnote w:type="continuationSeparator" w:id="0">
    <w:p w:rsidR="00C900AE" w:rsidRDefault="00C9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FFB">
      <w:rPr>
        <w:rStyle w:val="PageNumber"/>
        <w:noProof/>
      </w:rPr>
      <w:t>2</w:t>
    </w:r>
    <w:r>
      <w:rPr>
        <w:rStyle w:val="PageNumber"/>
      </w:rPr>
      <w:fldChar w:fldCharType="end"/>
    </w:r>
  </w:p>
  <w:p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07" w:rsidRDefault="00F107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1F4668">
    <w:pPr>
      <w:pStyle w:val="Footer"/>
      <w:jc w:val="center"/>
    </w:pPr>
    <w:r>
      <w:rPr>
        <w:rStyle w:val="PageNumber"/>
      </w:rPr>
      <w:fldChar w:fldCharType="begin"/>
    </w:r>
    <w:r>
      <w:rPr>
        <w:rStyle w:val="PageNumber"/>
      </w:rPr>
      <w:instrText xml:space="preserve"> PAGE </w:instrText>
    </w:r>
    <w:r>
      <w:rPr>
        <w:rStyle w:val="PageNumber"/>
      </w:rPr>
      <w:fldChar w:fldCharType="separate"/>
    </w:r>
    <w:r w:rsidR="00757A52">
      <w:rPr>
        <w:rStyle w:val="PageNumber"/>
        <w:noProof/>
      </w:rPr>
      <w:t>2</w:t>
    </w:r>
    <w:r>
      <w:rPr>
        <w:rStyle w:val="PageNumber"/>
      </w:rPr>
      <w:fldChar w:fldCharType="end"/>
    </w:r>
  </w:p>
  <w:p w:rsidR="001D404B" w:rsidRDefault="001D4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AE" w:rsidRDefault="00C900AE">
      <w:r>
        <w:separator/>
      </w:r>
    </w:p>
  </w:footnote>
  <w:footnote w:type="continuationSeparator" w:id="0">
    <w:p w:rsidR="00C900AE" w:rsidRDefault="00C900AE">
      <w:r>
        <w:continuationSeparator/>
      </w:r>
    </w:p>
  </w:footnote>
  <w:footnote w:id="1">
    <w:p w:rsidR="00F80FFB" w:rsidRPr="00D97B31" w:rsidRDefault="00F80FFB" w:rsidP="00F80FFB">
      <w:pPr>
        <w:pStyle w:val="FootnoteText"/>
        <w:rPr>
          <w:sz w:val="20"/>
        </w:rPr>
      </w:pPr>
      <w:r w:rsidRPr="00D97B31">
        <w:rPr>
          <w:rStyle w:val="FootnoteReference"/>
          <w:sz w:val="20"/>
        </w:rPr>
        <w:footnoteRef/>
      </w:r>
      <w:r w:rsidRPr="00D97B31">
        <w:rPr>
          <w:sz w:val="20"/>
        </w:rPr>
        <w:t xml:space="preserve">  47 U.S.C. § 214, 47 C.F.R. § 63.03.  </w:t>
      </w:r>
      <w:r w:rsidR="00A3589F" w:rsidRPr="00B1304D">
        <w:rPr>
          <w:sz w:val="20"/>
        </w:rPr>
        <w:t>Applicants are also filing applications for transfer of control associated with authorizati</w:t>
      </w:r>
      <w:r w:rsidR="00A3589F">
        <w:rPr>
          <w:sz w:val="20"/>
        </w:rPr>
        <w:t xml:space="preserve">on for international services.  </w:t>
      </w:r>
      <w:r w:rsidR="00A3589F" w:rsidRPr="00B1304D">
        <w:rPr>
          <w:sz w:val="20"/>
        </w:rPr>
        <w:t>Any action on this domestic section 214 application is without prejudice to Commission action on other related, pending</w:t>
      </w:r>
      <w:r w:rsidR="00A3589F">
        <w:rPr>
          <w:sz w:val="20"/>
        </w:rPr>
        <w:t xml:space="preserve"> applications.  </w:t>
      </w:r>
      <w:r w:rsidR="001727F8" w:rsidRPr="00D97B31">
        <w:rPr>
          <w:sz w:val="20"/>
        </w:rPr>
        <w:t xml:space="preserve"> </w:t>
      </w:r>
      <w:r w:rsidRPr="00D97B31">
        <w:rPr>
          <w:sz w:val="20"/>
        </w:rPr>
        <w:t xml:space="preserve">     </w:t>
      </w:r>
    </w:p>
  </w:footnote>
  <w:footnote w:id="2">
    <w:p w:rsidR="0032475C" w:rsidRPr="0032475C" w:rsidRDefault="0032475C" w:rsidP="0032475C">
      <w:pPr>
        <w:pStyle w:val="FootnoteText"/>
        <w:rPr>
          <w:sz w:val="20"/>
        </w:rPr>
      </w:pPr>
      <w:r>
        <w:rPr>
          <w:rStyle w:val="FootnoteReference"/>
        </w:rPr>
        <w:footnoteRef/>
      </w:r>
      <w:r>
        <w:t xml:space="preserve"> </w:t>
      </w:r>
      <w:r>
        <w:rPr>
          <w:sz w:val="20"/>
        </w:rPr>
        <w:t>Applicants</w:t>
      </w:r>
      <w:r w:rsidRPr="00EB25B2">
        <w:rPr>
          <w:sz w:val="20"/>
        </w:rPr>
        <w:t xml:space="preserve"> state that Searchlight, through affiliated entities, owns 40</w:t>
      </w:r>
      <w:r w:rsidRPr="00D91896">
        <w:rPr>
          <w:sz w:val="20"/>
        </w:rPr>
        <w:t xml:space="preserve"> percent</w:t>
      </w:r>
      <w:r w:rsidRPr="00EB25B2">
        <w:rPr>
          <w:sz w:val="20"/>
        </w:rPr>
        <w:t xml:space="preserve"> of Liberty Cablevision of Puerto Rico, LLC, providing broadband services in Puerto Rico, and Farallon, through affiliated entities, owns 15</w:t>
      </w:r>
      <w:r>
        <w:rPr>
          <w:sz w:val="20"/>
        </w:rPr>
        <w:t xml:space="preserve"> percent</w:t>
      </w:r>
      <w:r w:rsidRPr="00EB25B2">
        <w:rPr>
          <w:sz w:val="20"/>
        </w:rPr>
        <w:t xml:space="preserve"> of TX Communications, LLC d/b/a Affiniti, providing wireless and broadband service in rural areas nationwide.</w:t>
      </w:r>
      <w:r>
        <w:rPr>
          <w:sz w:val="20"/>
        </w:rPr>
        <w:t xml:space="preserve">  </w:t>
      </w:r>
      <w:r w:rsidRPr="00AE3CBB">
        <w:rPr>
          <w:sz w:val="20"/>
        </w:rPr>
        <w:t>Applicants further state that Searchlight, through affiliated entities, indirectly holds (i) an unsecured promissory note issued by General Communications Inc. (GCI) in the principal amount of $75 million, (ii) GCI common stock and (iii) GCI stock appreciation rights (SARs) which are not exercisable before February 2019. Upon exercise, these SARs entitle Searchlight to value that is payable at GCI’s option in cash or shares of GCI common stock. In addition, the coupon on the promissory note can be paid in cash or in kind at GCI’s option with an in kind payment requiring the issuance of SARs. As of the date of the Application, Applicants state that</w:t>
      </w:r>
      <w:r w:rsidR="004D396B" w:rsidRPr="00AE3CBB">
        <w:rPr>
          <w:sz w:val="20"/>
        </w:rPr>
        <w:t>,</w:t>
      </w:r>
      <w:r w:rsidRPr="00AE3CBB">
        <w:rPr>
          <w:sz w:val="20"/>
        </w:rPr>
        <w:t xml:space="preserve"> on a pro-forma fully diluted basis, Searchlight, through affiliated entities, would indirectly own less than 10% of GCI.  Applicants assert that GCI and Integra do not compete</w:t>
      </w:r>
      <w:r w:rsidRPr="0032475C">
        <w:rPr>
          <w:sz w:val="20"/>
        </w:rPr>
        <w:t>.</w:t>
      </w:r>
    </w:p>
  </w:footnote>
  <w:footnote w:id="3">
    <w:p w:rsidR="002A2546" w:rsidRDefault="002A2546">
      <w:pPr>
        <w:pStyle w:val="FootnoteText"/>
      </w:pPr>
      <w:r>
        <w:rPr>
          <w:rStyle w:val="FootnoteReference"/>
        </w:rPr>
        <w:footnoteRef/>
      </w:r>
      <w:r>
        <w:t xml:space="preserve"> </w:t>
      </w:r>
      <w:r w:rsidRPr="00AE3CBB">
        <w:rPr>
          <w:sz w:val="20"/>
        </w:rPr>
        <w:t>The following Farallon funds hold equity interests in Integra Parent:  Farallon Capital AA Investors, LP (FCAAI), a Delaware limited partnership (FCAAI) (0.8</w:t>
      </w:r>
      <w:r w:rsidRPr="002A2546">
        <w:rPr>
          <w:sz w:val="20"/>
        </w:rPr>
        <w:t xml:space="preserve"> </w:t>
      </w:r>
      <w:r w:rsidRPr="00AE3CBB">
        <w:rPr>
          <w:sz w:val="20"/>
        </w:rPr>
        <w:t>percent); Farallon Capital AM Investors LP (FCAMI), a Delaware limited partnership (0.3</w:t>
      </w:r>
      <w:r w:rsidRPr="002A2546">
        <w:rPr>
          <w:sz w:val="20"/>
        </w:rPr>
        <w:t xml:space="preserve"> </w:t>
      </w:r>
      <w:r w:rsidRPr="00AE3CBB">
        <w:rPr>
          <w:sz w:val="20"/>
        </w:rPr>
        <w:t>percent); Farallon Capital Institutional Partners, LP (FCIP), a California limited partnership (4.7 percent); Farallon Capital Institutional Partners II, LP (FCIP II), a California limited partnership (0.4</w:t>
      </w:r>
      <w:r w:rsidRPr="002A2546">
        <w:rPr>
          <w:sz w:val="20"/>
        </w:rPr>
        <w:t xml:space="preserve"> </w:t>
      </w:r>
      <w:r w:rsidRPr="00AE3CBB">
        <w:rPr>
          <w:sz w:val="20"/>
        </w:rPr>
        <w:t>percent); Farallon Capital Institutional Partners III, LP (FCIP III), a Delaware limited partnership (0.3</w:t>
      </w:r>
      <w:r w:rsidRPr="002A2546">
        <w:rPr>
          <w:sz w:val="20"/>
        </w:rPr>
        <w:t xml:space="preserve"> </w:t>
      </w:r>
      <w:r w:rsidRPr="00AE3CBB">
        <w:rPr>
          <w:sz w:val="20"/>
        </w:rPr>
        <w:t>percent); Farallon Capital Offshore Investors II, LP (FCOI II), a Cayman, B.W.I. exempted limited partnership (7.3%); Farallon Capital Partners, LP (FCP), a California limited partnership (3.7</w:t>
      </w:r>
      <w:r w:rsidRPr="002A2546">
        <w:rPr>
          <w:sz w:val="20"/>
        </w:rPr>
        <w:t xml:space="preserve"> </w:t>
      </w:r>
      <w:r w:rsidRPr="00AE3CBB">
        <w:rPr>
          <w:sz w:val="20"/>
        </w:rPr>
        <w:t>percent), and Noonday Offshore, Inc. (Noonday), a Cayman Islands corporation (0.2</w:t>
      </w:r>
      <w:r w:rsidRPr="002A2546">
        <w:rPr>
          <w:sz w:val="20"/>
        </w:rPr>
        <w:t xml:space="preserve"> </w:t>
      </w:r>
      <w:r w:rsidRPr="00AE3CBB">
        <w:rPr>
          <w:sz w:val="20"/>
        </w:rPr>
        <w:t>percent).  Farallon AA GP, LLC, a Delaware limited liability company, is the sole general partner for FCAAI.  Farallon Partners, LLC, a Delaware limited liability company, is the sole general partner for FCAMI, FCIP, FCIP II, FCIP III, FCOI II, and FCP.</w:t>
      </w:r>
      <w:r w:rsidRPr="009D2374">
        <w:rPr>
          <w:szCs w:val="22"/>
        </w:rPr>
        <w:t xml:space="preserve">  </w:t>
      </w:r>
    </w:p>
  </w:footnote>
  <w:footnote w:id="4">
    <w:p w:rsidR="00F80FFB" w:rsidRPr="00D97B31" w:rsidRDefault="00F80FFB" w:rsidP="00F80FFB">
      <w:pPr>
        <w:pStyle w:val="FootnoteText"/>
        <w:rPr>
          <w:sz w:val="20"/>
        </w:rPr>
      </w:pPr>
      <w:r w:rsidRPr="00D97B31">
        <w:rPr>
          <w:rStyle w:val="FootnoteReference"/>
          <w:sz w:val="20"/>
        </w:rPr>
        <w:footnoteRef/>
      </w:r>
      <w:r w:rsidR="002E2641" w:rsidRPr="00D97B31">
        <w:rPr>
          <w:sz w:val="20"/>
        </w:rPr>
        <w:t xml:space="preserve"> 47 C.F.R. § 63.03(b)(2)(i</w:t>
      </w:r>
      <w:r w:rsidRPr="00D97B3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07" w:rsidRDefault="00F10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07" w:rsidRDefault="00F10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757A52">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4" type="#_x0000_t75" alt="fcc_logo" style="position:absolute;left:0;text-align:left;margin-left:2.4pt;margin-top:8.5pt;width:41.7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4103"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v:textbox>
        </v:shape>
      </w:pict>
    </w:r>
    <w:r w:rsidR="00A56D3D">
      <w:rPr>
        <w:rFonts w:ascii="News Gothic MT" w:hAnsi="News Gothic MT"/>
        <w:b/>
        <w:kern w:val="28"/>
        <w:sz w:val="96"/>
      </w:rPr>
      <w:t>PUBLIC NOTICE</w:t>
    </w:r>
  </w:p>
  <w:p w:rsidR="00A56D3D" w:rsidRDefault="00757A52">
    <w:pPr>
      <w:pStyle w:val="Header"/>
      <w:tabs>
        <w:tab w:val="clear" w:pos="4320"/>
        <w:tab w:val="clear" w:pos="8640"/>
        <w:tab w:val="left" w:pos="1080"/>
      </w:tabs>
      <w:spacing w:line="1120" w:lineRule="exact"/>
      <w:ind w:left="720"/>
      <w:rPr>
        <w:rFonts w:ascii="Arial" w:hAnsi="Arial"/>
        <w:b/>
        <w:sz w:val="28"/>
      </w:rPr>
    </w:pPr>
    <w:r>
      <w:rPr>
        <w:noProof/>
      </w:rPr>
      <w:pict>
        <v:line id="Line 2" o:spid="_x0000_s4102"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4101"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v:textbox>
        </v:shape>
      </w:pict>
    </w:r>
  </w:p>
  <w:p w:rsidR="00A56D3D" w:rsidRDefault="00A56D3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757A52">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4100" type="#_x0000_t202" style="position:absolute;left:0;text-align:left;margin-left:4.05pt;margin-top:54.2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1D404B" w:rsidRDefault="001F4668">
                <w:pPr>
                  <w:rPr>
                    <w:rFonts w:ascii="Arial" w:hAnsi="Arial"/>
                    <w:b/>
                  </w:rPr>
                </w:pPr>
                <w:r>
                  <w:rPr>
                    <w:rFonts w:ascii="Arial" w:hAnsi="Arial"/>
                    <w:b/>
                  </w:rPr>
                  <w:t>Federal Communications Commission</w:t>
                </w:r>
              </w:p>
              <w:p w:rsidR="001D404B" w:rsidRDefault="001F466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404B" w:rsidRDefault="001F4668">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4099" type="#_x0000_t75" alt="fcc_logo" style="position:absolute;left:0;text-align:left;margin-left:2.4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1F4668">
      <w:rPr>
        <w:rFonts w:ascii="Copperplate32bc" w:hAnsi="Copperplate32bc"/>
        <w:b/>
        <w:kern w:val="28"/>
        <w:sz w:val="96"/>
      </w:rPr>
      <w:t>PUBLIC NOTICE</w:t>
    </w:r>
  </w:p>
  <w:p w:rsidR="001D404B" w:rsidRDefault="00757A52">
    <w:pPr>
      <w:pStyle w:val="Header"/>
      <w:tabs>
        <w:tab w:val="clear" w:pos="4320"/>
        <w:tab w:val="clear" w:pos="8640"/>
        <w:tab w:val="left" w:pos="1080"/>
      </w:tabs>
      <w:spacing w:line="1120" w:lineRule="exact"/>
      <w:ind w:left="720"/>
      <w:rPr>
        <w:rFonts w:ascii="Arial" w:hAnsi="Arial"/>
        <w:b/>
        <w:sz w:val="28"/>
      </w:rPr>
    </w:pPr>
    <w:r>
      <w:rPr>
        <w:noProof/>
      </w:rPr>
      <w:pict>
        <v:line id="_x0000_s409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4097" type="#_x0000_t202" style="position:absolute;left:0;text-align:left;margin-left:283.05pt;margin-top: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1D404B" w:rsidRDefault="001F4668">
                <w:pPr>
                  <w:spacing w:before="40"/>
                  <w:jc w:val="right"/>
                  <w:rPr>
                    <w:rFonts w:ascii="Arial" w:hAnsi="Arial"/>
                    <w:b/>
                    <w:sz w:val="16"/>
                  </w:rPr>
                </w:pPr>
                <w:r>
                  <w:rPr>
                    <w:rFonts w:ascii="Arial" w:hAnsi="Arial"/>
                    <w:b/>
                    <w:sz w:val="16"/>
                  </w:rPr>
                  <w:t>News Media Information 202 / 418-0500</w:t>
                </w:r>
              </w:p>
              <w:p w:rsidR="001D404B" w:rsidRDefault="001F4668">
                <w:pPr>
                  <w:jc w:val="right"/>
                  <w:rPr>
                    <w:rFonts w:ascii="Arial" w:hAnsi="Arial"/>
                    <w:b/>
                    <w:sz w:val="16"/>
                  </w:rPr>
                </w:pPr>
                <w:r>
                  <w:rPr>
                    <w:rFonts w:ascii="Arial" w:hAnsi="Arial"/>
                    <w:b/>
                    <w:sz w:val="16"/>
                  </w:rPr>
                  <w:tab/>
                  <w:t>Internet: http://www.fcc.gov</w:t>
                </w:r>
              </w:p>
              <w:p w:rsidR="001D404B" w:rsidRDefault="001F4668">
                <w:pPr>
                  <w:jc w:val="right"/>
                  <w:rPr>
                    <w:rFonts w:ascii="Arial" w:hAnsi="Arial"/>
                    <w:b/>
                    <w:sz w:val="16"/>
                  </w:rPr>
                </w:pPr>
                <w:r>
                  <w:rPr>
                    <w:rFonts w:ascii="Arial" w:hAnsi="Arial"/>
                    <w:b/>
                    <w:sz w:val="16"/>
                  </w:rPr>
                  <w:t>TTY: 1-888-835-5322</w:t>
                </w:r>
              </w:p>
              <w:p w:rsidR="001D404B" w:rsidRDefault="001D404B">
                <w:pPr>
                  <w:jc w:val="right"/>
                </w:pPr>
              </w:p>
            </w:txbxContent>
          </v:textbox>
        </v:shape>
      </w:pict>
    </w:r>
  </w:p>
  <w:p w:rsidR="001D404B" w:rsidRDefault="001D404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448D"/>
    <w:rsid w:val="00034463"/>
    <w:rsid w:val="00037963"/>
    <w:rsid w:val="000401F2"/>
    <w:rsid w:val="0005535C"/>
    <w:rsid w:val="0007252B"/>
    <w:rsid w:val="00076713"/>
    <w:rsid w:val="0009126E"/>
    <w:rsid w:val="000A4055"/>
    <w:rsid w:val="000A4520"/>
    <w:rsid w:val="000C4780"/>
    <w:rsid w:val="000E3155"/>
    <w:rsid w:val="000E760D"/>
    <w:rsid w:val="00110942"/>
    <w:rsid w:val="00113666"/>
    <w:rsid w:val="0013052A"/>
    <w:rsid w:val="00156895"/>
    <w:rsid w:val="00165BD0"/>
    <w:rsid w:val="001727F8"/>
    <w:rsid w:val="001809F9"/>
    <w:rsid w:val="00187B28"/>
    <w:rsid w:val="001A269E"/>
    <w:rsid w:val="001B2E39"/>
    <w:rsid w:val="001D31BD"/>
    <w:rsid w:val="001D404B"/>
    <w:rsid w:val="001D65FC"/>
    <w:rsid w:val="001D79DC"/>
    <w:rsid w:val="001E1925"/>
    <w:rsid w:val="001F4668"/>
    <w:rsid w:val="00205B87"/>
    <w:rsid w:val="002277E1"/>
    <w:rsid w:val="00227CC7"/>
    <w:rsid w:val="002479BC"/>
    <w:rsid w:val="00272E9B"/>
    <w:rsid w:val="00274C2B"/>
    <w:rsid w:val="00295114"/>
    <w:rsid w:val="002A0D31"/>
    <w:rsid w:val="002A2546"/>
    <w:rsid w:val="002B1C38"/>
    <w:rsid w:val="002D152E"/>
    <w:rsid w:val="002D7782"/>
    <w:rsid w:val="002E0322"/>
    <w:rsid w:val="002E2641"/>
    <w:rsid w:val="002F2AB4"/>
    <w:rsid w:val="00305EAF"/>
    <w:rsid w:val="00321B06"/>
    <w:rsid w:val="0032475C"/>
    <w:rsid w:val="00331394"/>
    <w:rsid w:val="00333620"/>
    <w:rsid w:val="00336B43"/>
    <w:rsid w:val="003558D9"/>
    <w:rsid w:val="003664FF"/>
    <w:rsid w:val="00367CFE"/>
    <w:rsid w:val="00372CF6"/>
    <w:rsid w:val="003A1C84"/>
    <w:rsid w:val="003A47DB"/>
    <w:rsid w:val="003C124D"/>
    <w:rsid w:val="003C3C08"/>
    <w:rsid w:val="003F08DD"/>
    <w:rsid w:val="004009F5"/>
    <w:rsid w:val="00402BBF"/>
    <w:rsid w:val="00406EA7"/>
    <w:rsid w:val="00412D95"/>
    <w:rsid w:val="004272D7"/>
    <w:rsid w:val="00433C43"/>
    <w:rsid w:val="00437390"/>
    <w:rsid w:val="004634EA"/>
    <w:rsid w:val="00464B99"/>
    <w:rsid w:val="0046747F"/>
    <w:rsid w:val="0047389D"/>
    <w:rsid w:val="004754AC"/>
    <w:rsid w:val="00483ED8"/>
    <w:rsid w:val="004908CF"/>
    <w:rsid w:val="004A52B7"/>
    <w:rsid w:val="004C5F29"/>
    <w:rsid w:val="004D396B"/>
    <w:rsid w:val="004D6475"/>
    <w:rsid w:val="004D67C3"/>
    <w:rsid w:val="004D74B9"/>
    <w:rsid w:val="005007B4"/>
    <w:rsid w:val="00514D74"/>
    <w:rsid w:val="00515FB3"/>
    <w:rsid w:val="0051799E"/>
    <w:rsid w:val="00525252"/>
    <w:rsid w:val="00525CA0"/>
    <w:rsid w:val="00537386"/>
    <w:rsid w:val="00542653"/>
    <w:rsid w:val="00546040"/>
    <w:rsid w:val="005472BF"/>
    <w:rsid w:val="00551579"/>
    <w:rsid w:val="0055473C"/>
    <w:rsid w:val="00565FBE"/>
    <w:rsid w:val="0056768B"/>
    <w:rsid w:val="005741D7"/>
    <w:rsid w:val="00575E76"/>
    <w:rsid w:val="005A5CC8"/>
    <w:rsid w:val="005E6A88"/>
    <w:rsid w:val="005F1B83"/>
    <w:rsid w:val="00612B09"/>
    <w:rsid w:val="006429B2"/>
    <w:rsid w:val="00655B3B"/>
    <w:rsid w:val="00663A4E"/>
    <w:rsid w:val="00666BE8"/>
    <w:rsid w:val="00677248"/>
    <w:rsid w:val="006A554C"/>
    <w:rsid w:val="006A6B79"/>
    <w:rsid w:val="006C11FC"/>
    <w:rsid w:val="006C4EFF"/>
    <w:rsid w:val="006D1A21"/>
    <w:rsid w:val="006D3EF3"/>
    <w:rsid w:val="006E2CD3"/>
    <w:rsid w:val="006F20ED"/>
    <w:rsid w:val="00703EC6"/>
    <w:rsid w:val="00706AC9"/>
    <w:rsid w:val="00714819"/>
    <w:rsid w:val="007217B1"/>
    <w:rsid w:val="00727EC7"/>
    <w:rsid w:val="00732551"/>
    <w:rsid w:val="00755072"/>
    <w:rsid w:val="00756B80"/>
    <w:rsid w:val="00756B88"/>
    <w:rsid w:val="00757A52"/>
    <w:rsid w:val="007857C7"/>
    <w:rsid w:val="00792794"/>
    <w:rsid w:val="007C0877"/>
    <w:rsid w:val="007C3A5F"/>
    <w:rsid w:val="007D5DC4"/>
    <w:rsid w:val="007E0595"/>
    <w:rsid w:val="00805979"/>
    <w:rsid w:val="0081552C"/>
    <w:rsid w:val="00832D56"/>
    <w:rsid w:val="00856727"/>
    <w:rsid w:val="008656D9"/>
    <w:rsid w:val="008753EC"/>
    <w:rsid w:val="00894F4D"/>
    <w:rsid w:val="00897BDD"/>
    <w:rsid w:val="008A1274"/>
    <w:rsid w:val="008C2B82"/>
    <w:rsid w:val="008D3DB7"/>
    <w:rsid w:val="008E37AE"/>
    <w:rsid w:val="008F2BD8"/>
    <w:rsid w:val="009305A4"/>
    <w:rsid w:val="00930DEB"/>
    <w:rsid w:val="0093341E"/>
    <w:rsid w:val="00933726"/>
    <w:rsid w:val="00933F7C"/>
    <w:rsid w:val="00940008"/>
    <w:rsid w:val="00957B60"/>
    <w:rsid w:val="00977C32"/>
    <w:rsid w:val="009A6CA9"/>
    <w:rsid w:val="009A6D5F"/>
    <w:rsid w:val="009A7FBD"/>
    <w:rsid w:val="009B1A42"/>
    <w:rsid w:val="009B1C8D"/>
    <w:rsid w:val="009C019F"/>
    <w:rsid w:val="009C4123"/>
    <w:rsid w:val="009C49A3"/>
    <w:rsid w:val="009D12E7"/>
    <w:rsid w:val="009D2374"/>
    <w:rsid w:val="009D7779"/>
    <w:rsid w:val="009E4540"/>
    <w:rsid w:val="009F590D"/>
    <w:rsid w:val="009F764E"/>
    <w:rsid w:val="00A10A09"/>
    <w:rsid w:val="00A31E0F"/>
    <w:rsid w:val="00A3589F"/>
    <w:rsid w:val="00A45E96"/>
    <w:rsid w:val="00A56D3D"/>
    <w:rsid w:val="00A75ACA"/>
    <w:rsid w:val="00A8048E"/>
    <w:rsid w:val="00A82C60"/>
    <w:rsid w:val="00A93F47"/>
    <w:rsid w:val="00AA0ED6"/>
    <w:rsid w:val="00AA5130"/>
    <w:rsid w:val="00AB2CBC"/>
    <w:rsid w:val="00AB781A"/>
    <w:rsid w:val="00AE2EB5"/>
    <w:rsid w:val="00AE3CBB"/>
    <w:rsid w:val="00AF3BBA"/>
    <w:rsid w:val="00B1118C"/>
    <w:rsid w:val="00B21A75"/>
    <w:rsid w:val="00B418FA"/>
    <w:rsid w:val="00B427D3"/>
    <w:rsid w:val="00B53DE7"/>
    <w:rsid w:val="00B558E7"/>
    <w:rsid w:val="00B60477"/>
    <w:rsid w:val="00B800AF"/>
    <w:rsid w:val="00B815D7"/>
    <w:rsid w:val="00B969C9"/>
    <w:rsid w:val="00BA30A4"/>
    <w:rsid w:val="00BA3857"/>
    <w:rsid w:val="00BC4533"/>
    <w:rsid w:val="00BE4CFF"/>
    <w:rsid w:val="00C2115F"/>
    <w:rsid w:val="00C255BC"/>
    <w:rsid w:val="00C35242"/>
    <w:rsid w:val="00C419F7"/>
    <w:rsid w:val="00C41B9D"/>
    <w:rsid w:val="00C51228"/>
    <w:rsid w:val="00C6038C"/>
    <w:rsid w:val="00C62628"/>
    <w:rsid w:val="00C76EFA"/>
    <w:rsid w:val="00C900AE"/>
    <w:rsid w:val="00C923C2"/>
    <w:rsid w:val="00CA5DD3"/>
    <w:rsid w:val="00CB19AC"/>
    <w:rsid w:val="00CD7FD6"/>
    <w:rsid w:val="00CE40A4"/>
    <w:rsid w:val="00CE6AA5"/>
    <w:rsid w:val="00D0013A"/>
    <w:rsid w:val="00D011DA"/>
    <w:rsid w:val="00D248A8"/>
    <w:rsid w:val="00D27120"/>
    <w:rsid w:val="00D3731D"/>
    <w:rsid w:val="00D44068"/>
    <w:rsid w:val="00D70329"/>
    <w:rsid w:val="00D71F6B"/>
    <w:rsid w:val="00D91896"/>
    <w:rsid w:val="00D927ED"/>
    <w:rsid w:val="00D97B31"/>
    <w:rsid w:val="00DC6056"/>
    <w:rsid w:val="00DC648C"/>
    <w:rsid w:val="00DC7382"/>
    <w:rsid w:val="00DD1600"/>
    <w:rsid w:val="00DE1F42"/>
    <w:rsid w:val="00DE3B77"/>
    <w:rsid w:val="00DF5665"/>
    <w:rsid w:val="00E001CE"/>
    <w:rsid w:val="00E1161E"/>
    <w:rsid w:val="00E21EC9"/>
    <w:rsid w:val="00E236EB"/>
    <w:rsid w:val="00E264FC"/>
    <w:rsid w:val="00E33A2C"/>
    <w:rsid w:val="00E44159"/>
    <w:rsid w:val="00E4643A"/>
    <w:rsid w:val="00E562AE"/>
    <w:rsid w:val="00E65CD0"/>
    <w:rsid w:val="00E65D6E"/>
    <w:rsid w:val="00E812F7"/>
    <w:rsid w:val="00EB2EE1"/>
    <w:rsid w:val="00EB3220"/>
    <w:rsid w:val="00EC45B8"/>
    <w:rsid w:val="00EE5616"/>
    <w:rsid w:val="00EF7DA7"/>
    <w:rsid w:val="00F10707"/>
    <w:rsid w:val="00F11571"/>
    <w:rsid w:val="00F2332A"/>
    <w:rsid w:val="00F466A5"/>
    <w:rsid w:val="00F60F8D"/>
    <w:rsid w:val="00F80FFB"/>
    <w:rsid w:val="00F831DC"/>
    <w:rsid w:val="00F9738D"/>
    <w:rsid w:val="00FC0DDB"/>
    <w:rsid w:val="00FC1DAA"/>
    <w:rsid w:val="00FC73A8"/>
    <w:rsid w:val="00FD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vid.krech@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egory.kw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1098</Words>
  <Characters>6406</Characters>
  <Application>Microsoft Office Word</Application>
  <DocSecurity>0</DocSecurity>
  <Lines>115</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7524</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6684703</vt:i4>
      </vt:variant>
      <vt:variant>
        <vt:i4>3</vt:i4>
      </vt:variant>
      <vt:variant>
        <vt:i4>0</vt:i4>
      </vt:variant>
      <vt:variant>
        <vt:i4>5</vt:i4>
      </vt:variant>
      <vt:variant>
        <vt:lpwstr>mailto:david.krech@fcc.gov</vt:lpwstr>
      </vt:variant>
      <vt:variant>
        <vt:lpwstr/>
      </vt:variant>
      <vt:variant>
        <vt:i4>1966200</vt:i4>
      </vt:variant>
      <vt:variant>
        <vt:i4>0</vt:i4>
      </vt:variant>
      <vt:variant>
        <vt:i4>0</vt:i4>
      </vt:variant>
      <vt:variant>
        <vt:i4>5</vt:i4>
      </vt:variant>
      <vt:variant>
        <vt:lpwstr>mailto:gregory.kwan@fcc.gov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2015-08-28T15:20:00Z</dcterms:created>
  <dcterms:modified xsi:type="dcterms:W3CDTF">2015-08-28T15:20:00Z</dcterms:modified>
  <cp:category> </cp:category>
  <cp:contentStatus> </cp:contentStatus>
</cp:coreProperties>
</file>