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EF98" w14:textId="77777777" w:rsidR="00253FFA" w:rsidRPr="0049008B" w:rsidRDefault="00253FFA" w:rsidP="00170B85">
      <w:pPr>
        <w:jc w:val="center"/>
        <w:rPr>
          <w:b/>
          <w:bCs/>
        </w:rPr>
      </w:pPr>
      <w:bookmarkStart w:id="0" w:name="_GoBack"/>
      <w:bookmarkEnd w:id="0"/>
      <w:r w:rsidRPr="0049008B">
        <w:rPr>
          <w:b/>
          <w:bCs/>
        </w:rPr>
        <w:t>Before the</w:t>
      </w:r>
    </w:p>
    <w:p w14:paraId="20985231" w14:textId="77777777" w:rsidR="00253FFA" w:rsidRPr="0049008B" w:rsidRDefault="00253FFA" w:rsidP="00170B85">
      <w:pPr>
        <w:jc w:val="center"/>
        <w:rPr>
          <w:b/>
          <w:bCs/>
        </w:rPr>
      </w:pPr>
      <w:r w:rsidRPr="0049008B">
        <w:rPr>
          <w:b/>
          <w:bCs/>
        </w:rPr>
        <w:t>Federal Communications Commission</w:t>
      </w:r>
    </w:p>
    <w:p w14:paraId="0E95EF94" w14:textId="77777777" w:rsidR="00253FFA" w:rsidRPr="0049008B" w:rsidRDefault="00253FFA" w:rsidP="00170B85">
      <w:pPr>
        <w:jc w:val="center"/>
        <w:rPr>
          <w:b/>
          <w:bCs/>
        </w:rPr>
      </w:pPr>
      <w:r w:rsidRPr="0049008B">
        <w:rPr>
          <w:b/>
          <w:bCs/>
        </w:rPr>
        <w:t>Washington, D.C. 20554</w:t>
      </w:r>
    </w:p>
    <w:p w14:paraId="1D729C3F" w14:textId="77777777" w:rsidR="00253FFA" w:rsidRPr="0049008B" w:rsidRDefault="00253FFA" w:rsidP="00170B85"/>
    <w:tbl>
      <w:tblPr>
        <w:tblW w:w="0" w:type="auto"/>
        <w:tblInd w:w="-106" w:type="dxa"/>
        <w:tblLayout w:type="fixed"/>
        <w:tblLook w:val="0000" w:firstRow="0" w:lastRow="0" w:firstColumn="0" w:lastColumn="0" w:noHBand="0" w:noVBand="0"/>
      </w:tblPr>
      <w:tblGrid>
        <w:gridCol w:w="4698"/>
        <w:gridCol w:w="720"/>
        <w:gridCol w:w="4230"/>
      </w:tblGrid>
      <w:tr w:rsidR="00253FFA" w:rsidRPr="0049008B" w14:paraId="50152CE5" w14:textId="77777777" w:rsidTr="00880FA0">
        <w:tc>
          <w:tcPr>
            <w:tcW w:w="4698" w:type="dxa"/>
          </w:tcPr>
          <w:p w14:paraId="50E0D528" w14:textId="77777777" w:rsidR="00253FFA" w:rsidRPr="0049008B" w:rsidRDefault="00253FFA" w:rsidP="00170B85">
            <w:pPr>
              <w:ind w:right="-18"/>
            </w:pPr>
            <w:r w:rsidRPr="0049008B">
              <w:t>In the Matter of</w:t>
            </w:r>
          </w:p>
          <w:p w14:paraId="5C5E492E" w14:textId="77777777" w:rsidR="00253FFA" w:rsidRPr="0049008B" w:rsidRDefault="00253FFA" w:rsidP="00170B85">
            <w:pPr>
              <w:ind w:right="-18"/>
            </w:pPr>
          </w:p>
          <w:p w14:paraId="282A47E6" w14:textId="77777777" w:rsidR="00253FFA" w:rsidRPr="0049008B" w:rsidRDefault="00253FFA" w:rsidP="00170B85">
            <w:pPr>
              <w:ind w:right="-18"/>
            </w:pPr>
            <w:r>
              <w:t>Westfax, Inc.</w:t>
            </w:r>
            <w:r w:rsidRPr="0049008B" w:rsidDel="00385607">
              <w:t xml:space="preserve"> </w:t>
            </w:r>
            <w:r w:rsidRPr="0049008B">
              <w:t xml:space="preserve">Petition for </w:t>
            </w:r>
            <w:r>
              <w:t>Consideration and Clarification</w:t>
            </w:r>
            <w:r w:rsidRPr="0049008B">
              <w:t xml:space="preserve">  </w:t>
            </w:r>
          </w:p>
          <w:p w14:paraId="79150264" w14:textId="77777777" w:rsidR="00253FFA" w:rsidRPr="0049008B" w:rsidRDefault="00253FFA" w:rsidP="00170B85">
            <w:pPr>
              <w:ind w:right="-18"/>
            </w:pPr>
          </w:p>
          <w:p w14:paraId="3609AD3E" w14:textId="77777777" w:rsidR="00253FFA" w:rsidRPr="0049008B" w:rsidRDefault="00253FFA" w:rsidP="00AC4E91">
            <w:pPr>
              <w:ind w:right="-18"/>
            </w:pPr>
            <w:r w:rsidRPr="0049008B">
              <w:t xml:space="preserve">Rules and Regulations Implementing the </w:t>
            </w:r>
          </w:p>
          <w:p w14:paraId="2C47E131" w14:textId="77777777" w:rsidR="00253FFA" w:rsidRDefault="00253FFA" w:rsidP="00AC4E91">
            <w:pPr>
              <w:ind w:right="-18"/>
            </w:pPr>
            <w:r w:rsidRPr="0049008B">
              <w:t>Telephone Consumer Protection Act of 1991</w:t>
            </w:r>
          </w:p>
          <w:p w14:paraId="5C96DB15" w14:textId="77777777" w:rsidR="00253FFA" w:rsidRDefault="00253FFA" w:rsidP="00AC4E91">
            <w:pPr>
              <w:ind w:right="-18"/>
            </w:pPr>
          </w:p>
          <w:p w14:paraId="225F9D02" w14:textId="77777777" w:rsidR="00253FFA" w:rsidRPr="0049008B" w:rsidRDefault="00253FFA" w:rsidP="00AC4E91">
            <w:pPr>
              <w:ind w:right="-18"/>
            </w:pPr>
            <w:r>
              <w:t>Junk Fax Protection Act of 2005</w:t>
            </w:r>
          </w:p>
        </w:tc>
        <w:tc>
          <w:tcPr>
            <w:tcW w:w="720" w:type="dxa"/>
          </w:tcPr>
          <w:p w14:paraId="49170A2D" w14:textId="77777777" w:rsidR="00253FFA" w:rsidRPr="0049008B" w:rsidRDefault="00253FFA" w:rsidP="00170B85">
            <w:pPr>
              <w:rPr>
                <w:b/>
                <w:bCs/>
              </w:rPr>
            </w:pPr>
            <w:r w:rsidRPr="0049008B">
              <w:rPr>
                <w:b/>
                <w:bCs/>
              </w:rPr>
              <w:t>)</w:t>
            </w:r>
          </w:p>
          <w:p w14:paraId="13EE3FE2" w14:textId="77777777" w:rsidR="00253FFA" w:rsidRPr="0049008B" w:rsidRDefault="00253FFA" w:rsidP="00170B85">
            <w:pPr>
              <w:rPr>
                <w:b/>
                <w:bCs/>
              </w:rPr>
            </w:pPr>
            <w:r w:rsidRPr="0049008B">
              <w:rPr>
                <w:b/>
                <w:bCs/>
              </w:rPr>
              <w:t>)</w:t>
            </w:r>
          </w:p>
          <w:p w14:paraId="36158B48" w14:textId="77777777" w:rsidR="00253FFA" w:rsidRPr="0049008B" w:rsidRDefault="00253FFA" w:rsidP="00170B85">
            <w:pPr>
              <w:rPr>
                <w:b/>
                <w:bCs/>
              </w:rPr>
            </w:pPr>
            <w:r w:rsidRPr="0049008B">
              <w:rPr>
                <w:b/>
                <w:bCs/>
              </w:rPr>
              <w:t>)</w:t>
            </w:r>
          </w:p>
          <w:p w14:paraId="738D1C40" w14:textId="77777777" w:rsidR="00253FFA" w:rsidRPr="0049008B" w:rsidRDefault="00253FFA" w:rsidP="00170B85">
            <w:pPr>
              <w:rPr>
                <w:b/>
                <w:bCs/>
              </w:rPr>
            </w:pPr>
            <w:r w:rsidRPr="0049008B">
              <w:rPr>
                <w:b/>
                <w:bCs/>
              </w:rPr>
              <w:t>)</w:t>
            </w:r>
          </w:p>
          <w:p w14:paraId="0781ADF4" w14:textId="77777777" w:rsidR="00253FFA" w:rsidRPr="0049008B" w:rsidRDefault="00253FFA" w:rsidP="00170B85">
            <w:pPr>
              <w:rPr>
                <w:b/>
                <w:bCs/>
              </w:rPr>
            </w:pPr>
            <w:r w:rsidRPr="0049008B">
              <w:rPr>
                <w:b/>
                <w:bCs/>
              </w:rPr>
              <w:t>)</w:t>
            </w:r>
          </w:p>
          <w:p w14:paraId="14FB0FEF" w14:textId="77777777" w:rsidR="00253FFA" w:rsidRPr="0049008B" w:rsidRDefault="00253FFA" w:rsidP="00170B85">
            <w:pPr>
              <w:rPr>
                <w:b/>
                <w:bCs/>
              </w:rPr>
            </w:pPr>
            <w:r w:rsidRPr="0049008B">
              <w:rPr>
                <w:b/>
                <w:bCs/>
              </w:rPr>
              <w:t>)</w:t>
            </w:r>
          </w:p>
          <w:p w14:paraId="7E9EF054" w14:textId="77777777" w:rsidR="00253FFA" w:rsidRPr="0049008B" w:rsidRDefault="00253FFA" w:rsidP="00170B85">
            <w:pPr>
              <w:rPr>
                <w:b/>
                <w:bCs/>
              </w:rPr>
            </w:pPr>
            <w:r w:rsidRPr="0049008B">
              <w:rPr>
                <w:b/>
                <w:bCs/>
              </w:rPr>
              <w:t>)</w:t>
            </w:r>
          </w:p>
          <w:p w14:paraId="3276C2AC" w14:textId="77777777" w:rsidR="00253FFA" w:rsidRPr="0049008B" w:rsidRDefault="00253FFA" w:rsidP="00170B85">
            <w:pPr>
              <w:rPr>
                <w:b/>
                <w:bCs/>
              </w:rPr>
            </w:pPr>
            <w:r w:rsidRPr="0049008B">
              <w:rPr>
                <w:b/>
                <w:bCs/>
              </w:rPr>
              <w:t>)</w:t>
            </w:r>
          </w:p>
          <w:p w14:paraId="11171994" w14:textId="77777777" w:rsidR="00253FFA" w:rsidRDefault="00253FFA" w:rsidP="00926C7C">
            <w:pPr>
              <w:rPr>
                <w:b/>
                <w:bCs/>
              </w:rPr>
            </w:pPr>
            <w:r>
              <w:rPr>
                <w:b/>
                <w:bCs/>
              </w:rPr>
              <w:t>)</w:t>
            </w:r>
          </w:p>
          <w:p w14:paraId="43945C23" w14:textId="65CD3ABD" w:rsidR="00253FFA" w:rsidRDefault="00253FFA" w:rsidP="00926C7C">
            <w:pPr>
              <w:rPr>
                <w:b/>
                <w:bCs/>
              </w:rPr>
            </w:pPr>
          </w:p>
          <w:p w14:paraId="2D9F7532" w14:textId="783936B3" w:rsidR="00253FFA" w:rsidRPr="0049008B" w:rsidRDefault="003643A8" w:rsidP="00926C7C">
            <w:pPr>
              <w:rPr>
                <w:b/>
                <w:bCs/>
              </w:rPr>
            </w:pPr>
            <w:r>
              <w:rPr>
                <w:b/>
                <w:bCs/>
              </w:rPr>
              <w:br/>
            </w:r>
          </w:p>
        </w:tc>
        <w:tc>
          <w:tcPr>
            <w:tcW w:w="4230" w:type="dxa"/>
          </w:tcPr>
          <w:p w14:paraId="595FC7C5" w14:textId="77777777" w:rsidR="00253FFA" w:rsidRPr="0049008B" w:rsidRDefault="00253FFA" w:rsidP="00170B85"/>
          <w:p w14:paraId="4A7FAAC8" w14:textId="77777777" w:rsidR="00253FFA" w:rsidRPr="0049008B" w:rsidRDefault="00253FFA" w:rsidP="00170B85"/>
          <w:p w14:paraId="1EC788CF" w14:textId="77777777" w:rsidR="00253FFA" w:rsidRDefault="00253FFA" w:rsidP="00170B85"/>
          <w:p w14:paraId="67D831FB" w14:textId="77777777" w:rsidR="00253FFA" w:rsidRDefault="00253FFA" w:rsidP="00170B85"/>
          <w:p w14:paraId="6C0260A5" w14:textId="77777777" w:rsidR="00253FFA" w:rsidRDefault="00253FFA" w:rsidP="00170B85"/>
          <w:p w14:paraId="32427A73" w14:textId="77777777" w:rsidR="00253FFA" w:rsidRPr="0049008B" w:rsidRDefault="00253FFA" w:rsidP="00170B85">
            <w:r w:rsidRPr="003D6DD9">
              <w:t>CG Docket No. 02-278</w:t>
            </w:r>
          </w:p>
          <w:p w14:paraId="3B6065D2" w14:textId="77777777" w:rsidR="00253FFA" w:rsidRPr="0049008B" w:rsidRDefault="00253FFA" w:rsidP="00170B85"/>
          <w:p w14:paraId="7C2EED2C" w14:textId="77777777" w:rsidR="00253FFA" w:rsidRDefault="00253FFA" w:rsidP="00170B85"/>
          <w:p w14:paraId="2F4DA08E" w14:textId="77777777" w:rsidR="00253FFA" w:rsidRPr="0049008B" w:rsidRDefault="00253FFA" w:rsidP="00170B85">
            <w:r>
              <w:t>CG Docket No. 05-338</w:t>
            </w:r>
          </w:p>
        </w:tc>
      </w:tr>
    </w:tbl>
    <w:p w14:paraId="51C80E6A" w14:textId="77777777" w:rsidR="00253FFA" w:rsidRPr="0049008B" w:rsidRDefault="00253FFA" w:rsidP="00170B85">
      <w:pPr>
        <w:spacing w:before="120"/>
        <w:jc w:val="center"/>
        <w:rPr>
          <w:b/>
          <w:bCs/>
        </w:rPr>
      </w:pPr>
      <w:r w:rsidRPr="0049008B">
        <w:rPr>
          <w:b/>
          <w:bCs/>
        </w:rPr>
        <w:t>DECLARATORY RULING</w:t>
      </w:r>
    </w:p>
    <w:p w14:paraId="02DDD32D" w14:textId="77777777" w:rsidR="00253FFA" w:rsidRPr="0049008B" w:rsidRDefault="00253FFA" w:rsidP="00170B85"/>
    <w:p w14:paraId="12FB1096" w14:textId="72C8759B" w:rsidR="00253FFA" w:rsidRPr="0049008B" w:rsidRDefault="00253FFA" w:rsidP="00170B85">
      <w:pPr>
        <w:tabs>
          <w:tab w:val="left" w:pos="5760"/>
        </w:tabs>
        <w:rPr>
          <w:b/>
          <w:bCs/>
        </w:rPr>
      </w:pPr>
      <w:r w:rsidRPr="0049008B">
        <w:rPr>
          <w:b/>
          <w:bCs/>
        </w:rPr>
        <w:t xml:space="preserve">Adopted:  </w:t>
      </w:r>
      <w:r w:rsidR="00702546">
        <w:rPr>
          <w:b/>
          <w:bCs/>
        </w:rPr>
        <w:t>August</w:t>
      </w:r>
      <w:r w:rsidR="00584A84">
        <w:rPr>
          <w:b/>
          <w:bCs/>
        </w:rPr>
        <w:t xml:space="preserve"> 28</w:t>
      </w:r>
      <w:r w:rsidRPr="0049008B">
        <w:rPr>
          <w:b/>
          <w:bCs/>
        </w:rPr>
        <w:t>, 201</w:t>
      </w:r>
      <w:r w:rsidR="00702546">
        <w:rPr>
          <w:b/>
          <w:bCs/>
        </w:rPr>
        <w:t>5</w:t>
      </w:r>
      <w:r w:rsidR="003643A8">
        <w:rPr>
          <w:b/>
          <w:bCs/>
        </w:rPr>
        <w:tab/>
        <w:t xml:space="preserve">Released: </w:t>
      </w:r>
      <w:r w:rsidR="00584A84">
        <w:rPr>
          <w:b/>
          <w:bCs/>
        </w:rPr>
        <w:t>August 28</w:t>
      </w:r>
      <w:r w:rsidRPr="0049008B">
        <w:rPr>
          <w:b/>
          <w:bCs/>
        </w:rPr>
        <w:t>, 201</w:t>
      </w:r>
      <w:r w:rsidR="00702546">
        <w:rPr>
          <w:b/>
          <w:bCs/>
        </w:rPr>
        <w:t>5</w:t>
      </w:r>
    </w:p>
    <w:p w14:paraId="44B7F68D" w14:textId="45F45DE6" w:rsidR="00253FFA" w:rsidRPr="0049008B" w:rsidRDefault="003643A8" w:rsidP="00170B85">
      <w:pPr>
        <w:tabs>
          <w:tab w:val="left" w:pos="5760"/>
        </w:tabs>
        <w:rPr>
          <w:b/>
          <w:bCs/>
        </w:rPr>
      </w:pPr>
      <w:r>
        <w:rPr>
          <w:b/>
          <w:bCs/>
        </w:rPr>
        <w:br/>
      </w:r>
    </w:p>
    <w:p w14:paraId="607A6892" w14:textId="77777777" w:rsidR="00253FFA" w:rsidRPr="0049008B" w:rsidRDefault="00253FFA" w:rsidP="00170B85">
      <w:pPr>
        <w:tabs>
          <w:tab w:val="left" w:pos="5760"/>
        </w:tabs>
      </w:pPr>
      <w:r w:rsidRPr="0049008B">
        <w:t xml:space="preserve">By the </w:t>
      </w:r>
      <w:r w:rsidR="00104F37">
        <w:t xml:space="preserve">Acting </w:t>
      </w:r>
      <w:r w:rsidR="0027592D">
        <w:t>Chief, Consumer and Governmental Affairs Bureau</w:t>
      </w:r>
      <w:r w:rsidRPr="0049008B">
        <w:t>:</w:t>
      </w:r>
    </w:p>
    <w:p w14:paraId="530A91B7" w14:textId="77777777" w:rsidR="00253FFA" w:rsidRDefault="00253FFA" w:rsidP="00170B85">
      <w:pPr>
        <w:tabs>
          <w:tab w:val="left" w:pos="5760"/>
        </w:tabs>
        <w:rPr>
          <w:b/>
          <w:bCs/>
        </w:rPr>
      </w:pPr>
    </w:p>
    <w:p w14:paraId="1A8F1FEF" w14:textId="77777777" w:rsidR="00552D7C" w:rsidRPr="0049008B" w:rsidRDefault="00552D7C" w:rsidP="00170B85">
      <w:pPr>
        <w:tabs>
          <w:tab w:val="left" w:pos="5760"/>
        </w:tabs>
        <w:rPr>
          <w:b/>
          <w:bCs/>
        </w:rPr>
      </w:pPr>
    </w:p>
    <w:p w14:paraId="5784E9CD" w14:textId="77777777" w:rsidR="00253FFA" w:rsidRPr="001E7E87" w:rsidRDefault="001E7E87" w:rsidP="00721B94">
      <w:pPr>
        <w:pStyle w:val="Heading1"/>
        <w:rPr>
          <w:rFonts w:ascii="Times New Roman" w:hAnsi="Times New Roman" w:cs="Times New Roman"/>
          <w:sz w:val="22"/>
          <w:szCs w:val="22"/>
        </w:rPr>
      </w:pPr>
      <w:r w:rsidRPr="001E7E87">
        <w:rPr>
          <w:rFonts w:ascii="Times New Roman" w:hAnsi="Times New Roman" w:cs="Times New Roman"/>
          <w:sz w:val="22"/>
          <w:szCs w:val="22"/>
        </w:rPr>
        <w:t>I</w:t>
      </w:r>
      <w:r>
        <w:rPr>
          <w:rFonts w:ascii="Times New Roman" w:hAnsi="Times New Roman" w:cs="Times New Roman"/>
          <w:sz w:val="22"/>
          <w:szCs w:val="22"/>
        </w:rPr>
        <w:t>NTRODUCTION</w:t>
      </w:r>
    </w:p>
    <w:p w14:paraId="210A52E3" w14:textId="4DE4E26C" w:rsidR="00253FFA" w:rsidRPr="0049008B" w:rsidRDefault="0043303F" w:rsidP="003643A8">
      <w:pPr>
        <w:pStyle w:val="ParaNum"/>
        <w:tabs>
          <w:tab w:val="clear" w:pos="1080"/>
          <w:tab w:val="num" w:pos="1440"/>
        </w:tabs>
      </w:pPr>
      <w:r>
        <w:t xml:space="preserve">Unwanted fax advertisements can </w:t>
      </w:r>
      <w:r w:rsidR="00D36D55">
        <w:t xml:space="preserve">annoy </w:t>
      </w:r>
      <w:r>
        <w:t>consumers</w:t>
      </w:r>
      <w:r w:rsidR="00BC24D0">
        <w:t>, costing them time and money</w:t>
      </w:r>
      <w:r w:rsidR="000D6A04">
        <w:t xml:space="preserve"> </w:t>
      </w:r>
      <w:r w:rsidR="00BC24D0">
        <w:t>by</w:t>
      </w:r>
      <w:r w:rsidR="005D7B00">
        <w:t xml:space="preserve"> way of</w:t>
      </w:r>
      <w:r w:rsidR="0039789E">
        <w:t xml:space="preserve"> interfering </w:t>
      </w:r>
      <w:r w:rsidR="00BC24D0">
        <w:t xml:space="preserve">transmissions, and unplanned uses of </w:t>
      </w:r>
      <w:r>
        <w:t>paper</w:t>
      </w:r>
      <w:r w:rsidR="00BC24D0">
        <w:t xml:space="preserve"> and</w:t>
      </w:r>
      <w:r w:rsidR="00FD68BD">
        <w:t xml:space="preserve"> toner, </w:t>
      </w:r>
      <w:r w:rsidR="00BC24D0">
        <w:t>as well as</w:t>
      </w:r>
      <w:r w:rsidR="0039789E">
        <w:t xml:space="preserve"> </w:t>
      </w:r>
      <w:r w:rsidR="005D7B00">
        <w:t>wear and tear on equipment</w:t>
      </w:r>
      <w:r>
        <w:t xml:space="preserve">.  </w:t>
      </w:r>
      <w:r w:rsidR="00253FFA" w:rsidRPr="0049008B">
        <w:t>In this Declaratory Rul</w:t>
      </w:r>
      <w:r w:rsidR="00253FFA">
        <w:t>i</w:t>
      </w:r>
      <w:r w:rsidR="00253FFA" w:rsidRPr="0049008B">
        <w:t xml:space="preserve">ng, </w:t>
      </w:r>
      <w:r w:rsidR="001C1003" w:rsidRPr="0049008B">
        <w:t xml:space="preserve">we </w:t>
      </w:r>
      <w:r>
        <w:t xml:space="preserve">make clear that a type of fax advertisement – an </w:t>
      </w:r>
      <w:r w:rsidR="00C66EEA">
        <w:t>efax</w:t>
      </w:r>
      <w:r>
        <w:t xml:space="preserve">, a </w:t>
      </w:r>
      <w:r w:rsidR="001C1003">
        <w:t xml:space="preserve">document sent as </w:t>
      </w:r>
      <w:r>
        <w:t xml:space="preserve">a conventional fax then </w:t>
      </w:r>
      <w:r w:rsidR="001C1003">
        <w:t xml:space="preserve">converted to and delivered </w:t>
      </w:r>
      <w:r w:rsidR="00D36D55">
        <w:t xml:space="preserve">to a consumer </w:t>
      </w:r>
      <w:r w:rsidR="001C1003">
        <w:t>as an electronic mail attachment</w:t>
      </w:r>
      <w:r w:rsidR="001C1003">
        <w:rPr>
          <w:rStyle w:val="FootnoteReference"/>
        </w:rPr>
        <w:footnoteReference w:id="2"/>
      </w:r>
      <w:r w:rsidR="001C1003">
        <w:t xml:space="preserve"> </w:t>
      </w:r>
      <w:r>
        <w:t xml:space="preserve">– is </w:t>
      </w:r>
      <w:r w:rsidR="001C1003">
        <w:t xml:space="preserve">covered by </w:t>
      </w:r>
      <w:r>
        <w:t xml:space="preserve">the </w:t>
      </w:r>
      <w:r w:rsidR="001C1003">
        <w:t>consumer protections in the Telephone Consumer Protection Act (TCPA)</w:t>
      </w:r>
      <w:r w:rsidR="001C1003" w:rsidRPr="0049008B">
        <w:rPr>
          <w:rStyle w:val="FootnoteReference"/>
        </w:rPr>
        <w:footnoteReference w:id="3"/>
      </w:r>
      <w:r w:rsidR="001C1003">
        <w:t xml:space="preserve"> and the Junk Fax Protection Act (JFPA).</w:t>
      </w:r>
      <w:r w:rsidR="001C1003">
        <w:rPr>
          <w:rStyle w:val="FootnoteReference"/>
        </w:rPr>
        <w:footnoteReference w:id="4"/>
      </w:r>
      <w:r w:rsidR="001C1003">
        <w:t xml:space="preserve"> </w:t>
      </w:r>
      <w:r w:rsidR="0023661F">
        <w:t xml:space="preserve"> </w:t>
      </w:r>
      <w:r w:rsidR="005D7B00">
        <w:t>Based on o</w:t>
      </w:r>
      <w:r>
        <w:t>ur clarification</w:t>
      </w:r>
      <w:r w:rsidR="005D7B00">
        <w:t>,</w:t>
      </w:r>
      <w:r>
        <w:t xml:space="preserve"> </w:t>
      </w:r>
      <w:r w:rsidR="00D36D55">
        <w:t xml:space="preserve">consumers will enjoy the same </w:t>
      </w:r>
      <w:r w:rsidR="00D36D55">
        <w:lastRenderedPageBreak/>
        <w:t xml:space="preserve">protections from unwanted efaxes as they do from conventional faxes.  </w:t>
      </w:r>
      <w:r w:rsidR="0023661F">
        <w:t xml:space="preserve">As such, </w:t>
      </w:r>
      <w:r w:rsidR="00253FFA">
        <w:t xml:space="preserve">we grant </w:t>
      </w:r>
      <w:r w:rsidR="0023661F">
        <w:t xml:space="preserve">as </w:t>
      </w:r>
      <w:r w:rsidR="00253FFA">
        <w:t xml:space="preserve">described </w:t>
      </w:r>
      <w:r w:rsidR="0023661F">
        <w:t xml:space="preserve">below </w:t>
      </w:r>
      <w:r w:rsidR="00253FFA" w:rsidRPr="0049008B">
        <w:t xml:space="preserve">the Petition for </w:t>
      </w:r>
      <w:r w:rsidR="00253FFA">
        <w:t xml:space="preserve">Consideration and Clarification </w:t>
      </w:r>
      <w:r w:rsidR="00253FFA" w:rsidRPr="0049008B">
        <w:t xml:space="preserve">filed by </w:t>
      </w:r>
      <w:r w:rsidR="00253FFA">
        <w:t>Westfax, Inc.</w:t>
      </w:r>
      <w:r w:rsidR="00253FFA" w:rsidRPr="0049008B">
        <w:t xml:space="preserve"> (</w:t>
      </w:r>
      <w:r w:rsidR="00253FFA">
        <w:t>Westfax</w:t>
      </w:r>
      <w:r w:rsidR="00253FFA" w:rsidRPr="0049008B">
        <w:t>)</w:t>
      </w:r>
      <w:r w:rsidR="00253FFA">
        <w:t xml:space="preserve"> and otherwise deny the petition.</w:t>
      </w:r>
      <w:r w:rsidR="003643A8">
        <w:br/>
      </w:r>
    </w:p>
    <w:p w14:paraId="241A9A25" w14:textId="77777777" w:rsidR="00253FFA" w:rsidRPr="001E7E87" w:rsidRDefault="001E7E87" w:rsidP="00461C18">
      <w:pPr>
        <w:pStyle w:val="Heading1"/>
        <w:rPr>
          <w:rFonts w:ascii="Times New Roman" w:hAnsi="Times New Roman" w:cs="Times New Roman"/>
          <w:sz w:val="22"/>
          <w:szCs w:val="22"/>
        </w:rPr>
      </w:pPr>
      <w:r>
        <w:rPr>
          <w:rFonts w:ascii="Times New Roman" w:hAnsi="Times New Roman" w:cs="Times New Roman"/>
          <w:sz w:val="22"/>
          <w:szCs w:val="22"/>
        </w:rPr>
        <w:t>BACKGROUND</w:t>
      </w:r>
    </w:p>
    <w:p w14:paraId="2B984274" w14:textId="77777777" w:rsidR="00253FFA" w:rsidRDefault="00253FFA" w:rsidP="00A67D35">
      <w:pPr>
        <w:pStyle w:val="ParaNum"/>
        <w:tabs>
          <w:tab w:val="clear" w:pos="1080"/>
          <w:tab w:val="num" w:pos="1440"/>
        </w:tabs>
      </w:pPr>
      <w:r w:rsidRPr="0049008B">
        <w:t xml:space="preserve">In 1991, Congress enacted the TCPA in an effort to address certain </w:t>
      </w:r>
      <w:r>
        <w:t xml:space="preserve">calling and faxing </w:t>
      </w:r>
      <w:r w:rsidRPr="0049008B">
        <w:t>practices thought to be an invasion of consumer privacy and a risk to public safety.</w:t>
      </w:r>
      <w:r w:rsidRPr="0049008B">
        <w:rPr>
          <w:rStyle w:val="FootnoteReference"/>
        </w:rPr>
        <w:footnoteReference w:id="5"/>
      </w:r>
      <w:r w:rsidRPr="0049008B">
        <w:t xml:space="preserve">  </w:t>
      </w:r>
      <w:r>
        <w:t>In relevant part, the TCPA prohibits the use of any telephone fax machine, computer, or other device to send an “unsolicited advertisement” to a telephone fax machine.</w:t>
      </w:r>
      <w:r>
        <w:rPr>
          <w:rStyle w:val="FootnoteReference"/>
        </w:rPr>
        <w:footnoteReference w:id="6"/>
      </w:r>
      <w:r>
        <w:t xml:space="preserve">  In 1992, the Commission adopted rules implementing the TCPA, including restrictions on the transmission of unsolicited fax advertisements by fax machines.</w:t>
      </w:r>
      <w:r>
        <w:rPr>
          <w:rStyle w:val="FootnoteReference"/>
        </w:rPr>
        <w:footnoteReference w:id="7"/>
      </w:r>
      <w:r>
        <w:t xml:space="preserve">  </w:t>
      </w:r>
    </w:p>
    <w:p w14:paraId="0B3A1AC9" w14:textId="77777777" w:rsidR="00253FFA" w:rsidRPr="0011252B" w:rsidRDefault="00253FFA" w:rsidP="003643A8">
      <w:pPr>
        <w:pStyle w:val="ParaNum"/>
        <w:tabs>
          <w:tab w:val="clear" w:pos="1080"/>
          <w:tab w:val="num" w:pos="1440"/>
        </w:tabs>
      </w:pPr>
      <w:r>
        <w:t>In 2005, Congress enacted the JFPA, which amended the fax advertising provisions of the TCPA.</w:t>
      </w:r>
      <w:r>
        <w:rPr>
          <w:rStyle w:val="FootnoteReference"/>
        </w:rPr>
        <w:footnoteReference w:id="8"/>
      </w:r>
      <w:r>
        <w:t xml:space="preserve">  In general, the JFPA:  (1) codified an established business relationship (EBR) exemption to the prohibition on sending unsolicited fax advertisements;</w:t>
      </w:r>
      <w:r>
        <w:rPr>
          <w:rStyle w:val="FootnoteReference"/>
        </w:rPr>
        <w:footnoteReference w:id="9"/>
      </w:r>
      <w:r>
        <w:t xml:space="preserve"> (2) provided a definition of an EBR to be used in the context of unsolicited fax advertisements;</w:t>
      </w:r>
      <w:r>
        <w:rPr>
          <w:rStyle w:val="FootnoteReference"/>
        </w:rPr>
        <w:footnoteReference w:id="10"/>
      </w:r>
      <w:r>
        <w:t xml:space="preserve"> (3) required the sender of a fax advertisement to provide specified notice and contact information on the fax that allows recipients to “opt-out” of any future fax transmissions from the sender;</w:t>
      </w:r>
      <w:r>
        <w:rPr>
          <w:rStyle w:val="FootnoteReference"/>
        </w:rPr>
        <w:footnoteReference w:id="11"/>
      </w:r>
      <w:r>
        <w:t xml:space="preserve"> and (4) specified the circumstances under which a request to “opt out” complies with the Act.</w:t>
      </w:r>
      <w:r>
        <w:rPr>
          <w:rStyle w:val="FootnoteReference"/>
        </w:rPr>
        <w:footnoteReference w:id="12"/>
      </w:r>
      <w:r>
        <w:t xml:space="preserve">  In 2006, the Commission amended the rules concerning fax transmissions as required by the JFPA and addressing certain issues raised in petitions for reconsideration of its 2003 Report and Order.</w:t>
      </w:r>
      <w:r>
        <w:rPr>
          <w:rStyle w:val="FootnoteReference"/>
        </w:rPr>
        <w:footnoteReference w:id="13"/>
      </w:r>
      <w:r>
        <w:t xml:space="preserve"> </w:t>
      </w:r>
    </w:p>
    <w:p w14:paraId="4F223ECD" w14:textId="77777777" w:rsidR="00253FFA" w:rsidRDefault="00253FFA" w:rsidP="003643A8">
      <w:pPr>
        <w:pStyle w:val="ParaNum"/>
        <w:tabs>
          <w:tab w:val="clear" w:pos="1080"/>
          <w:tab w:val="num" w:pos="1440"/>
        </w:tabs>
      </w:pPr>
      <w:r>
        <w:t>In 2009, Westfax</w:t>
      </w:r>
      <w:r w:rsidRPr="0049008B">
        <w:t xml:space="preserve"> filed its Petition seeking clarification of the TCPA</w:t>
      </w:r>
      <w:r>
        <w:t xml:space="preserve"> and the JFPA</w:t>
      </w:r>
      <w:r w:rsidRPr="0049008B">
        <w:t xml:space="preserve"> </w:t>
      </w:r>
      <w:r>
        <w:t xml:space="preserve">and its related provisions </w:t>
      </w:r>
      <w:r w:rsidRPr="0049008B">
        <w:t xml:space="preserve">as it applies to the </w:t>
      </w:r>
      <w:r>
        <w:t>transmission of efaxes.</w:t>
      </w:r>
      <w:r>
        <w:rPr>
          <w:rStyle w:val="FootnoteReference"/>
        </w:rPr>
        <w:footnoteReference w:id="14"/>
      </w:r>
      <w:r>
        <w:t xml:space="preserve">  Westfax provides a fax broadcasting service that transmits messages to fax machines or fax servers on another entity’s behalf.</w:t>
      </w:r>
      <w:r>
        <w:rPr>
          <w:rStyle w:val="FootnoteReference"/>
        </w:rPr>
        <w:footnoteReference w:id="15"/>
      </w:r>
      <w:r>
        <w:t xml:space="preserve">  </w:t>
      </w:r>
      <w:r w:rsidR="00D97D03">
        <w:t>It also provides an efax service.</w:t>
      </w:r>
      <w:r w:rsidR="00D97D03">
        <w:rPr>
          <w:rStyle w:val="FootnoteReference"/>
        </w:rPr>
        <w:footnoteReference w:id="16"/>
      </w:r>
      <w:r>
        <w:t xml:space="preserve"> </w:t>
      </w:r>
      <w:r w:rsidR="00D97D03">
        <w:t xml:space="preserve"> </w:t>
      </w:r>
      <w:r>
        <w:t xml:space="preserve">In its Petition, Westfax describes an efax as “a facsimile transmission </w:t>
      </w:r>
      <w:r w:rsidR="006B3625">
        <w:t>. . .</w:t>
      </w:r>
      <w:r>
        <w:t xml:space="preserve"> received on a fax server</w:t>
      </w:r>
      <w:r w:rsidR="006B3625">
        <w:t>,</w:t>
      </w:r>
      <w:r>
        <w:t>”</w:t>
      </w:r>
      <w:r>
        <w:rPr>
          <w:rStyle w:val="FootnoteReference"/>
        </w:rPr>
        <w:footnoteReference w:id="17"/>
      </w:r>
      <w:r>
        <w:t xml:space="preserve">  </w:t>
      </w:r>
      <w:r w:rsidR="006B3625">
        <w:t xml:space="preserve">and </w:t>
      </w:r>
      <w:r>
        <w:t>“in general” is “a fax that is converted to email.”</w:t>
      </w:r>
      <w:r w:rsidR="006B3625">
        <w:rPr>
          <w:rStyle w:val="FootnoteReference"/>
        </w:rPr>
        <w:footnoteReference w:id="18"/>
      </w:r>
      <w:r>
        <w:t xml:space="preserve">  Westfax </w:t>
      </w:r>
      <w:r w:rsidR="006B3625">
        <w:t xml:space="preserve">further </w:t>
      </w:r>
      <w:r>
        <w:lastRenderedPageBreak/>
        <w:t>explain</w:t>
      </w:r>
      <w:r w:rsidR="006B3625">
        <w:t>s</w:t>
      </w:r>
      <w:r>
        <w:t xml:space="preserve"> that a document sent as a fax over a telephone line to the recipient’s fax number becomes an efax when a fax server on the receiving end converts the fax transmission into a digital image file or PDF that is </w:t>
      </w:r>
      <w:r w:rsidR="003138DE">
        <w:t xml:space="preserve">in turn </w:t>
      </w:r>
      <w:r>
        <w:t>sent to the recipient as an attachment to an email message.</w:t>
      </w:r>
      <w:r>
        <w:rPr>
          <w:rStyle w:val="FootnoteReference"/>
        </w:rPr>
        <w:footnoteReference w:id="19"/>
      </w:r>
      <w:r>
        <w:t xml:space="preserve">  </w:t>
      </w:r>
    </w:p>
    <w:p w14:paraId="6FD017A2" w14:textId="6990B7C1" w:rsidR="00253FFA" w:rsidRPr="0049008B" w:rsidRDefault="00253FFA" w:rsidP="003643A8">
      <w:pPr>
        <w:pStyle w:val="ParaNum"/>
        <w:tabs>
          <w:tab w:val="clear" w:pos="1080"/>
          <w:tab w:val="num" w:pos="1440"/>
        </w:tabs>
      </w:pPr>
      <w:r>
        <w:t xml:space="preserve">Westfax seeks clarification of the following: </w:t>
      </w:r>
      <w:r w:rsidR="00DE1896">
        <w:t xml:space="preserve"> </w:t>
      </w:r>
      <w:r>
        <w:rPr>
          <w:color w:val="000000"/>
        </w:rPr>
        <w:t>(1) whether an efax is a fax, an email, or both; (2) whether the restrictions on unsolicited fax advertisements apply to efaxes, and, if so, to what extent; (3) whether the definition of a fax recipient under the rules applies when the recipient receives an efax; (4) whether it is a TCPA violation to send an efax to someone who has consented to receive traditional faxes or has an EBR; (5) whether the FCC would issue a “safe harbor” standard opt-out notice for faxes; and (6) whether third parties, including fax broadcasters, who are retained to accept opt-out requests, are deemed to be giving any advice on how to comply with the fax advertising rules, and therefore whether such services are an example of “involvement”  that creates any TCPA or JFPA liabilities for the third-party provider.</w:t>
      </w:r>
      <w:r>
        <w:rPr>
          <w:rStyle w:val="FootnoteReference"/>
          <w:color w:val="000000"/>
        </w:rPr>
        <w:footnoteReference w:id="20"/>
      </w:r>
      <w:r w:rsidRPr="0049008B">
        <w:t xml:space="preserve">  </w:t>
      </w:r>
    </w:p>
    <w:p w14:paraId="1D27A7E7" w14:textId="31D5A211" w:rsidR="00253FFA" w:rsidRPr="00962757" w:rsidRDefault="00253FFA" w:rsidP="003643A8">
      <w:pPr>
        <w:pStyle w:val="ParaNum"/>
        <w:tabs>
          <w:tab w:val="clear" w:pos="1080"/>
          <w:tab w:val="num" w:pos="1440"/>
        </w:tabs>
      </w:pPr>
      <w:r>
        <w:t>T</w:t>
      </w:r>
      <w:r w:rsidRPr="00962757">
        <w:t xml:space="preserve">he </w:t>
      </w:r>
      <w:r w:rsidR="00862E28">
        <w:t>Bureau</w:t>
      </w:r>
      <w:r w:rsidRPr="00962757">
        <w:t xml:space="preserve"> </w:t>
      </w:r>
      <w:r>
        <w:t xml:space="preserve">sought </w:t>
      </w:r>
      <w:r w:rsidRPr="00962757">
        <w:t xml:space="preserve">comment on the issues raised in </w:t>
      </w:r>
      <w:r>
        <w:t xml:space="preserve">Westfax’s </w:t>
      </w:r>
      <w:r w:rsidRPr="00962757">
        <w:t>petition.</w:t>
      </w:r>
      <w:r w:rsidRPr="0049008B">
        <w:rPr>
          <w:rStyle w:val="FootnoteReference"/>
        </w:rPr>
        <w:footnoteReference w:id="21"/>
      </w:r>
      <w:r w:rsidRPr="00962757">
        <w:t xml:space="preserve">  </w:t>
      </w:r>
      <w:r w:rsidR="0006422F">
        <w:t>Seven</w:t>
      </w:r>
      <w:r>
        <w:t xml:space="preserve"> individuals filed </w:t>
      </w:r>
      <w:r w:rsidRPr="00962757">
        <w:t>comments.</w:t>
      </w:r>
      <w:r w:rsidRPr="0049008B">
        <w:rPr>
          <w:rStyle w:val="FootnoteReference"/>
        </w:rPr>
        <w:footnoteReference w:id="22"/>
      </w:r>
      <w:r w:rsidRPr="00962757">
        <w:t xml:space="preserve">  </w:t>
      </w:r>
      <w:r>
        <w:t>All c</w:t>
      </w:r>
      <w:r w:rsidRPr="0049008B">
        <w:t>ommenters</w:t>
      </w:r>
      <w:r>
        <w:t xml:space="preserve"> support a finding that efaxes are fully subject to the TCPA.  While the commenters do not address all of the other issues Westfax raises, they uniformly agree that efaxes should be treated the same as traditional faxes and oppose interpreting or applying the TCPA or JFPA so as to absolve from liability the sender of an unsolicited advertisement via “efax.”</w:t>
      </w:r>
      <w:r>
        <w:rPr>
          <w:rStyle w:val="FootnoteReference"/>
        </w:rPr>
        <w:footnoteReference w:id="23"/>
      </w:r>
      <w:r w:rsidRPr="0049008B">
        <w:t xml:space="preserve"> </w:t>
      </w:r>
      <w:r w:rsidR="003643A8">
        <w:br/>
      </w:r>
    </w:p>
    <w:p w14:paraId="1560FAC0" w14:textId="77777777" w:rsidR="00253FFA" w:rsidRPr="001E7E87" w:rsidRDefault="001E7E87" w:rsidP="00BD4139">
      <w:pPr>
        <w:pStyle w:val="Heading1"/>
        <w:rPr>
          <w:rFonts w:ascii="Times New Roman" w:hAnsi="Times New Roman" w:cs="Times New Roman"/>
          <w:sz w:val="22"/>
          <w:szCs w:val="22"/>
        </w:rPr>
      </w:pPr>
      <w:r>
        <w:rPr>
          <w:rFonts w:ascii="Times New Roman" w:hAnsi="Times New Roman" w:cs="Times New Roman"/>
          <w:sz w:val="22"/>
          <w:szCs w:val="22"/>
        </w:rPr>
        <w:t>DISCUSSION</w:t>
      </w:r>
    </w:p>
    <w:p w14:paraId="44804335" w14:textId="77777777" w:rsidR="00253FFA" w:rsidRPr="00461C18" w:rsidRDefault="00253FFA" w:rsidP="003643A8">
      <w:pPr>
        <w:pStyle w:val="ParaNum"/>
        <w:tabs>
          <w:tab w:val="clear" w:pos="1080"/>
          <w:tab w:val="num" w:pos="1440"/>
        </w:tabs>
      </w:pPr>
      <w:r w:rsidRPr="0049008B">
        <w:t xml:space="preserve">We </w:t>
      </w:r>
      <w:r>
        <w:t xml:space="preserve">grant to the extent described herein and otherwise deny Westfax’s Petition. </w:t>
      </w:r>
      <w:r w:rsidR="0084108A">
        <w:t xml:space="preserve">Based on the record and Commission precedent, including </w:t>
      </w:r>
      <w:r>
        <w:t xml:space="preserve">the </w:t>
      </w:r>
      <w:r w:rsidRPr="00E35D16">
        <w:rPr>
          <w:i/>
          <w:iCs/>
        </w:rPr>
        <w:t>2003 TCPA Order</w:t>
      </w:r>
      <w:r>
        <w:t xml:space="preserve"> and the </w:t>
      </w:r>
      <w:r w:rsidRPr="00E35D16">
        <w:rPr>
          <w:i/>
          <w:iCs/>
        </w:rPr>
        <w:t>Junk Fax Order</w:t>
      </w:r>
      <w:r>
        <w:t xml:space="preserve">, we clarify that efaxes </w:t>
      </w:r>
      <w:r w:rsidRPr="003D6DD9">
        <w:t xml:space="preserve">are subject to the TCPA and </w:t>
      </w:r>
      <w:r w:rsidR="00862E28">
        <w:t>the Commission’s</w:t>
      </w:r>
      <w:r>
        <w:t xml:space="preserve"> related </w:t>
      </w:r>
      <w:r w:rsidRPr="003D6DD9">
        <w:t>rules</w:t>
      </w:r>
      <w:r>
        <w:t xml:space="preserve">.  We also clarify who is the recipient of an efax, and decline, in the context of this declaratory ruling and without specific facts, to determine at what point a fax broadcaster is sufficiently involved in fax advertising as to be liable for TCPA violations, or to establish a “safe harbor” opt-out notice. </w:t>
      </w:r>
    </w:p>
    <w:p w14:paraId="079F2F95" w14:textId="77777777" w:rsidR="00846325" w:rsidRDefault="00253FFA" w:rsidP="003643A8">
      <w:pPr>
        <w:pStyle w:val="ParaNum"/>
        <w:widowControl/>
        <w:tabs>
          <w:tab w:val="clear" w:pos="1080"/>
          <w:tab w:val="num" w:pos="1440"/>
        </w:tabs>
      </w:pPr>
      <w:r>
        <w:t xml:space="preserve">First, we find that efaxes are subject to the TCPA’s consumer protections.  The TCPA and </w:t>
      </w:r>
      <w:r w:rsidR="00862E28">
        <w:t xml:space="preserve">the Commission’s </w:t>
      </w:r>
      <w:r>
        <w:t>rules make it unlawful for any person to use any telephone fax machine, computer, or other device to send an unsolicited advertisement to a telephone fax machine unless there is an EBR between the sender and recipient</w:t>
      </w:r>
      <w:r w:rsidR="003138DE">
        <w:t>,</w:t>
      </w:r>
      <w:r w:rsidR="003138DE" w:rsidRPr="003138DE">
        <w:t xml:space="preserve"> </w:t>
      </w:r>
      <w:r w:rsidR="003138DE">
        <w:t>the sender has obtained the recipient’s fax number through an acceptable method, and the sender provides certain notices on the fax transmission</w:t>
      </w:r>
      <w:r>
        <w:t>.</w:t>
      </w:r>
      <w:r>
        <w:rPr>
          <w:rStyle w:val="FootnoteReference"/>
        </w:rPr>
        <w:footnoteReference w:id="24"/>
      </w:r>
      <w:r>
        <w:t xml:space="preserve">  </w:t>
      </w:r>
      <w:r w:rsidR="00862E28">
        <w:t>The Commission’s</w:t>
      </w:r>
      <w:r>
        <w:t xml:space="preserve"> </w:t>
      </w:r>
      <w:r w:rsidRPr="00461C18">
        <w:t xml:space="preserve">rules </w:t>
      </w:r>
      <w:r w:rsidRPr="00950281">
        <w:t>define “telephone facsimile machine” to mean “equipment which has the capacity to transcribe text or images, or both, from paper into an electronic signal and to transmit that signal over a regular telephone line, or to transcribe text or images (or both) from an electronic signal received over a regular telephone line onto paper</w:t>
      </w:r>
      <w:r>
        <w:t>.</w:t>
      </w:r>
      <w:r w:rsidRPr="00950281">
        <w:t>”</w:t>
      </w:r>
      <w:r>
        <w:rPr>
          <w:rStyle w:val="FootnoteReference"/>
        </w:rPr>
        <w:footnoteReference w:id="25"/>
      </w:r>
      <w:r>
        <w:t xml:space="preserve">  </w:t>
      </w:r>
    </w:p>
    <w:p w14:paraId="00F12D1E" w14:textId="6C42D79C" w:rsidR="00253FFA" w:rsidRPr="00D46DA7" w:rsidRDefault="00253FFA" w:rsidP="003643A8">
      <w:pPr>
        <w:pStyle w:val="ParaNum"/>
        <w:tabs>
          <w:tab w:val="clear" w:pos="1080"/>
          <w:tab w:val="num" w:pos="1440"/>
        </w:tabs>
      </w:pPr>
      <w:r>
        <w:t>Westfax’s description makes clear that efaxes are sent as faxes over telephone lines,</w:t>
      </w:r>
      <w:r w:rsidR="00846325">
        <w:rPr>
          <w:rStyle w:val="FootnoteReference"/>
        </w:rPr>
        <w:footnoteReference w:id="26"/>
      </w:r>
      <w:r>
        <w:t xml:space="preserve"> which satisf</w:t>
      </w:r>
      <w:r w:rsidR="00846325">
        <w:t>i</w:t>
      </w:r>
      <w:r w:rsidR="004A10E2">
        <w:t>es</w:t>
      </w:r>
      <w:r w:rsidR="00846325">
        <w:t xml:space="preserve"> </w:t>
      </w:r>
      <w:r>
        <w:t>the statutory requirement</w:t>
      </w:r>
      <w:r w:rsidR="00846325">
        <w:t xml:space="preserve"> that the communication </w:t>
      </w:r>
      <w:r>
        <w:t>be a fax on the originating end.  Efaxes also satisfy the statutory requirements to be a fax on the receiving end.  The definition of “telephone facsimile machine” sweeps in the fax server</w:t>
      </w:r>
      <w:r w:rsidR="006F5007">
        <w:t xml:space="preserve"> and</w:t>
      </w:r>
      <w:r>
        <w:t xml:space="preserve"> modem</w:t>
      </w:r>
      <w:r w:rsidR="00F42E07">
        <w:t>,</w:t>
      </w:r>
      <w:r>
        <w:t xml:space="preserve"> along with the computer that receives the efax because together they by necessity have the capacity to “transcribe text or images (or both) from an electronic signal received over a telephone line onto paper.”</w:t>
      </w:r>
      <w:r w:rsidR="00B26959">
        <w:rPr>
          <w:rStyle w:val="FootnoteReference"/>
        </w:rPr>
        <w:footnoteReference w:id="27"/>
      </w:r>
      <w:r>
        <w:t xml:space="preserve">  The interpretation is consistent with the Commission’s conclusion in the </w:t>
      </w:r>
      <w:r w:rsidRPr="00461C18">
        <w:rPr>
          <w:i/>
          <w:iCs/>
        </w:rPr>
        <w:t xml:space="preserve">2003 TCPA </w:t>
      </w:r>
      <w:r w:rsidRPr="009E38FB">
        <w:rPr>
          <w:i/>
          <w:iCs/>
        </w:rPr>
        <w:t>Order</w:t>
      </w:r>
      <w:r>
        <w:t xml:space="preserve"> address</w:t>
      </w:r>
      <w:r w:rsidR="00846325">
        <w:t xml:space="preserve">ing </w:t>
      </w:r>
      <w:r w:rsidRPr="00134FC3">
        <w:t xml:space="preserve">whether </w:t>
      </w:r>
      <w:r>
        <w:t xml:space="preserve">the TCPA covers </w:t>
      </w:r>
      <w:r w:rsidRPr="00134FC3">
        <w:t xml:space="preserve">faxes sent to </w:t>
      </w:r>
      <w:r>
        <w:t xml:space="preserve">computers attached to </w:t>
      </w:r>
      <w:r w:rsidRPr="00134FC3">
        <w:t xml:space="preserve">fax servers </w:t>
      </w:r>
      <w:r>
        <w:t>or modems.</w:t>
      </w:r>
      <w:r>
        <w:rPr>
          <w:rStyle w:val="FootnoteReference"/>
        </w:rPr>
        <w:footnoteReference w:id="28"/>
      </w:r>
      <w:r w:rsidRPr="00461C18">
        <w:t xml:space="preserve"> </w:t>
      </w:r>
      <w:r w:rsidR="003643A8">
        <w:t xml:space="preserve"> </w:t>
      </w:r>
      <w:r>
        <w:t>Westfax’s description of efaxes makes clear that the recipient computers are attached to fax servers or services that convert the fax into a format that is attached to an email received by the computer.</w:t>
      </w:r>
    </w:p>
    <w:p w14:paraId="3F5C7E0A" w14:textId="229F7AAF" w:rsidR="00253FFA" w:rsidRDefault="00253FFA" w:rsidP="003643A8">
      <w:pPr>
        <w:pStyle w:val="ParaNum"/>
        <w:tabs>
          <w:tab w:val="clear" w:pos="1080"/>
          <w:tab w:val="num" w:pos="1440"/>
        </w:tabs>
      </w:pPr>
      <w:r>
        <w:t>Westfax correctly notes, in this regard, that the Commission’s finding</w:t>
      </w:r>
      <w:r w:rsidRPr="00620AE2">
        <w:t xml:space="preserve"> in the </w:t>
      </w:r>
      <w:r w:rsidRPr="00F4471F">
        <w:rPr>
          <w:i/>
          <w:iCs/>
        </w:rPr>
        <w:t>2003 TCPA Order</w:t>
      </w:r>
      <w:r>
        <w:t xml:space="preserve"> that faxes sent to computers with attached fax servers or modems is accompanied by the statement</w:t>
      </w:r>
      <w:r w:rsidRPr="00880FA0">
        <w:t xml:space="preserve"> </w:t>
      </w:r>
      <w:r>
        <w:t xml:space="preserve">that faxes </w:t>
      </w:r>
      <w:r w:rsidRPr="00134FC3">
        <w:t>“sent as an email over the Internet”</w:t>
      </w:r>
      <w:r>
        <w:t xml:space="preserve"> are not subject to TCPA and the rules.</w:t>
      </w:r>
      <w:r>
        <w:rPr>
          <w:rStyle w:val="FootnoteReference"/>
        </w:rPr>
        <w:footnoteReference w:id="29"/>
      </w:r>
      <w:r w:rsidRPr="00AF0FB3">
        <w:t xml:space="preserve">  Westfax’s </w:t>
      </w:r>
      <w:r>
        <w:t>concern</w:t>
      </w:r>
      <w:r w:rsidRPr="00AF0FB3">
        <w:t xml:space="preserve"> appears to be that the conversion of the fax to email </w:t>
      </w:r>
      <w:r w:rsidRPr="00AF0FB3">
        <w:rPr>
          <w:i/>
          <w:iCs/>
        </w:rPr>
        <w:t xml:space="preserve">after </w:t>
      </w:r>
      <w:r w:rsidRPr="00AF0FB3">
        <w:t>it is sent removes it from the TCPA’s reach.</w:t>
      </w:r>
      <w:r>
        <w:t xml:space="preserve">  That is not the case.  The TCPA applies to a fax that is sent as a fax over a telephone line to a device that meets the statutory definition of “telephone facsimile machine</w:t>
      </w:r>
      <w:r w:rsidR="002A284E">
        <w:t>,</w:t>
      </w:r>
      <w:r>
        <w:t xml:space="preserve">” which, as discussed above, is the case here.  There is an end-to-end communication that starts when the faxed document is sent over a telephone line and ends when the converted document is received on </w:t>
      </w:r>
      <w:r w:rsidR="005A64F1">
        <w:t xml:space="preserve">a </w:t>
      </w:r>
      <w:r>
        <w:t>computer.</w:t>
      </w:r>
      <w:r>
        <w:rPr>
          <w:rStyle w:val="FootnoteReference"/>
        </w:rPr>
        <w:footnoteReference w:id="30"/>
      </w:r>
      <w:r>
        <w:t xml:space="preserve">  </w:t>
      </w:r>
      <w:r>
        <w:rPr>
          <w:color w:val="000000"/>
        </w:rPr>
        <w:t>Just so, c</w:t>
      </w:r>
      <w:r w:rsidRPr="00D46DA7">
        <w:rPr>
          <w:color w:val="000000"/>
        </w:rPr>
        <w:t xml:space="preserve">iting the statute in the </w:t>
      </w:r>
      <w:r w:rsidRPr="00D46DA7">
        <w:rPr>
          <w:i/>
          <w:iCs/>
        </w:rPr>
        <w:t>2003 TCPA Order</w:t>
      </w:r>
      <w:r w:rsidRPr="00AF0FB3">
        <w:rPr>
          <w:color w:val="000000"/>
        </w:rPr>
        <w:t>, the Commission stated that, “</w:t>
      </w:r>
      <w:r>
        <w:t>the</w:t>
      </w:r>
      <w:r w:rsidRPr="00D46DA7">
        <w:rPr>
          <w:color w:val="000000"/>
        </w:rPr>
        <w:t xml:space="preserve"> TCPA makes it unlawful for any person to use any telephone facsimile machine, computer or other device to </w:t>
      </w:r>
      <w:r w:rsidRPr="00A67D35">
        <w:rPr>
          <w:i/>
          <w:iCs/>
        </w:rPr>
        <w:t>send</w:t>
      </w:r>
      <w:r w:rsidRPr="00D46DA7">
        <w:rPr>
          <w:color w:val="000000"/>
        </w:rPr>
        <w:t xml:space="preserve"> an unsolicited advertisement to a telephone facsimile machine</w:t>
      </w:r>
      <w:r>
        <w:rPr>
          <w:color w:val="000000"/>
        </w:rPr>
        <w:t>,</w:t>
      </w:r>
      <w:r w:rsidRPr="00D46DA7">
        <w:rPr>
          <w:color w:val="000000"/>
        </w:rPr>
        <w:t>”</w:t>
      </w:r>
      <w:r>
        <w:rPr>
          <w:rStyle w:val="FootnoteReference"/>
          <w:color w:val="000000"/>
        </w:rPr>
        <w:footnoteReference w:id="31"/>
      </w:r>
      <w:r>
        <w:rPr>
          <w:color w:val="000000"/>
        </w:rPr>
        <w:t xml:space="preserve"> including sending an unsolicited advertisement to a computer atta</w:t>
      </w:r>
      <w:r w:rsidR="003643A8">
        <w:rPr>
          <w:color w:val="000000"/>
        </w:rPr>
        <w:t xml:space="preserve">ched to a fax server or modem. </w:t>
      </w:r>
      <w:r>
        <w:t xml:space="preserve"> Efaxes are sent as a fax over a telephone line to a telephone facsimile machine and are thus subject to TCPA and the Commission’s rules.  By contrast, a fax </w:t>
      </w:r>
      <w:r w:rsidRPr="00880FA0">
        <w:rPr>
          <w:i/>
        </w:rPr>
        <w:t>sent as an email</w:t>
      </w:r>
      <w:r>
        <w:t xml:space="preserve"> over the Internet </w:t>
      </w:r>
      <w:r w:rsidR="001A5081">
        <w:t xml:space="preserve">– </w:t>
      </w:r>
      <w:r w:rsidR="001A5081" w:rsidRPr="00070A8D">
        <w:rPr>
          <w:i/>
        </w:rPr>
        <w:t>e.g.,</w:t>
      </w:r>
      <w:r w:rsidR="001A5081">
        <w:t xml:space="preserve"> a fax attached to an email message or a fax whose content has been pasted into an email message – </w:t>
      </w:r>
      <w:r>
        <w:t>is not subject to the TCPA.</w:t>
      </w:r>
      <w:r>
        <w:rPr>
          <w:rStyle w:val="FootnoteReference"/>
        </w:rPr>
        <w:footnoteReference w:id="32"/>
      </w:r>
      <w:r>
        <w:t xml:space="preserve"> </w:t>
      </w:r>
      <w:r w:rsidR="00B05DB0">
        <w:t xml:space="preserve"> </w:t>
      </w:r>
      <w:r w:rsidR="00B05DB0" w:rsidRPr="00B05DB0">
        <w:t>While we understand that the harm to recipients may be the same whether the efax begins as a fax or email, the Commission has previously interpreted the TCPA to apply only to those that b</w:t>
      </w:r>
      <w:r w:rsidR="00B05DB0">
        <w:t>egin as faxes</w:t>
      </w:r>
      <w:r w:rsidR="00BC24D0">
        <w:t xml:space="preserve">.  </w:t>
      </w:r>
      <w:r>
        <w:t xml:space="preserve">The Commission’s statements address separate factual situations – one involving </w:t>
      </w:r>
      <w:r w:rsidR="00105EA8">
        <w:t xml:space="preserve">a communication originating </w:t>
      </w:r>
      <w:r>
        <w:t xml:space="preserve">as a fax over a telephone line and </w:t>
      </w:r>
      <w:r w:rsidR="00105EA8">
        <w:t xml:space="preserve">another communication originating as </w:t>
      </w:r>
      <w:r>
        <w:t>an email over the Internet.  Westfax raises no questions regarding a document sent as an email over the Internet.</w:t>
      </w:r>
      <w:r w:rsidRPr="00880FA0">
        <w:t xml:space="preserve"> </w:t>
      </w:r>
    </w:p>
    <w:p w14:paraId="5A5C0A91" w14:textId="5B324B30" w:rsidR="00253FFA" w:rsidRDefault="00253FFA" w:rsidP="003643A8">
      <w:pPr>
        <w:pStyle w:val="ParaNum"/>
        <w:tabs>
          <w:tab w:val="clear" w:pos="1080"/>
          <w:tab w:val="num" w:pos="1440"/>
        </w:tabs>
      </w:pPr>
      <w:r>
        <w:t>We disagree with the contention that efaxes do not implicate the TCPA’s consumer protection concerns.</w:t>
      </w:r>
      <w:r w:rsidR="00105EA8">
        <w:rPr>
          <w:rStyle w:val="FootnoteReference"/>
        </w:rPr>
        <w:footnoteReference w:id="33"/>
      </w:r>
      <w:r>
        <w:t xml:space="preserve">  Faxes “sent to a computer or fax server may shift the advertising costs of paper and toner to the recipient if they are printed”</w:t>
      </w:r>
      <w:r>
        <w:rPr>
          <w:rStyle w:val="FootnoteReference"/>
        </w:rPr>
        <w:footnoteReference w:id="34"/>
      </w:r>
      <w:r>
        <w:t xml:space="preserve"> and can cause “interference, interruptions, and expense” that can result from junk faxes, whether physical or electronic.</w:t>
      </w:r>
      <w:r>
        <w:rPr>
          <w:rStyle w:val="FootnoteReference"/>
        </w:rPr>
        <w:footnoteReference w:id="35"/>
      </w:r>
      <w:r>
        <w:t xml:space="preserve">  Efaxes, just </w:t>
      </w:r>
      <w:r w:rsidR="004A10E2">
        <w:t>like</w:t>
      </w:r>
      <w:r>
        <w:t xml:space="preserve"> paper faxes, can increase labor costs for businesses, whose employees must monitor faxes to separate unwanted from desired faxes.</w:t>
      </w:r>
      <w:r>
        <w:rPr>
          <w:rStyle w:val="FootnoteReference"/>
        </w:rPr>
        <w:footnoteReference w:id="36"/>
      </w:r>
      <w:r w:rsidRPr="00D46DA7">
        <w:rPr>
          <w:color w:val="000000"/>
        </w:rPr>
        <w:t xml:space="preserve">  </w:t>
      </w:r>
      <w:r>
        <w:t>Moreover, as the Commission stated in 2003, it would make little sense to apply a different set of rules (or, in this case, no rule at all) to faxes sent to one type of device (a standalone fax machine) versus another (a computer and its attachments) when the sender generally does not know what device will receive the fax.</w:t>
      </w:r>
      <w:r>
        <w:rPr>
          <w:rStyle w:val="FootnoteReference"/>
        </w:rPr>
        <w:footnoteReference w:id="37"/>
      </w:r>
      <w:r w:rsidRPr="00D46DA7">
        <w:rPr>
          <w:color w:val="000000"/>
        </w:rPr>
        <w:t xml:space="preserve"> </w:t>
      </w:r>
      <w:r>
        <w:t>We share commenters’ concerns that efaxes could be used to avoid the TCPA’s protections resulting in increased unwanted fax ads on their computers.</w:t>
      </w:r>
      <w:r>
        <w:rPr>
          <w:rStyle w:val="FootnoteReference"/>
        </w:rPr>
        <w:footnoteReference w:id="38"/>
      </w:r>
      <w:r>
        <w:t xml:space="preserve">  </w:t>
      </w:r>
    </w:p>
    <w:p w14:paraId="180E462D" w14:textId="00473BDB" w:rsidR="00253FFA" w:rsidRPr="00950281" w:rsidRDefault="00253FFA" w:rsidP="003643A8">
      <w:pPr>
        <w:pStyle w:val="ParaNum"/>
        <w:widowControl/>
        <w:tabs>
          <w:tab w:val="clear" w:pos="1080"/>
          <w:tab w:val="num" w:pos="1440"/>
        </w:tabs>
      </w:pPr>
      <w:r>
        <w:t>We next clarify that it is the consumer to whom the content of a fax or efax is directed that is the “recipient” under the TCPA.  Westfax asks whether the recipient is the company with the fax server that converts the fax into an email.</w:t>
      </w:r>
      <w:r>
        <w:rPr>
          <w:rStyle w:val="FootnoteReference"/>
        </w:rPr>
        <w:footnoteReference w:id="39"/>
      </w:r>
      <w:r>
        <w:t xml:space="preserve">  </w:t>
      </w:r>
      <w:r w:rsidR="00874306">
        <w:t>T</w:t>
      </w:r>
      <w:r w:rsidR="00862E28">
        <w:t>he Commission’s</w:t>
      </w:r>
      <w:r>
        <w:t xml:space="preserve"> rules and orders make clear that the “recipient” of a fax is the consumer for whom the fax’s content is intended and to whom the fax’s content is sent by dialing that consumer’s fax number.</w:t>
      </w:r>
      <w:r>
        <w:rPr>
          <w:rStyle w:val="FootnoteReference"/>
        </w:rPr>
        <w:footnoteReference w:id="40"/>
      </w:r>
      <w:r>
        <w:rPr>
          <w:color w:val="000000"/>
        </w:rPr>
        <w:t xml:space="preserve">  </w:t>
      </w:r>
      <w:r>
        <w:t xml:space="preserve">The TCPA and </w:t>
      </w:r>
      <w:r w:rsidR="00862E28">
        <w:t>the Commission’s</w:t>
      </w:r>
      <w:r>
        <w:t xml:space="preserve"> rules are designed to protect consumers for whom unwanted faxes represent annoyance and wasted resources.  Entities that convert faxes to email are not “recipients” of such faxes under the TCPA because they are not the intended audience for the fax.  Instead, based upon the description of Westfax’s own FaxForward service, such </w:t>
      </w:r>
      <w:r w:rsidR="00F9238E">
        <w:t>entities provide</w:t>
      </w:r>
      <w:r>
        <w:t xml:space="preserve"> a service to the recipient that requires them to become part of the communications pathway between the sender and the recipient.</w:t>
      </w:r>
      <w:r w:rsidR="003F6F1B">
        <w:rPr>
          <w:rStyle w:val="FootnoteReference"/>
        </w:rPr>
        <w:footnoteReference w:id="41"/>
      </w:r>
      <w:r w:rsidR="003643A8">
        <w:t xml:space="preserve">  </w:t>
      </w:r>
      <w:r>
        <w:t xml:space="preserve">Thus, while they expect to be part of the fax communication, they are neither the intended recipient nor the ultimate recipient of the document sent as a fax any more than would be the telephone company providing a telephone line to a consumer’s traditional fax machine.  </w:t>
      </w:r>
    </w:p>
    <w:p w14:paraId="76A6FC98" w14:textId="77777777" w:rsidR="00253FFA" w:rsidRPr="0049008B" w:rsidRDefault="00253FFA" w:rsidP="00B83C51">
      <w:pPr>
        <w:pStyle w:val="ParaNum"/>
        <w:widowControl/>
        <w:tabs>
          <w:tab w:val="clear" w:pos="1080"/>
          <w:tab w:val="num" w:pos="1440"/>
        </w:tabs>
      </w:pPr>
      <w:r w:rsidRPr="00461C18">
        <w:t xml:space="preserve">Westfax also </w:t>
      </w:r>
      <w:r>
        <w:t xml:space="preserve">asks whether the Commission would provide </w:t>
      </w:r>
      <w:r w:rsidRPr="00134FC3">
        <w:t xml:space="preserve">“safe harbor” </w:t>
      </w:r>
      <w:r>
        <w:t xml:space="preserve">language for fax </w:t>
      </w:r>
      <w:r w:rsidRPr="00134FC3">
        <w:t>opt-out notice</w:t>
      </w:r>
      <w:r>
        <w:t>s</w:t>
      </w:r>
      <w:r w:rsidRPr="00134FC3">
        <w:t>.</w:t>
      </w:r>
      <w:r>
        <w:rPr>
          <w:rStyle w:val="FootnoteReference"/>
          <w:color w:val="000000"/>
        </w:rPr>
        <w:footnoteReference w:id="42"/>
      </w:r>
      <w:r w:rsidRPr="00461C18">
        <w:t xml:space="preserve">  </w:t>
      </w:r>
      <w:r>
        <w:t xml:space="preserve">We decline to do so here.  </w:t>
      </w:r>
      <w:r w:rsidR="00862E28">
        <w:t>The Commission’s</w:t>
      </w:r>
      <w:r w:rsidRPr="00461C18">
        <w:t xml:space="preserve"> </w:t>
      </w:r>
      <w:r w:rsidRPr="009E38FB">
        <w:t>rules and o</w:t>
      </w:r>
      <w:r w:rsidRPr="00134FC3">
        <w:t>rders</w:t>
      </w:r>
      <w:r w:rsidRPr="00461C18">
        <w:t xml:space="preserve"> </w:t>
      </w:r>
      <w:r>
        <w:t xml:space="preserve">already </w:t>
      </w:r>
      <w:r w:rsidRPr="00461C18">
        <w:t xml:space="preserve">identify the content </w:t>
      </w:r>
      <w:r>
        <w:t xml:space="preserve">fax senders must include to allow consumers to opt-out of future unwanted faxes, but do </w:t>
      </w:r>
      <w:r w:rsidRPr="009E38FB">
        <w:t xml:space="preserve">not </w:t>
      </w:r>
      <w:r>
        <w:t xml:space="preserve">prescribe </w:t>
      </w:r>
      <w:r w:rsidRPr="009E38FB">
        <w:t xml:space="preserve">specific </w:t>
      </w:r>
      <w:r>
        <w:t>language</w:t>
      </w:r>
      <w:r w:rsidRPr="00134FC3">
        <w:t>.</w:t>
      </w:r>
      <w:r>
        <w:rPr>
          <w:rStyle w:val="FootnoteReference"/>
          <w:color w:val="000000"/>
        </w:rPr>
        <w:footnoteReference w:id="43"/>
      </w:r>
      <w:r w:rsidRPr="00461C18">
        <w:t xml:space="preserve">  </w:t>
      </w:r>
      <w:r>
        <w:t xml:space="preserve">This approach allows fax senders flexibility in how to comply with </w:t>
      </w:r>
      <w:r w:rsidR="00862E28">
        <w:t xml:space="preserve">the Commission’s </w:t>
      </w:r>
      <w:r>
        <w:t xml:space="preserve">rules.  </w:t>
      </w:r>
      <w:r w:rsidRPr="009E38FB">
        <w:t>We further decline to prejudge whether we would adopt such a safe harbor were</w:t>
      </w:r>
      <w:r w:rsidRPr="00134FC3">
        <w:t xml:space="preserve"> we to consider the issue in an appropriate rulemaking proceeding. </w:t>
      </w:r>
      <w:r>
        <w:t xml:space="preserve"> We note that the fax opt-out notice requirements have been in place for more than seven years and we have no evidence that other fax senders have struggled with finding language that would satisfy those requirements.</w:t>
      </w:r>
    </w:p>
    <w:p w14:paraId="7F3541A9" w14:textId="1DA04D17" w:rsidR="00253FFA" w:rsidRPr="009B41E7" w:rsidRDefault="00253FFA" w:rsidP="003643A8">
      <w:pPr>
        <w:pStyle w:val="ParaNum"/>
        <w:tabs>
          <w:tab w:val="clear" w:pos="1080"/>
          <w:tab w:val="num" w:pos="1440"/>
        </w:tabs>
      </w:pPr>
      <w:r>
        <w:t xml:space="preserve">Finally, Westfax asks us to clarify whether </w:t>
      </w:r>
      <w:r w:rsidRPr="004E651B">
        <w:t>third parties, including fax broadcasters,</w:t>
      </w:r>
      <w:r>
        <w:rPr>
          <w:rStyle w:val="FootnoteReference"/>
        </w:rPr>
        <w:footnoteReference w:id="44"/>
      </w:r>
      <w:r w:rsidRPr="004E651B">
        <w:t xml:space="preserve"> who are retained to accept opt-out requests, are deemed to be giving any advice on how to comply with the </w:t>
      </w:r>
      <w:r>
        <w:t xml:space="preserve">fax </w:t>
      </w:r>
      <w:r w:rsidRPr="004E651B">
        <w:t xml:space="preserve">advertising rules, and therefore whether such services are an example of </w:t>
      </w:r>
      <w:r>
        <w:t xml:space="preserve">the </w:t>
      </w:r>
      <w:r w:rsidRPr="004E651B">
        <w:t>“involvement” that creates TCPA liabilit</w:t>
      </w:r>
      <w:r>
        <w:t>y</w:t>
      </w:r>
      <w:r w:rsidRPr="004E651B">
        <w:t xml:space="preserve"> for the third-party provider</w:t>
      </w:r>
      <w:r>
        <w:t>.</w:t>
      </w:r>
      <w:r>
        <w:rPr>
          <w:rStyle w:val="FootnoteReference"/>
        </w:rPr>
        <w:footnoteReference w:id="45"/>
      </w:r>
      <w:r w:rsidRPr="004E651B">
        <w:t xml:space="preserve"> </w:t>
      </w:r>
      <w:r>
        <w:t xml:space="preserve"> Neither Westfax’s petition nor the comments provide </w:t>
      </w:r>
      <w:r w:rsidRPr="009C114E">
        <w:rPr>
          <w:color w:val="000000"/>
        </w:rPr>
        <w:t xml:space="preserve">a record sufficient to support the kind of fact-specific inquiry required to determine when a fax broadcaster’s involvement in sending faxes is so substantial that the fax broadcaster is liable.  </w:t>
      </w:r>
      <w:r>
        <w:rPr>
          <w:color w:val="000000"/>
        </w:rPr>
        <w:t>We note, however, that t</w:t>
      </w:r>
      <w:r w:rsidRPr="009C114E">
        <w:rPr>
          <w:color w:val="000000"/>
        </w:rPr>
        <w:t>he Commission has identified factors, as applicable to the specific facts of each case, to be used in determining whether a fax broadcaster is liable under the TCPA.</w:t>
      </w:r>
      <w:r>
        <w:rPr>
          <w:rStyle w:val="FootnoteReference"/>
          <w:color w:val="000000"/>
        </w:rPr>
        <w:footnoteReference w:id="46"/>
      </w:r>
      <w:r w:rsidR="003643A8">
        <w:rPr>
          <w:color w:val="000000"/>
        </w:rPr>
        <w:t xml:space="preserve"> </w:t>
      </w:r>
      <w:r w:rsidRPr="009C114E">
        <w:rPr>
          <w:color w:val="000000"/>
        </w:rPr>
        <w:t xml:space="preserve"> In doing so, the Commission declined to make a generalized conclusion that all fax broadcasters are exempt from liability regardless of the facts.</w:t>
      </w:r>
      <w:r>
        <w:rPr>
          <w:rStyle w:val="FootnoteReference"/>
          <w:color w:val="000000"/>
        </w:rPr>
        <w:footnoteReference w:id="47"/>
      </w:r>
      <w:r w:rsidRPr="009C114E">
        <w:rPr>
          <w:color w:val="000000"/>
        </w:rPr>
        <w:t xml:space="preserve">  </w:t>
      </w:r>
      <w:r w:rsidR="005F3EAA">
        <w:rPr>
          <w:color w:val="000000"/>
        </w:rPr>
        <w:t>B</w:t>
      </w:r>
      <w:r>
        <w:rPr>
          <w:color w:val="000000"/>
        </w:rPr>
        <w:t xml:space="preserve">ased upon the record before us, we find no controversy or uncertainty requiring clarification about </w:t>
      </w:r>
      <w:r w:rsidRPr="009C114E">
        <w:rPr>
          <w:color w:val="000000"/>
        </w:rPr>
        <w:t xml:space="preserve">the degree of “involvement” that may </w:t>
      </w:r>
      <w:r>
        <w:rPr>
          <w:color w:val="000000"/>
        </w:rPr>
        <w:t xml:space="preserve">make </w:t>
      </w:r>
      <w:r w:rsidRPr="009C114E">
        <w:rPr>
          <w:color w:val="000000"/>
        </w:rPr>
        <w:t>fax broadcasters</w:t>
      </w:r>
      <w:r>
        <w:rPr>
          <w:color w:val="000000"/>
        </w:rPr>
        <w:t xml:space="preserve"> liable for TCPA violations.</w:t>
      </w:r>
      <w:r w:rsidR="003643A8">
        <w:rPr>
          <w:color w:val="000000"/>
        </w:rPr>
        <w:br/>
      </w:r>
    </w:p>
    <w:p w14:paraId="3924E6B5" w14:textId="77777777" w:rsidR="00253FFA" w:rsidRPr="00880FA0" w:rsidRDefault="00253FFA" w:rsidP="00BD4139">
      <w:pPr>
        <w:pStyle w:val="Heading1"/>
        <w:widowControl/>
        <w:rPr>
          <w:rFonts w:ascii="Times New Roman" w:hAnsi="Times New Roman"/>
          <w:sz w:val="22"/>
        </w:rPr>
      </w:pPr>
      <w:r w:rsidRPr="00880FA0">
        <w:rPr>
          <w:rFonts w:ascii="Times New Roman" w:hAnsi="Times New Roman"/>
          <w:sz w:val="22"/>
        </w:rPr>
        <w:t>CONCLUSION AND ORDERING CLAUSES</w:t>
      </w:r>
    </w:p>
    <w:p w14:paraId="1C51B04F" w14:textId="16181936" w:rsidR="00871C32" w:rsidRPr="0049008B" w:rsidRDefault="00253FFA" w:rsidP="00B83C51">
      <w:pPr>
        <w:pStyle w:val="ParaNum"/>
        <w:widowControl/>
        <w:tabs>
          <w:tab w:val="clear" w:pos="1080"/>
          <w:tab w:val="left" w:pos="1440"/>
        </w:tabs>
      </w:pPr>
      <w:r w:rsidRPr="0049008B">
        <w:t>For the reasons stated above, IT IS ORDERED, pursuant to sections 1- 4 and 227 of the Communications Act of 1934, as amended, 47 U.S.C. §§ 151-154, 227, and sections 1.2 and 64.1200 of the Commission’s Rules, 47 C.F.R. §§ 1.2, 64.1200</w:t>
      </w:r>
      <w:r w:rsidRPr="00871C32">
        <w:t>,</w:t>
      </w:r>
      <w:r w:rsidR="00871C32" w:rsidRPr="00475CF8">
        <w:t xml:space="preserve"> </w:t>
      </w:r>
      <w:r w:rsidR="00871C32" w:rsidRPr="00475CF8">
        <w:rPr>
          <w:kern w:val="0"/>
        </w:rPr>
        <w:t>and pursuant to the authority delegated in sections 0.141</w:t>
      </w:r>
      <w:r w:rsidR="00070A8D">
        <w:rPr>
          <w:kern w:val="0"/>
        </w:rPr>
        <w:t xml:space="preserve"> and</w:t>
      </w:r>
      <w:r w:rsidR="00871C32" w:rsidRPr="00475CF8">
        <w:rPr>
          <w:kern w:val="0"/>
        </w:rPr>
        <w:t xml:space="preserve"> 0.361</w:t>
      </w:r>
      <w:r w:rsidR="00070A8D">
        <w:rPr>
          <w:kern w:val="0"/>
        </w:rPr>
        <w:t xml:space="preserve"> </w:t>
      </w:r>
      <w:r w:rsidR="00871C32" w:rsidRPr="00475CF8">
        <w:rPr>
          <w:kern w:val="0"/>
        </w:rPr>
        <w:t xml:space="preserve">of the Commission’s rules, 47 C.F.R. §§ 0.141, 0.361, </w:t>
      </w:r>
      <w:r w:rsidR="00070A8D">
        <w:t xml:space="preserve">that </w:t>
      </w:r>
      <w:r w:rsidRPr="0049008B">
        <w:t xml:space="preserve">the Petition for </w:t>
      </w:r>
      <w:r>
        <w:t xml:space="preserve">Consideration and Clarification </w:t>
      </w:r>
      <w:r w:rsidRPr="0049008B">
        <w:t xml:space="preserve">filed by </w:t>
      </w:r>
      <w:r>
        <w:t xml:space="preserve">Westfax </w:t>
      </w:r>
      <w:r w:rsidRPr="0049008B">
        <w:t xml:space="preserve">on </w:t>
      </w:r>
      <w:r>
        <w:t xml:space="preserve">September 25, 2009 IS </w:t>
      </w:r>
      <w:r w:rsidRPr="00A448C7">
        <w:rPr>
          <w:caps/>
        </w:rPr>
        <w:t xml:space="preserve">granted to the extent described herein and </w:t>
      </w:r>
      <w:r>
        <w:rPr>
          <w:caps/>
        </w:rPr>
        <w:t xml:space="preserve">IS </w:t>
      </w:r>
      <w:r w:rsidRPr="00A448C7">
        <w:rPr>
          <w:caps/>
        </w:rPr>
        <w:t>otherwise</w:t>
      </w:r>
      <w:r>
        <w:t xml:space="preserve"> </w:t>
      </w:r>
      <w:r w:rsidRPr="0049008B">
        <w:t>DENIED.</w:t>
      </w:r>
    </w:p>
    <w:p w14:paraId="04E585B8" w14:textId="77777777" w:rsidR="00253FFA" w:rsidRPr="0049008B" w:rsidRDefault="00253FFA" w:rsidP="003643A8">
      <w:pPr>
        <w:pStyle w:val="ParaNum"/>
        <w:tabs>
          <w:tab w:val="clear" w:pos="1080"/>
          <w:tab w:val="num" w:pos="1440"/>
        </w:tabs>
      </w:pPr>
      <w:r w:rsidRPr="0049008B">
        <w:t>IT IS FURTHER ORDERED that this Declaratory Ruling shall be effective upon release.</w:t>
      </w:r>
    </w:p>
    <w:p w14:paraId="237F4EEB" w14:textId="292F44EE" w:rsidR="00070A8D" w:rsidRPr="00F52D6D" w:rsidRDefault="00253FFA" w:rsidP="00F52D6D">
      <w:pPr>
        <w:pStyle w:val="Header"/>
        <w:ind w:left="4320"/>
        <w:rPr>
          <w:b w:val="0"/>
        </w:rPr>
      </w:pPr>
      <w:r w:rsidRPr="00F52D6D">
        <w:rPr>
          <w:b w:val="0"/>
        </w:rPr>
        <w:t>FEDERAL COMMUNICATIONS COMMISSION</w:t>
      </w:r>
    </w:p>
    <w:p w14:paraId="6BD7B99A" w14:textId="77777777" w:rsidR="00070A8D" w:rsidRPr="00F52D6D" w:rsidRDefault="00070A8D" w:rsidP="00F52D6D">
      <w:pPr>
        <w:pStyle w:val="Header"/>
        <w:ind w:left="4320"/>
        <w:rPr>
          <w:b w:val="0"/>
        </w:rPr>
      </w:pPr>
    </w:p>
    <w:p w14:paraId="4DF84ADF" w14:textId="77777777" w:rsidR="00070A8D" w:rsidRPr="00F52D6D" w:rsidRDefault="00070A8D" w:rsidP="00F52D6D">
      <w:pPr>
        <w:pStyle w:val="Header"/>
        <w:ind w:left="4320"/>
        <w:rPr>
          <w:b w:val="0"/>
        </w:rPr>
      </w:pPr>
    </w:p>
    <w:p w14:paraId="157419F5" w14:textId="77777777" w:rsidR="00070A8D" w:rsidRPr="00F52D6D" w:rsidRDefault="00070A8D" w:rsidP="00F52D6D">
      <w:pPr>
        <w:pStyle w:val="Header"/>
        <w:ind w:left="4320"/>
        <w:rPr>
          <w:b w:val="0"/>
        </w:rPr>
      </w:pPr>
    </w:p>
    <w:p w14:paraId="5EEAA605" w14:textId="573FE85B" w:rsidR="006033CD" w:rsidRPr="00F52D6D" w:rsidRDefault="00702546" w:rsidP="00F52D6D">
      <w:pPr>
        <w:pStyle w:val="Header"/>
        <w:ind w:left="4320"/>
        <w:rPr>
          <w:b w:val="0"/>
        </w:rPr>
      </w:pPr>
      <w:r w:rsidRPr="00F52D6D">
        <w:rPr>
          <w:b w:val="0"/>
        </w:rPr>
        <w:t>Alison Kutler</w:t>
      </w:r>
    </w:p>
    <w:p w14:paraId="7FC3833D" w14:textId="49C1C127" w:rsidR="00070A8D" w:rsidRPr="00F52D6D" w:rsidRDefault="006033CD" w:rsidP="00F52D6D">
      <w:pPr>
        <w:pStyle w:val="Header"/>
        <w:ind w:left="4320"/>
        <w:rPr>
          <w:b w:val="0"/>
        </w:rPr>
      </w:pPr>
      <w:r w:rsidRPr="00F52D6D">
        <w:rPr>
          <w:b w:val="0"/>
        </w:rPr>
        <w:t xml:space="preserve">Acting Chief </w:t>
      </w:r>
    </w:p>
    <w:p w14:paraId="6AEFE404" w14:textId="0A8EB5BF" w:rsidR="00253FFA" w:rsidRPr="00880FA0" w:rsidRDefault="006033CD" w:rsidP="00F52D6D">
      <w:pPr>
        <w:pStyle w:val="Header"/>
        <w:ind w:left="4320"/>
      </w:pPr>
      <w:r w:rsidRPr="00F52D6D">
        <w:rPr>
          <w:b w:val="0"/>
        </w:rPr>
        <w:t>Consumer and Governmental Affairs Bureau</w:t>
      </w:r>
      <w:r w:rsidRPr="006033CD" w:rsidDel="006033CD">
        <w:t xml:space="preserve"> </w:t>
      </w:r>
      <w:r w:rsidR="00253FFA" w:rsidRPr="0049008B">
        <w:br w:type="page"/>
      </w:r>
      <w:r w:rsidR="00253FFA" w:rsidRPr="00880FA0">
        <w:t>Appendix A</w:t>
      </w:r>
    </w:p>
    <w:p w14:paraId="100B5203" w14:textId="77777777" w:rsidR="00253FFA" w:rsidRPr="00880FA0" w:rsidRDefault="00253FFA" w:rsidP="00351A15">
      <w:pPr>
        <w:pStyle w:val="Header"/>
        <w:jc w:val="center"/>
      </w:pPr>
    </w:p>
    <w:p w14:paraId="1D55E794" w14:textId="77777777" w:rsidR="00253FFA" w:rsidRPr="00880FA0" w:rsidRDefault="00253FFA" w:rsidP="00351A15">
      <w:pPr>
        <w:pStyle w:val="Header"/>
        <w:jc w:val="center"/>
      </w:pPr>
      <w:r w:rsidRPr="00880FA0">
        <w:t>List of Commenters</w:t>
      </w:r>
    </w:p>
    <w:p w14:paraId="03A1CBDF" w14:textId="77777777" w:rsidR="00253FFA" w:rsidRPr="00880FA0" w:rsidRDefault="00253FFA" w:rsidP="00351A15">
      <w:pPr>
        <w:pStyle w:val="Header"/>
      </w:pPr>
    </w:p>
    <w:p w14:paraId="7116D8D7" w14:textId="26FE8C01" w:rsidR="00253FFA" w:rsidRPr="00351A15" w:rsidRDefault="00253FFA" w:rsidP="00351A15">
      <w:pPr>
        <w:pStyle w:val="Header"/>
      </w:pPr>
      <w:r w:rsidRPr="00351A15">
        <w:rPr>
          <w:u w:val="single"/>
        </w:rPr>
        <w:t>Commenters</w:t>
      </w:r>
      <w:r w:rsidR="000449AB" w:rsidRPr="00351A15">
        <w:tab/>
      </w:r>
      <w:r w:rsidR="000449AB" w:rsidRPr="00351A15">
        <w:tab/>
      </w:r>
      <w:r w:rsidR="000449AB" w:rsidRPr="00351A15">
        <w:rPr>
          <w:u w:val="single"/>
        </w:rPr>
        <w:t>Abbreviation</w:t>
      </w:r>
      <w:r w:rsidRPr="00351A15">
        <w:tab/>
      </w:r>
      <w:r w:rsidRPr="00351A15">
        <w:tab/>
      </w:r>
      <w:r w:rsidRPr="00351A15">
        <w:tab/>
      </w:r>
    </w:p>
    <w:p w14:paraId="7E8317CB" w14:textId="4D06065B" w:rsidR="00253FFA" w:rsidRPr="00874306" w:rsidRDefault="00253FFA" w:rsidP="00351A15">
      <w:pPr>
        <w:pStyle w:val="Header"/>
        <w:rPr>
          <w:b w:val="0"/>
        </w:rPr>
      </w:pPr>
      <w:r w:rsidRPr="00874306">
        <w:rPr>
          <w:b w:val="0"/>
        </w:rPr>
        <w:t>Gerald Roylance</w:t>
      </w:r>
      <w:r w:rsidRPr="00874306">
        <w:rPr>
          <w:b w:val="0"/>
        </w:rPr>
        <w:tab/>
        <w:t xml:space="preserve">             </w:t>
      </w:r>
      <w:r w:rsidR="000449AB" w:rsidRPr="00874306">
        <w:rPr>
          <w:b w:val="0"/>
        </w:rPr>
        <w:tab/>
      </w:r>
      <w:r w:rsidRPr="00874306">
        <w:rPr>
          <w:b w:val="0"/>
        </w:rPr>
        <w:t>Roylance</w:t>
      </w:r>
    </w:p>
    <w:p w14:paraId="0634CA79" w14:textId="78A85DAF" w:rsidR="00253FFA" w:rsidRPr="00874306" w:rsidRDefault="00253FFA" w:rsidP="00351A15">
      <w:pPr>
        <w:pStyle w:val="Header"/>
        <w:rPr>
          <w:b w:val="0"/>
        </w:rPr>
      </w:pPr>
      <w:r w:rsidRPr="00874306">
        <w:rPr>
          <w:b w:val="0"/>
        </w:rPr>
        <w:t>Joe Shields</w:t>
      </w:r>
      <w:r w:rsidRPr="00874306">
        <w:rPr>
          <w:b w:val="0"/>
        </w:rPr>
        <w:tab/>
        <w:t xml:space="preserve">         </w:t>
      </w:r>
      <w:r w:rsidR="000449AB" w:rsidRPr="00874306">
        <w:rPr>
          <w:b w:val="0"/>
        </w:rPr>
        <w:tab/>
      </w:r>
      <w:r w:rsidRPr="00874306">
        <w:rPr>
          <w:b w:val="0"/>
        </w:rPr>
        <w:t>Shields</w:t>
      </w:r>
    </w:p>
    <w:p w14:paraId="32484406" w14:textId="49FCF89A" w:rsidR="00253FFA" w:rsidRPr="00874306" w:rsidRDefault="00253FFA" w:rsidP="00351A15">
      <w:pPr>
        <w:pStyle w:val="Header"/>
        <w:rPr>
          <w:b w:val="0"/>
        </w:rPr>
      </w:pPr>
      <w:r w:rsidRPr="00874306">
        <w:rPr>
          <w:b w:val="0"/>
        </w:rPr>
        <w:t>Steve Nocerini</w:t>
      </w:r>
      <w:r w:rsidRPr="00874306">
        <w:rPr>
          <w:b w:val="0"/>
        </w:rPr>
        <w:tab/>
        <w:t xml:space="preserve">           </w:t>
      </w:r>
      <w:r w:rsidR="000449AB" w:rsidRPr="00874306">
        <w:rPr>
          <w:b w:val="0"/>
        </w:rPr>
        <w:tab/>
      </w:r>
      <w:r w:rsidRPr="00874306">
        <w:rPr>
          <w:b w:val="0"/>
        </w:rPr>
        <w:t>Nocerini</w:t>
      </w:r>
    </w:p>
    <w:p w14:paraId="19665946" w14:textId="08DA19DE" w:rsidR="00253FFA" w:rsidRPr="00874306" w:rsidRDefault="00253FFA" w:rsidP="00351A15">
      <w:pPr>
        <w:pStyle w:val="Header"/>
        <w:rPr>
          <w:b w:val="0"/>
        </w:rPr>
      </w:pPr>
      <w:r w:rsidRPr="00874306">
        <w:rPr>
          <w:b w:val="0"/>
        </w:rPr>
        <w:t>Robert Braver</w:t>
      </w:r>
      <w:r w:rsidRPr="00874306">
        <w:rPr>
          <w:b w:val="0"/>
        </w:rPr>
        <w:tab/>
        <w:t xml:space="preserve">        </w:t>
      </w:r>
      <w:r w:rsidR="000449AB" w:rsidRPr="00874306">
        <w:rPr>
          <w:b w:val="0"/>
        </w:rPr>
        <w:tab/>
      </w:r>
      <w:r w:rsidRPr="00874306">
        <w:rPr>
          <w:b w:val="0"/>
        </w:rPr>
        <w:t xml:space="preserve">Braver </w:t>
      </w:r>
    </w:p>
    <w:p w14:paraId="067B83A9" w14:textId="321F1F09" w:rsidR="00537911" w:rsidRPr="00874306" w:rsidRDefault="00253FFA" w:rsidP="00351A15">
      <w:pPr>
        <w:pStyle w:val="Header"/>
        <w:rPr>
          <w:b w:val="0"/>
        </w:rPr>
      </w:pPr>
      <w:r w:rsidRPr="00874306">
        <w:rPr>
          <w:b w:val="0"/>
        </w:rPr>
        <w:t>Michael C. Worsham</w:t>
      </w:r>
      <w:r w:rsidRPr="00874306">
        <w:rPr>
          <w:b w:val="0"/>
        </w:rPr>
        <w:tab/>
        <w:t xml:space="preserve">               </w:t>
      </w:r>
      <w:r w:rsidR="000449AB" w:rsidRPr="00874306">
        <w:rPr>
          <w:b w:val="0"/>
        </w:rPr>
        <w:tab/>
      </w:r>
      <w:r w:rsidRPr="00874306">
        <w:rPr>
          <w:b w:val="0"/>
        </w:rPr>
        <w:t>Worsham</w:t>
      </w:r>
    </w:p>
    <w:p w14:paraId="4B76AAD5" w14:textId="6EF65763" w:rsidR="00253FFA" w:rsidRPr="00874306" w:rsidRDefault="0006422F" w:rsidP="00351A15">
      <w:pPr>
        <w:pStyle w:val="Header"/>
        <w:rPr>
          <w:b w:val="0"/>
        </w:rPr>
      </w:pPr>
      <w:r w:rsidRPr="00874306">
        <w:rPr>
          <w:b w:val="0"/>
        </w:rPr>
        <w:t>Jimmy Sutton</w:t>
      </w:r>
      <w:r w:rsidRPr="00874306">
        <w:rPr>
          <w:b w:val="0"/>
        </w:rPr>
        <w:tab/>
        <w:t xml:space="preserve">           </w:t>
      </w:r>
      <w:r w:rsidR="000449AB" w:rsidRPr="00874306">
        <w:rPr>
          <w:b w:val="0"/>
        </w:rPr>
        <w:tab/>
      </w:r>
      <w:r w:rsidRPr="00874306">
        <w:rPr>
          <w:b w:val="0"/>
        </w:rPr>
        <w:t>Sutton</w:t>
      </w:r>
    </w:p>
    <w:p w14:paraId="22848F50" w14:textId="7B8356DD" w:rsidR="0006422F" w:rsidRPr="00874306" w:rsidRDefault="0006422F" w:rsidP="00351A15">
      <w:pPr>
        <w:pStyle w:val="Header"/>
        <w:rPr>
          <w:b w:val="0"/>
        </w:rPr>
      </w:pPr>
      <w:r w:rsidRPr="00874306">
        <w:rPr>
          <w:b w:val="0"/>
        </w:rPr>
        <w:t>Richard S. Alembik</w:t>
      </w:r>
      <w:r w:rsidRPr="00874306">
        <w:rPr>
          <w:b w:val="0"/>
        </w:rPr>
        <w:tab/>
        <w:t xml:space="preserve">              </w:t>
      </w:r>
      <w:r w:rsidR="000449AB" w:rsidRPr="00874306">
        <w:rPr>
          <w:b w:val="0"/>
        </w:rPr>
        <w:tab/>
      </w:r>
      <w:r w:rsidRPr="00874306">
        <w:rPr>
          <w:b w:val="0"/>
        </w:rPr>
        <w:t>Alembik</w:t>
      </w:r>
    </w:p>
    <w:p w14:paraId="527AB30C" w14:textId="77777777" w:rsidR="00253FFA" w:rsidRPr="00657416" w:rsidRDefault="00253FFA" w:rsidP="00351A15">
      <w:pPr>
        <w:pStyle w:val="Header"/>
      </w:pPr>
    </w:p>
    <w:sectPr w:rsidR="00253FFA" w:rsidRPr="00657416" w:rsidSect="00F44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EEE55" w14:textId="77777777" w:rsidR="000B7DC9" w:rsidRDefault="000B7DC9">
      <w:r>
        <w:separator/>
      </w:r>
    </w:p>
  </w:endnote>
  <w:endnote w:type="continuationSeparator" w:id="0">
    <w:p w14:paraId="17F1D42D" w14:textId="77777777" w:rsidR="000B7DC9" w:rsidRDefault="000B7DC9">
      <w:r>
        <w:continuationSeparator/>
      </w:r>
    </w:p>
  </w:endnote>
  <w:endnote w:type="continuationNotice" w:id="1">
    <w:p w14:paraId="5837AABD" w14:textId="77777777" w:rsidR="000B7DC9" w:rsidRDefault="000B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0914" w14:textId="77777777" w:rsidR="00B4651B" w:rsidRDefault="00B4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8323" w14:textId="77777777" w:rsidR="00EC4CA4" w:rsidRDefault="00F72EC6">
    <w:pPr>
      <w:pStyle w:val="Footer"/>
      <w:jc w:val="center"/>
    </w:pPr>
    <w:r>
      <w:rPr>
        <w:rStyle w:val="PageNumber"/>
      </w:rPr>
      <w:fldChar w:fldCharType="begin"/>
    </w:r>
    <w:r w:rsidR="00EC4CA4">
      <w:rPr>
        <w:rStyle w:val="PageNumber"/>
      </w:rPr>
      <w:instrText xml:space="preserve"> PAGE </w:instrText>
    </w:r>
    <w:r>
      <w:rPr>
        <w:rStyle w:val="PageNumber"/>
      </w:rPr>
      <w:fldChar w:fldCharType="separate"/>
    </w:r>
    <w:r w:rsidR="00CF1E2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46F3" w14:textId="77777777" w:rsidR="00B4651B" w:rsidRDefault="00B4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EAABC" w14:textId="77777777" w:rsidR="000B7DC9" w:rsidRDefault="000B7DC9">
      <w:pPr>
        <w:rPr>
          <w:sz w:val="20"/>
          <w:szCs w:val="20"/>
        </w:rPr>
      </w:pPr>
      <w:r>
        <w:rPr>
          <w:sz w:val="20"/>
          <w:szCs w:val="20"/>
        </w:rPr>
        <w:separator/>
      </w:r>
    </w:p>
  </w:footnote>
  <w:footnote w:type="continuationSeparator" w:id="0">
    <w:p w14:paraId="322E0636" w14:textId="77777777" w:rsidR="000B7DC9" w:rsidRDefault="000B7DC9">
      <w:pPr>
        <w:rPr>
          <w:sz w:val="20"/>
          <w:szCs w:val="20"/>
        </w:rPr>
      </w:pPr>
      <w:r>
        <w:rPr>
          <w:sz w:val="20"/>
          <w:szCs w:val="20"/>
        </w:rPr>
        <w:separator/>
      </w:r>
    </w:p>
    <w:p w14:paraId="2AB10515" w14:textId="77777777" w:rsidR="000B7DC9" w:rsidRDefault="000B7DC9">
      <w:pPr>
        <w:rPr>
          <w:sz w:val="20"/>
          <w:szCs w:val="20"/>
        </w:rPr>
      </w:pPr>
      <w:r>
        <w:rPr>
          <w:sz w:val="20"/>
          <w:szCs w:val="20"/>
        </w:rPr>
        <w:t>(...continued from previous page)</w:t>
      </w:r>
    </w:p>
  </w:footnote>
  <w:footnote w:type="continuationNotice" w:id="1">
    <w:p w14:paraId="3F990739" w14:textId="77777777" w:rsidR="000B7DC9" w:rsidRDefault="000B7DC9">
      <w:pPr>
        <w:jc w:val="right"/>
        <w:rPr>
          <w:sz w:val="20"/>
          <w:szCs w:val="20"/>
        </w:rPr>
      </w:pPr>
      <w:r>
        <w:rPr>
          <w:sz w:val="20"/>
          <w:szCs w:val="20"/>
        </w:rPr>
        <w:t>(continued....)</w:t>
      </w:r>
    </w:p>
  </w:footnote>
  <w:footnote w:id="2">
    <w:p w14:paraId="5E38990F" w14:textId="22F11FAD" w:rsidR="00EC4CA4" w:rsidRDefault="00EC4CA4" w:rsidP="001C1003">
      <w:pPr>
        <w:pStyle w:val="FootnoteText"/>
      </w:pPr>
      <w:r>
        <w:rPr>
          <w:rStyle w:val="FootnoteReference"/>
        </w:rPr>
        <w:footnoteRef/>
      </w:r>
      <w:r>
        <w:t xml:space="preserve"> Westfax describes an efax “in general” as “a fax that is converted to email.”  </w:t>
      </w:r>
      <w:r w:rsidR="005F3EAA">
        <w:rPr>
          <w:i/>
          <w:iCs/>
        </w:rPr>
        <w:t>Westfax, Inc.</w:t>
      </w:r>
      <w:r w:rsidR="005F3EAA">
        <w:t xml:space="preserve">, Petition for Consideration and Clarification, CG Docket Nos. 02-278, 05-338 </w:t>
      </w:r>
      <w:r w:rsidR="0088657D">
        <w:t xml:space="preserve">at 2 </w:t>
      </w:r>
      <w:r w:rsidR="005F3EAA">
        <w:t xml:space="preserve">(filed Sep. 24, 2009) (Westfax </w:t>
      </w:r>
      <w:r w:rsidR="005F3EAA" w:rsidRPr="009B206B">
        <w:t>Petition</w:t>
      </w:r>
      <w:r w:rsidR="005F3EAA">
        <w:t xml:space="preserve"> or Petition).</w:t>
      </w:r>
      <w:r>
        <w:t xml:space="preserve">  </w:t>
      </w:r>
      <w:r>
        <w:rPr>
          <w:i/>
          <w:iCs/>
        </w:rPr>
        <w:t xml:space="preserve">See infra </w:t>
      </w:r>
      <w:r>
        <w:t xml:space="preserve">¶ 4 for a fuller description.  Efaxes differ from other faxes in that the intended recipient, instead of using a fax machine to receive incoming faxes, uses equipment or a service that converts the incoming fax into a format that can be and is emailed to the recipient. </w:t>
      </w:r>
    </w:p>
  </w:footnote>
  <w:footnote w:id="3">
    <w:p w14:paraId="3C54C405" w14:textId="77777777" w:rsidR="00EC4CA4" w:rsidRDefault="00EC4CA4" w:rsidP="001C1003">
      <w:pPr>
        <w:pStyle w:val="FootnoteText"/>
      </w:pPr>
      <w:r>
        <w:rPr>
          <w:rStyle w:val="FootnoteReference"/>
        </w:rPr>
        <w:footnoteRef/>
      </w:r>
      <w:r>
        <w:t xml:space="preserve"> The TCPA is c</w:t>
      </w:r>
      <w:r w:rsidRPr="00E642A6">
        <w:t>odified as</w:t>
      </w:r>
      <w:r>
        <w:t xml:space="preserve"> 47 U.S.C. § 227.</w:t>
      </w:r>
    </w:p>
  </w:footnote>
  <w:footnote w:id="4">
    <w:p w14:paraId="1AF0B90E" w14:textId="104A08CA" w:rsidR="00EC4CA4" w:rsidRDefault="00EC4CA4" w:rsidP="001C1003">
      <w:pPr>
        <w:pStyle w:val="FootnoteText"/>
      </w:pPr>
      <w:r>
        <w:rPr>
          <w:rStyle w:val="FootnoteReference"/>
        </w:rPr>
        <w:footnoteRef/>
      </w:r>
      <w:r>
        <w:t xml:space="preserve"> The </w:t>
      </w:r>
      <w:r w:rsidR="00013A7B" w:rsidRPr="0082570F">
        <w:t>Junk</w:t>
      </w:r>
      <w:r w:rsidR="00013A7B">
        <w:t xml:space="preserve"> Fax Prevention Act of 2005, Pub. L. No. 109-21, 119 Stat. 359 (2005) (</w:t>
      </w:r>
      <w:r>
        <w:t>JFPA</w:t>
      </w:r>
      <w:r w:rsidR="00013A7B">
        <w:t>)</w:t>
      </w:r>
      <w:r>
        <w:t xml:space="preserve"> is c</w:t>
      </w:r>
      <w:r w:rsidRPr="00E642A6">
        <w:t>odified as</w:t>
      </w:r>
      <w:r>
        <w:t xml:space="preserve"> 47 U.S.C. § 227(b)(1)(C).  Except where the context demonstrates otherwise, “TCPA” refers to the TCPA as amended, including by the JFPA.  On September 25, 20</w:t>
      </w:r>
      <w:r w:rsidR="006B3625">
        <w:t>1</w:t>
      </w:r>
      <w:r>
        <w:t xml:space="preserve">3, Westfax confirmed via </w:t>
      </w:r>
      <w:r w:rsidRPr="00880FA0">
        <w:rPr>
          <w:i/>
        </w:rPr>
        <w:t>ex parte</w:t>
      </w:r>
      <w:r>
        <w:t xml:space="preserve"> </w:t>
      </w:r>
      <w:r w:rsidR="006B3625">
        <w:t xml:space="preserve">its </w:t>
      </w:r>
      <w:r>
        <w:t>continue</w:t>
      </w:r>
      <w:r w:rsidR="006B3625">
        <w:t>d</w:t>
      </w:r>
      <w:r>
        <w:t xml:space="preserve"> </w:t>
      </w:r>
      <w:r w:rsidR="006B3625">
        <w:t xml:space="preserve">interest in </w:t>
      </w:r>
      <w:r>
        <w:t>a ruling on this request</w:t>
      </w:r>
      <w:r w:rsidR="006B3625">
        <w:t>,</w:t>
      </w:r>
      <w:r>
        <w:t xml:space="preserve"> despite </w:t>
      </w:r>
      <w:r w:rsidR="006B3625">
        <w:t xml:space="preserve">its </w:t>
      </w:r>
      <w:r>
        <w:t xml:space="preserve">reliance on a 2008 holding in </w:t>
      </w:r>
      <w:r w:rsidRPr="009F1EDE">
        <w:rPr>
          <w:i/>
          <w:iCs/>
        </w:rPr>
        <w:t>J2 Global Communications, Inc. v. Protus IP Solutions</w:t>
      </w:r>
      <w:r w:rsidR="00B26959">
        <w:rPr>
          <w:i/>
          <w:iCs/>
        </w:rPr>
        <w:t>,</w:t>
      </w:r>
      <w:r>
        <w:t xml:space="preserve"> Case No. 0600566DDP (AJWx) which had held that </w:t>
      </w:r>
      <w:r w:rsidRPr="004E651B">
        <w:t xml:space="preserve">efax providers are recipients and therefore </w:t>
      </w:r>
      <w:r>
        <w:t xml:space="preserve">have </w:t>
      </w:r>
      <w:r w:rsidRPr="004E651B">
        <w:t>standing to</w:t>
      </w:r>
      <w:r>
        <w:t xml:space="preserve"> sue</w:t>
      </w:r>
      <w:r w:rsidRPr="004E651B">
        <w:t xml:space="preserve"> efax </w:t>
      </w:r>
      <w:r w:rsidR="00013A7B">
        <w:t>senders</w:t>
      </w:r>
      <w:r w:rsidR="006B3625">
        <w:t xml:space="preserve"> </w:t>
      </w:r>
      <w:r w:rsidRPr="004E651B">
        <w:t xml:space="preserve">in a TCPA private right of </w:t>
      </w:r>
      <w:r w:rsidR="000D6A04" w:rsidRPr="004E651B">
        <w:t>action</w:t>
      </w:r>
      <w:r w:rsidR="000D6A04">
        <w:t xml:space="preserve"> which</w:t>
      </w:r>
      <w:r>
        <w:t xml:space="preserve"> was subsequently overturned in </w:t>
      </w:r>
      <w:r w:rsidRPr="006F04C8">
        <w:rPr>
          <w:i/>
          <w:iCs/>
        </w:rPr>
        <w:t>J2 Global Communications, Inc. v. Protus IP Solutions</w:t>
      </w:r>
      <w:r>
        <w:t>,</w:t>
      </w:r>
      <w:r w:rsidRPr="006F04C8">
        <w:t xml:space="preserve"> 2010 WL 9446806 (C.D.</w:t>
      </w:r>
      <w:r w:rsidR="003643A8">
        <w:t xml:space="preserve"> </w:t>
      </w:r>
      <w:r w:rsidRPr="006F04C8">
        <w:t>Cal.) (Oct. 1, 2010)</w:t>
      </w:r>
      <w:r w:rsidR="006B3625">
        <w:t xml:space="preserve">.  The court in the subsequent case </w:t>
      </w:r>
      <w:r>
        <w:t xml:space="preserve">determined that </w:t>
      </w:r>
      <w:r w:rsidRPr="004E651B">
        <w:t>the ultimate fax recipient (</w:t>
      </w:r>
      <w:r w:rsidRPr="00070A8D">
        <w:rPr>
          <w:i/>
        </w:rPr>
        <w:t>i.e.</w:t>
      </w:r>
      <w:r w:rsidR="006B3625">
        <w:t>,</w:t>
      </w:r>
      <w:r w:rsidRPr="004E651B">
        <w:t xml:space="preserve"> the efax provider’s end user customer) </w:t>
      </w:r>
      <w:r>
        <w:t xml:space="preserve">has standing to sue </w:t>
      </w:r>
      <w:r w:rsidRPr="004E651B">
        <w:t>as the harmed party. The reversal</w:t>
      </w:r>
      <w:r>
        <w:t>,</w:t>
      </w:r>
      <w:r w:rsidRPr="004E651B">
        <w:t xml:space="preserve"> which occurred after Westfax filed the Petition</w:t>
      </w:r>
      <w:r>
        <w:t>,</w:t>
      </w:r>
      <w:r w:rsidR="00FA7B08">
        <w:t xml:space="preserve"> may have addressed</w:t>
      </w:r>
      <w:r w:rsidR="007A1C4E">
        <w:t xml:space="preserve"> </w:t>
      </w:r>
      <w:r>
        <w:t xml:space="preserve">Westfax’s </w:t>
      </w:r>
      <w:r w:rsidR="00FA7B08">
        <w:t>concerns in that particular litigation</w:t>
      </w:r>
      <w:r>
        <w:t>.  We have, however, provided confirmation and clarification on particular issues to the extent contained herein.</w:t>
      </w:r>
    </w:p>
  </w:footnote>
  <w:footnote w:id="5">
    <w:p w14:paraId="1FF7FB45" w14:textId="77777777" w:rsidR="00EC4CA4" w:rsidRDefault="00EC4CA4">
      <w:pPr>
        <w:pStyle w:val="FootnoteText"/>
      </w:pPr>
      <w:r>
        <w:rPr>
          <w:rStyle w:val="FootnoteReference"/>
        </w:rPr>
        <w:footnoteRef/>
      </w:r>
      <w:r>
        <w:t xml:space="preserve"> </w:t>
      </w:r>
      <w:r w:rsidRPr="00F46C12">
        <w:rPr>
          <w:i/>
          <w:iCs/>
        </w:rPr>
        <w:t>See</w:t>
      </w:r>
      <w:r w:rsidRPr="00F46C12">
        <w:t xml:space="preserve"> 47 U.S.C. § 227.</w:t>
      </w:r>
    </w:p>
  </w:footnote>
  <w:footnote w:id="6">
    <w:p w14:paraId="076F4DDA" w14:textId="3D308B2E" w:rsidR="00EC4CA4" w:rsidRDefault="00EC4CA4">
      <w:pPr>
        <w:pStyle w:val="FootnoteText"/>
      </w:pPr>
      <w:r>
        <w:rPr>
          <w:rStyle w:val="FootnoteReference"/>
        </w:rPr>
        <w:footnoteRef/>
      </w:r>
      <w:r>
        <w:t xml:space="preserve">  </w:t>
      </w:r>
      <w:r>
        <w:rPr>
          <w:i/>
          <w:iCs/>
        </w:rPr>
        <w:t xml:space="preserve">Id. </w:t>
      </w:r>
      <w:r>
        <w:t xml:space="preserve">§ 227(b)(1)(C). </w:t>
      </w:r>
    </w:p>
  </w:footnote>
  <w:footnote w:id="7">
    <w:p w14:paraId="540A581F" w14:textId="77777777" w:rsidR="00EC4CA4" w:rsidRDefault="00EC4CA4">
      <w:pPr>
        <w:pStyle w:val="FootnoteText"/>
      </w:pPr>
      <w:r>
        <w:rPr>
          <w:rStyle w:val="FootnoteReference"/>
        </w:rPr>
        <w:footnoteRef/>
      </w:r>
      <w:r>
        <w:t xml:space="preserve">  </w:t>
      </w:r>
      <w:r>
        <w:rPr>
          <w:i/>
          <w:iCs/>
        </w:rPr>
        <w:t>See Rules and Regulations Implementing the Telephone Consumer Protection Act of 1991</w:t>
      </w:r>
      <w:r>
        <w:t>, CC Docket No. 92-90, Report and Order, 7 FCC Rcd 8752 (1992) (</w:t>
      </w:r>
      <w:r>
        <w:rPr>
          <w:i/>
          <w:iCs/>
        </w:rPr>
        <w:t>1992 TCPA Order</w:t>
      </w:r>
      <w:r>
        <w:t xml:space="preserve">); </w:t>
      </w:r>
      <w:r>
        <w:rPr>
          <w:i/>
          <w:iCs/>
        </w:rPr>
        <w:t xml:space="preserve">see also </w:t>
      </w:r>
      <w:r>
        <w:t xml:space="preserve">47 C.F.R. § 64.1200(a)(3). </w:t>
      </w:r>
    </w:p>
  </w:footnote>
  <w:footnote w:id="8">
    <w:p w14:paraId="2BE37262" w14:textId="77777777" w:rsidR="00EC4CA4" w:rsidRDefault="00EC4CA4">
      <w:pPr>
        <w:pStyle w:val="FootnoteText"/>
      </w:pPr>
      <w:r>
        <w:rPr>
          <w:rStyle w:val="FootnoteReference"/>
        </w:rPr>
        <w:footnoteRef/>
      </w:r>
      <w:r>
        <w:t xml:space="preserve"> </w:t>
      </w:r>
      <w:r>
        <w:rPr>
          <w:i/>
          <w:iCs/>
        </w:rPr>
        <w:t xml:space="preserve">See </w:t>
      </w:r>
      <w:r w:rsidR="005A64F1" w:rsidRPr="00537911">
        <w:t>JFPA</w:t>
      </w:r>
      <w:r w:rsidR="00013A7B">
        <w:t>.</w:t>
      </w:r>
      <w:r w:rsidR="005A64F1">
        <w:rPr>
          <w:b/>
        </w:rPr>
        <w:t xml:space="preserve"> </w:t>
      </w:r>
    </w:p>
  </w:footnote>
  <w:footnote w:id="9">
    <w:p w14:paraId="4FA7DA44" w14:textId="77777777" w:rsidR="00EC4CA4" w:rsidRDefault="00EC4CA4">
      <w:pPr>
        <w:pStyle w:val="FootnoteText"/>
      </w:pPr>
      <w:r>
        <w:rPr>
          <w:rStyle w:val="FootnoteReference"/>
        </w:rPr>
        <w:footnoteRef/>
      </w:r>
      <w:r>
        <w:t xml:space="preserve"> </w:t>
      </w:r>
      <w:r>
        <w:rPr>
          <w:i/>
          <w:iCs/>
        </w:rPr>
        <w:t xml:space="preserve">Id. </w:t>
      </w:r>
      <w:r>
        <w:t>sec. 2(a).</w:t>
      </w:r>
    </w:p>
  </w:footnote>
  <w:footnote w:id="10">
    <w:p w14:paraId="756D332C" w14:textId="77777777" w:rsidR="00EC4CA4" w:rsidRDefault="00EC4CA4">
      <w:pPr>
        <w:pStyle w:val="FootnoteText"/>
      </w:pPr>
      <w:r>
        <w:rPr>
          <w:rStyle w:val="FootnoteReference"/>
        </w:rPr>
        <w:footnoteRef/>
      </w:r>
      <w:r>
        <w:t xml:space="preserve"> </w:t>
      </w:r>
      <w:r>
        <w:rPr>
          <w:i/>
          <w:iCs/>
        </w:rPr>
        <w:t xml:space="preserve">Id. </w:t>
      </w:r>
      <w:r>
        <w:t xml:space="preserve">sec. 2(b). </w:t>
      </w:r>
    </w:p>
  </w:footnote>
  <w:footnote w:id="11">
    <w:p w14:paraId="79512255" w14:textId="77777777" w:rsidR="00EC4CA4" w:rsidRDefault="00EC4CA4">
      <w:pPr>
        <w:pStyle w:val="FootnoteText"/>
      </w:pPr>
      <w:r>
        <w:rPr>
          <w:rStyle w:val="FootnoteReference"/>
        </w:rPr>
        <w:footnoteRef/>
      </w:r>
      <w:r>
        <w:t xml:space="preserve"> </w:t>
      </w:r>
      <w:r>
        <w:rPr>
          <w:i/>
          <w:iCs/>
        </w:rPr>
        <w:t xml:space="preserve">Id. </w:t>
      </w:r>
      <w:r>
        <w:t xml:space="preserve">sec. 2(c). </w:t>
      </w:r>
    </w:p>
  </w:footnote>
  <w:footnote w:id="12">
    <w:p w14:paraId="389F00C1" w14:textId="77777777" w:rsidR="00EC4CA4" w:rsidRDefault="00EC4CA4">
      <w:pPr>
        <w:pStyle w:val="FootnoteText"/>
      </w:pPr>
      <w:r>
        <w:rPr>
          <w:rStyle w:val="FootnoteReference"/>
        </w:rPr>
        <w:footnoteRef/>
      </w:r>
      <w:r>
        <w:t xml:space="preserve"> </w:t>
      </w:r>
      <w:r>
        <w:rPr>
          <w:i/>
          <w:iCs/>
        </w:rPr>
        <w:t xml:space="preserve">Id. </w:t>
      </w:r>
      <w:r>
        <w:t xml:space="preserve">sec. 2(d).  </w:t>
      </w:r>
    </w:p>
  </w:footnote>
  <w:footnote w:id="13">
    <w:p w14:paraId="46ECB8EA" w14:textId="77777777" w:rsidR="00EC4CA4" w:rsidRPr="00880FA0" w:rsidRDefault="00EC4CA4">
      <w:pPr>
        <w:pStyle w:val="FootnoteText"/>
      </w:pPr>
      <w:r>
        <w:rPr>
          <w:rStyle w:val="FootnoteReference"/>
        </w:rPr>
        <w:footnoteRef/>
      </w:r>
      <w:r>
        <w:t xml:space="preserve"> </w:t>
      </w:r>
      <w:r>
        <w:rPr>
          <w:i/>
          <w:iCs/>
        </w:rPr>
        <w:t>Rules and Regulations Implementing the Telephone Consumer Protection Act of 1991</w:t>
      </w:r>
      <w:r>
        <w:t xml:space="preserve">, </w:t>
      </w:r>
      <w:r>
        <w:rPr>
          <w:i/>
          <w:iCs/>
        </w:rPr>
        <w:t>Junk Fax Prevention Act of 2005</w:t>
      </w:r>
      <w:r>
        <w:t>,</w:t>
      </w:r>
      <w:r>
        <w:rPr>
          <w:i/>
          <w:iCs/>
        </w:rPr>
        <w:t xml:space="preserve"> </w:t>
      </w:r>
      <w:r>
        <w:t>CG Docket Nos. 02-278, 05-338, Report and Order and Third Order on Reconsideration, 21 FCC Rcd 3787, 3788 at para. 1 (2006) (</w:t>
      </w:r>
      <w:r>
        <w:rPr>
          <w:i/>
          <w:iCs/>
        </w:rPr>
        <w:t>Junk Fax Order</w:t>
      </w:r>
      <w:r>
        <w:t>).</w:t>
      </w:r>
      <w:r w:rsidR="005A64F1">
        <w:t xml:space="preserve">  </w:t>
      </w:r>
    </w:p>
  </w:footnote>
  <w:footnote w:id="14">
    <w:p w14:paraId="027EC9D2" w14:textId="77777777" w:rsidR="00EC4CA4" w:rsidRDefault="00EC4CA4">
      <w:pPr>
        <w:pStyle w:val="FootnoteText"/>
      </w:pPr>
      <w:r>
        <w:rPr>
          <w:rStyle w:val="FootnoteReference"/>
        </w:rPr>
        <w:footnoteRef/>
      </w:r>
      <w:r>
        <w:t xml:space="preserve"> </w:t>
      </w:r>
      <w:r w:rsidRPr="00880FA0">
        <w:rPr>
          <w:i/>
        </w:rPr>
        <w:t>See</w:t>
      </w:r>
      <w:r>
        <w:t xml:space="preserve"> Petition at 2-6.</w:t>
      </w:r>
    </w:p>
  </w:footnote>
  <w:footnote w:id="15">
    <w:p w14:paraId="5511247A" w14:textId="77777777" w:rsidR="00EC4CA4" w:rsidRDefault="00EC4CA4">
      <w:pPr>
        <w:pStyle w:val="FootnoteText"/>
      </w:pPr>
      <w:r>
        <w:rPr>
          <w:rStyle w:val="FootnoteReference"/>
        </w:rPr>
        <w:footnoteRef/>
      </w:r>
      <w:r>
        <w:t xml:space="preserve"> </w:t>
      </w:r>
      <w:r w:rsidRPr="00FF0088">
        <w:rPr>
          <w:i/>
          <w:iCs/>
        </w:rPr>
        <w:t>See Id.</w:t>
      </w:r>
    </w:p>
  </w:footnote>
  <w:footnote w:id="16">
    <w:p w14:paraId="0DB13617" w14:textId="30D44225" w:rsidR="00D97D03" w:rsidRDefault="00D97D03">
      <w:pPr>
        <w:pStyle w:val="FootnoteText"/>
      </w:pPr>
      <w:r>
        <w:rPr>
          <w:rStyle w:val="FootnoteReference"/>
        </w:rPr>
        <w:footnoteRef/>
      </w:r>
      <w:r>
        <w:t xml:space="preserve"> </w:t>
      </w:r>
      <w:r>
        <w:rPr>
          <w:i/>
          <w:iCs/>
        </w:rPr>
        <w:t>See</w:t>
      </w:r>
      <w:r>
        <w:t xml:space="preserve"> </w:t>
      </w:r>
      <w:hyperlink r:id="rId1" w:history="1">
        <w:r w:rsidRPr="00C258E5">
          <w:rPr>
            <w:rStyle w:val="Hyperlink"/>
          </w:rPr>
          <w:t>http://www.westfax.com/fax-forward.aspx</w:t>
        </w:r>
      </w:hyperlink>
      <w:r>
        <w:t xml:space="preserve"> (visited </w:t>
      </w:r>
      <w:r w:rsidR="00A427D8">
        <w:t>Aug</w:t>
      </w:r>
      <w:r>
        <w:t xml:space="preserve">. </w:t>
      </w:r>
      <w:r w:rsidR="00A427D8">
        <w:t>25</w:t>
      </w:r>
      <w:r>
        <w:t>, 201</w:t>
      </w:r>
      <w:r w:rsidR="00A427D8">
        <w:t>5</w:t>
      </w:r>
      <w:r>
        <w:t>) (offering “FaxForward,” a service that “</w:t>
      </w:r>
      <w:r w:rsidRPr="00023F18">
        <w:t>automatically converts received faxes into electronic images that are delivered directly to your email inbox</w:t>
      </w:r>
      <w:r>
        <w:t xml:space="preserve"> . . .”).</w:t>
      </w:r>
    </w:p>
  </w:footnote>
  <w:footnote w:id="17">
    <w:p w14:paraId="6274CBB2" w14:textId="77777777" w:rsidR="00EC4CA4" w:rsidRDefault="00EC4CA4">
      <w:pPr>
        <w:pStyle w:val="FootnoteText"/>
      </w:pPr>
      <w:r>
        <w:rPr>
          <w:rStyle w:val="FootnoteReference"/>
        </w:rPr>
        <w:footnoteRef/>
      </w:r>
      <w:r>
        <w:t xml:space="preserve"> </w:t>
      </w:r>
      <w:r w:rsidR="00A46CDF" w:rsidRPr="0027592D">
        <w:rPr>
          <w:iCs/>
        </w:rPr>
        <w:t>Petition</w:t>
      </w:r>
      <w:r>
        <w:t xml:space="preserve"> at 2.</w:t>
      </w:r>
    </w:p>
  </w:footnote>
  <w:footnote w:id="18">
    <w:p w14:paraId="35B76679" w14:textId="77777777" w:rsidR="006B3625" w:rsidRPr="00880FA0" w:rsidRDefault="006B3625">
      <w:pPr>
        <w:pStyle w:val="FootnoteText"/>
        <w:rPr>
          <w:b/>
        </w:rPr>
      </w:pPr>
      <w:r>
        <w:rPr>
          <w:rStyle w:val="FootnoteReference"/>
        </w:rPr>
        <w:footnoteRef/>
      </w:r>
      <w:r>
        <w:t xml:space="preserve"> </w:t>
      </w:r>
      <w:r w:rsidR="00A46CDF">
        <w:rPr>
          <w:i/>
        </w:rPr>
        <w:t>Id</w:t>
      </w:r>
      <w:r w:rsidR="0084718F" w:rsidRPr="00880FA0">
        <w:t>.</w:t>
      </w:r>
    </w:p>
  </w:footnote>
  <w:footnote w:id="19">
    <w:p w14:paraId="57E2FEA1" w14:textId="77777777" w:rsidR="00EC4CA4" w:rsidRDefault="00EC4CA4" w:rsidP="00895FE9">
      <w:pPr>
        <w:pStyle w:val="FootnoteText"/>
      </w:pPr>
      <w:r>
        <w:rPr>
          <w:rStyle w:val="FootnoteReference"/>
        </w:rPr>
        <w:footnoteRef/>
      </w:r>
      <w:r>
        <w:t xml:space="preserve"> </w:t>
      </w:r>
      <w:r w:rsidRPr="00086BBF">
        <w:rPr>
          <w:i/>
          <w:iCs/>
        </w:rPr>
        <w:t>See id.</w:t>
      </w:r>
    </w:p>
  </w:footnote>
  <w:footnote w:id="20">
    <w:p w14:paraId="3A4F5C0D" w14:textId="607BD5D0" w:rsidR="00EC4CA4" w:rsidRDefault="00EC4CA4" w:rsidP="00721B94">
      <w:pPr>
        <w:pStyle w:val="FootnoteText"/>
      </w:pPr>
      <w:r>
        <w:rPr>
          <w:rStyle w:val="FootnoteReference"/>
        </w:rPr>
        <w:footnoteRef/>
      </w:r>
      <w:r>
        <w:t xml:space="preserve"> </w:t>
      </w:r>
      <w:r w:rsidRPr="003D6DD9">
        <w:rPr>
          <w:i/>
          <w:iCs/>
        </w:rPr>
        <w:t xml:space="preserve">See </w:t>
      </w:r>
      <w:r>
        <w:rPr>
          <w:i/>
          <w:iCs/>
        </w:rPr>
        <w:t>i</w:t>
      </w:r>
      <w:r w:rsidRPr="003D6DD9">
        <w:rPr>
          <w:i/>
          <w:iCs/>
        </w:rPr>
        <w:t>d</w:t>
      </w:r>
      <w:r w:rsidR="00A46CDF">
        <w:rPr>
          <w:i/>
          <w:iCs/>
        </w:rPr>
        <w:t>.</w:t>
      </w:r>
      <w:r>
        <w:rPr>
          <w:i/>
          <w:iCs/>
        </w:rPr>
        <w:t xml:space="preserve"> </w:t>
      </w:r>
      <w:r w:rsidRPr="00A67D35">
        <w:t>at 2-6.</w:t>
      </w:r>
      <w:r>
        <w:t xml:space="preserve"> </w:t>
      </w:r>
    </w:p>
  </w:footnote>
  <w:footnote w:id="21">
    <w:p w14:paraId="118B3857" w14:textId="77777777" w:rsidR="00EC4CA4" w:rsidRDefault="00EC4CA4">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Petition for </w:t>
      </w:r>
      <w:r>
        <w:rPr>
          <w:i/>
          <w:iCs/>
        </w:rPr>
        <w:t xml:space="preserve">Consideration and Clarification </w:t>
      </w:r>
      <w:r w:rsidRPr="00C91C78">
        <w:rPr>
          <w:i/>
          <w:iCs/>
        </w:rPr>
        <w:t xml:space="preserve">from </w:t>
      </w:r>
      <w:r>
        <w:rPr>
          <w:i/>
          <w:iCs/>
        </w:rPr>
        <w:t>Westfax, Inc.</w:t>
      </w:r>
      <w:r>
        <w:t>, CG Docket Nos. 02-278, 05-338</w:t>
      </w:r>
      <w:r w:rsidR="003F6F1B">
        <w:t>,</w:t>
      </w:r>
      <w:r>
        <w:t xml:space="preserve"> Public Notice, </w:t>
      </w:r>
      <w:r w:rsidR="003F6F1B">
        <w:rPr>
          <w:rStyle w:val="documentbody"/>
        </w:rPr>
        <w:t>27 FCC Rcd 13291</w:t>
      </w:r>
      <w:r w:rsidR="003F6F1B">
        <w:t xml:space="preserve"> </w:t>
      </w:r>
      <w:r>
        <w:t>(201</w:t>
      </w:r>
      <w:r w:rsidR="003F6F1B">
        <w:t>2</w:t>
      </w:r>
      <w:r w:rsidRPr="007A469E">
        <w:t>).</w:t>
      </w:r>
      <w:r>
        <w:t xml:space="preserve">  </w:t>
      </w:r>
    </w:p>
  </w:footnote>
  <w:footnote w:id="22">
    <w:p w14:paraId="24FD1E60" w14:textId="77777777" w:rsidR="00EC4CA4" w:rsidRDefault="00EC4CA4">
      <w:pPr>
        <w:pStyle w:val="FootnoteText"/>
      </w:pPr>
      <w:r>
        <w:rPr>
          <w:rStyle w:val="FootnoteReference"/>
        </w:rPr>
        <w:footnoteRef/>
      </w:r>
      <w:r>
        <w:t xml:space="preserve"> </w:t>
      </w:r>
      <w:r>
        <w:rPr>
          <w:i/>
          <w:iCs/>
        </w:rPr>
        <w:t>See</w:t>
      </w:r>
      <w:r>
        <w:t xml:space="preserve"> Appendix A.</w:t>
      </w:r>
    </w:p>
  </w:footnote>
  <w:footnote w:id="23">
    <w:p w14:paraId="1D830844" w14:textId="77777777" w:rsidR="00EC4CA4" w:rsidRDefault="00EC4CA4">
      <w:pPr>
        <w:pStyle w:val="FootnoteText"/>
      </w:pPr>
      <w:r>
        <w:rPr>
          <w:rStyle w:val="FootnoteReference"/>
        </w:rPr>
        <w:footnoteRef/>
      </w:r>
      <w:r>
        <w:t xml:space="preserve"> </w:t>
      </w:r>
      <w:r w:rsidRPr="00342502">
        <w:rPr>
          <w:i/>
          <w:iCs/>
        </w:rPr>
        <w:t>See</w:t>
      </w:r>
      <w:r>
        <w:rPr>
          <w:i/>
          <w:iCs/>
        </w:rPr>
        <w:t>, e.g.</w:t>
      </w:r>
      <w:r>
        <w:t xml:space="preserve">, Comments of Roylance at 1; Comments of Shields at 1; Comments of Nocerini at 1-2; Comments of Braver at 1-2; Comments of Worsham at 3. </w:t>
      </w:r>
    </w:p>
  </w:footnote>
  <w:footnote w:id="24">
    <w:p w14:paraId="46E0E5CE" w14:textId="77777777" w:rsidR="00EC4CA4" w:rsidRDefault="00EC4CA4">
      <w:pPr>
        <w:pStyle w:val="FootnoteText"/>
      </w:pPr>
      <w:r>
        <w:rPr>
          <w:rStyle w:val="FootnoteReference"/>
        </w:rPr>
        <w:footnoteRef/>
      </w:r>
      <w:r>
        <w:t xml:space="preserve"> </w:t>
      </w:r>
      <w:r>
        <w:rPr>
          <w:i/>
        </w:rPr>
        <w:t xml:space="preserve">See </w:t>
      </w:r>
      <w:r w:rsidRPr="009247FD">
        <w:t>47 U.S.C. § 227(b)(1)(C); 47 C.F.R. § 64.1200(a)(4</w:t>
      </w:r>
      <w:r w:rsidRPr="00F9238E">
        <w:t xml:space="preserve">). </w:t>
      </w:r>
    </w:p>
  </w:footnote>
  <w:footnote w:id="25">
    <w:p w14:paraId="3CDCE627" w14:textId="69F045AD" w:rsidR="00EC4CA4" w:rsidRDefault="00EC4CA4" w:rsidP="00FC311C">
      <w:pPr>
        <w:pStyle w:val="FootnoteText"/>
      </w:pPr>
      <w:r>
        <w:rPr>
          <w:rStyle w:val="FootnoteReference"/>
        </w:rPr>
        <w:footnoteRef/>
      </w:r>
      <w:r>
        <w:t xml:space="preserve"> 47 C.F.R. §</w:t>
      </w:r>
      <w:r w:rsidR="000C6664">
        <w:t xml:space="preserve"> </w:t>
      </w:r>
      <w:r>
        <w:t>64.1200(f)(13).</w:t>
      </w:r>
    </w:p>
  </w:footnote>
  <w:footnote w:id="26">
    <w:p w14:paraId="0176499A" w14:textId="77777777" w:rsidR="00846325" w:rsidRPr="00537911" w:rsidRDefault="00846325">
      <w:pPr>
        <w:pStyle w:val="FootnoteText"/>
        <w:rPr>
          <w:b/>
        </w:rPr>
      </w:pPr>
      <w:r>
        <w:rPr>
          <w:rStyle w:val="FootnoteReference"/>
        </w:rPr>
        <w:footnoteRef/>
      </w:r>
      <w:r>
        <w:t xml:space="preserve"> </w:t>
      </w:r>
      <w:r w:rsidRPr="00537911">
        <w:t>Petition at 2</w:t>
      </w:r>
      <w:r w:rsidR="0084718F">
        <w:t>.</w:t>
      </w:r>
    </w:p>
  </w:footnote>
  <w:footnote w:id="27">
    <w:p w14:paraId="31F24DD9" w14:textId="7991D048" w:rsidR="00B26959" w:rsidRDefault="00B26959">
      <w:pPr>
        <w:pStyle w:val="FootnoteText"/>
      </w:pPr>
      <w:r>
        <w:rPr>
          <w:rStyle w:val="FootnoteReference"/>
        </w:rPr>
        <w:footnoteRef/>
      </w:r>
      <w:r>
        <w:t xml:space="preserve"> 47 C.F.R. §</w:t>
      </w:r>
      <w:r w:rsidR="000C6664">
        <w:t xml:space="preserve"> </w:t>
      </w:r>
      <w:r>
        <w:t>64.1200(f)(13).</w:t>
      </w:r>
    </w:p>
  </w:footnote>
  <w:footnote w:id="28">
    <w:p w14:paraId="37A13A73" w14:textId="77777777" w:rsidR="00EC4CA4" w:rsidRDefault="00EC4CA4">
      <w:pPr>
        <w:pStyle w:val="FootnoteText"/>
      </w:pPr>
      <w:r>
        <w:rPr>
          <w:rStyle w:val="FootnoteReference"/>
        </w:rPr>
        <w:footnoteRef/>
      </w:r>
      <w:r>
        <w:t xml:space="preserve"> </w:t>
      </w:r>
      <w:r>
        <w:rPr>
          <w:i/>
          <w:iCs/>
        </w:rPr>
        <w:t>2003 TCPA Order</w:t>
      </w:r>
      <w:r>
        <w:t>, 18 FCC Rcd at 14132-33.</w:t>
      </w:r>
    </w:p>
  </w:footnote>
  <w:footnote w:id="29">
    <w:p w14:paraId="3F4C3118" w14:textId="77777777" w:rsidR="00EC4CA4" w:rsidRDefault="00EC4CA4">
      <w:pPr>
        <w:pStyle w:val="FootnoteText"/>
      </w:pPr>
      <w:r>
        <w:rPr>
          <w:rStyle w:val="FootnoteReference"/>
        </w:rPr>
        <w:footnoteRef/>
      </w:r>
      <w:r>
        <w:t xml:space="preserve"> </w:t>
      </w:r>
      <w:r>
        <w:rPr>
          <w:i/>
          <w:iCs/>
        </w:rPr>
        <w:t>See id</w:t>
      </w:r>
      <w:r>
        <w:t>. at 14133.</w:t>
      </w:r>
    </w:p>
  </w:footnote>
  <w:footnote w:id="30">
    <w:p w14:paraId="690449AC" w14:textId="77777777" w:rsidR="00EC4CA4" w:rsidRDefault="00EC4CA4">
      <w:pPr>
        <w:pStyle w:val="FootnoteText"/>
      </w:pPr>
      <w:r>
        <w:rPr>
          <w:rStyle w:val="FootnoteReference"/>
        </w:rPr>
        <w:footnoteRef/>
      </w:r>
      <w:r>
        <w:t xml:space="preserve"> </w:t>
      </w:r>
      <w:r w:rsidRPr="00E47FC4">
        <w:t xml:space="preserve">Both the </w:t>
      </w:r>
      <w:r w:rsidRPr="00F9238E">
        <w:rPr>
          <w:i/>
        </w:rPr>
        <w:t>2003 TCPA Order</w:t>
      </w:r>
      <w:r w:rsidRPr="00E47FC4">
        <w:t xml:space="preserve"> and our analysis here </w:t>
      </w:r>
      <w:r>
        <w:t xml:space="preserve">are </w:t>
      </w:r>
      <w:r w:rsidRPr="00E47FC4">
        <w:t xml:space="preserve">consistent with the Commission’s general approach of treating a call between two parties as a single end-to-end communication.  </w:t>
      </w:r>
      <w:r>
        <w:rPr>
          <w:i/>
          <w:iCs/>
        </w:rPr>
        <w:t>See</w:t>
      </w:r>
      <w:r>
        <w:t xml:space="preserve">, </w:t>
      </w:r>
      <w:r>
        <w:rPr>
          <w:i/>
          <w:iCs/>
        </w:rPr>
        <w:t>e.g.</w:t>
      </w:r>
      <w:r>
        <w:t xml:space="preserve">, </w:t>
      </w:r>
      <w:r w:rsidRPr="0012293B">
        <w:rPr>
          <w:i/>
          <w:iCs/>
        </w:rPr>
        <w:t>Teleconnect Co. v. Bell Tel. Co. of Pa.</w:t>
      </w:r>
      <w:r w:rsidRPr="0012293B">
        <w:t>, 10 FCC Rcd 1626</w:t>
      </w:r>
      <w:r>
        <w:t xml:space="preserve">, 1632, </w:t>
      </w:r>
      <w:r w:rsidRPr="0012293B">
        <w:t>para. 12 (1995) (“</w:t>
      </w:r>
      <w:r>
        <w:t>[B]</w:t>
      </w:r>
      <w:r w:rsidRPr="0057225B">
        <w:rPr>
          <w:color w:val="000000"/>
        </w:rPr>
        <w:t>oth court and Commission decisions have considered the end-to-end nature of the communications more significant than the facilities used to complete such communications.</w:t>
      </w:r>
      <w:r>
        <w:rPr>
          <w:color w:val="000000"/>
          <w:vertAlign w:val="superscript"/>
        </w:rPr>
        <w:t xml:space="preserve"> </w:t>
      </w:r>
      <w:r>
        <w:rPr>
          <w:color w:val="000000"/>
        </w:rPr>
        <w:t xml:space="preserve"> </w:t>
      </w:r>
      <w:r w:rsidRPr="0057225B">
        <w:rPr>
          <w:color w:val="000000"/>
        </w:rPr>
        <w:t>According to these precedents, we regulate an interstate wire communication under the Communications Act from its inception to its completion.</w:t>
      </w:r>
      <w:r>
        <w:rPr>
          <w:color w:val="000000"/>
        </w:rPr>
        <w:t xml:space="preserve"> </w:t>
      </w:r>
      <w:r w:rsidRPr="0057225B">
        <w:rPr>
          <w:color w:val="000000"/>
        </w:rPr>
        <w:t xml:space="preserve"> Such an interstate communication does not end at an intermediate switch.”)</w:t>
      </w:r>
      <w:r>
        <w:rPr>
          <w:color w:val="000000"/>
        </w:rPr>
        <w:t xml:space="preserve">; </w:t>
      </w:r>
      <w:r>
        <w:rPr>
          <w:i/>
          <w:iCs/>
        </w:rPr>
        <w:t>s</w:t>
      </w:r>
      <w:r w:rsidRPr="00DE7305">
        <w:rPr>
          <w:i/>
          <w:iCs/>
        </w:rPr>
        <w:t>ee</w:t>
      </w:r>
      <w:r>
        <w:rPr>
          <w:i/>
          <w:iCs/>
        </w:rPr>
        <w:t xml:space="preserve"> also</w:t>
      </w:r>
      <w:r>
        <w:t xml:space="preserve"> 47 CFR 64.605(a)(2)(v) (stating that the connection of emergency Telecommunications Relay Service calls from a caller to a Communications Assistant and from a Communications Assistant to a public safety answering point are each “legs” of a single call, rather than separate calls)</w:t>
      </w:r>
      <w:r>
        <w:rPr>
          <w:iCs/>
        </w:rPr>
        <w:t xml:space="preserve">; </w:t>
      </w:r>
      <w:r w:rsidRPr="00DE7305">
        <w:rPr>
          <w:i/>
          <w:iCs/>
        </w:rPr>
        <w:t>Structure and Practices of the Video Relay Service</w:t>
      </w:r>
      <w:r>
        <w:rPr>
          <w:i/>
          <w:iCs/>
        </w:rPr>
        <w:t xml:space="preserve"> </w:t>
      </w:r>
      <w:r w:rsidRPr="00DE7305">
        <w:rPr>
          <w:i/>
          <w:iCs/>
        </w:rPr>
        <w:t>Program</w:t>
      </w:r>
      <w:r>
        <w:t>, CG Docket No. 10-51, Notice of Inquiry, 25 FCC Rcd 8597-98, paras. 3-5 (2010) (explaining that Telecommunications Relay Service (TRS) and Video Relay Service (VRS) enable an end-to-end, two-way communication between hearing and non-hearing consumers:  TRS uses a voice line to link a hearing person to a Communications Assistant (CA), who converts voice to and from text compatible with a text telephone machine (TTY), and uses a TTY line to link the CA to a hearing-impaired person;  VRS uses a voice line to link a hearing person to a CA, who converts voice to and from American Sign Language, and uses an Internet-based video link between the CA and the hearing-impaired person).</w:t>
      </w:r>
    </w:p>
  </w:footnote>
  <w:footnote w:id="31">
    <w:p w14:paraId="648B3129" w14:textId="746F50B7" w:rsidR="00EC4CA4" w:rsidRDefault="00EC4CA4" w:rsidP="005B7EE1">
      <w:pPr>
        <w:pStyle w:val="FootnoteText"/>
      </w:pPr>
      <w:r>
        <w:rPr>
          <w:rStyle w:val="FootnoteReference"/>
        </w:rPr>
        <w:footnoteRef/>
      </w:r>
      <w:r>
        <w:t xml:space="preserve"> </w:t>
      </w:r>
      <w:r w:rsidRPr="00721B94">
        <w:rPr>
          <w:i/>
          <w:iCs/>
        </w:rPr>
        <w:t>See 2003 TCPA Order</w:t>
      </w:r>
      <w:r w:rsidR="00B26959">
        <w:rPr>
          <w:i/>
          <w:iCs/>
        </w:rPr>
        <w:t>,</w:t>
      </w:r>
      <w:r>
        <w:t xml:space="preserve"> 18 FCC Rcd at 14132 (emphasis added).</w:t>
      </w:r>
    </w:p>
  </w:footnote>
  <w:footnote w:id="32">
    <w:p w14:paraId="4AE9DE64" w14:textId="1759032C" w:rsidR="00EC4CA4" w:rsidRDefault="00EC4CA4">
      <w:pPr>
        <w:pStyle w:val="FootnoteText"/>
      </w:pPr>
      <w:r>
        <w:rPr>
          <w:rStyle w:val="FootnoteReference"/>
        </w:rPr>
        <w:footnoteRef/>
      </w:r>
      <w:r>
        <w:t xml:space="preserve"> We note that commercial email is subject to the CAN-SPAM Act, although we make no finding on how that might apply to "efaxes" here.  Controlling the Assault of Non-Solicited Pornography and Marketing Act of 2003, Pub. L. No. 108-187, 117 Stat. 2699, </w:t>
      </w:r>
      <w:r>
        <w:rPr>
          <w:i/>
          <w:iCs/>
        </w:rPr>
        <w:t>codified at</w:t>
      </w:r>
      <w:r>
        <w:t xml:space="preserve"> 15 U.S.C. </w:t>
      </w:r>
      <w:r w:rsidRPr="00F46C12">
        <w:t>§</w:t>
      </w:r>
      <w:r>
        <w:t xml:space="preserve"> 7701-7713, 18 U.S.C. </w:t>
      </w:r>
      <w:r w:rsidRPr="00F46C12">
        <w:t>§</w:t>
      </w:r>
      <w:r>
        <w:t xml:space="preserve"> 1037 and 28 U.S.C. </w:t>
      </w:r>
      <w:r w:rsidRPr="00F46C12">
        <w:t>§</w:t>
      </w:r>
      <w:r>
        <w:t xml:space="preserve"> 994.</w:t>
      </w:r>
    </w:p>
  </w:footnote>
  <w:footnote w:id="33">
    <w:p w14:paraId="09057CC5" w14:textId="77777777" w:rsidR="00105EA8" w:rsidRDefault="00105EA8">
      <w:pPr>
        <w:pStyle w:val="FootnoteText"/>
      </w:pPr>
      <w:r>
        <w:rPr>
          <w:rStyle w:val="FootnoteReference"/>
        </w:rPr>
        <w:footnoteRef/>
      </w:r>
      <w:r>
        <w:t xml:space="preserve"> Petition at 4.</w:t>
      </w:r>
    </w:p>
  </w:footnote>
  <w:footnote w:id="34">
    <w:p w14:paraId="32904E42" w14:textId="77777777" w:rsidR="00EC4CA4" w:rsidRDefault="00EC4CA4">
      <w:pPr>
        <w:pStyle w:val="FootnoteText"/>
      </w:pPr>
      <w:r>
        <w:rPr>
          <w:rStyle w:val="FootnoteReference"/>
        </w:rPr>
        <w:footnoteRef/>
      </w:r>
      <w:r>
        <w:t xml:space="preserve"> </w:t>
      </w:r>
      <w:r w:rsidR="00105EA8" w:rsidRPr="00721B94">
        <w:rPr>
          <w:i/>
          <w:iCs/>
        </w:rPr>
        <w:t>2003 TCPA Order</w:t>
      </w:r>
      <w:r w:rsidR="00105EA8">
        <w:rPr>
          <w:i/>
          <w:iCs/>
        </w:rPr>
        <w:t>,</w:t>
      </w:r>
      <w:r w:rsidR="00105EA8">
        <w:t xml:space="preserve"> 18 FCC Rcd at </w:t>
      </w:r>
      <w:r>
        <w:t>14134.</w:t>
      </w:r>
    </w:p>
  </w:footnote>
  <w:footnote w:id="35">
    <w:p w14:paraId="651718C2" w14:textId="77777777" w:rsidR="00EC4CA4" w:rsidRDefault="00EC4CA4" w:rsidP="0031343B">
      <w:pPr>
        <w:pStyle w:val="FootnoteText"/>
      </w:pPr>
      <w:r>
        <w:rPr>
          <w:rStyle w:val="FootnoteReference"/>
        </w:rPr>
        <w:footnoteRef/>
      </w:r>
      <w:r>
        <w:t xml:space="preserve"> </w:t>
      </w:r>
      <w:r>
        <w:rPr>
          <w:i/>
          <w:iCs/>
        </w:rPr>
        <w:t xml:space="preserve">See </w:t>
      </w:r>
      <w:r>
        <w:t xml:space="preserve">H.R. Rep. No. 102-317 at 25 (1991); </w:t>
      </w:r>
      <w:r>
        <w:rPr>
          <w:i/>
          <w:iCs/>
        </w:rPr>
        <w:t xml:space="preserve">2003 TCPA Order </w:t>
      </w:r>
      <w:r>
        <w:t>at ¶ 201.</w:t>
      </w:r>
    </w:p>
  </w:footnote>
  <w:footnote w:id="36">
    <w:p w14:paraId="421DC210" w14:textId="77777777" w:rsidR="00EC4CA4" w:rsidRDefault="00EC4CA4" w:rsidP="0031343B">
      <w:pPr>
        <w:pStyle w:val="FootnoteText"/>
      </w:pPr>
      <w:r>
        <w:rPr>
          <w:rStyle w:val="FootnoteReference"/>
        </w:rPr>
        <w:footnoteRef/>
      </w:r>
      <w:r>
        <w:t xml:space="preserve"> </w:t>
      </w:r>
      <w:r>
        <w:rPr>
          <w:i/>
          <w:iCs/>
        </w:rPr>
        <w:t>See generally 2003 TCPA Order</w:t>
      </w:r>
      <w:r>
        <w:t xml:space="preserve"> at ¶ 202.</w:t>
      </w:r>
    </w:p>
  </w:footnote>
  <w:footnote w:id="37">
    <w:p w14:paraId="0AAAB5C2" w14:textId="77777777" w:rsidR="00EC4CA4" w:rsidRDefault="00EC4CA4">
      <w:pPr>
        <w:pStyle w:val="FootnoteText"/>
      </w:pPr>
      <w:r>
        <w:rPr>
          <w:rStyle w:val="FootnoteReference"/>
        </w:rPr>
        <w:footnoteRef/>
      </w:r>
      <w:r>
        <w:t xml:space="preserve"> </w:t>
      </w:r>
      <w:r>
        <w:rPr>
          <w:i/>
          <w:iCs/>
        </w:rPr>
        <w:t>Id.</w:t>
      </w:r>
    </w:p>
  </w:footnote>
  <w:footnote w:id="38">
    <w:p w14:paraId="520B9410" w14:textId="77777777" w:rsidR="00EC4CA4" w:rsidRDefault="00EC4CA4" w:rsidP="0089015A">
      <w:pPr>
        <w:pStyle w:val="FootnoteText"/>
      </w:pPr>
      <w:r>
        <w:rPr>
          <w:rStyle w:val="FootnoteReference"/>
        </w:rPr>
        <w:footnoteRef/>
      </w:r>
      <w:r>
        <w:t xml:space="preserve"> </w:t>
      </w:r>
      <w:r w:rsidRPr="00342502">
        <w:rPr>
          <w:i/>
          <w:iCs/>
        </w:rPr>
        <w:t>See</w:t>
      </w:r>
      <w:r>
        <w:rPr>
          <w:i/>
          <w:iCs/>
        </w:rPr>
        <w:t>,</w:t>
      </w:r>
      <w:r>
        <w:t xml:space="preserve"> </w:t>
      </w:r>
      <w:r w:rsidRPr="00976210">
        <w:rPr>
          <w:i/>
          <w:iCs/>
        </w:rPr>
        <w:t>e.g.</w:t>
      </w:r>
      <w:r>
        <w:t xml:space="preserve">, </w:t>
      </w:r>
      <w:r w:rsidRPr="009B206B">
        <w:t>Comments of Roylance</w:t>
      </w:r>
      <w:r>
        <w:t xml:space="preserve"> at 4-5; </w:t>
      </w:r>
      <w:r w:rsidRPr="009B206B">
        <w:t>Comments of Nocerini</w:t>
      </w:r>
      <w:r>
        <w:t xml:space="preserve"> at 1; </w:t>
      </w:r>
      <w:r w:rsidRPr="009B206B">
        <w:t>Comments of Shields</w:t>
      </w:r>
      <w:r>
        <w:t xml:space="preserve"> at 1. </w:t>
      </w:r>
    </w:p>
  </w:footnote>
  <w:footnote w:id="39">
    <w:p w14:paraId="213C19AF" w14:textId="77777777" w:rsidR="00EC4CA4" w:rsidRDefault="00EC4CA4">
      <w:pPr>
        <w:pStyle w:val="FootnoteText"/>
      </w:pPr>
      <w:r>
        <w:rPr>
          <w:rStyle w:val="FootnoteReference"/>
        </w:rPr>
        <w:footnoteRef/>
      </w:r>
      <w:r>
        <w:t xml:space="preserve"> </w:t>
      </w:r>
      <w:r w:rsidRPr="00CE3637">
        <w:rPr>
          <w:i/>
          <w:iCs/>
        </w:rPr>
        <w:t xml:space="preserve">See </w:t>
      </w:r>
      <w:r>
        <w:t xml:space="preserve">Petition at 4. </w:t>
      </w:r>
    </w:p>
  </w:footnote>
  <w:footnote w:id="40">
    <w:p w14:paraId="19B20952" w14:textId="77777777" w:rsidR="00EC4CA4" w:rsidRDefault="00EC4CA4">
      <w:pPr>
        <w:pStyle w:val="FootnoteText"/>
      </w:pPr>
      <w:r>
        <w:rPr>
          <w:rStyle w:val="FootnoteReference"/>
        </w:rPr>
        <w:footnoteRef/>
      </w:r>
      <w:r>
        <w:t xml:space="preserve"> </w:t>
      </w:r>
      <w:r w:rsidRPr="001114EC">
        <w:rPr>
          <w:i/>
          <w:iCs/>
        </w:rPr>
        <w:t>See</w:t>
      </w:r>
      <w:r>
        <w:t xml:space="preserve">, </w:t>
      </w:r>
      <w:r>
        <w:rPr>
          <w:i/>
          <w:iCs/>
        </w:rPr>
        <w:t>e.g.</w:t>
      </w:r>
      <w:r>
        <w:t>,</w:t>
      </w:r>
      <w:r w:rsidRPr="00CE3637">
        <w:rPr>
          <w:i/>
          <w:iCs/>
        </w:rPr>
        <w:t xml:space="preserve"> </w:t>
      </w:r>
      <w:r>
        <w:rPr>
          <w:i/>
          <w:iCs/>
        </w:rPr>
        <w:t>J</w:t>
      </w:r>
      <w:r w:rsidRPr="00CE3637">
        <w:rPr>
          <w:i/>
          <w:iCs/>
        </w:rPr>
        <w:t>unk Fax Order</w:t>
      </w:r>
      <w:r>
        <w:t xml:space="preserve">, 21 FCC Rcd at 3794-96; </w:t>
      </w:r>
      <w:r w:rsidRPr="00CE3637">
        <w:rPr>
          <w:i/>
          <w:iCs/>
        </w:rPr>
        <w:t>2003 TCPA Order</w:t>
      </w:r>
      <w:r>
        <w:t>, 18 FCC Rcd at 14133-35.</w:t>
      </w:r>
    </w:p>
  </w:footnote>
  <w:footnote w:id="41">
    <w:p w14:paraId="5E1C51D9" w14:textId="5B383F04" w:rsidR="003F6F1B" w:rsidRDefault="003F6F1B" w:rsidP="003F6F1B">
      <w:pPr>
        <w:pStyle w:val="FootnoteText"/>
      </w:pPr>
      <w:r>
        <w:rPr>
          <w:rStyle w:val="FootnoteReference"/>
        </w:rPr>
        <w:footnoteRef/>
      </w:r>
      <w:r>
        <w:t xml:space="preserve"> </w:t>
      </w:r>
      <w:r>
        <w:rPr>
          <w:i/>
          <w:iCs/>
        </w:rPr>
        <w:t>See</w:t>
      </w:r>
      <w:r>
        <w:t xml:space="preserve"> </w:t>
      </w:r>
      <w:hyperlink r:id="rId2" w:history="1">
        <w:r w:rsidRPr="00C258E5">
          <w:rPr>
            <w:rStyle w:val="Hyperlink"/>
          </w:rPr>
          <w:t>http://www.westfax.com/fax-forward.aspx</w:t>
        </w:r>
      </w:hyperlink>
      <w:r>
        <w:t xml:space="preserve"> (visited </w:t>
      </w:r>
      <w:r w:rsidR="00B26959">
        <w:t>Aug</w:t>
      </w:r>
      <w:r w:rsidR="00A427D8">
        <w:t>.</w:t>
      </w:r>
      <w:r>
        <w:t xml:space="preserve"> </w:t>
      </w:r>
      <w:r w:rsidR="00A427D8">
        <w:t>25</w:t>
      </w:r>
      <w:r>
        <w:t>, 201</w:t>
      </w:r>
      <w:r w:rsidR="00B26959">
        <w:t>5</w:t>
      </w:r>
      <w:r>
        <w:t>) (offering a service to fax recipients that “</w:t>
      </w:r>
      <w:r w:rsidRPr="00023F18">
        <w:t>automatically converts received faxes into electronic images that are delivered directly to your email inbox</w:t>
      </w:r>
      <w:r>
        <w:t xml:space="preserve"> . . .”).</w:t>
      </w:r>
    </w:p>
  </w:footnote>
  <w:footnote w:id="42">
    <w:p w14:paraId="7F7CE179" w14:textId="77777777" w:rsidR="00EC4CA4" w:rsidRDefault="00EC4CA4" w:rsidP="00721B94">
      <w:pPr>
        <w:pStyle w:val="FootnoteText"/>
      </w:pPr>
      <w:r>
        <w:rPr>
          <w:rStyle w:val="FootnoteReference"/>
        </w:rPr>
        <w:footnoteRef/>
      </w:r>
      <w:r>
        <w:t xml:space="preserve"> Petition at 5.  </w:t>
      </w:r>
    </w:p>
  </w:footnote>
  <w:footnote w:id="43">
    <w:p w14:paraId="74E2D185" w14:textId="4AC3178C" w:rsidR="00EC4CA4" w:rsidRPr="00874306" w:rsidRDefault="00EC4CA4" w:rsidP="00F536E5">
      <w:pPr>
        <w:pStyle w:val="FootnoteText"/>
      </w:pPr>
      <w:r>
        <w:rPr>
          <w:rStyle w:val="FootnoteReference"/>
        </w:rPr>
        <w:footnoteRef/>
      </w:r>
      <w:r>
        <w:t xml:space="preserve"> </w:t>
      </w:r>
      <w:r>
        <w:rPr>
          <w:i/>
          <w:iCs/>
        </w:rPr>
        <w:t xml:space="preserve">See </w:t>
      </w:r>
      <w:r w:rsidRPr="00CE3637">
        <w:rPr>
          <w:i/>
          <w:iCs/>
        </w:rPr>
        <w:t>Junk Fax Order</w:t>
      </w:r>
      <w:r>
        <w:t xml:space="preserve">, 21 FCC Rcd at 3800-06; </w:t>
      </w:r>
      <w:r>
        <w:rPr>
          <w:i/>
          <w:iCs/>
        </w:rPr>
        <w:t xml:space="preserve">see also </w:t>
      </w:r>
      <w:r>
        <w:t>47 CFR § 64.1200(a)(4)(iii) (requiring opt-out notices).</w:t>
      </w:r>
    </w:p>
  </w:footnote>
  <w:footnote w:id="44">
    <w:p w14:paraId="3C8CD12E" w14:textId="45080A31" w:rsidR="00EC4CA4" w:rsidRDefault="00EC4CA4" w:rsidP="003F6F1B">
      <w:pPr>
        <w:pStyle w:val="FootnoteText"/>
      </w:pPr>
      <w:r>
        <w:rPr>
          <w:rStyle w:val="FootnoteReference"/>
        </w:rPr>
        <w:footnoteRef/>
      </w:r>
      <w:r>
        <w:t xml:space="preserve"> A fax broadcaster is “a person or entity that transmits messages to telephone facsimile machines on behalf of another person or entity for a fee.</w:t>
      </w:r>
      <w:r w:rsidR="00874306">
        <w:t>”</w:t>
      </w:r>
      <w:r>
        <w:t xml:space="preserve"> </w:t>
      </w:r>
      <w:r w:rsidR="00874306">
        <w:t xml:space="preserve"> </w:t>
      </w:r>
      <w:r>
        <w:t xml:space="preserve">47 C.F.R. </w:t>
      </w:r>
      <w:r w:rsidRPr="00D76B58">
        <w:t>§</w:t>
      </w:r>
      <w:r>
        <w:t xml:space="preserve"> 64.1200(f)(7).</w:t>
      </w:r>
      <w:r w:rsidR="00874306" w:rsidRPr="00874306">
        <w:t xml:space="preserve"> </w:t>
      </w:r>
      <w:r w:rsidR="00A427D8">
        <w:t xml:space="preserve"> </w:t>
      </w:r>
      <w:r w:rsidR="00874306">
        <w:t xml:space="preserve">The Commission has granted temporary waivers of the opt-out notice requirement to specific parties.  </w:t>
      </w:r>
      <w:r w:rsidR="00874306">
        <w:rPr>
          <w:i/>
        </w:rPr>
        <w:t xml:space="preserve">See </w:t>
      </w:r>
      <w:r w:rsidR="00874306" w:rsidRPr="002C4A91">
        <w:rPr>
          <w:i/>
        </w:rPr>
        <w:t>Petition for Declaratory Ruling, Waiver, and/or Rulemaking Regarding the Commission’s Opt-Out Requirement for Faxes Sent with the Recipient’s Prior Express Permission</w:t>
      </w:r>
      <w:r w:rsidR="00874306" w:rsidRPr="002C4A91">
        <w:t>, CG Docket Nos. 02-278, 05-338, Order, 29 FCC Rcd 13998 (2014)</w:t>
      </w:r>
      <w:r w:rsidR="00874306" w:rsidRPr="00874306">
        <w:t>.</w:t>
      </w:r>
      <w:r w:rsidR="00874306">
        <w:rPr>
          <w:i/>
        </w:rPr>
        <w:t xml:space="preserve">  </w:t>
      </w:r>
      <w:r w:rsidR="00874306">
        <w:t>The Bureau will separately address later-filed petitions seeking similar waivers.</w:t>
      </w:r>
    </w:p>
  </w:footnote>
  <w:footnote w:id="45">
    <w:p w14:paraId="0141A0EA" w14:textId="5B5679C6" w:rsidR="00EC4CA4" w:rsidRDefault="00EC4CA4" w:rsidP="00880FA0">
      <w:pPr>
        <w:spacing w:after="120"/>
      </w:pPr>
      <w:r>
        <w:rPr>
          <w:rStyle w:val="FootnoteReference"/>
        </w:rPr>
        <w:footnoteRef/>
      </w:r>
      <w:r>
        <w:t xml:space="preserve"> </w:t>
      </w:r>
      <w:r w:rsidRPr="001114EC">
        <w:rPr>
          <w:i/>
          <w:iCs/>
          <w:sz w:val="20"/>
          <w:szCs w:val="20"/>
        </w:rPr>
        <w:t>See 2003 TCPA Order</w:t>
      </w:r>
      <w:r w:rsidRPr="001114EC">
        <w:rPr>
          <w:sz w:val="20"/>
          <w:szCs w:val="20"/>
        </w:rPr>
        <w:t>, 18 FCC Rcd at 14131-32</w:t>
      </w:r>
      <w:r>
        <w:rPr>
          <w:sz w:val="20"/>
          <w:szCs w:val="20"/>
        </w:rPr>
        <w:t xml:space="preserve">; </w:t>
      </w:r>
      <w:r w:rsidRPr="001114EC">
        <w:rPr>
          <w:sz w:val="20"/>
          <w:szCs w:val="20"/>
        </w:rPr>
        <w:t>47 C.F.R. §</w:t>
      </w:r>
      <w:r>
        <w:rPr>
          <w:sz w:val="20"/>
          <w:szCs w:val="20"/>
        </w:rPr>
        <w:t>64.1200(a)(4)(vii) (“</w:t>
      </w:r>
      <w:r w:rsidRPr="001114EC">
        <w:rPr>
          <w:sz w:val="20"/>
          <w:szCs w:val="20"/>
        </w:rPr>
        <w:t xml:space="preserve">A </w:t>
      </w:r>
      <w:bookmarkStart w:id="1" w:name="ctx21"/>
      <w:bookmarkEnd w:id="1"/>
      <w:r w:rsidRPr="00880FA0">
        <w:rPr>
          <w:noProof/>
          <w:color w:val="0000FF"/>
          <w:sz w:val="20"/>
          <w:szCs w:val="20"/>
        </w:rPr>
        <w:drawing>
          <wp:inline distT="0" distB="0" distL="0" distR="0" wp14:anchorId="57976DA0" wp14:editId="67557F18">
            <wp:extent cx="9525" cy="9525"/>
            <wp:effectExtent l="0" t="0" r="0" b="0"/>
            <wp:docPr id="3" name="Picture 2" descr="previous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hi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14EC">
        <w:rPr>
          <w:rStyle w:val="displayhltext"/>
          <w:sz w:val="20"/>
          <w:szCs w:val="20"/>
        </w:rPr>
        <w:t>facsimile</w:t>
      </w:r>
      <w:r w:rsidRPr="00880FA0">
        <w:rPr>
          <w:noProof/>
          <w:color w:val="0000FF"/>
          <w:sz w:val="20"/>
          <w:szCs w:val="20"/>
        </w:rPr>
        <w:drawing>
          <wp:inline distT="0" distB="0" distL="0" distR="0" wp14:anchorId="55F9B21B" wp14:editId="67328F59">
            <wp:extent cx="9525" cy="9525"/>
            <wp:effectExtent l="0" t="0" r="0" b="0"/>
            <wp:docPr id="4" name="Picture 4" descr="next h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5"/>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14EC">
        <w:rPr>
          <w:sz w:val="20"/>
          <w:szCs w:val="20"/>
        </w:rPr>
        <w:t xml:space="preserve"> broadcaster will be liable for violations of </w:t>
      </w:r>
      <w:r w:rsidRPr="00A67D35">
        <w:t>paragraph (a)(4)</w:t>
      </w:r>
      <w:r w:rsidRPr="001114EC">
        <w:rPr>
          <w:sz w:val="20"/>
          <w:szCs w:val="20"/>
        </w:rPr>
        <w:t xml:space="preserve"> of this section, including the inclusion of opt-out notices on unsolicited advertisements, if it demonstrates a high degree of involvement in, or actual notice of, the unlawful activity and fails to take steps to prevent such </w:t>
      </w:r>
      <w:bookmarkStart w:id="2" w:name="ctx22"/>
      <w:bookmarkEnd w:id="2"/>
      <w:r w:rsidRPr="00880FA0">
        <w:rPr>
          <w:noProof/>
          <w:color w:val="0000FF"/>
          <w:sz w:val="20"/>
          <w:szCs w:val="20"/>
        </w:rPr>
        <w:drawing>
          <wp:inline distT="0" distB="0" distL="0" distR="0" wp14:anchorId="19B2257F" wp14:editId="62553CA5">
            <wp:extent cx="9525" cy="9525"/>
            <wp:effectExtent l="0" t="0" r="0" b="0"/>
            <wp:docPr id="6" name="Picture 6" descr="previous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ous hi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14EC">
        <w:rPr>
          <w:rStyle w:val="displayhltext"/>
          <w:sz w:val="20"/>
          <w:szCs w:val="20"/>
        </w:rPr>
        <w:t>facsimile</w:t>
      </w:r>
      <w:r w:rsidRPr="00880FA0">
        <w:rPr>
          <w:noProof/>
          <w:color w:val="0000FF"/>
          <w:sz w:val="20"/>
          <w:szCs w:val="20"/>
        </w:rPr>
        <w:drawing>
          <wp:inline distT="0" distB="0" distL="0" distR="0" wp14:anchorId="7B047907" wp14:editId="75A401BE">
            <wp:extent cx="9525" cy="9525"/>
            <wp:effectExtent l="0" t="0" r="0" b="0"/>
            <wp:docPr id="8" name="Picture 8" descr="next h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5"/>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14EC">
        <w:rPr>
          <w:sz w:val="20"/>
          <w:szCs w:val="20"/>
        </w:rPr>
        <w:t xml:space="preserve"> transmissions.</w:t>
      </w:r>
      <w:r>
        <w:rPr>
          <w:sz w:val="20"/>
          <w:szCs w:val="20"/>
        </w:rPr>
        <w:t>”).</w:t>
      </w:r>
    </w:p>
  </w:footnote>
  <w:footnote w:id="46">
    <w:p w14:paraId="4DC6E442" w14:textId="77777777" w:rsidR="00EC4CA4" w:rsidRDefault="00EC4CA4" w:rsidP="00880FA0">
      <w:pPr>
        <w:spacing w:after="120"/>
      </w:pPr>
      <w:r>
        <w:rPr>
          <w:rStyle w:val="FootnoteReference"/>
        </w:rPr>
        <w:footnoteRef/>
      </w:r>
      <w:r>
        <w:t xml:space="preserve"> </w:t>
      </w:r>
      <w:r w:rsidRPr="001114EC">
        <w:rPr>
          <w:i/>
          <w:iCs/>
          <w:sz w:val="20"/>
          <w:szCs w:val="20"/>
        </w:rPr>
        <w:t>See 2003 TCPA Order</w:t>
      </w:r>
      <w:r w:rsidRPr="001114EC">
        <w:rPr>
          <w:sz w:val="20"/>
          <w:szCs w:val="20"/>
        </w:rPr>
        <w:t>, 18 FCC Rcd at 1413</w:t>
      </w:r>
      <w:r>
        <w:rPr>
          <w:sz w:val="20"/>
          <w:szCs w:val="20"/>
        </w:rPr>
        <w:t>1</w:t>
      </w:r>
      <w:r w:rsidRPr="001114EC">
        <w:rPr>
          <w:sz w:val="20"/>
          <w:szCs w:val="20"/>
        </w:rPr>
        <w:t>-3</w:t>
      </w:r>
      <w:r>
        <w:rPr>
          <w:sz w:val="20"/>
          <w:szCs w:val="20"/>
        </w:rPr>
        <w:t xml:space="preserve">2 </w:t>
      </w:r>
      <w:r w:rsidRPr="004D2DDC">
        <w:rPr>
          <w:sz w:val="20"/>
          <w:szCs w:val="20"/>
        </w:rPr>
        <w:t>(</w:t>
      </w:r>
      <w:r w:rsidRPr="00794562">
        <w:rPr>
          <w:sz w:val="20"/>
          <w:szCs w:val="20"/>
        </w:rPr>
        <w:t>“</w:t>
      </w:r>
      <w:r w:rsidRPr="001114EC">
        <w:rPr>
          <w:sz w:val="20"/>
          <w:szCs w:val="20"/>
        </w:rPr>
        <w:t xml:space="preserve">The Commission believes that, based on the record and our own enforcement experience, addressing the activities of fax broadcasters will better inform both consumers and businesses about the prohibition on unsolicited fax advertising. The Commission has determined to amend the rules to explicitly state that </w:t>
      </w:r>
      <w:r w:rsidRPr="00794562">
        <w:rPr>
          <w:sz w:val="20"/>
          <w:szCs w:val="20"/>
        </w:rPr>
        <w:t>a fax broadcaster will be liable for an unsolicited fax if there is a high degree of involvement or</w:t>
      </w:r>
      <w:r w:rsidRPr="004D2DDC">
        <w:rPr>
          <w:sz w:val="20"/>
          <w:szCs w:val="20"/>
        </w:rPr>
        <w:t xml:space="preserve"> actual notice on the part of the broadcaster</w:t>
      </w:r>
      <w:r w:rsidR="003F6F1B">
        <w:rPr>
          <w:sz w:val="20"/>
          <w:szCs w:val="20"/>
        </w:rPr>
        <w:t xml:space="preserve"> . . . .</w:t>
      </w:r>
      <w:r w:rsidRPr="004D2DDC">
        <w:rPr>
          <w:sz w:val="20"/>
          <w:szCs w:val="20"/>
        </w:rPr>
        <w:t xml:space="preserve"> </w:t>
      </w:r>
      <w:r>
        <w:rPr>
          <w:sz w:val="20"/>
          <w:szCs w:val="20"/>
        </w:rPr>
        <w:t>[I]</w:t>
      </w:r>
      <w:r w:rsidRPr="004D2DDC">
        <w:rPr>
          <w:sz w:val="20"/>
          <w:szCs w:val="20"/>
        </w:rPr>
        <w:t>f the fax broadcaster supplies the fax numbers used to transmit the advertisement, the fax broadcaster will be liable for any unsolicited advertisement faxed to consumers and businesses without their prior express invitation or permission.</w:t>
      </w:r>
      <w:r>
        <w:t>”).</w:t>
      </w:r>
    </w:p>
  </w:footnote>
  <w:footnote w:id="47">
    <w:p w14:paraId="622F9B1B" w14:textId="77777777" w:rsidR="00EC4CA4" w:rsidRDefault="00EC4CA4" w:rsidP="003F6F1B">
      <w:pPr>
        <w:pStyle w:val="FootnoteText"/>
      </w:pPr>
      <w:r>
        <w:rPr>
          <w:rStyle w:val="FootnoteReference"/>
        </w:rPr>
        <w:footnoteRef/>
      </w:r>
      <w:r>
        <w:t xml:space="preserve"> </w:t>
      </w:r>
      <w:r w:rsidRPr="00CE3637">
        <w:rPr>
          <w:i/>
          <w:iCs/>
        </w:rPr>
        <w:t xml:space="preserve">See </w:t>
      </w:r>
      <w:r>
        <w:rPr>
          <w:i/>
          <w:iCs/>
        </w:rPr>
        <w:t xml:space="preserve">2003 TCPA Order, </w:t>
      </w:r>
      <w:r w:rsidRPr="001114EC">
        <w:t>18 FCC Rcd</w:t>
      </w:r>
      <w:r>
        <w:t xml:space="preserve"> a</w:t>
      </w:r>
      <w:r w:rsidRPr="001114EC">
        <w:t>t 14135-36.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38E2" w14:textId="77777777" w:rsidR="00B4651B" w:rsidRDefault="00B46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37AC" w14:textId="3348F3F4" w:rsidR="00EC4CA4" w:rsidRPr="00070A8D" w:rsidRDefault="00EC4CA4" w:rsidP="00351A15">
    <w:pPr>
      <w:pStyle w:val="Header"/>
    </w:pPr>
    <w:r w:rsidRPr="00070A8D">
      <w:tab/>
      <w:t>Federal Communications Commission</w:t>
    </w:r>
    <w:r w:rsidRPr="00070A8D">
      <w:tab/>
    </w:r>
    <w:r w:rsidR="00F022FC" w:rsidRPr="00070A8D">
      <w:t>DA</w:t>
    </w:r>
    <w:r w:rsidRPr="00070A8D">
      <w:t xml:space="preserve"> 1</w:t>
    </w:r>
    <w:r w:rsidR="00B26959" w:rsidRPr="00070A8D">
      <w:t>5</w:t>
    </w:r>
    <w:r w:rsidR="00584A84">
      <w:t>-977</w:t>
    </w:r>
    <w:r w:rsidRPr="00070A8D">
      <w:t xml:space="preserve"> </w:t>
    </w:r>
  </w:p>
  <w:p w14:paraId="26177470" w14:textId="77777777" w:rsidR="00EC4CA4" w:rsidRDefault="005965F8" w:rsidP="00351A15">
    <w:pPr>
      <w:pStyle w:val="Header"/>
    </w:pPr>
    <w:r>
      <w:rPr>
        <w:noProof/>
      </w:rPr>
      <mc:AlternateContent>
        <mc:Choice Requires="wps">
          <w:drawing>
            <wp:anchor distT="4294967292" distB="4294967292" distL="114300" distR="114300" simplePos="0" relativeHeight="251658752" behindDoc="0" locked="0" layoutInCell="0" allowOverlap="1" wp14:anchorId="353D69C6" wp14:editId="100FB08B">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33938" id="Line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6CDAB3F1" w14:textId="77777777" w:rsidR="00EC4CA4" w:rsidRDefault="00EC4CA4" w:rsidP="00351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E42F" w14:textId="7F3D60B7" w:rsidR="00EC4CA4" w:rsidRPr="00721B94" w:rsidRDefault="00EC4CA4" w:rsidP="00351A15">
    <w:pPr>
      <w:pStyle w:val="Header"/>
    </w:pPr>
    <w:r w:rsidRPr="00721B94">
      <w:tab/>
      <w:t>Federal Communications Commission</w:t>
    </w:r>
    <w:r w:rsidRPr="00721B94">
      <w:tab/>
    </w:r>
    <w:r w:rsidR="0027592D">
      <w:t>DA</w:t>
    </w:r>
    <w:r w:rsidRPr="00721B94">
      <w:t xml:space="preserve"> 1</w:t>
    </w:r>
    <w:r w:rsidR="00B26959">
      <w:t>5</w:t>
    </w:r>
    <w:r w:rsidR="00584A84">
      <w:t>-977</w:t>
    </w:r>
    <w:r w:rsidRPr="00721B94">
      <w:t xml:space="preserve"> </w:t>
    </w:r>
  </w:p>
  <w:p w14:paraId="67FAB397" w14:textId="77777777" w:rsidR="00EC4CA4" w:rsidRDefault="005965F8" w:rsidP="00351A15">
    <w:pPr>
      <w:pStyle w:val="Header"/>
    </w:pPr>
    <w:r>
      <w:rPr>
        <w:noProof/>
      </w:rPr>
      <mc:AlternateContent>
        <mc:Choice Requires="wps">
          <w:drawing>
            <wp:anchor distT="4294967292" distB="4294967292" distL="114300" distR="114300" simplePos="0" relativeHeight="251663872" behindDoc="0" locked="0" layoutInCell="0" allowOverlap="1" wp14:anchorId="44F46F48" wp14:editId="738D8FF3">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21361" id="Line 1"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cs="Symbol" w:hint="default"/>
      </w:rPr>
    </w:lvl>
  </w:abstractNum>
  <w:abstractNum w:abstractNumId="6">
    <w:nsid w:val="248246F3"/>
    <w:multiLevelType w:val="singleLevel"/>
    <w:tmpl w:val="B1F45678"/>
    <w:lvl w:ilvl="0">
      <w:start w:val="1"/>
      <w:numFmt w:val="decimal"/>
      <w:lvlText w:val="%1."/>
      <w:lvlJc w:val="left"/>
      <w:pPr>
        <w:tabs>
          <w:tab w:val="num" w:pos="1080"/>
        </w:tabs>
        <w:ind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1">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5">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4">
    <w:nsid w:val="61182925"/>
    <w:multiLevelType w:val="singleLevel"/>
    <w:tmpl w:val="D180CED0"/>
    <w:lvl w:ilvl="0">
      <w:start w:val="1"/>
      <w:numFmt w:val="decimal"/>
      <w:pStyle w:val="ParaNum"/>
      <w:lvlText w:val="%1."/>
      <w:lvlJc w:val="left"/>
      <w:pPr>
        <w:tabs>
          <w:tab w:val="num" w:pos="1080"/>
        </w:tabs>
        <w:ind w:firstLine="720"/>
      </w:pPr>
    </w:lvl>
  </w:abstractNum>
  <w:abstractNum w:abstractNumId="2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6">
    <w:nsid w:val="73031A9B"/>
    <w:multiLevelType w:val="hybridMultilevel"/>
    <w:tmpl w:val="0046B9CC"/>
    <w:lvl w:ilvl="0" w:tplc="70249B6C">
      <w:start w:val="2"/>
      <w:numFmt w:val="decimal"/>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25"/>
  </w:num>
  <w:num w:numId="2">
    <w:abstractNumId w:val="27"/>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26"/>
  </w:num>
  <w:num w:numId="23">
    <w:abstractNumId w:val="15"/>
  </w:num>
  <w:num w:numId="24">
    <w:abstractNumId w:val="15"/>
  </w:num>
  <w:num w:numId="25">
    <w:abstractNumId w:val="15"/>
  </w:num>
  <w:num w:numId="26">
    <w:abstractNumId w:val="15"/>
    <w:lvlOverride w:ilvl="0">
      <w:startOverride w:val="1"/>
    </w:lvlOverride>
  </w:num>
  <w:num w:numId="27">
    <w:abstractNumId w:val="15"/>
  </w:num>
  <w:num w:numId="28">
    <w:abstractNumId w:val="20"/>
  </w:num>
  <w:num w:numId="29">
    <w:abstractNumId w:val="24"/>
  </w:num>
  <w:num w:numId="30">
    <w:abstractNumId w:val="5"/>
  </w:num>
  <w:num w:numId="31">
    <w:abstractNumId w:val="7"/>
  </w:num>
  <w:num w:numId="32">
    <w:abstractNumId w:val="18"/>
  </w:num>
  <w:num w:numId="33">
    <w:abstractNumId w:val="6"/>
  </w:num>
  <w:num w:numId="34">
    <w:abstractNumId w:val="0"/>
  </w:num>
  <w:num w:numId="35">
    <w:abstractNumId w:val="24"/>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A2"/>
    <w:rsid w:val="000001B9"/>
    <w:rsid w:val="00001BF6"/>
    <w:rsid w:val="00001FBF"/>
    <w:rsid w:val="00002A09"/>
    <w:rsid w:val="00005039"/>
    <w:rsid w:val="00005DAB"/>
    <w:rsid w:val="00010CDC"/>
    <w:rsid w:val="00013A7B"/>
    <w:rsid w:val="00017AD9"/>
    <w:rsid w:val="000234C3"/>
    <w:rsid w:val="00023F18"/>
    <w:rsid w:val="00026770"/>
    <w:rsid w:val="000271B7"/>
    <w:rsid w:val="000274BC"/>
    <w:rsid w:val="000324DA"/>
    <w:rsid w:val="00034990"/>
    <w:rsid w:val="000358E8"/>
    <w:rsid w:val="00035A85"/>
    <w:rsid w:val="00037E92"/>
    <w:rsid w:val="000412A5"/>
    <w:rsid w:val="000425B1"/>
    <w:rsid w:val="00043E3B"/>
    <w:rsid w:val="000441DB"/>
    <w:rsid w:val="000443D3"/>
    <w:rsid w:val="000449AB"/>
    <w:rsid w:val="000466CE"/>
    <w:rsid w:val="00047C3A"/>
    <w:rsid w:val="00050A4C"/>
    <w:rsid w:val="00051DB9"/>
    <w:rsid w:val="00053CE6"/>
    <w:rsid w:val="000545E6"/>
    <w:rsid w:val="0005488C"/>
    <w:rsid w:val="00055384"/>
    <w:rsid w:val="00057E2C"/>
    <w:rsid w:val="00060859"/>
    <w:rsid w:val="00061819"/>
    <w:rsid w:val="000620B2"/>
    <w:rsid w:val="0006422F"/>
    <w:rsid w:val="00070A8D"/>
    <w:rsid w:val="00070F29"/>
    <w:rsid w:val="00072B3E"/>
    <w:rsid w:val="000738A3"/>
    <w:rsid w:val="000758FF"/>
    <w:rsid w:val="00075AA3"/>
    <w:rsid w:val="00075DDB"/>
    <w:rsid w:val="000760C9"/>
    <w:rsid w:val="000762F5"/>
    <w:rsid w:val="00080B60"/>
    <w:rsid w:val="00082298"/>
    <w:rsid w:val="0008364F"/>
    <w:rsid w:val="000838A9"/>
    <w:rsid w:val="00086591"/>
    <w:rsid w:val="00086BBF"/>
    <w:rsid w:val="000903CB"/>
    <w:rsid w:val="00091226"/>
    <w:rsid w:val="00095C27"/>
    <w:rsid w:val="00096A54"/>
    <w:rsid w:val="00096B21"/>
    <w:rsid w:val="000972E0"/>
    <w:rsid w:val="000A51BD"/>
    <w:rsid w:val="000A7F9F"/>
    <w:rsid w:val="000B0D3B"/>
    <w:rsid w:val="000B19B7"/>
    <w:rsid w:val="000B1FAB"/>
    <w:rsid w:val="000B246C"/>
    <w:rsid w:val="000B2ABA"/>
    <w:rsid w:val="000B7DC9"/>
    <w:rsid w:val="000C1AF9"/>
    <w:rsid w:val="000C6664"/>
    <w:rsid w:val="000C6DDD"/>
    <w:rsid w:val="000C6E54"/>
    <w:rsid w:val="000C6F60"/>
    <w:rsid w:val="000C75EB"/>
    <w:rsid w:val="000D0A34"/>
    <w:rsid w:val="000D1920"/>
    <w:rsid w:val="000D258C"/>
    <w:rsid w:val="000D2E28"/>
    <w:rsid w:val="000D4F89"/>
    <w:rsid w:val="000D6A04"/>
    <w:rsid w:val="000E03C3"/>
    <w:rsid w:val="000E2561"/>
    <w:rsid w:val="000E3109"/>
    <w:rsid w:val="000E43A3"/>
    <w:rsid w:val="000E5F31"/>
    <w:rsid w:val="000F0048"/>
    <w:rsid w:val="000F0475"/>
    <w:rsid w:val="000F586D"/>
    <w:rsid w:val="00104F37"/>
    <w:rsid w:val="00105455"/>
    <w:rsid w:val="00105EA8"/>
    <w:rsid w:val="00105EFE"/>
    <w:rsid w:val="00106311"/>
    <w:rsid w:val="001072DD"/>
    <w:rsid w:val="00110289"/>
    <w:rsid w:val="001114EC"/>
    <w:rsid w:val="0011252B"/>
    <w:rsid w:val="001203ED"/>
    <w:rsid w:val="0012087B"/>
    <w:rsid w:val="00120A10"/>
    <w:rsid w:val="00120C9C"/>
    <w:rsid w:val="0012293B"/>
    <w:rsid w:val="00124A66"/>
    <w:rsid w:val="001252B3"/>
    <w:rsid w:val="00125797"/>
    <w:rsid w:val="001305C4"/>
    <w:rsid w:val="0013129C"/>
    <w:rsid w:val="001341CE"/>
    <w:rsid w:val="001347DD"/>
    <w:rsid w:val="00134AE3"/>
    <w:rsid w:val="00134FC3"/>
    <w:rsid w:val="0014314D"/>
    <w:rsid w:val="00146281"/>
    <w:rsid w:val="0015133B"/>
    <w:rsid w:val="00151FCF"/>
    <w:rsid w:val="00153E0E"/>
    <w:rsid w:val="0015499E"/>
    <w:rsid w:val="0016255E"/>
    <w:rsid w:val="00163E8E"/>
    <w:rsid w:val="00170B85"/>
    <w:rsid w:val="00174A65"/>
    <w:rsid w:val="001840ED"/>
    <w:rsid w:val="0018489C"/>
    <w:rsid w:val="001849E8"/>
    <w:rsid w:val="00191F49"/>
    <w:rsid w:val="00193CF4"/>
    <w:rsid w:val="00194274"/>
    <w:rsid w:val="001945BE"/>
    <w:rsid w:val="0019487D"/>
    <w:rsid w:val="001970B4"/>
    <w:rsid w:val="00197162"/>
    <w:rsid w:val="0019782D"/>
    <w:rsid w:val="001A10D6"/>
    <w:rsid w:val="001A3478"/>
    <w:rsid w:val="001A5081"/>
    <w:rsid w:val="001A69E0"/>
    <w:rsid w:val="001B242E"/>
    <w:rsid w:val="001B2B77"/>
    <w:rsid w:val="001B2F9A"/>
    <w:rsid w:val="001B6BB1"/>
    <w:rsid w:val="001C0118"/>
    <w:rsid w:val="001C1003"/>
    <w:rsid w:val="001C2274"/>
    <w:rsid w:val="001C2A4B"/>
    <w:rsid w:val="001C2E21"/>
    <w:rsid w:val="001C3481"/>
    <w:rsid w:val="001D12E1"/>
    <w:rsid w:val="001D3325"/>
    <w:rsid w:val="001E0CA0"/>
    <w:rsid w:val="001E3E14"/>
    <w:rsid w:val="001E5E74"/>
    <w:rsid w:val="001E7E87"/>
    <w:rsid w:val="001F0109"/>
    <w:rsid w:val="001F62A0"/>
    <w:rsid w:val="001F780D"/>
    <w:rsid w:val="002044FE"/>
    <w:rsid w:val="0020451B"/>
    <w:rsid w:val="00210C45"/>
    <w:rsid w:val="00212439"/>
    <w:rsid w:val="0021390F"/>
    <w:rsid w:val="00220675"/>
    <w:rsid w:val="00222CF3"/>
    <w:rsid w:val="00222E8F"/>
    <w:rsid w:val="002264EA"/>
    <w:rsid w:val="00227BD7"/>
    <w:rsid w:val="00230E12"/>
    <w:rsid w:val="002313B3"/>
    <w:rsid w:val="00231A54"/>
    <w:rsid w:val="00231DC9"/>
    <w:rsid w:val="00232F36"/>
    <w:rsid w:val="0023377A"/>
    <w:rsid w:val="00236452"/>
    <w:rsid w:val="0023661F"/>
    <w:rsid w:val="00242809"/>
    <w:rsid w:val="0024472D"/>
    <w:rsid w:val="00246FBA"/>
    <w:rsid w:val="00247894"/>
    <w:rsid w:val="002504D3"/>
    <w:rsid w:val="00251982"/>
    <w:rsid w:val="00252E17"/>
    <w:rsid w:val="00253FFA"/>
    <w:rsid w:val="0025448D"/>
    <w:rsid w:val="00255B33"/>
    <w:rsid w:val="00256598"/>
    <w:rsid w:val="002621DF"/>
    <w:rsid w:val="002635EC"/>
    <w:rsid w:val="00270649"/>
    <w:rsid w:val="00273895"/>
    <w:rsid w:val="00274CE0"/>
    <w:rsid w:val="002757CF"/>
    <w:rsid w:val="0027592D"/>
    <w:rsid w:val="00277CF1"/>
    <w:rsid w:val="0028008A"/>
    <w:rsid w:val="00281566"/>
    <w:rsid w:val="00282127"/>
    <w:rsid w:val="002823BE"/>
    <w:rsid w:val="00283102"/>
    <w:rsid w:val="002878D2"/>
    <w:rsid w:val="0029507F"/>
    <w:rsid w:val="00295FA6"/>
    <w:rsid w:val="00297344"/>
    <w:rsid w:val="0029793E"/>
    <w:rsid w:val="002A1B0B"/>
    <w:rsid w:val="002A284E"/>
    <w:rsid w:val="002A3B06"/>
    <w:rsid w:val="002A47A5"/>
    <w:rsid w:val="002A57B7"/>
    <w:rsid w:val="002A6309"/>
    <w:rsid w:val="002A78D6"/>
    <w:rsid w:val="002B0173"/>
    <w:rsid w:val="002B17BD"/>
    <w:rsid w:val="002B76DE"/>
    <w:rsid w:val="002C194D"/>
    <w:rsid w:val="002C4AEE"/>
    <w:rsid w:val="002C620F"/>
    <w:rsid w:val="002D624D"/>
    <w:rsid w:val="002D7952"/>
    <w:rsid w:val="002E36EE"/>
    <w:rsid w:val="002E63FD"/>
    <w:rsid w:val="002E693A"/>
    <w:rsid w:val="002F1AB3"/>
    <w:rsid w:val="002F313D"/>
    <w:rsid w:val="002F6052"/>
    <w:rsid w:val="002F6777"/>
    <w:rsid w:val="0030092F"/>
    <w:rsid w:val="0030392A"/>
    <w:rsid w:val="0030733B"/>
    <w:rsid w:val="00307723"/>
    <w:rsid w:val="00307C6A"/>
    <w:rsid w:val="0031155B"/>
    <w:rsid w:val="0031343B"/>
    <w:rsid w:val="003138DE"/>
    <w:rsid w:val="00314C85"/>
    <w:rsid w:val="00316880"/>
    <w:rsid w:val="00323616"/>
    <w:rsid w:val="00323FA5"/>
    <w:rsid w:val="00326C16"/>
    <w:rsid w:val="00332C0D"/>
    <w:rsid w:val="00334569"/>
    <w:rsid w:val="00335886"/>
    <w:rsid w:val="00335E5B"/>
    <w:rsid w:val="00342502"/>
    <w:rsid w:val="00342C8C"/>
    <w:rsid w:val="0034567E"/>
    <w:rsid w:val="00346D18"/>
    <w:rsid w:val="003476D4"/>
    <w:rsid w:val="00351A15"/>
    <w:rsid w:val="00352326"/>
    <w:rsid w:val="00353D0B"/>
    <w:rsid w:val="00361571"/>
    <w:rsid w:val="00361963"/>
    <w:rsid w:val="003632EA"/>
    <w:rsid w:val="00363507"/>
    <w:rsid w:val="003643A8"/>
    <w:rsid w:val="00365A77"/>
    <w:rsid w:val="00372DEF"/>
    <w:rsid w:val="00374114"/>
    <w:rsid w:val="003821BF"/>
    <w:rsid w:val="00384128"/>
    <w:rsid w:val="00385607"/>
    <w:rsid w:val="00385F97"/>
    <w:rsid w:val="00395F09"/>
    <w:rsid w:val="0039789E"/>
    <w:rsid w:val="00397AE7"/>
    <w:rsid w:val="003A108A"/>
    <w:rsid w:val="003A2664"/>
    <w:rsid w:val="003A27B8"/>
    <w:rsid w:val="003A2FFB"/>
    <w:rsid w:val="003B00F2"/>
    <w:rsid w:val="003B0515"/>
    <w:rsid w:val="003B0CEA"/>
    <w:rsid w:val="003B2588"/>
    <w:rsid w:val="003B692A"/>
    <w:rsid w:val="003C4A83"/>
    <w:rsid w:val="003C545B"/>
    <w:rsid w:val="003C7038"/>
    <w:rsid w:val="003D3314"/>
    <w:rsid w:val="003D3424"/>
    <w:rsid w:val="003D4276"/>
    <w:rsid w:val="003D4A07"/>
    <w:rsid w:val="003D4A83"/>
    <w:rsid w:val="003D6DD9"/>
    <w:rsid w:val="003E0B4A"/>
    <w:rsid w:val="003E1159"/>
    <w:rsid w:val="003E137B"/>
    <w:rsid w:val="003E1A54"/>
    <w:rsid w:val="003E31EE"/>
    <w:rsid w:val="003E5AE3"/>
    <w:rsid w:val="003E7498"/>
    <w:rsid w:val="003F1A50"/>
    <w:rsid w:val="003F284A"/>
    <w:rsid w:val="003F2B9F"/>
    <w:rsid w:val="003F699B"/>
    <w:rsid w:val="003F6F1B"/>
    <w:rsid w:val="00401F7E"/>
    <w:rsid w:val="00403E9D"/>
    <w:rsid w:val="00407D4E"/>
    <w:rsid w:val="004100A0"/>
    <w:rsid w:val="00411C3B"/>
    <w:rsid w:val="00412B33"/>
    <w:rsid w:val="004153D0"/>
    <w:rsid w:val="00421521"/>
    <w:rsid w:val="004253F7"/>
    <w:rsid w:val="00427A47"/>
    <w:rsid w:val="0043156F"/>
    <w:rsid w:val="004316E5"/>
    <w:rsid w:val="0043303F"/>
    <w:rsid w:val="00434473"/>
    <w:rsid w:val="00443833"/>
    <w:rsid w:val="00443C42"/>
    <w:rsid w:val="0044509E"/>
    <w:rsid w:val="00447975"/>
    <w:rsid w:val="00447D43"/>
    <w:rsid w:val="004545D1"/>
    <w:rsid w:val="004563CD"/>
    <w:rsid w:val="00457113"/>
    <w:rsid w:val="004608E6"/>
    <w:rsid w:val="00461C18"/>
    <w:rsid w:val="00462640"/>
    <w:rsid w:val="00464524"/>
    <w:rsid w:val="00464F34"/>
    <w:rsid w:val="0047023B"/>
    <w:rsid w:val="00470B6E"/>
    <w:rsid w:val="00475CF8"/>
    <w:rsid w:val="00477118"/>
    <w:rsid w:val="00480F8E"/>
    <w:rsid w:val="00480FC5"/>
    <w:rsid w:val="0048212B"/>
    <w:rsid w:val="00484082"/>
    <w:rsid w:val="00485D56"/>
    <w:rsid w:val="004878DD"/>
    <w:rsid w:val="0049008B"/>
    <w:rsid w:val="00495D81"/>
    <w:rsid w:val="004A01D5"/>
    <w:rsid w:val="004A06A6"/>
    <w:rsid w:val="004A10E2"/>
    <w:rsid w:val="004A196A"/>
    <w:rsid w:val="004A2529"/>
    <w:rsid w:val="004A2C70"/>
    <w:rsid w:val="004A3326"/>
    <w:rsid w:val="004A4B43"/>
    <w:rsid w:val="004A7022"/>
    <w:rsid w:val="004B3019"/>
    <w:rsid w:val="004B4FA8"/>
    <w:rsid w:val="004C0FDD"/>
    <w:rsid w:val="004C1355"/>
    <w:rsid w:val="004C1574"/>
    <w:rsid w:val="004C4345"/>
    <w:rsid w:val="004C5B8A"/>
    <w:rsid w:val="004C6BCD"/>
    <w:rsid w:val="004D2BC0"/>
    <w:rsid w:val="004D2DDC"/>
    <w:rsid w:val="004D475B"/>
    <w:rsid w:val="004D585D"/>
    <w:rsid w:val="004E25FD"/>
    <w:rsid w:val="004E4494"/>
    <w:rsid w:val="004E6457"/>
    <w:rsid w:val="004E651B"/>
    <w:rsid w:val="004E6A65"/>
    <w:rsid w:val="004F071E"/>
    <w:rsid w:val="004F10C6"/>
    <w:rsid w:val="004F3726"/>
    <w:rsid w:val="004F3CF3"/>
    <w:rsid w:val="004F48B9"/>
    <w:rsid w:val="004F4FC6"/>
    <w:rsid w:val="004F6643"/>
    <w:rsid w:val="005011C2"/>
    <w:rsid w:val="00502D78"/>
    <w:rsid w:val="005059AE"/>
    <w:rsid w:val="00507622"/>
    <w:rsid w:val="00507826"/>
    <w:rsid w:val="005078A5"/>
    <w:rsid w:val="00507FE8"/>
    <w:rsid w:val="005122E7"/>
    <w:rsid w:val="00514CBB"/>
    <w:rsid w:val="005178BB"/>
    <w:rsid w:val="0052353E"/>
    <w:rsid w:val="005238D2"/>
    <w:rsid w:val="00523DD5"/>
    <w:rsid w:val="00525780"/>
    <w:rsid w:val="005277BF"/>
    <w:rsid w:val="00530A09"/>
    <w:rsid w:val="00530DB4"/>
    <w:rsid w:val="005311B9"/>
    <w:rsid w:val="00534620"/>
    <w:rsid w:val="00536FBF"/>
    <w:rsid w:val="00537911"/>
    <w:rsid w:val="00537F80"/>
    <w:rsid w:val="005431EB"/>
    <w:rsid w:val="005460DB"/>
    <w:rsid w:val="0055010D"/>
    <w:rsid w:val="00552D7C"/>
    <w:rsid w:val="005532DF"/>
    <w:rsid w:val="005537AD"/>
    <w:rsid w:val="00554486"/>
    <w:rsid w:val="00554B72"/>
    <w:rsid w:val="00556A97"/>
    <w:rsid w:val="0055763E"/>
    <w:rsid w:val="00560557"/>
    <w:rsid w:val="00562FA7"/>
    <w:rsid w:val="005647EC"/>
    <w:rsid w:val="00565385"/>
    <w:rsid w:val="00570402"/>
    <w:rsid w:val="00570FC8"/>
    <w:rsid w:val="00571C78"/>
    <w:rsid w:val="00572213"/>
    <w:rsid w:val="0057225B"/>
    <w:rsid w:val="00572A2A"/>
    <w:rsid w:val="005735AA"/>
    <w:rsid w:val="0057494B"/>
    <w:rsid w:val="005811AF"/>
    <w:rsid w:val="00584A84"/>
    <w:rsid w:val="00584DCF"/>
    <w:rsid w:val="005864C8"/>
    <w:rsid w:val="00592A90"/>
    <w:rsid w:val="00593430"/>
    <w:rsid w:val="00593811"/>
    <w:rsid w:val="0059610E"/>
    <w:rsid w:val="005965F8"/>
    <w:rsid w:val="005A39F5"/>
    <w:rsid w:val="005A4E40"/>
    <w:rsid w:val="005A5149"/>
    <w:rsid w:val="005A64F1"/>
    <w:rsid w:val="005A78E2"/>
    <w:rsid w:val="005B0A5D"/>
    <w:rsid w:val="005B1BA5"/>
    <w:rsid w:val="005B7EE1"/>
    <w:rsid w:val="005C0974"/>
    <w:rsid w:val="005C0BED"/>
    <w:rsid w:val="005C2C57"/>
    <w:rsid w:val="005C61D5"/>
    <w:rsid w:val="005C7DA7"/>
    <w:rsid w:val="005C7ECB"/>
    <w:rsid w:val="005D0E79"/>
    <w:rsid w:val="005D1E00"/>
    <w:rsid w:val="005D1E0A"/>
    <w:rsid w:val="005D46F6"/>
    <w:rsid w:val="005D594E"/>
    <w:rsid w:val="005D6055"/>
    <w:rsid w:val="005D7B00"/>
    <w:rsid w:val="005E2CBD"/>
    <w:rsid w:val="005E34BD"/>
    <w:rsid w:val="005E6275"/>
    <w:rsid w:val="005E64E8"/>
    <w:rsid w:val="005F2561"/>
    <w:rsid w:val="005F3EAA"/>
    <w:rsid w:val="005F6D00"/>
    <w:rsid w:val="00600213"/>
    <w:rsid w:val="006033CD"/>
    <w:rsid w:val="00604929"/>
    <w:rsid w:val="0060747E"/>
    <w:rsid w:val="0061365D"/>
    <w:rsid w:val="0061696A"/>
    <w:rsid w:val="00616B50"/>
    <w:rsid w:val="00617127"/>
    <w:rsid w:val="006179EA"/>
    <w:rsid w:val="00620AE2"/>
    <w:rsid w:val="006220C2"/>
    <w:rsid w:val="006230D3"/>
    <w:rsid w:val="0062318C"/>
    <w:rsid w:val="00623742"/>
    <w:rsid w:val="00623FDD"/>
    <w:rsid w:val="006251A9"/>
    <w:rsid w:val="006276D0"/>
    <w:rsid w:val="0063028A"/>
    <w:rsid w:val="0063168A"/>
    <w:rsid w:val="00634E3D"/>
    <w:rsid w:val="006359AC"/>
    <w:rsid w:val="006415D5"/>
    <w:rsid w:val="00643A4F"/>
    <w:rsid w:val="00645D0A"/>
    <w:rsid w:val="006528DE"/>
    <w:rsid w:val="00654520"/>
    <w:rsid w:val="00655075"/>
    <w:rsid w:val="006556F9"/>
    <w:rsid w:val="00656435"/>
    <w:rsid w:val="00656C27"/>
    <w:rsid w:val="00657416"/>
    <w:rsid w:val="00657FF4"/>
    <w:rsid w:val="00661B32"/>
    <w:rsid w:val="00663FA9"/>
    <w:rsid w:val="0066741A"/>
    <w:rsid w:val="00673207"/>
    <w:rsid w:val="00677294"/>
    <w:rsid w:val="00677773"/>
    <w:rsid w:val="00680358"/>
    <w:rsid w:val="00680759"/>
    <w:rsid w:val="00680FB2"/>
    <w:rsid w:val="0068141B"/>
    <w:rsid w:val="00681544"/>
    <w:rsid w:val="00683DCA"/>
    <w:rsid w:val="00684862"/>
    <w:rsid w:val="00687FBE"/>
    <w:rsid w:val="00691D76"/>
    <w:rsid w:val="0069262F"/>
    <w:rsid w:val="006979E1"/>
    <w:rsid w:val="006A06FE"/>
    <w:rsid w:val="006A3395"/>
    <w:rsid w:val="006A438D"/>
    <w:rsid w:val="006A4AB5"/>
    <w:rsid w:val="006A52EC"/>
    <w:rsid w:val="006A53E4"/>
    <w:rsid w:val="006A6002"/>
    <w:rsid w:val="006B0360"/>
    <w:rsid w:val="006B3625"/>
    <w:rsid w:val="006B672F"/>
    <w:rsid w:val="006B6DDD"/>
    <w:rsid w:val="006C16D7"/>
    <w:rsid w:val="006C3F04"/>
    <w:rsid w:val="006D001F"/>
    <w:rsid w:val="006D4031"/>
    <w:rsid w:val="006D54AC"/>
    <w:rsid w:val="006D54D1"/>
    <w:rsid w:val="006D5D05"/>
    <w:rsid w:val="006D6CF4"/>
    <w:rsid w:val="006D6F8C"/>
    <w:rsid w:val="006E1FBC"/>
    <w:rsid w:val="006E2C11"/>
    <w:rsid w:val="006E67A3"/>
    <w:rsid w:val="006E7F32"/>
    <w:rsid w:val="006F04C8"/>
    <w:rsid w:val="006F123C"/>
    <w:rsid w:val="006F2F98"/>
    <w:rsid w:val="006F3356"/>
    <w:rsid w:val="006F3C8A"/>
    <w:rsid w:val="006F3EAD"/>
    <w:rsid w:val="006F5007"/>
    <w:rsid w:val="006F7408"/>
    <w:rsid w:val="006F7A79"/>
    <w:rsid w:val="006F7B86"/>
    <w:rsid w:val="00700A8C"/>
    <w:rsid w:val="00701449"/>
    <w:rsid w:val="00702342"/>
    <w:rsid w:val="00702546"/>
    <w:rsid w:val="00705D8C"/>
    <w:rsid w:val="0070624F"/>
    <w:rsid w:val="00706601"/>
    <w:rsid w:val="00706BE2"/>
    <w:rsid w:val="00706ECC"/>
    <w:rsid w:val="00707463"/>
    <w:rsid w:val="00707AE0"/>
    <w:rsid w:val="007125F7"/>
    <w:rsid w:val="00721B94"/>
    <w:rsid w:val="00726CF3"/>
    <w:rsid w:val="00732344"/>
    <w:rsid w:val="00732B7B"/>
    <w:rsid w:val="00734319"/>
    <w:rsid w:val="0073467A"/>
    <w:rsid w:val="007346DC"/>
    <w:rsid w:val="00737A89"/>
    <w:rsid w:val="00742B8B"/>
    <w:rsid w:val="00743270"/>
    <w:rsid w:val="007456FA"/>
    <w:rsid w:val="007461E4"/>
    <w:rsid w:val="00752084"/>
    <w:rsid w:val="0075292B"/>
    <w:rsid w:val="007544B7"/>
    <w:rsid w:val="00755DAD"/>
    <w:rsid w:val="007600E2"/>
    <w:rsid w:val="007618CD"/>
    <w:rsid w:val="00762FCD"/>
    <w:rsid w:val="00764AF5"/>
    <w:rsid w:val="007659E2"/>
    <w:rsid w:val="00766099"/>
    <w:rsid w:val="00766507"/>
    <w:rsid w:val="00766DA4"/>
    <w:rsid w:val="00771CA4"/>
    <w:rsid w:val="007740E2"/>
    <w:rsid w:val="00775876"/>
    <w:rsid w:val="007763B8"/>
    <w:rsid w:val="007821F9"/>
    <w:rsid w:val="0078228C"/>
    <w:rsid w:val="007822AB"/>
    <w:rsid w:val="007858FA"/>
    <w:rsid w:val="00787DA6"/>
    <w:rsid w:val="00790716"/>
    <w:rsid w:val="00790D18"/>
    <w:rsid w:val="00793DFD"/>
    <w:rsid w:val="00794562"/>
    <w:rsid w:val="00795E2D"/>
    <w:rsid w:val="0079692F"/>
    <w:rsid w:val="00796A8A"/>
    <w:rsid w:val="007A1C4E"/>
    <w:rsid w:val="007A469E"/>
    <w:rsid w:val="007A5CDB"/>
    <w:rsid w:val="007A6065"/>
    <w:rsid w:val="007A7237"/>
    <w:rsid w:val="007B02D2"/>
    <w:rsid w:val="007B0382"/>
    <w:rsid w:val="007B239E"/>
    <w:rsid w:val="007B2B4E"/>
    <w:rsid w:val="007B3E9C"/>
    <w:rsid w:val="007B6940"/>
    <w:rsid w:val="007B6F83"/>
    <w:rsid w:val="007C390C"/>
    <w:rsid w:val="007C4FC2"/>
    <w:rsid w:val="007C6451"/>
    <w:rsid w:val="007C6882"/>
    <w:rsid w:val="007C7EBD"/>
    <w:rsid w:val="007D061B"/>
    <w:rsid w:val="007D7A97"/>
    <w:rsid w:val="007E0D8C"/>
    <w:rsid w:val="007F0551"/>
    <w:rsid w:val="007F2BEA"/>
    <w:rsid w:val="007F40ED"/>
    <w:rsid w:val="007F51B9"/>
    <w:rsid w:val="007F5FE1"/>
    <w:rsid w:val="007F66F2"/>
    <w:rsid w:val="0080558A"/>
    <w:rsid w:val="00814948"/>
    <w:rsid w:val="0082391B"/>
    <w:rsid w:val="00823B91"/>
    <w:rsid w:val="00824B1A"/>
    <w:rsid w:val="008252E2"/>
    <w:rsid w:val="0082570F"/>
    <w:rsid w:val="0082572B"/>
    <w:rsid w:val="00827C83"/>
    <w:rsid w:val="00830897"/>
    <w:rsid w:val="00831F50"/>
    <w:rsid w:val="008329FA"/>
    <w:rsid w:val="008336F2"/>
    <w:rsid w:val="00836969"/>
    <w:rsid w:val="00837377"/>
    <w:rsid w:val="0084108A"/>
    <w:rsid w:val="00841194"/>
    <w:rsid w:val="00841FF4"/>
    <w:rsid w:val="00842493"/>
    <w:rsid w:val="0084356C"/>
    <w:rsid w:val="00843758"/>
    <w:rsid w:val="00846325"/>
    <w:rsid w:val="008463D1"/>
    <w:rsid w:val="0084652B"/>
    <w:rsid w:val="0084718F"/>
    <w:rsid w:val="00847EF9"/>
    <w:rsid w:val="00850E95"/>
    <w:rsid w:val="00852B00"/>
    <w:rsid w:val="00853009"/>
    <w:rsid w:val="00853FC6"/>
    <w:rsid w:val="00855A16"/>
    <w:rsid w:val="00856946"/>
    <w:rsid w:val="00857C86"/>
    <w:rsid w:val="00862E28"/>
    <w:rsid w:val="00871C32"/>
    <w:rsid w:val="00872C74"/>
    <w:rsid w:val="008732F0"/>
    <w:rsid w:val="008736A3"/>
    <w:rsid w:val="00873AEA"/>
    <w:rsid w:val="00873C3E"/>
    <w:rsid w:val="00874306"/>
    <w:rsid w:val="00874D6C"/>
    <w:rsid w:val="00875924"/>
    <w:rsid w:val="00876BC6"/>
    <w:rsid w:val="00880FA0"/>
    <w:rsid w:val="00883710"/>
    <w:rsid w:val="008854FA"/>
    <w:rsid w:val="0088608D"/>
    <w:rsid w:val="0088657D"/>
    <w:rsid w:val="008872F5"/>
    <w:rsid w:val="00887B0F"/>
    <w:rsid w:val="00887BA0"/>
    <w:rsid w:val="0089015A"/>
    <w:rsid w:val="00890494"/>
    <w:rsid w:val="00891528"/>
    <w:rsid w:val="00891A27"/>
    <w:rsid w:val="00892573"/>
    <w:rsid w:val="0089448C"/>
    <w:rsid w:val="00894664"/>
    <w:rsid w:val="0089548D"/>
    <w:rsid w:val="00895FE9"/>
    <w:rsid w:val="008967FC"/>
    <w:rsid w:val="008A1F67"/>
    <w:rsid w:val="008A3A60"/>
    <w:rsid w:val="008A4D87"/>
    <w:rsid w:val="008B0CE1"/>
    <w:rsid w:val="008B2049"/>
    <w:rsid w:val="008B20EF"/>
    <w:rsid w:val="008B2BD7"/>
    <w:rsid w:val="008B4E3D"/>
    <w:rsid w:val="008B633E"/>
    <w:rsid w:val="008B7850"/>
    <w:rsid w:val="008C1EE3"/>
    <w:rsid w:val="008C237C"/>
    <w:rsid w:val="008C3C0A"/>
    <w:rsid w:val="008C4F20"/>
    <w:rsid w:val="008C7D00"/>
    <w:rsid w:val="008D01B9"/>
    <w:rsid w:val="008D38DD"/>
    <w:rsid w:val="008D3C3D"/>
    <w:rsid w:val="008D550B"/>
    <w:rsid w:val="008D7CBE"/>
    <w:rsid w:val="008E1930"/>
    <w:rsid w:val="008E3829"/>
    <w:rsid w:val="008E4C17"/>
    <w:rsid w:val="008F27E3"/>
    <w:rsid w:val="00900CEF"/>
    <w:rsid w:val="00901ECF"/>
    <w:rsid w:val="009057E7"/>
    <w:rsid w:val="00911439"/>
    <w:rsid w:val="00912370"/>
    <w:rsid w:val="00913FF5"/>
    <w:rsid w:val="00915FE0"/>
    <w:rsid w:val="009168FA"/>
    <w:rsid w:val="00916AD6"/>
    <w:rsid w:val="009170E2"/>
    <w:rsid w:val="00921C3B"/>
    <w:rsid w:val="0092257A"/>
    <w:rsid w:val="009247FD"/>
    <w:rsid w:val="00926AFB"/>
    <w:rsid w:val="00926C7C"/>
    <w:rsid w:val="00927255"/>
    <w:rsid w:val="0092789C"/>
    <w:rsid w:val="00931968"/>
    <w:rsid w:val="009332EC"/>
    <w:rsid w:val="009363C7"/>
    <w:rsid w:val="009408E2"/>
    <w:rsid w:val="00944080"/>
    <w:rsid w:val="00945F7D"/>
    <w:rsid w:val="00950281"/>
    <w:rsid w:val="00951651"/>
    <w:rsid w:val="0095200C"/>
    <w:rsid w:val="00952C81"/>
    <w:rsid w:val="00955BC2"/>
    <w:rsid w:val="00955D05"/>
    <w:rsid w:val="00960002"/>
    <w:rsid w:val="00962757"/>
    <w:rsid w:val="009631B7"/>
    <w:rsid w:val="00965A46"/>
    <w:rsid w:val="00970472"/>
    <w:rsid w:val="00973D5F"/>
    <w:rsid w:val="00976210"/>
    <w:rsid w:val="00976F4F"/>
    <w:rsid w:val="009824B2"/>
    <w:rsid w:val="009831BE"/>
    <w:rsid w:val="0098324A"/>
    <w:rsid w:val="0098438D"/>
    <w:rsid w:val="0098448B"/>
    <w:rsid w:val="009853BD"/>
    <w:rsid w:val="00986387"/>
    <w:rsid w:val="00986DA3"/>
    <w:rsid w:val="00991754"/>
    <w:rsid w:val="00997C72"/>
    <w:rsid w:val="009A1C71"/>
    <w:rsid w:val="009A1C76"/>
    <w:rsid w:val="009A24D0"/>
    <w:rsid w:val="009A298E"/>
    <w:rsid w:val="009B206B"/>
    <w:rsid w:val="009B375A"/>
    <w:rsid w:val="009B41E7"/>
    <w:rsid w:val="009B5174"/>
    <w:rsid w:val="009B696F"/>
    <w:rsid w:val="009B6FB8"/>
    <w:rsid w:val="009B70FF"/>
    <w:rsid w:val="009B7D2F"/>
    <w:rsid w:val="009C0FEC"/>
    <w:rsid w:val="009C114E"/>
    <w:rsid w:val="009C7D3D"/>
    <w:rsid w:val="009D40FE"/>
    <w:rsid w:val="009E0DD0"/>
    <w:rsid w:val="009E0F4B"/>
    <w:rsid w:val="009E2F41"/>
    <w:rsid w:val="009E38FB"/>
    <w:rsid w:val="009E3E76"/>
    <w:rsid w:val="009E407A"/>
    <w:rsid w:val="009E6E8B"/>
    <w:rsid w:val="009F07D5"/>
    <w:rsid w:val="009F1475"/>
    <w:rsid w:val="009F1584"/>
    <w:rsid w:val="009F1EDE"/>
    <w:rsid w:val="009F2B71"/>
    <w:rsid w:val="009F316E"/>
    <w:rsid w:val="009F3D43"/>
    <w:rsid w:val="009F5072"/>
    <w:rsid w:val="00A002FE"/>
    <w:rsid w:val="00A00DF2"/>
    <w:rsid w:val="00A04F5C"/>
    <w:rsid w:val="00A06401"/>
    <w:rsid w:val="00A101F6"/>
    <w:rsid w:val="00A22869"/>
    <w:rsid w:val="00A24206"/>
    <w:rsid w:val="00A30E62"/>
    <w:rsid w:val="00A32937"/>
    <w:rsid w:val="00A35456"/>
    <w:rsid w:val="00A36434"/>
    <w:rsid w:val="00A421AB"/>
    <w:rsid w:val="00A427D8"/>
    <w:rsid w:val="00A428E4"/>
    <w:rsid w:val="00A44038"/>
    <w:rsid w:val="00A448C7"/>
    <w:rsid w:val="00A461FC"/>
    <w:rsid w:val="00A46BB3"/>
    <w:rsid w:val="00A46CDF"/>
    <w:rsid w:val="00A50E11"/>
    <w:rsid w:val="00A53E11"/>
    <w:rsid w:val="00A5704A"/>
    <w:rsid w:val="00A60A32"/>
    <w:rsid w:val="00A64E3B"/>
    <w:rsid w:val="00A6707E"/>
    <w:rsid w:val="00A67D35"/>
    <w:rsid w:val="00A70C9F"/>
    <w:rsid w:val="00A73755"/>
    <w:rsid w:val="00A7393C"/>
    <w:rsid w:val="00A8037E"/>
    <w:rsid w:val="00A803B5"/>
    <w:rsid w:val="00A81201"/>
    <w:rsid w:val="00A823EC"/>
    <w:rsid w:val="00A8253B"/>
    <w:rsid w:val="00A84855"/>
    <w:rsid w:val="00A848E8"/>
    <w:rsid w:val="00A876D2"/>
    <w:rsid w:val="00A91EA2"/>
    <w:rsid w:val="00A9415D"/>
    <w:rsid w:val="00A971FC"/>
    <w:rsid w:val="00A97585"/>
    <w:rsid w:val="00A97676"/>
    <w:rsid w:val="00A97988"/>
    <w:rsid w:val="00AA20F4"/>
    <w:rsid w:val="00AA2A8B"/>
    <w:rsid w:val="00AA4DA8"/>
    <w:rsid w:val="00AA780D"/>
    <w:rsid w:val="00AB1A5C"/>
    <w:rsid w:val="00AB6B86"/>
    <w:rsid w:val="00AC0F47"/>
    <w:rsid w:val="00AC3A86"/>
    <w:rsid w:val="00AC4E91"/>
    <w:rsid w:val="00AC67C9"/>
    <w:rsid w:val="00AC6BA6"/>
    <w:rsid w:val="00AC77B2"/>
    <w:rsid w:val="00AD0F3D"/>
    <w:rsid w:val="00AD178D"/>
    <w:rsid w:val="00AD43F3"/>
    <w:rsid w:val="00AD60E2"/>
    <w:rsid w:val="00AE0EDF"/>
    <w:rsid w:val="00AE1EA5"/>
    <w:rsid w:val="00AE424B"/>
    <w:rsid w:val="00AE77D3"/>
    <w:rsid w:val="00AF0816"/>
    <w:rsid w:val="00AF0FB3"/>
    <w:rsid w:val="00AF4C72"/>
    <w:rsid w:val="00AF4E7F"/>
    <w:rsid w:val="00AF6EF1"/>
    <w:rsid w:val="00B00CA5"/>
    <w:rsid w:val="00B016CD"/>
    <w:rsid w:val="00B01AE7"/>
    <w:rsid w:val="00B02B00"/>
    <w:rsid w:val="00B036DB"/>
    <w:rsid w:val="00B05A21"/>
    <w:rsid w:val="00B05DB0"/>
    <w:rsid w:val="00B06A76"/>
    <w:rsid w:val="00B07FB7"/>
    <w:rsid w:val="00B11048"/>
    <w:rsid w:val="00B12B5D"/>
    <w:rsid w:val="00B13C70"/>
    <w:rsid w:val="00B14B49"/>
    <w:rsid w:val="00B15891"/>
    <w:rsid w:val="00B163C0"/>
    <w:rsid w:val="00B215F8"/>
    <w:rsid w:val="00B224CF"/>
    <w:rsid w:val="00B228F0"/>
    <w:rsid w:val="00B2301A"/>
    <w:rsid w:val="00B25781"/>
    <w:rsid w:val="00B25A91"/>
    <w:rsid w:val="00B26069"/>
    <w:rsid w:val="00B26959"/>
    <w:rsid w:val="00B26D2D"/>
    <w:rsid w:val="00B31D1C"/>
    <w:rsid w:val="00B32EAA"/>
    <w:rsid w:val="00B33497"/>
    <w:rsid w:val="00B33A32"/>
    <w:rsid w:val="00B34140"/>
    <w:rsid w:val="00B342AA"/>
    <w:rsid w:val="00B34DF7"/>
    <w:rsid w:val="00B35A4C"/>
    <w:rsid w:val="00B4357A"/>
    <w:rsid w:val="00B4481E"/>
    <w:rsid w:val="00B45E02"/>
    <w:rsid w:val="00B4651B"/>
    <w:rsid w:val="00B52374"/>
    <w:rsid w:val="00B53C1A"/>
    <w:rsid w:val="00B5458C"/>
    <w:rsid w:val="00B640BA"/>
    <w:rsid w:val="00B64662"/>
    <w:rsid w:val="00B64B4D"/>
    <w:rsid w:val="00B66B00"/>
    <w:rsid w:val="00B67018"/>
    <w:rsid w:val="00B70220"/>
    <w:rsid w:val="00B710FD"/>
    <w:rsid w:val="00B71456"/>
    <w:rsid w:val="00B74D66"/>
    <w:rsid w:val="00B7632E"/>
    <w:rsid w:val="00B76DC3"/>
    <w:rsid w:val="00B77244"/>
    <w:rsid w:val="00B81518"/>
    <w:rsid w:val="00B815C8"/>
    <w:rsid w:val="00B8280B"/>
    <w:rsid w:val="00B83C51"/>
    <w:rsid w:val="00B86387"/>
    <w:rsid w:val="00B92916"/>
    <w:rsid w:val="00B93C84"/>
    <w:rsid w:val="00B95695"/>
    <w:rsid w:val="00B978FE"/>
    <w:rsid w:val="00BA017A"/>
    <w:rsid w:val="00BA1453"/>
    <w:rsid w:val="00BA3284"/>
    <w:rsid w:val="00BA4DB6"/>
    <w:rsid w:val="00BB0787"/>
    <w:rsid w:val="00BB0A21"/>
    <w:rsid w:val="00BB2837"/>
    <w:rsid w:val="00BC1972"/>
    <w:rsid w:val="00BC24D0"/>
    <w:rsid w:val="00BC4D46"/>
    <w:rsid w:val="00BC7337"/>
    <w:rsid w:val="00BD334E"/>
    <w:rsid w:val="00BD4139"/>
    <w:rsid w:val="00BD533A"/>
    <w:rsid w:val="00BD68FC"/>
    <w:rsid w:val="00BD7ED2"/>
    <w:rsid w:val="00BE0213"/>
    <w:rsid w:val="00BE2550"/>
    <w:rsid w:val="00BE2886"/>
    <w:rsid w:val="00BE57EB"/>
    <w:rsid w:val="00BE5EC1"/>
    <w:rsid w:val="00BE61DC"/>
    <w:rsid w:val="00BE6C95"/>
    <w:rsid w:val="00BF168C"/>
    <w:rsid w:val="00BF3154"/>
    <w:rsid w:val="00BF4C48"/>
    <w:rsid w:val="00C00699"/>
    <w:rsid w:val="00C0097E"/>
    <w:rsid w:val="00C04A41"/>
    <w:rsid w:val="00C04C2A"/>
    <w:rsid w:val="00C13238"/>
    <w:rsid w:val="00C13755"/>
    <w:rsid w:val="00C22C85"/>
    <w:rsid w:val="00C23979"/>
    <w:rsid w:val="00C24C34"/>
    <w:rsid w:val="00C24FED"/>
    <w:rsid w:val="00C25077"/>
    <w:rsid w:val="00C256DB"/>
    <w:rsid w:val="00C258E5"/>
    <w:rsid w:val="00C26411"/>
    <w:rsid w:val="00C279FC"/>
    <w:rsid w:val="00C30A1A"/>
    <w:rsid w:val="00C312E7"/>
    <w:rsid w:val="00C33613"/>
    <w:rsid w:val="00C347AF"/>
    <w:rsid w:val="00C34DDE"/>
    <w:rsid w:val="00C351EA"/>
    <w:rsid w:val="00C41CC2"/>
    <w:rsid w:val="00C43153"/>
    <w:rsid w:val="00C4377D"/>
    <w:rsid w:val="00C441C5"/>
    <w:rsid w:val="00C503C2"/>
    <w:rsid w:val="00C51A91"/>
    <w:rsid w:val="00C544D2"/>
    <w:rsid w:val="00C55C00"/>
    <w:rsid w:val="00C62389"/>
    <w:rsid w:val="00C6598F"/>
    <w:rsid w:val="00C666A3"/>
    <w:rsid w:val="00C66EEA"/>
    <w:rsid w:val="00C70C2D"/>
    <w:rsid w:val="00C70DA1"/>
    <w:rsid w:val="00C735C4"/>
    <w:rsid w:val="00C73878"/>
    <w:rsid w:val="00C7444F"/>
    <w:rsid w:val="00C74A93"/>
    <w:rsid w:val="00C769E0"/>
    <w:rsid w:val="00C77993"/>
    <w:rsid w:val="00C80471"/>
    <w:rsid w:val="00C80F7C"/>
    <w:rsid w:val="00C8260C"/>
    <w:rsid w:val="00C83AD9"/>
    <w:rsid w:val="00C83B8D"/>
    <w:rsid w:val="00C85EC2"/>
    <w:rsid w:val="00C87FB2"/>
    <w:rsid w:val="00C91651"/>
    <w:rsid w:val="00C91C78"/>
    <w:rsid w:val="00C93C1E"/>
    <w:rsid w:val="00C94CC4"/>
    <w:rsid w:val="00CA2CB2"/>
    <w:rsid w:val="00CA5591"/>
    <w:rsid w:val="00CA76BF"/>
    <w:rsid w:val="00CA7EA3"/>
    <w:rsid w:val="00CB0120"/>
    <w:rsid w:val="00CB23BC"/>
    <w:rsid w:val="00CB29D4"/>
    <w:rsid w:val="00CB34C6"/>
    <w:rsid w:val="00CB4ECC"/>
    <w:rsid w:val="00CB71B1"/>
    <w:rsid w:val="00CC2961"/>
    <w:rsid w:val="00CC2CF6"/>
    <w:rsid w:val="00CC4998"/>
    <w:rsid w:val="00CC74D7"/>
    <w:rsid w:val="00CC7567"/>
    <w:rsid w:val="00CD09E9"/>
    <w:rsid w:val="00CD1E1A"/>
    <w:rsid w:val="00CD4737"/>
    <w:rsid w:val="00CD5A70"/>
    <w:rsid w:val="00CD785E"/>
    <w:rsid w:val="00CE2A63"/>
    <w:rsid w:val="00CE3637"/>
    <w:rsid w:val="00CE423B"/>
    <w:rsid w:val="00CE4C7C"/>
    <w:rsid w:val="00CE7990"/>
    <w:rsid w:val="00CF0DBF"/>
    <w:rsid w:val="00CF1AD4"/>
    <w:rsid w:val="00CF1E2A"/>
    <w:rsid w:val="00CF391A"/>
    <w:rsid w:val="00CF3E4B"/>
    <w:rsid w:val="00CF44C6"/>
    <w:rsid w:val="00CF68EF"/>
    <w:rsid w:val="00D00605"/>
    <w:rsid w:val="00D0068B"/>
    <w:rsid w:val="00D024E5"/>
    <w:rsid w:val="00D034A6"/>
    <w:rsid w:val="00D03963"/>
    <w:rsid w:val="00D03AC9"/>
    <w:rsid w:val="00D05B83"/>
    <w:rsid w:val="00D05D8C"/>
    <w:rsid w:val="00D06872"/>
    <w:rsid w:val="00D124B1"/>
    <w:rsid w:val="00D13D8C"/>
    <w:rsid w:val="00D14EDB"/>
    <w:rsid w:val="00D164A0"/>
    <w:rsid w:val="00D210A6"/>
    <w:rsid w:val="00D21360"/>
    <w:rsid w:val="00D21559"/>
    <w:rsid w:val="00D217B5"/>
    <w:rsid w:val="00D2228D"/>
    <w:rsid w:val="00D2251B"/>
    <w:rsid w:val="00D25380"/>
    <w:rsid w:val="00D25BF9"/>
    <w:rsid w:val="00D26445"/>
    <w:rsid w:val="00D314E2"/>
    <w:rsid w:val="00D35338"/>
    <w:rsid w:val="00D35C26"/>
    <w:rsid w:val="00D36D55"/>
    <w:rsid w:val="00D42C83"/>
    <w:rsid w:val="00D430B6"/>
    <w:rsid w:val="00D46DA7"/>
    <w:rsid w:val="00D46E27"/>
    <w:rsid w:val="00D47699"/>
    <w:rsid w:val="00D47AAA"/>
    <w:rsid w:val="00D505AD"/>
    <w:rsid w:val="00D5060A"/>
    <w:rsid w:val="00D50B4D"/>
    <w:rsid w:val="00D51843"/>
    <w:rsid w:val="00D54077"/>
    <w:rsid w:val="00D54DC6"/>
    <w:rsid w:val="00D55C69"/>
    <w:rsid w:val="00D604EF"/>
    <w:rsid w:val="00D61FBA"/>
    <w:rsid w:val="00D62521"/>
    <w:rsid w:val="00D637ED"/>
    <w:rsid w:val="00D65A12"/>
    <w:rsid w:val="00D66412"/>
    <w:rsid w:val="00D67A8C"/>
    <w:rsid w:val="00D760CF"/>
    <w:rsid w:val="00D7663A"/>
    <w:rsid w:val="00D76B58"/>
    <w:rsid w:val="00D77448"/>
    <w:rsid w:val="00D77BF3"/>
    <w:rsid w:val="00D81F8F"/>
    <w:rsid w:val="00D824B2"/>
    <w:rsid w:val="00D845F9"/>
    <w:rsid w:val="00D859F3"/>
    <w:rsid w:val="00D85A4E"/>
    <w:rsid w:val="00D86C61"/>
    <w:rsid w:val="00D9004C"/>
    <w:rsid w:val="00D91C86"/>
    <w:rsid w:val="00D925D5"/>
    <w:rsid w:val="00D92962"/>
    <w:rsid w:val="00D973E5"/>
    <w:rsid w:val="00D97D03"/>
    <w:rsid w:val="00DA1C98"/>
    <w:rsid w:val="00DA2204"/>
    <w:rsid w:val="00DA254C"/>
    <w:rsid w:val="00DA264C"/>
    <w:rsid w:val="00DA45CC"/>
    <w:rsid w:val="00DA55A9"/>
    <w:rsid w:val="00DB2418"/>
    <w:rsid w:val="00DB29FB"/>
    <w:rsid w:val="00DB2C75"/>
    <w:rsid w:val="00DC0AA9"/>
    <w:rsid w:val="00DC27D4"/>
    <w:rsid w:val="00DC3F09"/>
    <w:rsid w:val="00DC644B"/>
    <w:rsid w:val="00DC6FA5"/>
    <w:rsid w:val="00DD039E"/>
    <w:rsid w:val="00DD1680"/>
    <w:rsid w:val="00DD1D9B"/>
    <w:rsid w:val="00DD67F9"/>
    <w:rsid w:val="00DE0827"/>
    <w:rsid w:val="00DE1896"/>
    <w:rsid w:val="00DE2D9B"/>
    <w:rsid w:val="00DE374B"/>
    <w:rsid w:val="00DE7305"/>
    <w:rsid w:val="00DE7962"/>
    <w:rsid w:val="00DE7ABA"/>
    <w:rsid w:val="00DE7EDE"/>
    <w:rsid w:val="00DF060F"/>
    <w:rsid w:val="00DF1228"/>
    <w:rsid w:val="00DF138A"/>
    <w:rsid w:val="00DF15B3"/>
    <w:rsid w:val="00DF65AB"/>
    <w:rsid w:val="00DF7133"/>
    <w:rsid w:val="00DF740C"/>
    <w:rsid w:val="00E0061A"/>
    <w:rsid w:val="00E01ED3"/>
    <w:rsid w:val="00E1143D"/>
    <w:rsid w:val="00E124C1"/>
    <w:rsid w:val="00E13A47"/>
    <w:rsid w:val="00E140E2"/>
    <w:rsid w:val="00E144AA"/>
    <w:rsid w:val="00E14686"/>
    <w:rsid w:val="00E14D4A"/>
    <w:rsid w:val="00E204A9"/>
    <w:rsid w:val="00E20D38"/>
    <w:rsid w:val="00E20ECA"/>
    <w:rsid w:val="00E22B77"/>
    <w:rsid w:val="00E23CA7"/>
    <w:rsid w:val="00E24DA2"/>
    <w:rsid w:val="00E260C9"/>
    <w:rsid w:val="00E27572"/>
    <w:rsid w:val="00E3126A"/>
    <w:rsid w:val="00E31C63"/>
    <w:rsid w:val="00E32E74"/>
    <w:rsid w:val="00E34237"/>
    <w:rsid w:val="00E35D16"/>
    <w:rsid w:val="00E40CEA"/>
    <w:rsid w:val="00E43AED"/>
    <w:rsid w:val="00E4725C"/>
    <w:rsid w:val="00E4738B"/>
    <w:rsid w:val="00E4787F"/>
    <w:rsid w:val="00E47FC4"/>
    <w:rsid w:val="00E5015B"/>
    <w:rsid w:val="00E53472"/>
    <w:rsid w:val="00E5353D"/>
    <w:rsid w:val="00E53557"/>
    <w:rsid w:val="00E53926"/>
    <w:rsid w:val="00E53A56"/>
    <w:rsid w:val="00E5622B"/>
    <w:rsid w:val="00E6064A"/>
    <w:rsid w:val="00E61B43"/>
    <w:rsid w:val="00E62174"/>
    <w:rsid w:val="00E62452"/>
    <w:rsid w:val="00E642A6"/>
    <w:rsid w:val="00E704BD"/>
    <w:rsid w:val="00E70675"/>
    <w:rsid w:val="00E70EC6"/>
    <w:rsid w:val="00E72354"/>
    <w:rsid w:val="00E72403"/>
    <w:rsid w:val="00E748E9"/>
    <w:rsid w:val="00E74AC5"/>
    <w:rsid w:val="00E76FAF"/>
    <w:rsid w:val="00E77A95"/>
    <w:rsid w:val="00E81057"/>
    <w:rsid w:val="00E81B81"/>
    <w:rsid w:val="00E82B50"/>
    <w:rsid w:val="00E86EE1"/>
    <w:rsid w:val="00E875F9"/>
    <w:rsid w:val="00E87AF6"/>
    <w:rsid w:val="00E914A6"/>
    <w:rsid w:val="00E9669B"/>
    <w:rsid w:val="00EA0221"/>
    <w:rsid w:val="00EA02C4"/>
    <w:rsid w:val="00EA0E45"/>
    <w:rsid w:val="00EB2AAE"/>
    <w:rsid w:val="00EB30F0"/>
    <w:rsid w:val="00EB5251"/>
    <w:rsid w:val="00EB56AF"/>
    <w:rsid w:val="00EB719C"/>
    <w:rsid w:val="00EC0C18"/>
    <w:rsid w:val="00EC1411"/>
    <w:rsid w:val="00EC159B"/>
    <w:rsid w:val="00EC2EB3"/>
    <w:rsid w:val="00EC4CA4"/>
    <w:rsid w:val="00EC53A9"/>
    <w:rsid w:val="00EC7A0C"/>
    <w:rsid w:val="00ED0797"/>
    <w:rsid w:val="00ED56FB"/>
    <w:rsid w:val="00ED5D1F"/>
    <w:rsid w:val="00ED768B"/>
    <w:rsid w:val="00ED7E09"/>
    <w:rsid w:val="00EE1922"/>
    <w:rsid w:val="00EE2A79"/>
    <w:rsid w:val="00EE5A5A"/>
    <w:rsid w:val="00EE75E2"/>
    <w:rsid w:val="00EF11EC"/>
    <w:rsid w:val="00EF493B"/>
    <w:rsid w:val="00EF5182"/>
    <w:rsid w:val="00EF65A3"/>
    <w:rsid w:val="00F022FC"/>
    <w:rsid w:val="00F04015"/>
    <w:rsid w:val="00F04713"/>
    <w:rsid w:val="00F10788"/>
    <w:rsid w:val="00F14A1A"/>
    <w:rsid w:val="00F16A81"/>
    <w:rsid w:val="00F16FA5"/>
    <w:rsid w:val="00F24F5A"/>
    <w:rsid w:val="00F306BE"/>
    <w:rsid w:val="00F352F5"/>
    <w:rsid w:val="00F3531C"/>
    <w:rsid w:val="00F37450"/>
    <w:rsid w:val="00F4067A"/>
    <w:rsid w:val="00F41AE8"/>
    <w:rsid w:val="00F42E07"/>
    <w:rsid w:val="00F438D9"/>
    <w:rsid w:val="00F4471F"/>
    <w:rsid w:val="00F45D13"/>
    <w:rsid w:val="00F46C12"/>
    <w:rsid w:val="00F47A50"/>
    <w:rsid w:val="00F52D6D"/>
    <w:rsid w:val="00F536E5"/>
    <w:rsid w:val="00F53CE7"/>
    <w:rsid w:val="00F549EB"/>
    <w:rsid w:val="00F56103"/>
    <w:rsid w:val="00F577AE"/>
    <w:rsid w:val="00F57C1A"/>
    <w:rsid w:val="00F60BC3"/>
    <w:rsid w:val="00F62DAE"/>
    <w:rsid w:val="00F63859"/>
    <w:rsid w:val="00F64D2A"/>
    <w:rsid w:val="00F650C7"/>
    <w:rsid w:val="00F72A11"/>
    <w:rsid w:val="00F72EC6"/>
    <w:rsid w:val="00F74997"/>
    <w:rsid w:val="00F759F2"/>
    <w:rsid w:val="00F75B28"/>
    <w:rsid w:val="00F767FE"/>
    <w:rsid w:val="00F76985"/>
    <w:rsid w:val="00F76C1E"/>
    <w:rsid w:val="00F8314D"/>
    <w:rsid w:val="00F844BF"/>
    <w:rsid w:val="00F85D9C"/>
    <w:rsid w:val="00F862D1"/>
    <w:rsid w:val="00F8746B"/>
    <w:rsid w:val="00F9238E"/>
    <w:rsid w:val="00F94A9B"/>
    <w:rsid w:val="00F94BB7"/>
    <w:rsid w:val="00F95581"/>
    <w:rsid w:val="00F95725"/>
    <w:rsid w:val="00F95FA5"/>
    <w:rsid w:val="00FA0315"/>
    <w:rsid w:val="00FA05E9"/>
    <w:rsid w:val="00FA151B"/>
    <w:rsid w:val="00FA16FF"/>
    <w:rsid w:val="00FA2E02"/>
    <w:rsid w:val="00FA5810"/>
    <w:rsid w:val="00FA5F36"/>
    <w:rsid w:val="00FA6F4E"/>
    <w:rsid w:val="00FA7B08"/>
    <w:rsid w:val="00FB07FF"/>
    <w:rsid w:val="00FB1416"/>
    <w:rsid w:val="00FB3014"/>
    <w:rsid w:val="00FB71C5"/>
    <w:rsid w:val="00FB731B"/>
    <w:rsid w:val="00FC05B0"/>
    <w:rsid w:val="00FC1B2A"/>
    <w:rsid w:val="00FC1E58"/>
    <w:rsid w:val="00FC1E6C"/>
    <w:rsid w:val="00FC2826"/>
    <w:rsid w:val="00FC311C"/>
    <w:rsid w:val="00FC41F3"/>
    <w:rsid w:val="00FC4938"/>
    <w:rsid w:val="00FC70C6"/>
    <w:rsid w:val="00FD15C1"/>
    <w:rsid w:val="00FD26DE"/>
    <w:rsid w:val="00FD2E14"/>
    <w:rsid w:val="00FD3526"/>
    <w:rsid w:val="00FD36FA"/>
    <w:rsid w:val="00FD395F"/>
    <w:rsid w:val="00FD68BD"/>
    <w:rsid w:val="00FE0572"/>
    <w:rsid w:val="00FE16F3"/>
    <w:rsid w:val="00FE2E3F"/>
    <w:rsid w:val="00FE518E"/>
    <w:rsid w:val="00FE53ED"/>
    <w:rsid w:val="00FE65BB"/>
    <w:rsid w:val="00FF0088"/>
    <w:rsid w:val="00FF1530"/>
    <w:rsid w:val="00FF2CB9"/>
    <w:rsid w:val="00FF5194"/>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5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1A54"/>
    <w:pPr>
      <w:widowControl w:val="0"/>
    </w:pPr>
    <w:rPr>
      <w:kern w:val="28"/>
    </w:rPr>
  </w:style>
  <w:style w:type="paragraph" w:styleId="Heading1">
    <w:name w:val="heading 1"/>
    <w:basedOn w:val="Normal"/>
    <w:next w:val="ParaNum"/>
    <w:link w:val="Heading1Char"/>
    <w:qFormat/>
    <w:rsid w:val="002A1B0B"/>
    <w:pPr>
      <w:keepNext/>
      <w:numPr>
        <w:numId w:val="31"/>
      </w:numPr>
      <w:tabs>
        <w:tab w:val="left" w:pos="720"/>
      </w:tabs>
      <w:suppressAutoHyphens/>
      <w:spacing w:after="120"/>
      <w:outlineLvl w:val="0"/>
    </w:pPr>
    <w:rPr>
      <w:rFonts w:ascii="Cambria" w:hAnsi="Cambria" w:cs="Cambria"/>
      <w:b/>
      <w:bCs/>
      <w:kern w:val="32"/>
      <w:sz w:val="32"/>
      <w:szCs w:val="32"/>
    </w:rPr>
  </w:style>
  <w:style w:type="paragraph" w:styleId="Heading2">
    <w:name w:val="heading 2"/>
    <w:basedOn w:val="Normal"/>
    <w:next w:val="ParaNum"/>
    <w:link w:val="Heading2Char"/>
    <w:autoRedefine/>
    <w:qFormat/>
    <w:rsid w:val="002A1B0B"/>
    <w:pPr>
      <w:keepNext/>
      <w:numPr>
        <w:ilvl w:val="1"/>
        <w:numId w:val="31"/>
      </w:numPr>
      <w:spacing w:after="120"/>
      <w:outlineLvl w:val="1"/>
    </w:pPr>
    <w:rPr>
      <w:rFonts w:ascii="Cambria" w:hAnsi="Cambria" w:cs="Cambria"/>
      <w:b/>
      <w:bCs/>
      <w:i/>
      <w:iCs/>
      <w:sz w:val="28"/>
      <w:szCs w:val="28"/>
    </w:rPr>
  </w:style>
  <w:style w:type="paragraph" w:styleId="Heading3">
    <w:name w:val="heading 3"/>
    <w:basedOn w:val="Normal"/>
    <w:next w:val="ParaNum"/>
    <w:link w:val="Heading3Char"/>
    <w:qFormat/>
    <w:rsid w:val="002A1B0B"/>
    <w:pPr>
      <w:keepNext/>
      <w:numPr>
        <w:ilvl w:val="2"/>
        <w:numId w:val="31"/>
      </w:numPr>
      <w:tabs>
        <w:tab w:val="left" w:pos="2160"/>
      </w:tabs>
      <w:spacing w:after="120"/>
      <w:outlineLvl w:val="2"/>
    </w:pPr>
    <w:rPr>
      <w:rFonts w:ascii="Cambria" w:hAnsi="Cambria" w:cs="Cambria"/>
      <w:b/>
      <w:bCs/>
      <w:sz w:val="26"/>
      <w:szCs w:val="26"/>
    </w:rPr>
  </w:style>
  <w:style w:type="paragraph" w:styleId="Heading4">
    <w:name w:val="heading 4"/>
    <w:basedOn w:val="Normal"/>
    <w:next w:val="ParaNum"/>
    <w:link w:val="Heading4Char"/>
    <w:qFormat/>
    <w:rsid w:val="002A1B0B"/>
    <w:pPr>
      <w:keepNext/>
      <w:numPr>
        <w:ilvl w:val="3"/>
        <w:numId w:val="31"/>
      </w:numPr>
      <w:tabs>
        <w:tab w:val="left" w:pos="2880"/>
      </w:tabs>
      <w:spacing w:after="120"/>
      <w:outlineLvl w:val="3"/>
    </w:pPr>
    <w:rPr>
      <w:rFonts w:ascii="Calibri" w:hAnsi="Calibri" w:cs="Calibri"/>
      <w:b/>
      <w:bCs/>
      <w:sz w:val="28"/>
      <w:szCs w:val="28"/>
    </w:rPr>
  </w:style>
  <w:style w:type="paragraph" w:styleId="Heading5">
    <w:name w:val="heading 5"/>
    <w:basedOn w:val="Normal"/>
    <w:next w:val="ParaNum"/>
    <w:link w:val="Heading5Char"/>
    <w:qFormat/>
    <w:rsid w:val="002A1B0B"/>
    <w:pPr>
      <w:keepNext/>
      <w:numPr>
        <w:ilvl w:val="4"/>
        <w:numId w:val="31"/>
      </w:numPr>
      <w:tabs>
        <w:tab w:val="left" w:pos="3600"/>
      </w:tabs>
      <w:suppressAutoHyphens/>
      <w:spacing w:after="120"/>
      <w:outlineLvl w:val="4"/>
    </w:pPr>
    <w:rPr>
      <w:rFonts w:ascii="Calibri" w:hAnsi="Calibri" w:cs="Calibri"/>
      <w:b/>
      <w:bCs/>
      <w:i/>
      <w:iCs/>
      <w:sz w:val="26"/>
      <w:szCs w:val="26"/>
    </w:rPr>
  </w:style>
  <w:style w:type="paragraph" w:styleId="Heading6">
    <w:name w:val="heading 6"/>
    <w:basedOn w:val="Normal"/>
    <w:next w:val="ParaNum"/>
    <w:link w:val="Heading6Char"/>
    <w:qFormat/>
    <w:rsid w:val="002A1B0B"/>
    <w:pPr>
      <w:numPr>
        <w:ilvl w:val="5"/>
        <w:numId w:val="31"/>
      </w:numPr>
      <w:tabs>
        <w:tab w:val="left" w:pos="4320"/>
      </w:tabs>
      <w:spacing w:after="120"/>
      <w:outlineLvl w:val="5"/>
    </w:pPr>
    <w:rPr>
      <w:rFonts w:ascii="Calibri" w:hAnsi="Calibri" w:cs="Calibri"/>
      <w:b/>
      <w:bCs/>
      <w:sz w:val="20"/>
      <w:szCs w:val="20"/>
    </w:rPr>
  </w:style>
  <w:style w:type="paragraph" w:styleId="Heading7">
    <w:name w:val="heading 7"/>
    <w:basedOn w:val="Normal"/>
    <w:next w:val="ParaNum"/>
    <w:link w:val="Heading7Char"/>
    <w:qFormat/>
    <w:rsid w:val="002A1B0B"/>
    <w:pPr>
      <w:numPr>
        <w:ilvl w:val="6"/>
        <w:numId w:val="31"/>
      </w:numPr>
      <w:tabs>
        <w:tab w:val="left" w:pos="5040"/>
      </w:tabs>
      <w:spacing w:after="120"/>
      <w:ind w:left="5040" w:hanging="720"/>
      <w:outlineLvl w:val="6"/>
    </w:pPr>
    <w:rPr>
      <w:rFonts w:ascii="Calibri" w:hAnsi="Calibri" w:cs="Calibri"/>
      <w:sz w:val="24"/>
      <w:szCs w:val="24"/>
    </w:rPr>
  </w:style>
  <w:style w:type="paragraph" w:styleId="Heading8">
    <w:name w:val="heading 8"/>
    <w:basedOn w:val="Normal"/>
    <w:next w:val="ParaNum"/>
    <w:link w:val="Heading8Char"/>
    <w:qFormat/>
    <w:rsid w:val="002A1B0B"/>
    <w:pPr>
      <w:numPr>
        <w:ilvl w:val="7"/>
        <w:numId w:val="31"/>
      </w:numPr>
      <w:tabs>
        <w:tab w:val="clear" w:pos="5400"/>
        <w:tab w:val="left" w:pos="5760"/>
      </w:tabs>
      <w:spacing w:after="120"/>
      <w:ind w:left="5760" w:hanging="720"/>
      <w:outlineLvl w:val="7"/>
    </w:pPr>
    <w:rPr>
      <w:rFonts w:ascii="Calibri" w:hAnsi="Calibri" w:cs="Calibri"/>
      <w:i/>
      <w:iCs/>
      <w:sz w:val="24"/>
      <w:szCs w:val="24"/>
    </w:rPr>
  </w:style>
  <w:style w:type="paragraph" w:styleId="Heading9">
    <w:name w:val="heading 9"/>
    <w:basedOn w:val="Normal"/>
    <w:next w:val="ParaNum"/>
    <w:link w:val="Heading9Char"/>
    <w:qFormat/>
    <w:rsid w:val="002A1B0B"/>
    <w:pPr>
      <w:numPr>
        <w:ilvl w:val="8"/>
        <w:numId w:val="31"/>
      </w:numPr>
      <w:tabs>
        <w:tab w:val="clear" w:pos="6120"/>
        <w:tab w:val="left" w:pos="6480"/>
      </w:tabs>
      <w:spacing w:after="120"/>
      <w:ind w:left="6480" w:hanging="720"/>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143D"/>
    <w:rPr>
      <w:rFonts w:ascii="Cambria" w:hAnsi="Cambria" w:cs="Cambria"/>
      <w:b/>
      <w:bCs/>
      <w:kern w:val="32"/>
      <w:sz w:val="32"/>
      <w:szCs w:val="32"/>
    </w:rPr>
  </w:style>
  <w:style w:type="character" w:customStyle="1" w:styleId="Heading2Char">
    <w:name w:val="Heading 2 Char"/>
    <w:basedOn w:val="DefaultParagraphFont"/>
    <w:link w:val="Heading2"/>
    <w:locked/>
    <w:rsid w:val="00E1143D"/>
    <w:rPr>
      <w:rFonts w:ascii="Cambria" w:hAnsi="Cambria" w:cs="Cambria"/>
      <w:b/>
      <w:bCs/>
      <w:i/>
      <w:iCs/>
      <w:kern w:val="28"/>
      <w:sz w:val="28"/>
      <w:szCs w:val="28"/>
    </w:rPr>
  </w:style>
  <w:style w:type="character" w:customStyle="1" w:styleId="Heading3Char">
    <w:name w:val="Heading 3 Char"/>
    <w:basedOn w:val="DefaultParagraphFont"/>
    <w:link w:val="Heading3"/>
    <w:locked/>
    <w:rsid w:val="00E1143D"/>
    <w:rPr>
      <w:rFonts w:ascii="Cambria" w:hAnsi="Cambria" w:cs="Cambria"/>
      <w:b/>
      <w:bCs/>
      <w:kern w:val="28"/>
      <w:sz w:val="26"/>
      <w:szCs w:val="26"/>
    </w:rPr>
  </w:style>
  <w:style w:type="character" w:customStyle="1" w:styleId="Heading4Char">
    <w:name w:val="Heading 4 Char"/>
    <w:basedOn w:val="DefaultParagraphFont"/>
    <w:link w:val="Heading4"/>
    <w:locked/>
    <w:rsid w:val="00E1143D"/>
    <w:rPr>
      <w:rFonts w:ascii="Calibri" w:hAnsi="Calibri" w:cs="Calibri"/>
      <w:b/>
      <w:bCs/>
      <w:kern w:val="28"/>
      <w:sz w:val="28"/>
      <w:szCs w:val="28"/>
    </w:rPr>
  </w:style>
  <w:style w:type="character" w:customStyle="1" w:styleId="Heading5Char">
    <w:name w:val="Heading 5 Char"/>
    <w:basedOn w:val="DefaultParagraphFont"/>
    <w:link w:val="Heading5"/>
    <w:locked/>
    <w:rsid w:val="00E1143D"/>
    <w:rPr>
      <w:rFonts w:ascii="Calibri" w:hAnsi="Calibri" w:cs="Calibri"/>
      <w:b/>
      <w:bCs/>
      <w:i/>
      <w:iCs/>
      <w:kern w:val="28"/>
      <w:sz w:val="26"/>
      <w:szCs w:val="26"/>
    </w:rPr>
  </w:style>
  <w:style w:type="character" w:customStyle="1" w:styleId="Heading6Char">
    <w:name w:val="Heading 6 Char"/>
    <w:basedOn w:val="DefaultParagraphFont"/>
    <w:link w:val="Heading6"/>
    <w:locked/>
    <w:rsid w:val="00E1143D"/>
    <w:rPr>
      <w:rFonts w:ascii="Calibri" w:hAnsi="Calibri" w:cs="Calibri"/>
      <w:b/>
      <w:bCs/>
      <w:kern w:val="28"/>
      <w:sz w:val="20"/>
      <w:szCs w:val="20"/>
    </w:rPr>
  </w:style>
  <w:style w:type="character" w:customStyle="1" w:styleId="Heading7Char">
    <w:name w:val="Heading 7 Char"/>
    <w:basedOn w:val="DefaultParagraphFont"/>
    <w:link w:val="Heading7"/>
    <w:locked/>
    <w:rsid w:val="00E1143D"/>
    <w:rPr>
      <w:rFonts w:ascii="Calibri" w:hAnsi="Calibri" w:cs="Calibri"/>
      <w:kern w:val="28"/>
      <w:sz w:val="24"/>
      <w:szCs w:val="24"/>
    </w:rPr>
  </w:style>
  <w:style w:type="character" w:customStyle="1" w:styleId="Heading8Char">
    <w:name w:val="Heading 8 Char"/>
    <w:basedOn w:val="DefaultParagraphFont"/>
    <w:link w:val="Heading8"/>
    <w:locked/>
    <w:rsid w:val="00E1143D"/>
    <w:rPr>
      <w:rFonts w:ascii="Calibri" w:hAnsi="Calibri" w:cs="Calibri"/>
      <w:i/>
      <w:iCs/>
      <w:kern w:val="28"/>
      <w:sz w:val="24"/>
      <w:szCs w:val="24"/>
    </w:rPr>
  </w:style>
  <w:style w:type="character" w:customStyle="1" w:styleId="Heading9Char">
    <w:name w:val="Heading 9 Char"/>
    <w:basedOn w:val="DefaultParagraphFont"/>
    <w:link w:val="Heading9"/>
    <w:locked/>
    <w:rsid w:val="00E1143D"/>
    <w:rPr>
      <w:rFonts w:ascii="Cambria" w:hAnsi="Cambria" w:cs="Cambria"/>
      <w:kern w:val="28"/>
      <w:sz w:val="20"/>
      <w:szCs w:val="20"/>
    </w:rPr>
  </w:style>
  <w:style w:type="paragraph" w:styleId="Caption">
    <w:name w:val="caption"/>
    <w:basedOn w:val="Normal"/>
    <w:next w:val="Normal"/>
    <w:qFormat/>
    <w:rsid w:val="00D50B4D"/>
    <w:pPr>
      <w:spacing w:before="120" w:after="120"/>
    </w:pPr>
    <w:rPr>
      <w:b/>
      <w:bCs/>
    </w:rPr>
  </w:style>
  <w:style w:type="paragraph" w:customStyle="1" w:styleId="ParaNum">
    <w:name w:val="ParaNum"/>
    <w:basedOn w:val="Normal"/>
    <w:rsid w:val="003E1A54"/>
    <w:pPr>
      <w:numPr>
        <w:numId w:val="29"/>
      </w:numPr>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3"/>
    <w:rsid w:val="003E1A54"/>
    <w:pPr>
      <w:widowControl/>
      <w:spacing w:after="120"/>
    </w:pPr>
    <w:rPr>
      <w:kern w:val="0"/>
      <w:sz w:val="20"/>
      <w:szCs w:val="20"/>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basedOn w:val="DefaultParagraphFont"/>
    <w:locked/>
    <w:rsid w:val="002A1B0B"/>
    <w:rPr>
      <w:kern w:val="28"/>
      <w:sz w:val="20"/>
      <w:szCs w:val="20"/>
    </w:rPr>
  </w:style>
  <w:style w:type="paragraph" w:customStyle="1" w:styleId="Bullet">
    <w:name w:val="Bullet"/>
    <w:basedOn w:val="Normal"/>
    <w:rsid w:val="003E1A54"/>
    <w:pPr>
      <w:tabs>
        <w:tab w:val="left" w:pos="2160"/>
      </w:tabs>
      <w:spacing w:after="220"/>
      <w:ind w:left="2160" w:hanging="720"/>
    </w:pPr>
  </w:style>
  <w:style w:type="paragraph" w:styleId="BlockText">
    <w:name w:val="Block Text"/>
    <w:basedOn w:val="Normal"/>
    <w:rsid w:val="003E1A54"/>
    <w:pPr>
      <w:spacing w:after="240"/>
      <w:ind w:left="1440" w:right="1440"/>
    </w:pPr>
  </w:style>
  <w:style w:type="paragraph" w:customStyle="1" w:styleId="TableFormat">
    <w:name w:val="TableFormat"/>
    <w:basedOn w:val="Bullet"/>
    <w:rsid w:val="003E1A5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basedOn w:val="DefaultParagraphFont"/>
    <w:rsid w:val="00D50B4D"/>
    <w:rPr>
      <w:vertAlign w:val="superscript"/>
    </w:rPr>
  </w:style>
  <w:style w:type="paragraph" w:styleId="Header">
    <w:name w:val="header"/>
    <w:basedOn w:val="Normal"/>
    <w:link w:val="HeaderChar"/>
    <w:autoRedefine/>
    <w:rsid w:val="00351A15"/>
    <w:pPr>
      <w:tabs>
        <w:tab w:val="center" w:pos="4680"/>
        <w:tab w:val="left" w:pos="5760"/>
        <w:tab w:val="right" w:pos="9360"/>
      </w:tabs>
    </w:pPr>
    <w:rPr>
      <w:b/>
    </w:rPr>
  </w:style>
  <w:style w:type="character" w:customStyle="1" w:styleId="HeaderChar">
    <w:name w:val="Header Char"/>
    <w:basedOn w:val="DefaultParagraphFont"/>
    <w:link w:val="Header"/>
    <w:locked/>
    <w:rsid w:val="00351A15"/>
    <w:rPr>
      <w:b/>
      <w:kern w:val="28"/>
    </w:rPr>
  </w:style>
  <w:style w:type="paragraph" w:styleId="Footer">
    <w:name w:val="footer"/>
    <w:basedOn w:val="Normal"/>
    <w:link w:val="FooterChar"/>
    <w:rsid w:val="002A1B0B"/>
    <w:pPr>
      <w:tabs>
        <w:tab w:val="center" w:pos="4320"/>
        <w:tab w:val="right" w:pos="8640"/>
      </w:tabs>
    </w:pPr>
    <w:rPr>
      <w:sz w:val="20"/>
      <w:szCs w:val="20"/>
    </w:rPr>
  </w:style>
  <w:style w:type="character" w:customStyle="1" w:styleId="FooterChar">
    <w:name w:val="Footer Char"/>
    <w:basedOn w:val="DefaultParagraphFont"/>
    <w:link w:val="Footer"/>
    <w:locked/>
    <w:rsid w:val="00E1143D"/>
    <w:rPr>
      <w:kern w:val="28"/>
      <w:sz w:val="20"/>
      <w:szCs w:val="20"/>
    </w:rPr>
  </w:style>
  <w:style w:type="paragraph" w:styleId="TOC2">
    <w:name w:val="toc 2"/>
    <w:basedOn w:val="Normal"/>
    <w:next w:val="Normal"/>
    <w:autoRedefine/>
    <w:semiHidden/>
    <w:rsid w:val="002A1B0B"/>
    <w:pPr>
      <w:tabs>
        <w:tab w:val="left" w:pos="720"/>
        <w:tab w:val="right" w:leader="dot" w:pos="9360"/>
      </w:tabs>
      <w:suppressAutoHyphens/>
      <w:ind w:left="720" w:right="720" w:hanging="360"/>
    </w:pPr>
    <w:rPr>
      <w:noProof/>
    </w:rPr>
  </w:style>
  <w:style w:type="paragraph" w:customStyle="1" w:styleId="NumberedList">
    <w:name w:val="Numbered List"/>
    <w:basedOn w:val="Normal"/>
    <w:rsid w:val="00D50B4D"/>
    <w:pPr>
      <w:numPr>
        <w:numId w:val="21"/>
      </w:numPr>
      <w:tabs>
        <w:tab w:val="clear" w:pos="1080"/>
      </w:tabs>
      <w:spacing w:after="220"/>
      <w:ind w:firstLine="0"/>
    </w:pPr>
  </w:style>
  <w:style w:type="paragraph" w:styleId="TOC1">
    <w:name w:val="toc 1"/>
    <w:basedOn w:val="Normal"/>
    <w:next w:val="Normal"/>
    <w:autoRedefine/>
    <w:semiHidden/>
    <w:rsid w:val="002A1B0B"/>
    <w:pPr>
      <w:tabs>
        <w:tab w:val="left" w:pos="360"/>
        <w:tab w:val="right" w:leader="dot" w:pos="9360"/>
      </w:tabs>
      <w:suppressAutoHyphens/>
      <w:ind w:left="360" w:right="720" w:hanging="360"/>
    </w:pPr>
    <w:rPr>
      <w:caps/>
      <w:noProof/>
    </w:rPr>
  </w:style>
  <w:style w:type="paragraph" w:styleId="TOC3">
    <w:name w:val="toc 3"/>
    <w:basedOn w:val="Normal"/>
    <w:next w:val="Normal"/>
    <w:autoRedefine/>
    <w:semiHidden/>
    <w:rsid w:val="002A1B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1A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1A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1A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1A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1A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1A54"/>
    <w:pPr>
      <w:tabs>
        <w:tab w:val="left" w:pos="3240"/>
        <w:tab w:val="right" w:leader="dot" w:pos="9360"/>
      </w:tabs>
      <w:suppressAutoHyphens/>
      <w:ind w:left="3240" w:hanging="360"/>
    </w:pPr>
    <w:rPr>
      <w:noProof/>
    </w:rPr>
  </w:style>
  <w:style w:type="character" w:styleId="PageNumber">
    <w:name w:val="page number"/>
    <w:basedOn w:val="DefaultParagraphFont"/>
    <w:rsid w:val="00D50B4D"/>
  </w:style>
  <w:style w:type="paragraph" w:styleId="Title">
    <w:name w:val="Title"/>
    <w:basedOn w:val="Normal"/>
    <w:link w:val="TitleChar"/>
    <w:qFormat/>
    <w:rsid w:val="002A1B0B"/>
    <w:pPr>
      <w:jc w:val="center"/>
    </w:pPr>
    <w:rPr>
      <w:rFonts w:ascii="Cambria" w:hAnsi="Cambria" w:cs="Cambria"/>
      <w:b/>
      <w:bCs/>
      <w:sz w:val="32"/>
      <w:szCs w:val="32"/>
    </w:rPr>
  </w:style>
  <w:style w:type="character" w:customStyle="1" w:styleId="TitleChar">
    <w:name w:val="Title Char"/>
    <w:basedOn w:val="DefaultParagraphFont"/>
    <w:link w:val="Title"/>
    <w:locked/>
    <w:rsid w:val="00E1143D"/>
    <w:rPr>
      <w:rFonts w:ascii="Cambria" w:hAnsi="Cambria" w:cs="Cambria"/>
      <w:b/>
      <w:bCs/>
      <w:kern w:val="28"/>
      <w:sz w:val="32"/>
      <w:szCs w:val="32"/>
    </w:rPr>
  </w:style>
  <w:style w:type="character" w:customStyle="1" w:styleId="FootnoteTextChar3">
    <w:name w:val="Footnote Text Char3"/>
    <w:aliases w:val="Footnote Text Char2 Char1,Footnote Text Char1 Char3 Char1,Footnote Text Char Char Char Char1,Footnote Text Char1 Char Char Char Char1,Footnote Text Char2 Char Char Char Char Char1,Footnote Text Char Char Char Char Char Char Char1"/>
    <w:link w:val="FootnoteText"/>
    <w:uiPriority w:val="99"/>
    <w:locked/>
    <w:rsid w:val="00E87AF6"/>
    <w:rPr>
      <w:lang w:val="en-US" w:eastAsia="en-US"/>
    </w:rPr>
  </w:style>
  <w:style w:type="paragraph" w:styleId="DocumentMap">
    <w:name w:val="Document Map"/>
    <w:basedOn w:val="Normal"/>
    <w:link w:val="DocumentMapChar"/>
    <w:semiHidden/>
    <w:rsid w:val="002A1B0B"/>
    <w:pPr>
      <w:shd w:val="clear" w:color="auto" w:fill="000080"/>
    </w:pPr>
    <w:rPr>
      <w:sz w:val="2"/>
      <w:szCs w:val="2"/>
    </w:rPr>
  </w:style>
  <w:style w:type="character" w:customStyle="1" w:styleId="DocumentMapChar">
    <w:name w:val="Document Map Char"/>
    <w:basedOn w:val="DefaultParagraphFont"/>
    <w:link w:val="DocumentMap"/>
    <w:semiHidden/>
    <w:locked/>
    <w:rsid w:val="00E1143D"/>
    <w:rPr>
      <w:kern w:val="28"/>
      <w:sz w:val="2"/>
      <w:szCs w:val="2"/>
      <w:shd w:val="clear" w:color="auto" w:fill="000080"/>
    </w:rPr>
  </w:style>
  <w:style w:type="paragraph" w:styleId="BalloonText">
    <w:name w:val="Balloon Text"/>
    <w:basedOn w:val="Normal"/>
    <w:link w:val="BalloonTextChar"/>
    <w:rsid w:val="002A1B0B"/>
    <w:rPr>
      <w:sz w:val="24"/>
      <w:szCs w:val="24"/>
    </w:rPr>
  </w:style>
  <w:style w:type="character" w:customStyle="1" w:styleId="BalloonTextChar">
    <w:name w:val="Balloon Text Char"/>
    <w:basedOn w:val="DefaultParagraphFont"/>
    <w:link w:val="BalloonText"/>
    <w:locked/>
    <w:rsid w:val="00823B91"/>
    <w:rPr>
      <w:kern w:val="28"/>
      <w:sz w:val="24"/>
      <w:szCs w:val="24"/>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semiHidden/>
    <w:locked/>
    <w:rsid w:val="00AC4E91"/>
    <w:rPr>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semiHidden/>
    <w:locked/>
    <w:rsid w:val="00AC4E91"/>
    <w:rPr>
      <w:sz w:val="22"/>
      <w:szCs w:val="22"/>
      <w:lang w:val="en-US" w:eastAsia="en-US"/>
    </w:rPr>
  </w:style>
  <w:style w:type="character" w:styleId="CommentReference">
    <w:name w:val="annotation reference"/>
    <w:basedOn w:val="DefaultParagraphFont"/>
    <w:uiPriority w:val="99"/>
    <w:rsid w:val="00D925D5"/>
    <w:rPr>
      <w:sz w:val="16"/>
      <w:szCs w:val="16"/>
    </w:rPr>
  </w:style>
  <w:style w:type="paragraph" w:styleId="CommentText">
    <w:name w:val="annotation text"/>
    <w:basedOn w:val="Normal"/>
    <w:link w:val="CommentTextChar"/>
    <w:uiPriority w:val="99"/>
    <w:rsid w:val="00F57C1A"/>
    <w:rPr>
      <w:sz w:val="20"/>
      <w:szCs w:val="20"/>
    </w:rPr>
  </w:style>
  <w:style w:type="character" w:customStyle="1" w:styleId="CommentTextChar">
    <w:name w:val="Comment Text Char"/>
    <w:basedOn w:val="DefaultParagraphFont"/>
    <w:link w:val="CommentText"/>
    <w:uiPriority w:val="99"/>
    <w:locked/>
    <w:rsid w:val="00F57C1A"/>
  </w:style>
  <w:style w:type="paragraph" w:styleId="CommentSubject">
    <w:name w:val="annotation subject"/>
    <w:basedOn w:val="CommentText"/>
    <w:next w:val="CommentText"/>
    <w:link w:val="CommentSubjectChar"/>
    <w:rsid w:val="002A1B0B"/>
    <w:rPr>
      <w:b/>
      <w:bCs/>
      <w:kern w:val="0"/>
    </w:rPr>
  </w:style>
  <w:style w:type="character" w:customStyle="1" w:styleId="CommentSubjectChar">
    <w:name w:val="Comment Subject Char"/>
    <w:basedOn w:val="CommentTextChar"/>
    <w:link w:val="CommentSubject"/>
    <w:locked/>
    <w:rsid w:val="00F57C1A"/>
    <w:rPr>
      <w:b/>
      <w:bCs/>
      <w:sz w:val="20"/>
      <w:szCs w:val="20"/>
    </w:rPr>
  </w:style>
  <w:style w:type="character" w:styleId="Hyperlink">
    <w:name w:val="Hyperlink"/>
    <w:basedOn w:val="DefaultParagraphFont"/>
    <w:rsid w:val="006A438D"/>
    <w:rPr>
      <w:color w:val="0000FF"/>
      <w:u w:val="single"/>
    </w:rPr>
  </w:style>
  <w:style w:type="character" w:customStyle="1" w:styleId="documentbody">
    <w:name w:val="documentbody"/>
    <w:rsid w:val="00A97676"/>
  </w:style>
  <w:style w:type="paragraph" w:customStyle="1" w:styleId="ColorfulShading-Accent11">
    <w:name w:val="Colorful Shading - Accent 11"/>
    <w:hidden/>
    <w:uiPriority w:val="99"/>
    <w:semiHidden/>
    <w:rsid w:val="00962757"/>
  </w:style>
  <w:style w:type="paragraph" w:styleId="EndnoteText">
    <w:name w:val="endnote text"/>
    <w:basedOn w:val="Normal"/>
    <w:link w:val="EndnoteTextChar"/>
    <w:rsid w:val="003E1A54"/>
    <w:rPr>
      <w:sz w:val="20"/>
      <w:szCs w:val="20"/>
    </w:rPr>
  </w:style>
  <w:style w:type="character" w:customStyle="1" w:styleId="EndnoteTextChar">
    <w:name w:val="Endnote Text Char"/>
    <w:basedOn w:val="DefaultParagraphFont"/>
    <w:link w:val="EndnoteText"/>
    <w:locked/>
    <w:rsid w:val="0011252B"/>
    <w:rPr>
      <w:snapToGrid w:val="0"/>
      <w:kern w:val="28"/>
    </w:rPr>
  </w:style>
  <w:style w:type="character" w:customStyle="1" w:styleId="displayhltext">
    <w:name w:val="display_hl_text"/>
    <w:basedOn w:val="DefaultParagraphFont"/>
    <w:rsid w:val="00794562"/>
  </w:style>
  <w:style w:type="character" w:styleId="EndnoteReference">
    <w:name w:val="endnote reference"/>
    <w:basedOn w:val="DefaultParagraphFont"/>
    <w:rsid w:val="00721B94"/>
    <w:rPr>
      <w:vertAlign w:val="superscript"/>
    </w:rPr>
  </w:style>
  <w:style w:type="paragraph" w:styleId="TOAHeading">
    <w:name w:val="toa heading"/>
    <w:basedOn w:val="Normal"/>
    <w:next w:val="Normal"/>
    <w:rsid w:val="00721B94"/>
    <w:pPr>
      <w:tabs>
        <w:tab w:val="right" w:pos="9360"/>
      </w:tabs>
      <w:suppressAutoHyphens/>
    </w:pPr>
  </w:style>
  <w:style w:type="character" w:customStyle="1" w:styleId="EquationCaption">
    <w:name w:val="_Equation Caption"/>
    <w:rsid w:val="00721B94"/>
  </w:style>
  <w:style w:type="paragraph" w:customStyle="1" w:styleId="Paratitle">
    <w:name w:val="Para title"/>
    <w:basedOn w:val="Normal"/>
    <w:rsid w:val="00721B94"/>
    <w:pPr>
      <w:tabs>
        <w:tab w:val="center" w:pos="9270"/>
      </w:tabs>
      <w:spacing w:after="240"/>
    </w:pPr>
    <w:rPr>
      <w:spacing w:val="-2"/>
    </w:rPr>
  </w:style>
  <w:style w:type="paragraph" w:customStyle="1" w:styleId="TOCTitle">
    <w:name w:val="TOC Title"/>
    <w:basedOn w:val="Normal"/>
    <w:rsid w:val="00721B94"/>
    <w:pPr>
      <w:spacing w:before="240" w:after="240"/>
      <w:jc w:val="center"/>
    </w:pPr>
    <w:rPr>
      <w:rFonts w:ascii="Times New Roman Bold" w:hAnsi="Times New Roman Bold" w:cs="Times New Roman Bold"/>
      <w:b/>
      <w:bCs/>
      <w:caps/>
      <w:spacing w:val="-2"/>
    </w:rPr>
  </w:style>
  <w:style w:type="paragraph" w:customStyle="1" w:styleId="StyleBoldCentered">
    <w:name w:val="Style Bold Centered"/>
    <w:basedOn w:val="Normal"/>
    <w:rsid w:val="00721B94"/>
    <w:pPr>
      <w:jc w:val="center"/>
    </w:pPr>
    <w:rPr>
      <w:rFonts w:ascii="Times New Roman Bold" w:hAnsi="Times New Roman Bold" w:cs="Times New Roman Bold"/>
      <w:b/>
      <w:bCs/>
      <w:caps/>
    </w:rPr>
  </w:style>
  <w:style w:type="paragraph" w:styleId="Revision">
    <w:name w:val="Revision"/>
    <w:hidden/>
    <w:uiPriority w:val="99"/>
    <w:semiHidden/>
    <w:rsid w:val="00134FC3"/>
    <w:rPr>
      <w:kern w:val="28"/>
    </w:rPr>
  </w:style>
  <w:style w:type="character" w:customStyle="1" w:styleId="costarpage2">
    <w:name w:val="co_starpage2"/>
    <w:basedOn w:val="DefaultParagraphFont"/>
    <w:rsid w:val="00B33497"/>
  </w:style>
  <w:style w:type="character" w:styleId="FollowedHyperlink">
    <w:name w:val="FollowedHyperlink"/>
    <w:basedOn w:val="DefaultParagraphFont"/>
    <w:uiPriority w:val="99"/>
    <w:semiHidden/>
    <w:rsid w:val="00643A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1A54"/>
    <w:pPr>
      <w:widowControl w:val="0"/>
    </w:pPr>
    <w:rPr>
      <w:kern w:val="28"/>
    </w:rPr>
  </w:style>
  <w:style w:type="paragraph" w:styleId="Heading1">
    <w:name w:val="heading 1"/>
    <w:basedOn w:val="Normal"/>
    <w:next w:val="ParaNum"/>
    <w:link w:val="Heading1Char"/>
    <w:qFormat/>
    <w:rsid w:val="002A1B0B"/>
    <w:pPr>
      <w:keepNext/>
      <w:numPr>
        <w:numId w:val="31"/>
      </w:numPr>
      <w:tabs>
        <w:tab w:val="left" w:pos="720"/>
      </w:tabs>
      <w:suppressAutoHyphens/>
      <w:spacing w:after="120"/>
      <w:outlineLvl w:val="0"/>
    </w:pPr>
    <w:rPr>
      <w:rFonts w:ascii="Cambria" w:hAnsi="Cambria" w:cs="Cambria"/>
      <w:b/>
      <w:bCs/>
      <w:kern w:val="32"/>
      <w:sz w:val="32"/>
      <w:szCs w:val="32"/>
    </w:rPr>
  </w:style>
  <w:style w:type="paragraph" w:styleId="Heading2">
    <w:name w:val="heading 2"/>
    <w:basedOn w:val="Normal"/>
    <w:next w:val="ParaNum"/>
    <w:link w:val="Heading2Char"/>
    <w:autoRedefine/>
    <w:qFormat/>
    <w:rsid w:val="002A1B0B"/>
    <w:pPr>
      <w:keepNext/>
      <w:numPr>
        <w:ilvl w:val="1"/>
        <w:numId w:val="31"/>
      </w:numPr>
      <w:spacing w:after="120"/>
      <w:outlineLvl w:val="1"/>
    </w:pPr>
    <w:rPr>
      <w:rFonts w:ascii="Cambria" w:hAnsi="Cambria" w:cs="Cambria"/>
      <w:b/>
      <w:bCs/>
      <w:i/>
      <w:iCs/>
      <w:sz w:val="28"/>
      <w:szCs w:val="28"/>
    </w:rPr>
  </w:style>
  <w:style w:type="paragraph" w:styleId="Heading3">
    <w:name w:val="heading 3"/>
    <w:basedOn w:val="Normal"/>
    <w:next w:val="ParaNum"/>
    <w:link w:val="Heading3Char"/>
    <w:qFormat/>
    <w:rsid w:val="002A1B0B"/>
    <w:pPr>
      <w:keepNext/>
      <w:numPr>
        <w:ilvl w:val="2"/>
        <w:numId w:val="31"/>
      </w:numPr>
      <w:tabs>
        <w:tab w:val="left" w:pos="2160"/>
      </w:tabs>
      <w:spacing w:after="120"/>
      <w:outlineLvl w:val="2"/>
    </w:pPr>
    <w:rPr>
      <w:rFonts w:ascii="Cambria" w:hAnsi="Cambria" w:cs="Cambria"/>
      <w:b/>
      <w:bCs/>
      <w:sz w:val="26"/>
      <w:szCs w:val="26"/>
    </w:rPr>
  </w:style>
  <w:style w:type="paragraph" w:styleId="Heading4">
    <w:name w:val="heading 4"/>
    <w:basedOn w:val="Normal"/>
    <w:next w:val="ParaNum"/>
    <w:link w:val="Heading4Char"/>
    <w:qFormat/>
    <w:rsid w:val="002A1B0B"/>
    <w:pPr>
      <w:keepNext/>
      <w:numPr>
        <w:ilvl w:val="3"/>
        <w:numId w:val="31"/>
      </w:numPr>
      <w:tabs>
        <w:tab w:val="left" w:pos="2880"/>
      </w:tabs>
      <w:spacing w:after="120"/>
      <w:outlineLvl w:val="3"/>
    </w:pPr>
    <w:rPr>
      <w:rFonts w:ascii="Calibri" w:hAnsi="Calibri" w:cs="Calibri"/>
      <w:b/>
      <w:bCs/>
      <w:sz w:val="28"/>
      <w:szCs w:val="28"/>
    </w:rPr>
  </w:style>
  <w:style w:type="paragraph" w:styleId="Heading5">
    <w:name w:val="heading 5"/>
    <w:basedOn w:val="Normal"/>
    <w:next w:val="ParaNum"/>
    <w:link w:val="Heading5Char"/>
    <w:qFormat/>
    <w:rsid w:val="002A1B0B"/>
    <w:pPr>
      <w:keepNext/>
      <w:numPr>
        <w:ilvl w:val="4"/>
        <w:numId w:val="31"/>
      </w:numPr>
      <w:tabs>
        <w:tab w:val="left" w:pos="3600"/>
      </w:tabs>
      <w:suppressAutoHyphens/>
      <w:spacing w:after="120"/>
      <w:outlineLvl w:val="4"/>
    </w:pPr>
    <w:rPr>
      <w:rFonts w:ascii="Calibri" w:hAnsi="Calibri" w:cs="Calibri"/>
      <w:b/>
      <w:bCs/>
      <w:i/>
      <w:iCs/>
      <w:sz w:val="26"/>
      <w:szCs w:val="26"/>
    </w:rPr>
  </w:style>
  <w:style w:type="paragraph" w:styleId="Heading6">
    <w:name w:val="heading 6"/>
    <w:basedOn w:val="Normal"/>
    <w:next w:val="ParaNum"/>
    <w:link w:val="Heading6Char"/>
    <w:qFormat/>
    <w:rsid w:val="002A1B0B"/>
    <w:pPr>
      <w:numPr>
        <w:ilvl w:val="5"/>
        <w:numId w:val="31"/>
      </w:numPr>
      <w:tabs>
        <w:tab w:val="left" w:pos="4320"/>
      </w:tabs>
      <w:spacing w:after="120"/>
      <w:outlineLvl w:val="5"/>
    </w:pPr>
    <w:rPr>
      <w:rFonts w:ascii="Calibri" w:hAnsi="Calibri" w:cs="Calibri"/>
      <w:b/>
      <w:bCs/>
      <w:sz w:val="20"/>
      <w:szCs w:val="20"/>
    </w:rPr>
  </w:style>
  <w:style w:type="paragraph" w:styleId="Heading7">
    <w:name w:val="heading 7"/>
    <w:basedOn w:val="Normal"/>
    <w:next w:val="ParaNum"/>
    <w:link w:val="Heading7Char"/>
    <w:qFormat/>
    <w:rsid w:val="002A1B0B"/>
    <w:pPr>
      <w:numPr>
        <w:ilvl w:val="6"/>
        <w:numId w:val="31"/>
      </w:numPr>
      <w:tabs>
        <w:tab w:val="left" w:pos="5040"/>
      </w:tabs>
      <w:spacing w:after="120"/>
      <w:ind w:left="5040" w:hanging="720"/>
      <w:outlineLvl w:val="6"/>
    </w:pPr>
    <w:rPr>
      <w:rFonts w:ascii="Calibri" w:hAnsi="Calibri" w:cs="Calibri"/>
      <w:sz w:val="24"/>
      <w:szCs w:val="24"/>
    </w:rPr>
  </w:style>
  <w:style w:type="paragraph" w:styleId="Heading8">
    <w:name w:val="heading 8"/>
    <w:basedOn w:val="Normal"/>
    <w:next w:val="ParaNum"/>
    <w:link w:val="Heading8Char"/>
    <w:qFormat/>
    <w:rsid w:val="002A1B0B"/>
    <w:pPr>
      <w:numPr>
        <w:ilvl w:val="7"/>
        <w:numId w:val="31"/>
      </w:numPr>
      <w:tabs>
        <w:tab w:val="clear" w:pos="5400"/>
        <w:tab w:val="left" w:pos="5760"/>
      </w:tabs>
      <w:spacing w:after="120"/>
      <w:ind w:left="5760" w:hanging="720"/>
      <w:outlineLvl w:val="7"/>
    </w:pPr>
    <w:rPr>
      <w:rFonts w:ascii="Calibri" w:hAnsi="Calibri" w:cs="Calibri"/>
      <w:i/>
      <w:iCs/>
      <w:sz w:val="24"/>
      <w:szCs w:val="24"/>
    </w:rPr>
  </w:style>
  <w:style w:type="paragraph" w:styleId="Heading9">
    <w:name w:val="heading 9"/>
    <w:basedOn w:val="Normal"/>
    <w:next w:val="ParaNum"/>
    <w:link w:val="Heading9Char"/>
    <w:qFormat/>
    <w:rsid w:val="002A1B0B"/>
    <w:pPr>
      <w:numPr>
        <w:ilvl w:val="8"/>
        <w:numId w:val="31"/>
      </w:numPr>
      <w:tabs>
        <w:tab w:val="clear" w:pos="6120"/>
        <w:tab w:val="left" w:pos="6480"/>
      </w:tabs>
      <w:spacing w:after="120"/>
      <w:ind w:left="6480" w:hanging="720"/>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143D"/>
    <w:rPr>
      <w:rFonts w:ascii="Cambria" w:hAnsi="Cambria" w:cs="Cambria"/>
      <w:b/>
      <w:bCs/>
      <w:kern w:val="32"/>
      <w:sz w:val="32"/>
      <w:szCs w:val="32"/>
    </w:rPr>
  </w:style>
  <w:style w:type="character" w:customStyle="1" w:styleId="Heading2Char">
    <w:name w:val="Heading 2 Char"/>
    <w:basedOn w:val="DefaultParagraphFont"/>
    <w:link w:val="Heading2"/>
    <w:locked/>
    <w:rsid w:val="00E1143D"/>
    <w:rPr>
      <w:rFonts w:ascii="Cambria" w:hAnsi="Cambria" w:cs="Cambria"/>
      <w:b/>
      <w:bCs/>
      <w:i/>
      <w:iCs/>
      <w:kern w:val="28"/>
      <w:sz w:val="28"/>
      <w:szCs w:val="28"/>
    </w:rPr>
  </w:style>
  <w:style w:type="character" w:customStyle="1" w:styleId="Heading3Char">
    <w:name w:val="Heading 3 Char"/>
    <w:basedOn w:val="DefaultParagraphFont"/>
    <w:link w:val="Heading3"/>
    <w:locked/>
    <w:rsid w:val="00E1143D"/>
    <w:rPr>
      <w:rFonts w:ascii="Cambria" w:hAnsi="Cambria" w:cs="Cambria"/>
      <w:b/>
      <w:bCs/>
      <w:kern w:val="28"/>
      <w:sz w:val="26"/>
      <w:szCs w:val="26"/>
    </w:rPr>
  </w:style>
  <w:style w:type="character" w:customStyle="1" w:styleId="Heading4Char">
    <w:name w:val="Heading 4 Char"/>
    <w:basedOn w:val="DefaultParagraphFont"/>
    <w:link w:val="Heading4"/>
    <w:locked/>
    <w:rsid w:val="00E1143D"/>
    <w:rPr>
      <w:rFonts w:ascii="Calibri" w:hAnsi="Calibri" w:cs="Calibri"/>
      <w:b/>
      <w:bCs/>
      <w:kern w:val="28"/>
      <w:sz w:val="28"/>
      <w:szCs w:val="28"/>
    </w:rPr>
  </w:style>
  <w:style w:type="character" w:customStyle="1" w:styleId="Heading5Char">
    <w:name w:val="Heading 5 Char"/>
    <w:basedOn w:val="DefaultParagraphFont"/>
    <w:link w:val="Heading5"/>
    <w:locked/>
    <w:rsid w:val="00E1143D"/>
    <w:rPr>
      <w:rFonts w:ascii="Calibri" w:hAnsi="Calibri" w:cs="Calibri"/>
      <w:b/>
      <w:bCs/>
      <w:i/>
      <w:iCs/>
      <w:kern w:val="28"/>
      <w:sz w:val="26"/>
      <w:szCs w:val="26"/>
    </w:rPr>
  </w:style>
  <w:style w:type="character" w:customStyle="1" w:styleId="Heading6Char">
    <w:name w:val="Heading 6 Char"/>
    <w:basedOn w:val="DefaultParagraphFont"/>
    <w:link w:val="Heading6"/>
    <w:locked/>
    <w:rsid w:val="00E1143D"/>
    <w:rPr>
      <w:rFonts w:ascii="Calibri" w:hAnsi="Calibri" w:cs="Calibri"/>
      <w:b/>
      <w:bCs/>
      <w:kern w:val="28"/>
      <w:sz w:val="20"/>
      <w:szCs w:val="20"/>
    </w:rPr>
  </w:style>
  <w:style w:type="character" w:customStyle="1" w:styleId="Heading7Char">
    <w:name w:val="Heading 7 Char"/>
    <w:basedOn w:val="DefaultParagraphFont"/>
    <w:link w:val="Heading7"/>
    <w:locked/>
    <w:rsid w:val="00E1143D"/>
    <w:rPr>
      <w:rFonts w:ascii="Calibri" w:hAnsi="Calibri" w:cs="Calibri"/>
      <w:kern w:val="28"/>
      <w:sz w:val="24"/>
      <w:szCs w:val="24"/>
    </w:rPr>
  </w:style>
  <w:style w:type="character" w:customStyle="1" w:styleId="Heading8Char">
    <w:name w:val="Heading 8 Char"/>
    <w:basedOn w:val="DefaultParagraphFont"/>
    <w:link w:val="Heading8"/>
    <w:locked/>
    <w:rsid w:val="00E1143D"/>
    <w:rPr>
      <w:rFonts w:ascii="Calibri" w:hAnsi="Calibri" w:cs="Calibri"/>
      <w:i/>
      <w:iCs/>
      <w:kern w:val="28"/>
      <w:sz w:val="24"/>
      <w:szCs w:val="24"/>
    </w:rPr>
  </w:style>
  <w:style w:type="character" w:customStyle="1" w:styleId="Heading9Char">
    <w:name w:val="Heading 9 Char"/>
    <w:basedOn w:val="DefaultParagraphFont"/>
    <w:link w:val="Heading9"/>
    <w:locked/>
    <w:rsid w:val="00E1143D"/>
    <w:rPr>
      <w:rFonts w:ascii="Cambria" w:hAnsi="Cambria" w:cs="Cambria"/>
      <w:kern w:val="28"/>
      <w:sz w:val="20"/>
      <w:szCs w:val="20"/>
    </w:rPr>
  </w:style>
  <w:style w:type="paragraph" w:styleId="Caption">
    <w:name w:val="caption"/>
    <w:basedOn w:val="Normal"/>
    <w:next w:val="Normal"/>
    <w:qFormat/>
    <w:rsid w:val="00D50B4D"/>
    <w:pPr>
      <w:spacing w:before="120" w:after="120"/>
    </w:pPr>
    <w:rPr>
      <w:b/>
      <w:bCs/>
    </w:rPr>
  </w:style>
  <w:style w:type="paragraph" w:customStyle="1" w:styleId="ParaNum">
    <w:name w:val="ParaNum"/>
    <w:basedOn w:val="Normal"/>
    <w:rsid w:val="003E1A54"/>
    <w:pPr>
      <w:numPr>
        <w:numId w:val="29"/>
      </w:numPr>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3"/>
    <w:rsid w:val="003E1A54"/>
    <w:pPr>
      <w:widowControl/>
      <w:spacing w:after="120"/>
    </w:pPr>
    <w:rPr>
      <w:kern w:val="0"/>
      <w:sz w:val="20"/>
      <w:szCs w:val="20"/>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basedOn w:val="DefaultParagraphFont"/>
    <w:locked/>
    <w:rsid w:val="002A1B0B"/>
    <w:rPr>
      <w:kern w:val="28"/>
      <w:sz w:val="20"/>
      <w:szCs w:val="20"/>
    </w:rPr>
  </w:style>
  <w:style w:type="paragraph" w:customStyle="1" w:styleId="Bullet">
    <w:name w:val="Bullet"/>
    <w:basedOn w:val="Normal"/>
    <w:rsid w:val="003E1A54"/>
    <w:pPr>
      <w:tabs>
        <w:tab w:val="left" w:pos="2160"/>
      </w:tabs>
      <w:spacing w:after="220"/>
      <w:ind w:left="2160" w:hanging="720"/>
    </w:pPr>
  </w:style>
  <w:style w:type="paragraph" w:styleId="BlockText">
    <w:name w:val="Block Text"/>
    <w:basedOn w:val="Normal"/>
    <w:rsid w:val="003E1A54"/>
    <w:pPr>
      <w:spacing w:after="240"/>
      <w:ind w:left="1440" w:right="1440"/>
    </w:pPr>
  </w:style>
  <w:style w:type="paragraph" w:customStyle="1" w:styleId="TableFormat">
    <w:name w:val="TableFormat"/>
    <w:basedOn w:val="Bullet"/>
    <w:rsid w:val="003E1A5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basedOn w:val="DefaultParagraphFont"/>
    <w:rsid w:val="00D50B4D"/>
    <w:rPr>
      <w:vertAlign w:val="superscript"/>
    </w:rPr>
  </w:style>
  <w:style w:type="paragraph" w:styleId="Header">
    <w:name w:val="header"/>
    <w:basedOn w:val="Normal"/>
    <w:link w:val="HeaderChar"/>
    <w:autoRedefine/>
    <w:rsid w:val="00351A15"/>
    <w:pPr>
      <w:tabs>
        <w:tab w:val="center" w:pos="4680"/>
        <w:tab w:val="left" w:pos="5760"/>
        <w:tab w:val="right" w:pos="9360"/>
      </w:tabs>
    </w:pPr>
    <w:rPr>
      <w:b/>
    </w:rPr>
  </w:style>
  <w:style w:type="character" w:customStyle="1" w:styleId="HeaderChar">
    <w:name w:val="Header Char"/>
    <w:basedOn w:val="DefaultParagraphFont"/>
    <w:link w:val="Header"/>
    <w:locked/>
    <w:rsid w:val="00351A15"/>
    <w:rPr>
      <w:b/>
      <w:kern w:val="28"/>
    </w:rPr>
  </w:style>
  <w:style w:type="paragraph" w:styleId="Footer">
    <w:name w:val="footer"/>
    <w:basedOn w:val="Normal"/>
    <w:link w:val="FooterChar"/>
    <w:rsid w:val="002A1B0B"/>
    <w:pPr>
      <w:tabs>
        <w:tab w:val="center" w:pos="4320"/>
        <w:tab w:val="right" w:pos="8640"/>
      </w:tabs>
    </w:pPr>
    <w:rPr>
      <w:sz w:val="20"/>
      <w:szCs w:val="20"/>
    </w:rPr>
  </w:style>
  <w:style w:type="character" w:customStyle="1" w:styleId="FooterChar">
    <w:name w:val="Footer Char"/>
    <w:basedOn w:val="DefaultParagraphFont"/>
    <w:link w:val="Footer"/>
    <w:locked/>
    <w:rsid w:val="00E1143D"/>
    <w:rPr>
      <w:kern w:val="28"/>
      <w:sz w:val="20"/>
      <w:szCs w:val="20"/>
    </w:rPr>
  </w:style>
  <w:style w:type="paragraph" w:styleId="TOC2">
    <w:name w:val="toc 2"/>
    <w:basedOn w:val="Normal"/>
    <w:next w:val="Normal"/>
    <w:autoRedefine/>
    <w:semiHidden/>
    <w:rsid w:val="002A1B0B"/>
    <w:pPr>
      <w:tabs>
        <w:tab w:val="left" w:pos="720"/>
        <w:tab w:val="right" w:leader="dot" w:pos="9360"/>
      </w:tabs>
      <w:suppressAutoHyphens/>
      <w:ind w:left="720" w:right="720" w:hanging="360"/>
    </w:pPr>
    <w:rPr>
      <w:noProof/>
    </w:rPr>
  </w:style>
  <w:style w:type="paragraph" w:customStyle="1" w:styleId="NumberedList">
    <w:name w:val="Numbered List"/>
    <w:basedOn w:val="Normal"/>
    <w:rsid w:val="00D50B4D"/>
    <w:pPr>
      <w:numPr>
        <w:numId w:val="21"/>
      </w:numPr>
      <w:tabs>
        <w:tab w:val="clear" w:pos="1080"/>
      </w:tabs>
      <w:spacing w:after="220"/>
      <w:ind w:firstLine="0"/>
    </w:pPr>
  </w:style>
  <w:style w:type="paragraph" w:styleId="TOC1">
    <w:name w:val="toc 1"/>
    <w:basedOn w:val="Normal"/>
    <w:next w:val="Normal"/>
    <w:autoRedefine/>
    <w:semiHidden/>
    <w:rsid w:val="002A1B0B"/>
    <w:pPr>
      <w:tabs>
        <w:tab w:val="left" w:pos="360"/>
        <w:tab w:val="right" w:leader="dot" w:pos="9360"/>
      </w:tabs>
      <w:suppressAutoHyphens/>
      <w:ind w:left="360" w:right="720" w:hanging="360"/>
    </w:pPr>
    <w:rPr>
      <w:caps/>
      <w:noProof/>
    </w:rPr>
  </w:style>
  <w:style w:type="paragraph" w:styleId="TOC3">
    <w:name w:val="toc 3"/>
    <w:basedOn w:val="Normal"/>
    <w:next w:val="Normal"/>
    <w:autoRedefine/>
    <w:semiHidden/>
    <w:rsid w:val="002A1B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1A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1A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1A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1A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1A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1A54"/>
    <w:pPr>
      <w:tabs>
        <w:tab w:val="left" w:pos="3240"/>
        <w:tab w:val="right" w:leader="dot" w:pos="9360"/>
      </w:tabs>
      <w:suppressAutoHyphens/>
      <w:ind w:left="3240" w:hanging="360"/>
    </w:pPr>
    <w:rPr>
      <w:noProof/>
    </w:rPr>
  </w:style>
  <w:style w:type="character" w:styleId="PageNumber">
    <w:name w:val="page number"/>
    <w:basedOn w:val="DefaultParagraphFont"/>
    <w:rsid w:val="00D50B4D"/>
  </w:style>
  <w:style w:type="paragraph" w:styleId="Title">
    <w:name w:val="Title"/>
    <w:basedOn w:val="Normal"/>
    <w:link w:val="TitleChar"/>
    <w:qFormat/>
    <w:rsid w:val="002A1B0B"/>
    <w:pPr>
      <w:jc w:val="center"/>
    </w:pPr>
    <w:rPr>
      <w:rFonts w:ascii="Cambria" w:hAnsi="Cambria" w:cs="Cambria"/>
      <w:b/>
      <w:bCs/>
      <w:sz w:val="32"/>
      <w:szCs w:val="32"/>
    </w:rPr>
  </w:style>
  <w:style w:type="character" w:customStyle="1" w:styleId="TitleChar">
    <w:name w:val="Title Char"/>
    <w:basedOn w:val="DefaultParagraphFont"/>
    <w:link w:val="Title"/>
    <w:locked/>
    <w:rsid w:val="00E1143D"/>
    <w:rPr>
      <w:rFonts w:ascii="Cambria" w:hAnsi="Cambria" w:cs="Cambria"/>
      <w:b/>
      <w:bCs/>
      <w:kern w:val="28"/>
      <w:sz w:val="32"/>
      <w:szCs w:val="32"/>
    </w:rPr>
  </w:style>
  <w:style w:type="character" w:customStyle="1" w:styleId="FootnoteTextChar3">
    <w:name w:val="Footnote Text Char3"/>
    <w:aliases w:val="Footnote Text Char2 Char1,Footnote Text Char1 Char3 Char1,Footnote Text Char Char Char Char1,Footnote Text Char1 Char Char Char Char1,Footnote Text Char2 Char Char Char Char Char1,Footnote Text Char Char Char Char Char Char Char1"/>
    <w:link w:val="FootnoteText"/>
    <w:uiPriority w:val="99"/>
    <w:locked/>
    <w:rsid w:val="00E87AF6"/>
    <w:rPr>
      <w:lang w:val="en-US" w:eastAsia="en-US"/>
    </w:rPr>
  </w:style>
  <w:style w:type="paragraph" w:styleId="DocumentMap">
    <w:name w:val="Document Map"/>
    <w:basedOn w:val="Normal"/>
    <w:link w:val="DocumentMapChar"/>
    <w:semiHidden/>
    <w:rsid w:val="002A1B0B"/>
    <w:pPr>
      <w:shd w:val="clear" w:color="auto" w:fill="000080"/>
    </w:pPr>
    <w:rPr>
      <w:sz w:val="2"/>
      <w:szCs w:val="2"/>
    </w:rPr>
  </w:style>
  <w:style w:type="character" w:customStyle="1" w:styleId="DocumentMapChar">
    <w:name w:val="Document Map Char"/>
    <w:basedOn w:val="DefaultParagraphFont"/>
    <w:link w:val="DocumentMap"/>
    <w:semiHidden/>
    <w:locked/>
    <w:rsid w:val="00E1143D"/>
    <w:rPr>
      <w:kern w:val="28"/>
      <w:sz w:val="2"/>
      <w:szCs w:val="2"/>
      <w:shd w:val="clear" w:color="auto" w:fill="000080"/>
    </w:rPr>
  </w:style>
  <w:style w:type="paragraph" w:styleId="BalloonText">
    <w:name w:val="Balloon Text"/>
    <w:basedOn w:val="Normal"/>
    <w:link w:val="BalloonTextChar"/>
    <w:rsid w:val="002A1B0B"/>
    <w:rPr>
      <w:sz w:val="24"/>
      <w:szCs w:val="24"/>
    </w:rPr>
  </w:style>
  <w:style w:type="character" w:customStyle="1" w:styleId="BalloonTextChar">
    <w:name w:val="Balloon Text Char"/>
    <w:basedOn w:val="DefaultParagraphFont"/>
    <w:link w:val="BalloonText"/>
    <w:locked/>
    <w:rsid w:val="00823B91"/>
    <w:rPr>
      <w:kern w:val="28"/>
      <w:sz w:val="24"/>
      <w:szCs w:val="24"/>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semiHidden/>
    <w:locked/>
    <w:rsid w:val="00AC4E91"/>
    <w:rPr>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semiHidden/>
    <w:locked/>
    <w:rsid w:val="00AC4E91"/>
    <w:rPr>
      <w:sz w:val="22"/>
      <w:szCs w:val="22"/>
      <w:lang w:val="en-US" w:eastAsia="en-US"/>
    </w:rPr>
  </w:style>
  <w:style w:type="character" w:styleId="CommentReference">
    <w:name w:val="annotation reference"/>
    <w:basedOn w:val="DefaultParagraphFont"/>
    <w:uiPriority w:val="99"/>
    <w:rsid w:val="00D925D5"/>
    <w:rPr>
      <w:sz w:val="16"/>
      <w:szCs w:val="16"/>
    </w:rPr>
  </w:style>
  <w:style w:type="paragraph" w:styleId="CommentText">
    <w:name w:val="annotation text"/>
    <w:basedOn w:val="Normal"/>
    <w:link w:val="CommentTextChar"/>
    <w:uiPriority w:val="99"/>
    <w:rsid w:val="00F57C1A"/>
    <w:rPr>
      <w:sz w:val="20"/>
      <w:szCs w:val="20"/>
    </w:rPr>
  </w:style>
  <w:style w:type="character" w:customStyle="1" w:styleId="CommentTextChar">
    <w:name w:val="Comment Text Char"/>
    <w:basedOn w:val="DefaultParagraphFont"/>
    <w:link w:val="CommentText"/>
    <w:uiPriority w:val="99"/>
    <w:locked/>
    <w:rsid w:val="00F57C1A"/>
  </w:style>
  <w:style w:type="paragraph" w:styleId="CommentSubject">
    <w:name w:val="annotation subject"/>
    <w:basedOn w:val="CommentText"/>
    <w:next w:val="CommentText"/>
    <w:link w:val="CommentSubjectChar"/>
    <w:rsid w:val="002A1B0B"/>
    <w:rPr>
      <w:b/>
      <w:bCs/>
      <w:kern w:val="0"/>
    </w:rPr>
  </w:style>
  <w:style w:type="character" w:customStyle="1" w:styleId="CommentSubjectChar">
    <w:name w:val="Comment Subject Char"/>
    <w:basedOn w:val="CommentTextChar"/>
    <w:link w:val="CommentSubject"/>
    <w:locked/>
    <w:rsid w:val="00F57C1A"/>
    <w:rPr>
      <w:b/>
      <w:bCs/>
      <w:sz w:val="20"/>
      <w:szCs w:val="20"/>
    </w:rPr>
  </w:style>
  <w:style w:type="character" w:styleId="Hyperlink">
    <w:name w:val="Hyperlink"/>
    <w:basedOn w:val="DefaultParagraphFont"/>
    <w:rsid w:val="006A438D"/>
    <w:rPr>
      <w:color w:val="0000FF"/>
      <w:u w:val="single"/>
    </w:rPr>
  </w:style>
  <w:style w:type="character" w:customStyle="1" w:styleId="documentbody">
    <w:name w:val="documentbody"/>
    <w:rsid w:val="00A97676"/>
  </w:style>
  <w:style w:type="paragraph" w:customStyle="1" w:styleId="ColorfulShading-Accent11">
    <w:name w:val="Colorful Shading - Accent 11"/>
    <w:hidden/>
    <w:uiPriority w:val="99"/>
    <w:semiHidden/>
    <w:rsid w:val="00962757"/>
  </w:style>
  <w:style w:type="paragraph" w:styleId="EndnoteText">
    <w:name w:val="endnote text"/>
    <w:basedOn w:val="Normal"/>
    <w:link w:val="EndnoteTextChar"/>
    <w:rsid w:val="003E1A54"/>
    <w:rPr>
      <w:sz w:val="20"/>
      <w:szCs w:val="20"/>
    </w:rPr>
  </w:style>
  <w:style w:type="character" w:customStyle="1" w:styleId="EndnoteTextChar">
    <w:name w:val="Endnote Text Char"/>
    <w:basedOn w:val="DefaultParagraphFont"/>
    <w:link w:val="EndnoteText"/>
    <w:locked/>
    <w:rsid w:val="0011252B"/>
    <w:rPr>
      <w:snapToGrid w:val="0"/>
      <w:kern w:val="28"/>
    </w:rPr>
  </w:style>
  <w:style w:type="character" w:customStyle="1" w:styleId="displayhltext">
    <w:name w:val="display_hl_text"/>
    <w:basedOn w:val="DefaultParagraphFont"/>
    <w:rsid w:val="00794562"/>
  </w:style>
  <w:style w:type="character" w:styleId="EndnoteReference">
    <w:name w:val="endnote reference"/>
    <w:basedOn w:val="DefaultParagraphFont"/>
    <w:rsid w:val="00721B94"/>
    <w:rPr>
      <w:vertAlign w:val="superscript"/>
    </w:rPr>
  </w:style>
  <w:style w:type="paragraph" w:styleId="TOAHeading">
    <w:name w:val="toa heading"/>
    <w:basedOn w:val="Normal"/>
    <w:next w:val="Normal"/>
    <w:rsid w:val="00721B94"/>
    <w:pPr>
      <w:tabs>
        <w:tab w:val="right" w:pos="9360"/>
      </w:tabs>
      <w:suppressAutoHyphens/>
    </w:pPr>
  </w:style>
  <w:style w:type="character" w:customStyle="1" w:styleId="EquationCaption">
    <w:name w:val="_Equation Caption"/>
    <w:rsid w:val="00721B94"/>
  </w:style>
  <w:style w:type="paragraph" w:customStyle="1" w:styleId="Paratitle">
    <w:name w:val="Para title"/>
    <w:basedOn w:val="Normal"/>
    <w:rsid w:val="00721B94"/>
    <w:pPr>
      <w:tabs>
        <w:tab w:val="center" w:pos="9270"/>
      </w:tabs>
      <w:spacing w:after="240"/>
    </w:pPr>
    <w:rPr>
      <w:spacing w:val="-2"/>
    </w:rPr>
  </w:style>
  <w:style w:type="paragraph" w:customStyle="1" w:styleId="TOCTitle">
    <w:name w:val="TOC Title"/>
    <w:basedOn w:val="Normal"/>
    <w:rsid w:val="00721B94"/>
    <w:pPr>
      <w:spacing w:before="240" w:after="240"/>
      <w:jc w:val="center"/>
    </w:pPr>
    <w:rPr>
      <w:rFonts w:ascii="Times New Roman Bold" w:hAnsi="Times New Roman Bold" w:cs="Times New Roman Bold"/>
      <w:b/>
      <w:bCs/>
      <w:caps/>
      <w:spacing w:val="-2"/>
    </w:rPr>
  </w:style>
  <w:style w:type="paragraph" w:customStyle="1" w:styleId="StyleBoldCentered">
    <w:name w:val="Style Bold Centered"/>
    <w:basedOn w:val="Normal"/>
    <w:rsid w:val="00721B94"/>
    <w:pPr>
      <w:jc w:val="center"/>
    </w:pPr>
    <w:rPr>
      <w:rFonts w:ascii="Times New Roman Bold" w:hAnsi="Times New Roman Bold" w:cs="Times New Roman Bold"/>
      <w:b/>
      <w:bCs/>
      <w:caps/>
    </w:rPr>
  </w:style>
  <w:style w:type="paragraph" w:styleId="Revision">
    <w:name w:val="Revision"/>
    <w:hidden/>
    <w:uiPriority w:val="99"/>
    <w:semiHidden/>
    <w:rsid w:val="00134FC3"/>
    <w:rPr>
      <w:kern w:val="28"/>
    </w:rPr>
  </w:style>
  <w:style w:type="character" w:customStyle="1" w:styleId="costarpage2">
    <w:name w:val="co_starpage2"/>
    <w:basedOn w:val="DefaultParagraphFont"/>
    <w:rsid w:val="00B33497"/>
  </w:style>
  <w:style w:type="character" w:styleId="FollowedHyperlink">
    <w:name w:val="FollowedHyperlink"/>
    <w:basedOn w:val="DefaultParagraphFont"/>
    <w:uiPriority w:val="99"/>
    <w:semiHidden/>
    <w:rsid w:val="00643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518">
      <w:bodyDiv w:val="1"/>
      <w:marLeft w:val="0"/>
      <w:marRight w:val="0"/>
      <w:marTop w:val="0"/>
      <w:marBottom w:val="0"/>
      <w:divBdr>
        <w:top w:val="none" w:sz="0" w:space="0" w:color="auto"/>
        <w:left w:val="none" w:sz="0" w:space="0" w:color="auto"/>
        <w:bottom w:val="none" w:sz="0" w:space="0" w:color="auto"/>
        <w:right w:val="none" w:sz="0" w:space="0" w:color="auto"/>
      </w:divBdr>
      <w:divsChild>
        <w:div w:id="815411834">
          <w:marLeft w:val="0"/>
          <w:marRight w:val="0"/>
          <w:marTop w:val="0"/>
          <w:marBottom w:val="0"/>
          <w:divBdr>
            <w:top w:val="none" w:sz="0" w:space="0" w:color="auto"/>
            <w:left w:val="none" w:sz="0" w:space="0" w:color="auto"/>
            <w:bottom w:val="none" w:sz="0" w:space="0" w:color="auto"/>
            <w:right w:val="none" w:sz="0" w:space="0" w:color="auto"/>
          </w:divBdr>
        </w:div>
        <w:div w:id="971405276">
          <w:marLeft w:val="0"/>
          <w:marRight w:val="0"/>
          <w:marTop w:val="0"/>
          <w:marBottom w:val="0"/>
          <w:divBdr>
            <w:top w:val="none" w:sz="0" w:space="0" w:color="auto"/>
            <w:left w:val="none" w:sz="0" w:space="0" w:color="auto"/>
            <w:bottom w:val="none" w:sz="0" w:space="0" w:color="auto"/>
            <w:right w:val="none" w:sz="0" w:space="0" w:color="auto"/>
          </w:divBdr>
        </w:div>
        <w:div w:id="1252011886">
          <w:marLeft w:val="0"/>
          <w:marRight w:val="0"/>
          <w:marTop w:val="0"/>
          <w:marBottom w:val="0"/>
          <w:divBdr>
            <w:top w:val="none" w:sz="0" w:space="0" w:color="auto"/>
            <w:left w:val="none" w:sz="0" w:space="0" w:color="auto"/>
            <w:bottom w:val="none" w:sz="0" w:space="0" w:color="auto"/>
            <w:right w:val="none" w:sz="0" w:space="0" w:color="auto"/>
          </w:divBdr>
        </w:div>
        <w:div w:id="1777478317">
          <w:marLeft w:val="0"/>
          <w:marRight w:val="0"/>
          <w:marTop w:val="0"/>
          <w:marBottom w:val="0"/>
          <w:divBdr>
            <w:top w:val="none" w:sz="0" w:space="0" w:color="auto"/>
            <w:left w:val="none" w:sz="0" w:space="0" w:color="auto"/>
            <w:bottom w:val="none" w:sz="0" w:space="0" w:color="auto"/>
            <w:right w:val="none" w:sz="0" w:space="0" w:color="auto"/>
          </w:divBdr>
        </w:div>
      </w:divsChild>
    </w:div>
    <w:div w:id="808403178">
      <w:marLeft w:val="0"/>
      <w:marRight w:val="0"/>
      <w:marTop w:val="0"/>
      <w:marBottom w:val="0"/>
      <w:divBdr>
        <w:top w:val="none" w:sz="0" w:space="0" w:color="auto"/>
        <w:left w:val="none" w:sz="0" w:space="0" w:color="auto"/>
        <w:bottom w:val="none" w:sz="0" w:space="0" w:color="auto"/>
        <w:right w:val="none" w:sz="0" w:space="0" w:color="auto"/>
      </w:divBdr>
      <w:divsChild>
        <w:div w:id="808403183">
          <w:marLeft w:val="0"/>
          <w:marRight w:val="0"/>
          <w:marTop w:val="0"/>
          <w:marBottom w:val="0"/>
          <w:divBdr>
            <w:top w:val="none" w:sz="0" w:space="0" w:color="auto"/>
            <w:left w:val="none" w:sz="0" w:space="0" w:color="auto"/>
            <w:bottom w:val="none" w:sz="0" w:space="0" w:color="auto"/>
            <w:right w:val="none" w:sz="0" w:space="0" w:color="auto"/>
          </w:divBdr>
        </w:div>
        <w:div w:id="808403185">
          <w:marLeft w:val="0"/>
          <w:marRight w:val="0"/>
          <w:marTop w:val="0"/>
          <w:marBottom w:val="0"/>
          <w:divBdr>
            <w:top w:val="none" w:sz="0" w:space="0" w:color="auto"/>
            <w:left w:val="none" w:sz="0" w:space="0" w:color="auto"/>
            <w:bottom w:val="none" w:sz="0" w:space="0" w:color="auto"/>
            <w:right w:val="none" w:sz="0" w:space="0" w:color="auto"/>
          </w:divBdr>
        </w:div>
        <w:div w:id="808403190">
          <w:marLeft w:val="0"/>
          <w:marRight w:val="0"/>
          <w:marTop w:val="0"/>
          <w:marBottom w:val="0"/>
          <w:divBdr>
            <w:top w:val="none" w:sz="0" w:space="0" w:color="auto"/>
            <w:left w:val="none" w:sz="0" w:space="0" w:color="auto"/>
            <w:bottom w:val="none" w:sz="0" w:space="0" w:color="auto"/>
            <w:right w:val="none" w:sz="0" w:space="0" w:color="auto"/>
          </w:divBdr>
        </w:div>
        <w:div w:id="808403192">
          <w:marLeft w:val="0"/>
          <w:marRight w:val="0"/>
          <w:marTop w:val="0"/>
          <w:marBottom w:val="0"/>
          <w:divBdr>
            <w:top w:val="none" w:sz="0" w:space="0" w:color="auto"/>
            <w:left w:val="none" w:sz="0" w:space="0" w:color="auto"/>
            <w:bottom w:val="none" w:sz="0" w:space="0" w:color="auto"/>
            <w:right w:val="none" w:sz="0" w:space="0" w:color="auto"/>
          </w:divBdr>
        </w:div>
      </w:divsChild>
    </w:div>
    <w:div w:id="808403184">
      <w:marLeft w:val="0"/>
      <w:marRight w:val="0"/>
      <w:marTop w:val="0"/>
      <w:marBottom w:val="0"/>
      <w:divBdr>
        <w:top w:val="none" w:sz="0" w:space="0" w:color="auto"/>
        <w:left w:val="none" w:sz="0" w:space="0" w:color="auto"/>
        <w:bottom w:val="none" w:sz="0" w:space="0" w:color="auto"/>
        <w:right w:val="none" w:sz="0" w:space="0" w:color="auto"/>
      </w:divBdr>
      <w:divsChild>
        <w:div w:id="808403180">
          <w:marLeft w:val="0"/>
          <w:marRight w:val="0"/>
          <w:marTop w:val="0"/>
          <w:marBottom w:val="0"/>
          <w:divBdr>
            <w:top w:val="none" w:sz="0" w:space="0" w:color="auto"/>
            <w:left w:val="none" w:sz="0" w:space="0" w:color="auto"/>
            <w:bottom w:val="none" w:sz="0" w:space="0" w:color="auto"/>
            <w:right w:val="none" w:sz="0" w:space="0" w:color="auto"/>
          </w:divBdr>
        </w:div>
        <w:div w:id="808403181">
          <w:marLeft w:val="0"/>
          <w:marRight w:val="0"/>
          <w:marTop w:val="0"/>
          <w:marBottom w:val="0"/>
          <w:divBdr>
            <w:top w:val="none" w:sz="0" w:space="0" w:color="auto"/>
            <w:left w:val="none" w:sz="0" w:space="0" w:color="auto"/>
            <w:bottom w:val="none" w:sz="0" w:space="0" w:color="auto"/>
            <w:right w:val="none" w:sz="0" w:space="0" w:color="auto"/>
          </w:divBdr>
        </w:div>
        <w:div w:id="80840318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sChild>
    </w:div>
    <w:div w:id="808403187">
      <w:marLeft w:val="0"/>
      <w:marRight w:val="0"/>
      <w:marTop w:val="0"/>
      <w:marBottom w:val="0"/>
      <w:divBdr>
        <w:top w:val="none" w:sz="0" w:space="0" w:color="auto"/>
        <w:left w:val="none" w:sz="0" w:space="0" w:color="auto"/>
        <w:bottom w:val="none" w:sz="0" w:space="0" w:color="auto"/>
        <w:right w:val="none" w:sz="0" w:space="0" w:color="auto"/>
      </w:divBdr>
      <w:divsChild>
        <w:div w:id="808403179">
          <w:marLeft w:val="0"/>
          <w:marRight w:val="0"/>
          <w:marTop w:val="0"/>
          <w:marBottom w:val="0"/>
          <w:divBdr>
            <w:top w:val="none" w:sz="0" w:space="0" w:color="auto"/>
            <w:left w:val="none" w:sz="0" w:space="0" w:color="auto"/>
            <w:bottom w:val="none" w:sz="0" w:space="0" w:color="auto"/>
            <w:right w:val="none" w:sz="0" w:space="0" w:color="auto"/>
          </w:divBdr>
        </w:div>
        <w:div w:id="808403182">
          <w:marLeft w:val="0"/>
          <w:marRight w:val="0"/>
          <w:marTop w:val="0"/>
          <w:marBottom w:val="0"/>
          <w:divBdr>
            <w:top w:val="none" w:sz="0" w:space="0" w:color="auto"/>
            <w:left w:val="none" w:sz="0" w:space="0" w:color="auto"/>
            <w:bottom w:val="none" w:sz="0" w:space="0" w:color="auto"/>
            <w:right w:val="none" w:sz="0" w:space="0" w:color="auto"/>
          </w:divBdr>
        </w:div>
        <w:div w:id="808403189">
          <w:marLeft w:val="0"/>
          <w:marRight w:val="0"/>
          <w:marTop w:val="0"/>
          <w:marBottom w:val="0"/>
          <w:divBdr>
            <w:top w:val="none" w:sz="0" w:space="0" w:color="auto"/>
            <w:left w:val="none" w:sz="0" w:space="0" w:color="auto"/>
            <w:bottom w:val="none" w:sz="0" w:space="0" w:color="auto"/>
            <w:right w:val="none" w:sz="0" w:space="0" w:color="auto"/>
          </w:divBdr>
        </w:div>
        <w:div w:id="808403193">
          <w:marLeft w:val="0"/>
          <w:marRight w:val="0"/>
          <w:marTop w:val="0"/>
          <w:marBottom w:val="0"/>
          <w:divBdr>
            <w:top w:val="none" w:sz="0" w:space="0" w:color="auto"/>
            <w:left w:val="none" w:sz="0" w:space="0" w:color="auto"/>
            <w:bottom w:val="none" w:sz="0" w:space="0" w:color="auto"/>
            <w:right w:val="none" w:sz="0" w:space="0" w:color="auto"/>
          </w:divBdr>
        </w:div>
        <w:div w:id="808403194">
          <w:marLeft w:val="0"/>
          <w:marRight w:val="0"/>
          <w:marTop w:val="0"/>
          <w:marBottom w:val="0"/>
          <w:divBdr>
            <w:top w:val="none" w:sz="0" w:space="0" w:color="auto"/>
            <w:left w:val="none" w:sz="0" w:space="0" w:color="auto"/>
            <w:bottom w:val="none" w:sz="0" w:space="0" w:color="auto"/>
            <w:right w:val="none" w:sz="0" w:space="0" w:color="auto"/>
          </w:divBdr>
        </w:div>
      </w:divsChild>
    </w:div>
    <w:div w:id="808403188">
      <w:marLeft w:val="0"/>
      <w:marRight w:val="0"/>
      <w:marTop w:val="0"/>
      <w:marBottom w:val="0"/>
      <w:divBdr>
        <w:top w:val="none" w:sz="0" w:space="0" w:color="auto"/>
        <w:left w:val="none" w:sz="0" w:space="0" w:color="auto"/>
        <w:bottom w:val="none" w:sz="0" w:space="0" w:color="auto"/>
        <w:right w:val="none" w:sz="0" w:space="0" w:color="auto"/>
      </w:divBdr>
    </w:div>
    <w:div w:id="954557724">
      <w:bodyDiv w:val="1"/>
      <w:marLeft w:val="0"/>
      <w:marRight w:val="0"/>
      <w:marTop w:val="0"/>
      <w:marBottom w:val="0"/>
      <w:divBdr>
        <w:top w:val="none" w:sz="0" w:space="0" w:color="auto"/>
        <w:left w:val="none" w:sz="0" w:space="0" w:color="auto"/>
        <w:bottom w:val="none" w:sz="0" w:space="0" w:color="auto"/>
        <w:right w:val="none" w:sz="0" w:space="0" w:color="auto"/>
      </w:divBdr>
      <w:divsChild>
        <w:div w:id="391270097">
          <w:marLeft w:val="0"/>
          <w:marRight w:val="0"/>
          <w:marTop w:val="0"/>
          <w:marBottom w:val="0"/>
          <w:divBdr>
            <w:top w:val="none" w:sz="0" w:space="0" w:color="auto"/>
            <w:left w:val="none" w:sz="0" w:space="0" w:color="auto"/>
            <w:bottom w:val="none" w:sz="0" w:space="0" w:color="auto"/>
            <w:right w:val="none" w:sz="0" w:space="0" w:color="auto"/>
          </w:divBdr>
        </w:div>
        <w:div w:id="508762999">
          <w:marLeft w:val="0"/>
          <w:marRight w:val="0"/>
          <w:marTop w:val="0"/>
          <w:marBottom w:val="0"/>
          <w:divBdr>
            <w:top w:val="none" w:sz="0" w:space="0" w:color="auto"/>
            <w:left w:val="none" w:sz="0" w:space="0" w:color="auto"/>
            <w:bottom w:val="none" w:sz="0" w:space="0" w:color="auto"/>
            <w:right w:val="none" w:sz="0" w:space="0" w:color="auto"/>
          </w:divBdr>
        </w:div>
        <w:div w:id="1038319172">
          <w:marLeft w:val="0"/>
          <w:marRight w:val="0"/>
          <w:marTop w:val="0"/>
          <w:marBottom w:val="0"/>
          <w:divBdr>
            <w:top w:val="none" w:sz="0" w:space="0" w:color="auto"/>
            <w:left w:val="none" w:sz="0" w:space="0" w:color="auto"/>
            <w:bottom w:val="none" w:sz="0" w:space="0" w:color="auto"/>
            <w:right w:val="none" w:sz="0" w:space="0" w:color="auto"/>
          </w:divBdr>
        </w:div>
        <w:div w:id="1320111104">
          <w:marLeft w:val="0"/>
          <w:marRight w:val="0"/>
          <w:marTop w:val="0"/>
          <w:marBottom w:val="0"/>
          <w:divBdr>
            <w:top w:val="none" w:sz="0" w:space="0" w:color="auto"/>
            <w:left w:val="none" w:sz="0" w:space="0" w:color="auto"/>
            <w:bottom w:val="none" w:sz="0" w:space="0" w:color="auto"/>
            <w:right w:val="none" w:sz="0" w:space="0" w:color="auto"/>
          </w:divBdr>
        </w:div>
      </w:divsChild>
    </w:div>
    <w:div w:id="1099720152">
      <w:bodyDiv w:val="1"/>
      <w:marLeft w:val="0"/>
      <w:marRight w:val="0"/>
      <w:marTop w:val="0"/>
      <w:marBottom w:val="0"/>
      <w:divBdr>
        <w:top w:val="none" w:sz="0" w:space="0" w:color="auto"/>
        <w:left w:val="none" w:sz="0" w:space="0" w:color="auto"/>
        <w:bottom w:val="none" w:sz="0" w:space="0" w:color="auto"/>
        <w:right w:val="none" w:sz="0" w:space="0" w:color="auto"/>
      </w:divBdr>
      <w:divsChild>
        <w:div w:id="139468772">
          <w:marLeft w:val="0"/>
          <w:marRight w:val="0"/>
          <w:marTop w:val="0"/>
          <w:marBottom w:val="0"/>
          <w:divBdr>
            <w:top w:val="none" w:sz="0" w:space="0" w:color="auto"/>
            <w:left w:val="none" w:sz="0" w:space="0" w:color="auto"/>
            <w:bottom w:val="none" w:sz="0" w:space="0" w:color="auto"/>
            <w:right w:val="none" w:sz="0" w:space="0" w:color="auto"/>
          </w:divBdr>
        </w:div>
        <w:div w:id="776484866">
          <w:marLeft w:val="0"/>
          <w:marRight w:val="0"/>
          <w:marTop w:val="0"/>
          <w:marBottom w:val="0"/>
          <w:divBdr>
            <w:top w:val="none" w:sz="0" w:space="0" w:color="auto"/>
            <w:left w:val="none" w:sz="0" w:space="0" w:color="auto"/>
            <w:bottom w:val="none" w:sz="0" w:space="0" w:color="auto"/>
            <w:right w:val="none" w:sz="0" w:space="0" w:color="auto"/>
          </w:divBdr>
        </w:div>
        <w:div w:id="1227301016">
          <w:marLeft w:val="0"/>
          <w:marRight w:val="0"/>
          <w:marTop w:val="0"/>
          <w:marBottom w:val="0"/>
          <w:divBdr>
            <w:top w:val="none" w:sz="0" w:space="0" w:color="auto"/>
            <w:left w:val="none" w:sz="0" w:space="0" w:color="auto"/>
            <w:bottom w:val="none" w:sz="0" w:space="0" w:color="auto"/>
            <w:right w:val="none" w:sz="0" w:space="0" w:color="auto"/>
          </w:divBdr>
        </w:div>
        <w:div w:id="1892109158">
          <w:marLeft w:val="0"/>
          <w:marRight w:val="0"/>
          <w:marTop w:val="0"/>
          <w:marBottom w:val="0"/>
          <w:divBdr>
            <w:top w:val="none" w:sz="0" w:space="0" w:color="auto"/>
            <w:left w:val="none" w:sz="0" w:space="0" w:color="auto"/>
            <w:bottom w:val="none" w:sz="0" w:space="0" w:color="auto"/>
            <w:right w:val="none" w:sz="0" w:space="0" w:color="auto"/>
          </w:divBdr>
        </w:div>
        <w:div w:id="2018653900">
          <w:marLeft w:val="0"/>
          <w:marRight w:val="0"/>
          <w:marTop w:val="0"/>
          <w:marBottom w:val="0"/>
          <w:divBdr>
            <w:top w:val="none" w:sz="0" w:space="0" w:color="auto"/>
            <w:left w:val="none" w:sz="0" w:space="0" w:color="auto"/>
            <w:bottom w:val="none" w:sz="0" w:space="0" w:color="auto"/>
            <w:right w:val="none" w:sz="0" w:space="0" w:color="auto"/>
          </w:divBdr>
        </w:div>
      </w:divsChild>
    </w:div>
    <w:div w:id="1213611851">
      <w:bodyDiv w:val="1"/>
      <w:marLeft w:val="0"/>
      <w:marRight w:val="0"/>
      <w:marTop w:val="0"/>
      <w:marBottom w:val="0"/>
      <w:divBdr>
        <w:top w:val="none" w:sz="0" w:space="0" w:color="auto"/>
        <w:left w:val="none" w:sz="0" w:space="0" w:color="auto"/>
        <w:bottom w:val="none" w:sz="0" w:space="0" w:color="auto"/>
        <w:right w:val="none" w:sz="0" w:space="0" w:color="auto"/>
      </w:divBdr>
    </w:div>
    <w:div w:id="1760447206">
      <w:bodyDiv w:val="1"/>
      <w:marLeft w:val="0"/>
      <w:marRight w:val="0"/>
      <w:marTop w:val="0"/>
      <w:marBottom w:val="0"/>
      <w:divBdr>
        <w:top w:val="none" w:sz="0" w:space="0" w:color="auto"/>
        <w:left w:val="none" w:sz="0" w:space="0" w:color="auto"/>
        <w:bottom w:val="none" w:sz="0" w:space="0" w:color="auto"/>
        <w:right w:val="none" w:sz="0" w:space="0" w:color="auto"/>
      </w:divBdr>
      <w:divsChild>
        <w:div w:id="139006812">
          <w:marLeft w:val="0"/>
          <w:marRight w:val="0"/>
          <w:marTop w:val="0"/>
          <w:marBottom w:val="0"/>
          <w:divBdr>
            <w:top w:val="none" w:sz="0" w:space="0" w:color="auto"/>
            <w:left w:val="none" w:sz="0" w:space="0" w:color="auto"/>
            <w:bottom w:val="none" w:sz="0" w:space="0" w:color="auto"/>
            <w:right w:val="none" w:sz="0" w:space="0" w:color="auto"/>
          </w:divBdr>
        </w:div>
        <w:div w:id="1136950962">
          <w:marLeft w:val="0"/>
          <w:marRight w:val="0"/>
          <w:marTop w:val="0"/>
          <w:marBottom w:val="0"/>
          <w:divBdr>
            <w:top w:val="none" w:sz="0" w:space="0" w:color="auto"/>
            <w:left w:val="none" w:sz="0" w:space="0" w:color="auto"/>
            <w:bottom w:val="none" w:sz="0" w:space="0" w:color="auto"/>
            <w:right w:val="none" w:sz="0" w:space="0" w:color="auto"/>
          </w:divBdr>
        </w:div>
        <w:div w:id="524289636">
          <w:marLeft w:val="0"/>
          <w:marRight w:val="0"/>
          <w:marTop w:val="0"/>
          <w:marBottom w:val="0"/>
          <w:divBdr>
            <w:top w:val="none" w:sz="0" w:space="0" w:color="auto"/>
            <w:left w:val="none" w:sz="0" w:space="0" w:color="auto"/>
            <w:bottom w:val="none" w:sz="0" w:space="0" w:color="auto"/>
            <w:right w:val="none" w:sz="0" w:space="0" w:color="auto"/>
          </w:divBdr>
        </w:div>
        <w:div w:id="585651093">
          <w:marLeft w:val="0"/>
          <w:marRight w:val="0"/>
          <w:marTop w:val="0"/>
          <w:marBottom w:val="0"/>
          <w:divBdr>
            <w:top w:val="none" w:sz="0" w:space="0" w:color="auto"/>
            <w:left w:val="none" w:sz="0" w:space="0" w:color="auto"/>
            <w:bottom w:val="none" w:sz="0" w:space="0" w:color="auto"/>
            <w:right w:val="none" w:sz="0" w:space="0" w:color="auto"/>
          </w:divBdr>
        </w:div>
        <w:div w:id="18903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prev_h" TargetMode="External"/><Relationship Id="rId2" Type="http://schemas.openxmlformats.org/officeDocument/2006/relationships/hyperlink" Target="http://www.westfax.com/fax-forward.aspx" TargetMode="External"/><Relationship Id="rId1" Type="http://schemas.openxmlformats.org/officeDocument/2006/relationships/hyperlink" Target="http://www.westfax.com/fax-forward.aspx" TargetMode="External"/><Relationship Id="rId5" Type="http://schemas.openxmlformats.org/officeDocument/2006/relationships/hyperlink" Target="javascript:top.docjs.next_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2314</Words>
  <Characters>11836</Characters>
  <Application>Microsoft Office Word</Application>
  <DocSecurity>0</DocSecurity>
  <Lines>208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2015-08-31T15:17:00Z</dcterms:created>
  <dcterms:modified xsi:type="dcterms:W3CDTF">2015-08-31T15:17:00Z</dcterms:modified>
  <cp:category> </cp:category>
  <cp:contentStatus> </cp:contentStatus>
</cp:coreProperties>
</file>