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1C1DD" w14:textId="77777777" w:rsidR="009A028F" w:rsidRDefault="009A028F">
      <w:pPr>
        <w:jc w:val="center"/>
        <w:rPr>
          <w:b/>
          <w:bCs/>
        </w:rPr>
      </w:pPr>
      <w:bookmarkStart w:id="0" w:name="_GoBack"/>
      <w:bookmarkEnd w:id="0"/>
      <w:r>
        <w:rPr>
          <w:b/>
          <w:bCs/>
        </w:rPr>
        <w:t>Before the</w:t>
      </w:r>
    </w:p>
    <w:p w14:paraId="27970923" w14:textId="77777777" w:rsidR="009A028F" w:rsidRDefault="009A028F">
      <w:pPr>
        <w:jc w:val="center"/>
        <w:rPr>
          <w:b/>
          <w:bCs/>
        </w:rPr>
      </w:pPr>
      <w:r>
        <w:rPr>
          <w:b/>
          <w:bCs/>
        </w:rPr>
        <w:t>Federal Communications Commission</w:t>
      </w:r>
    </w:p>
    <w:p w14:paraId="684652FD" w14:textId="77777777" w:rsidR="009A028F" w:rsidRDefault="009A028F">
      <w:pPr>
        <w:jc w:val="center"/>
        <w:rPr>
          <w:b/>
          <w:bCs/>
        </w:rPr>
      </w:pPr>
      <w:r>
        <w:rPr>
          <w:b/>
          <w:bCs/>
        </w:rPr>
        <w:t>Washington, D.C. 20554</w:t>
      </w:r>
    </w:p>
    <w:p w14:paraId="6CEA947E" w14:textId="77777777" w:rsidR="009A028F" w:rsidRDefault="009A028F"/>
    <w:p w14:paraId="7E4F84C7" w14:textId="77777777" w:rsidR="009A028F" w:rsidRDefault="009A028F"/>
    <w:tbl>
      <w:tblPr>
        <w:tblW w:w="0" w:type="auto"/>
        <w:tblInd w:w="-106" w:type="dxa"/>
        <w:tblLayout w:type="fixed"/>
        <w:tblLook w:val="0000" w:firstRow="0" w:lastRow="0" w:firstColumn="0" w:lastColumn="0" w:noHBand="0" w:noVBand="0"/>
      </w:tblPr>
      <w:tblGrid>
        <w:gridCol w:w="4698"/>
        <w:gridCol w:w="720"/>
        <w:gridCol w:w="4230"/>
      </w:tblGrid>
      <w:tr w:rsidR="009A028F" w14:paraId="24351369" w14:textId="77777777">
        <w:tc>
          <w:tcPr>
            <w:tcW w:w="4698" w:type="dxa"/>
          </w:tcPr>
          <w:p w14:paraId="4BA5D2C8" w14:textId="77777777" w:rsidR="009A028F" w:rsidRDefault="009A028F">
            <w:pPr>
              <w:ind w:right="-18"/>
            </w:pPr>
            <w:r>
              <w:t>In the Matter of</w:t>
            </w:r>
          </w:p>
          <w:p w14:paraId="5B2B6434" w14:textId="77777777" w:rsidR="00AA105E" w:rsidRDefault="00AA105E">
            <w:pPr>
              <w:ind w:right="-18"/>
            </w:pPr>
          </w:p>
          <w:p w14:paraId="339432AD" w14:textId="77777777" w:rsidR="009A028F" w:rsidRDefault="009A028F">
            <w:pPr>
              <w:ind w:right="-18"/>
            </w:pPr>
            <w:r>
              <w:t>iHire, LLC</w:t>
            </w:r>
          </w:p>
          <w:p w14:paraId="09271B11" w14:textId="77777777" w:rsidR="009A028F" w:rsidRDefault="009A028F">
            <w:pPr>
              <w:ind w:right="-18"/>
            </w:pPr>
            <w:r>
              <w:t>Petition for Declaratory Ruling</w:t>
            </w:r>
          </w:p>
          <w:p w14:paraId="3C4602F7" w14:textId="77777777" w:rsidR="00AA105E" w:rsidRDefault="00AA105E">
            <w:pPr>
              <w:ind w:right="-18"/>
            </w:pPr>
          </w:p>
          <w:p w14:paraId="46259586" w14:textId="77777777" w:rsidR="00AA105E" w:rsidRPr="0049008B" w:rsidRDefault="00AA105E" w:rsidP="00AA105E">
            <w:pPr>
              <w:ind w:right="-18"/>
            </w:pPr>
            <w:r w:rsidRPr="0049008B">
              <w:t xml:space="preserve">Rules and Regulations Implementing the </w:t>
            </w:r>
          </w:p>
          <w:p w14:paraId="2AE618BD" w14:textId="77777777" w:rsidR="00AA105E" w:rsidRDefault="00AA105E" w:rsidP="00AA105E">
            <w:pPr>
              <w:ind w:right="-18"/>
            </w:pPr>
            <w:r w:rsidRPr="0049008B">
              <w:t>Telephone Consumer Protection Act of 1991</w:t>
            </w:r>
          </w:p>
          <w:p w14:paraId="5768DF87" w14:textId="77777777" w:rsidR="00AA105E" w:rsidRDefault="00AA105E">
            <w:pPr>
              <w:ind w:right="-18"/>
            </w:pPr>
          </w:p>
        </w:tc>
        <w:tc>
          <w:tcPr>
            <w:tcW w:w="720" w:type="dxa"/>
          </w:tcPr>
          <w:p w14:paraId="6D541F39" w14:textId="77777777" w:rsidR="009A028F" w:rsidRDefault="009A028F">
            <w:pPr>
              <w:rPr>
                <w:b/>
                <w:bCs/>
              </w:rPr>
            </w:pPr>
            <w:r>
              <w:rPr>
                <w:b/>
                <w:bCs/>
              </w:rPr>
              <w:t>)</w:t>
            </w:r>
          </w:p>
          <w:p w14:paraId="4F3EBE19" w14:textId="77777777" w:rsidR="009A028F" w:rsidRDefault="009A028F">
            <w:pPr>
              <w:rPr>
                <w:b/>
                <w:bCs/>
              </w:rPr>
            </w:pPr>
            <w:r>
              <w:rPr>
                <w:b/>
                <w:bCs/>
              </w:rPr>
              <w:t>)</w:t>
            </w:r>
          </w:p>
          <w:p w14:paraId="350FB09B" w14:textId="77777777" w:rsidR="009A028F" w:rsidRDefault="009A028F">
            <w:pPr>
              <w:rPr>
                <w:b/>
                <w:bCs/>
              </w:rPr>
            </w:pPr>
            <w:r>
              <w:rPr>
                <w:b/>
                <w:bCs/>
              </w:rPr>
              <w:t>)</w:t>
            </w:r>
          </w:p>
          <w:p w14:paraId="4FA83AE6" w14:textId="77777777" w:rsidR="00AA105E" w:rsidRDefault="00AA105E">
            <w:pPr>
              <w:rPr>
                <w:b/>
                <w:bCs/>
              </w:rPr>
            </w:pPr>
            <w:r>
              <w:rPr>
                <w:b/>
                <w:bCs/>
              </w:rPr>
              <w:t>)</w:t>
            </w:r>
          </w:p>
          <w:p w14:paraId="03E865CC" w14:textId="62D464AD" w:rsidR="00AA105E" w:rsidRDefault="00AA105E">
            <w:pPr>
              <w:rPr>
                <w:b/>
                <w:bCs/>
              </w:rPr>
            </w:pPr>
            <w:r>
              <w:rPr>
                <w:b/>
                <w:bCs/>
              </w:rPr>
              <w:t>)</w:t>
            </w:r>
          </w:p>
          <w:p w14:paraId="2AB00E76" w14:textId="77777777" w:rsidR="00AA105E" w:rsidRDefault="00AA105E">
            <w:pPr>
              <w:rPr>
                <w:b/>
                <w:bCs/>
              </w:rPr>
            </w:pPr>
            <w:r>
              <w:rPr>
                <w:b/>
                <w:bCs/>
              </w:rPr>
              <w:t>)</w:t>
            </w:r>
          </w:p>
          <w:p w14:paraId="3F278A1A" w14:textId="28830A0E" w:rsidR="00AA105E" w:rsidRDefault="00AA105E">
            <w:pPr>
              <w:rPr>
                <w:b/>
                <w:bCs/>
              </w:rPr>
            </w:pPr>
            <w:r>
              <w:rPr>
                <w:b/>
                <w:bCs/>
              </w:rPr>
              <w:t>)</w:t>
            </w:r>
          </w:p>
          <w:p w14:paraId="35F6F6E3" w14:textId="77777777" w:rsidR="009A028F" w:rsidRDefault="009A028F">
            <w:pPr>
              <w:rPr>
                <w:b/>
                <w:bCs/>
              </w:rPr>
            </w:pPr>
          </w:p>
        </w:tc>
        <w:tc>
          <w:tcPr>
            <w:tcW w:w="4230" w:type="dxa"/>
          </w:tcPr>
          <w:p w14:paraId="5E6A2E5E" w14:textId="77777777" w:rsidR="009A028F" w:rsidRDefault="009A028F"/>
          <w:p w14:paraId="2A81A610" w14:textId="77777777" w:rsidR="009A028F" w:rsidRDefault="009A028F"/>
          <w:p w14:paraId="584FC314" w14:textId="77777777" w:rsidR="00AA105E" w:rsidRDefault="00AA105E">
            <w:pPr>
              <w:rPr>
                <w:spacing w:val="-2"/>
              </w:rPr>
            </w:pPr>
          </w:p>
          <w:p w14:paraId="06FBCDDB" w14:textId="77777777" w:rsidR="00AA105E" w:rsidRDefault="00AA105E">
            <w:pPr>
              <w:rPr>
                <w:spacing w:val="-2"/>
              </w:rPr>
            </w:pPr>
          </w:p>
          <w:p w14:paraId="0514FA24" w14:textId="77777777" w:rsidR="00AA105E" w:rsidRDefault="00AA105E">
            <w:pPr>
              <w:rPr>
                <w:spacing w:val="-2"/>
              </w:rPr>
            </w:pPr>
          </w:p>
          <w:p w14:paraId="4ACC8C74" w14:textId="77777777" w:rsidR="009A028F" w:rsidRDefault="009A028F">
            <w:r>
              <w:rPr>
                <w:spacing w:val="-2"/>
              </w:rPr>
              <w:t>CG Docket No. 02-278</w:t>
            </w:r>
          </w:p>
        </w:tc>
      </w:tr>
    </w:tbl>
    <w:p w14:paraId="233671BF" w14:textId="6AE9DAFD" w:rsidR="009A028F" w:rsidRDefault="009A028F"/>
    <w:p w14:paraId="7AB6749D" w14:textId="77777777" w:rsidR="009A028F" w:rsidRDefault="009A028F">
      <w:pPr>
        <w:spacing w:before="120"/>
        <w:jc w:val="center"/>
        <w:rPr>
          <w:b/>
          <w:bCs/>
        </w:rPr>
      </w:pPr>
      <w:r>
        <w:rPr>
          <w:b/>
          <w:bCs/>
          <w:spacing w:val="-2"/>
        </w:rPr>
        <w:t>DECLARATORY RULING</w:t>
      </w:r>
    </w:p>
    <w:p w14:paraId="44A4AF22" w14:textId="77777777" w:rsidR="009A028F" w:rsidRDefault="009A028F">
      <w:pPr>
        <w:tabs>
          <w:tab w:val="left" w:pos="5760"/>
        </w:tabs>
        <w:rPr>
          <w:b/>
          <w:bCs/>
        </w:rPr>
      </w:pPr>
    </w:p>
    <w:p w14:paraId="7CDF8E2E" w14:textId="46ED84C9" w:rsidR="009A028F" w:rsidRDefault="009A028F" w:rsidP="00130962">
      <w:pPr>
        <w:tabs>
          <w:tab w:val="left" w:pos="720"/>
          <w:tab w:val="left" w:pos="5760"/>
          <w:tab w:val="right" w:pos="9360"/>
        </w:tabs>
        <w:suppressAutoHyphens/>
        <w:spacing w:line="227" w:lineRule="auto"/>
        <w:rPr>
          <w:spacing w:val="-2"/>
        </w:rPr>
      </w:pPr>
      <w:r>
        <w:rPr>
          <w:b/>
          <w:bCs/>
          <w:spacing w:val="-2"/>
        </w:rPr>
        <w:t xml:space="preserve">Adopted: </w:t>
      </w:r>
      <w:r w:rsidR="0016303D">
        <w:rPr>
          <w:b/>
          <w:bCs/>
          <w:spacing w:val="-2"/>
        </w:rPr>
        <w:t>August</w:t>
      </w:r>
      <w:r w:rsidR="00D23B29">
        <w:rPr>
          <w:b/>
          <w:bCs/>
          <w:spacing w:val="-2"/>
        </w:rPr>
        <w:t xml:space="preserve"> 28</w:t>
      </w:r>
      <w:r>
        <w:rPr>
          <w:b/>
          <w:bCs/>
          <w:spacing w:val="-2"/>
        </w:rPr>
        <w:t>, 201</w:t>
      </w:r>
      <w:r w:rsidR="000718E8">
        <w:rPr>
          <w:b/>
          <w:bCs/>
          <w:spacing w:val="-2"/>
        </w:rPr>
        <w:t>5</w:t>
      </w:r>
      <w:r>
        <w:rPr>
          <w:b/>
          <w:bCs/>
          <w:spacing w:val="-2"/>
        </w:rPr>
        <w:tab/>
      </w:r>
      <w:r>
        <w:rPr>
          <w:b/>
          <w:bCs/>
          <w:spacing w:val="-2"/>
        </w:rPr>
        <w:tab/>
        <w:t xml:space="preserve">Released: </w:t>
      </w:r>
      <w:r w:rsidR="0016303D">
        <w:rPr>
          <w:b/>
          <w:bCs/>
          <w:spacing w:val="-2"/>
        </w:rPr>
        <w:t>August</w:t>
      </w:r>
      <w:r w:rsidR="00D23B29">
        <w:rPr>
          <w:b/>
          <w:bCs/>
          <w:spacing w:val="-2"/>
        </w:rPr>
        <w:t xml:space="preserve"> 28</w:t>
      </w:r>
      <w:r>
        <w:rPr>
          <w:b/>
          <w:bCs/>
          <w:spacing w:val="-2"/>
        </w:rPr>
        <w:t>, 201</w:t>
      </w:r>
      <w:r w:rsidR="000718E8">
        <w:rPr>
          <w:b/>
          <w:bCs/>
          <w:spacing w:val="-2"/>
        </w:rPr>
        <w:t>5</w:t>
      </w:r>
    </w:p>
    <w:p w14:paraId="275E6AF5" w14:textId="77777777" w:rsidR="009A028F" w:rsidRDefault="009A028F">
      <w:pPr>
        <w:tabs>
          <w:tab w:val="left" w:pos="5760"/>
        </w:tabs>
        <w:rPr>
          <w:b/>
          <w:bCs/>
        </w:rPr>
      </w:pPr>
    </w:p>
    <w:p w14:paraId="6C39F060" w14:textId="6EA2701E" w:rsidR="009A028F" w:rsidRDefault="009A028F">
      <w:pPr>
        <w:tabs>
          <w:tab w:val="left" w:pos="5760"/>
        </w:tabs>
        <w:rPr>
          <w:spacing w:val="-2"/>
        </w:rPr>
      </w:pPr>
      <w:r>
        <w:t xml:space="preserve">By the </w:t>
      </w:r>
      <w:r w:rsidR="0016303D">
        <w:rPr>
          <w:spacing w:val="-2"/>
        </w:rPr>
        <w:t>Acting Chief, Consumer and Governmental Affairs Bureau</w:t>
      </w:r>
      <w:r>
        <w:rPr>
          <w:spacing w:val="-2"/>
        </w:rPr>
        <w:t>:</w:t>
      </w:r>
    </w:p>
    <w:p w14:paraId="05C775A2" w14:textId="77777777" w:rsidR="009A028F" w:rsidRDefault="009A028F">
      <w:pPr>
        <w:tabs>
          <w:tab w:val="left" w:pos="5760"/>
        </w:tabs>
      </w:pPr>
    </w:p>
    <w:p w14:paraId="4FF88AE9" w14:textId="77777777" w:rsidR="009A028F" w:rsidRDefault="009A028F"/>
    <w:p w14:paraId="0CF5FC4B" w14:textId="77777777" w:rsidR="009A028F" w:rsidRDefault="009A028F">
      <w:pPr>
        <w:pStyle w:val="Heading1"/>
      </w:pPr>
      <w:r>
        <w:t xml:space="preserve">Introduction </w:t>
      </w:r>
    </w:p>
    <w:p w14:paraId="53DC6F16" w14:textId="2EC5911A" w:rsidR="009A028F" w:rsidRPr="00EE0641" w:rsidRDefault="009A028F" w:rsidP="00E73D9A">
      <w:pPr>
        <w:pStyle w:val="ParaNum"/>
        <w:tabs>
          <w:tab w:val="clear" w:pos="1080"/>
          <w:tab w:val="num" w:pos="1440"/>
        </w:tabs>
        <w:jc w:val="left"/>
      </w:pPr>
      <w:r>
        <w:t xml:space="preserve">In this order, </w:t>
      </w:r>
      <w:r w:rsidR="0016303D">
        <w:t>the Consumer and Governmental Affairs Bureau (“Bureau” or “we”)</w:t>
      </w:r>
      <w:r>
        <w:t xml:space="preserve"> deny to the extent described herein and otherwise dismiss a Petition for Declaratory Ruling filed by iHire, LLC.</w:t>
      </w:r>
      <w:r>
        <w:rPr>
          <w:rStyle w:val="FootnoteReference"/>
        </w:rPr>
        <w:footnoteReference w:id="2"/>
      </w:r>
      <w:r>
        <w:t xml:space="preserve">  We clarify that faxes promoting a business’s job placement services are “advertisements” under the Telephone Consumer Protection Act (TCPA)</w:t>
      </w:r>
      <w:r>
        <w:rPr>
          <w:rStyle w:val="FootnoteReference"/>
        </w:rPr>
        <w:footnoteReference w:id="3"/>
      </w:r>
      <w:r>
        <w:t xml:space="preserve"> and Commission rules, even when they respond to a job posting requesting faxed resumes and contain summary information about job candidates.  Based upon iHire’s practices and other facts described in the record, rather than iHire’s </w:t>
      </w:r>
      <w:r w:rsidR="0016303D">
        <w:t>characterization</w:t>
      </w:r>
      <w:r>
        <w:t xml:space="preserve"> of the issue in its Petition,</w:t>
      </w:r>
      <w:r w:rsidRPr="00642155">
        <w:rPr>
          <w:vertAlign w:val="superscript"/>
        </w:rPr>
        <w:footnoteReference w:id="4"/>
      </w:r>
      <w:r>
        <w:t xml:space="preserve"> we find that its faxes are unsolicited advertisements and violate the TCPA.</w:t>
      </w:r>
    </w:p>
    <w:p w14:paraId="4A9E6E6A" w14:textId="77777777" w:rsidR="009A028F" w:rsidRDefault="009A028F" w:rsidP="00130962">
      <w:pPr>
        <w:pStyle w:val="Heading1"/>
      </w:pPr>
      <w:r>
        <w:t>Background</w:t>
      </w:r>
    </w:p>
    <w:p w14:paraId="3AFEC707" w14:textId="77777777" w:rsidR="009A028F" w:rsidRDefault="009A028F" w:rsidP="00130962">
      <w:pPr>
        <w:pStyle w:val="Heading2"/>
      </w:pPr>
      <w:r>
        <w:t>The Telephone Consumer Protection Act</w:t>
      </w:r>
    </w:p>
    <w:p w14:paraId="5B262E4F" w14:textId="77777777" w:rsidR="009A028F" w:rsidRDefault="009A028F" w:rsidP="00E60C95">
      <w:pPr>
        <w:pStyle w:val="ParaNum"/>
        <w:tabs>
          <w:tab w:val="clear" w:pos="1080"/>
          <w:tab w:val="num" w:pos="1440"/>
        </w:tabs>
        <w:jc w:val="left"/>
      </w:pPr>
      <w:r>
        <w:t>In 1991, Congress enacted the TCPA to address a growing number of telephone marketing calls and other calling practices thought to be an invasion of consumer privacy.</w:t>
      </w:r>
      <w:r>
        <w:rPr>
          <w:rStyle w:val="FootnoteReference"/>
        </w:rPr>
        <w:footnoteReference w:id="5"/>
      </w:r>
      <w:r>
        <w:t xml:space="preserve">  In relevant part, the TCPA prohibits the use of any telephone facsimile (fax) machine, computer, or other device to </w:t>
      </w:r>
      <w:r>
        <w:lastRenderedPageBreak/>
        <w:t>send an “unsolicited advertisement” to a telephone fax machine.</w:t>
      </w:r>
      <w:r>
        <w:rPr>
          <w:rStyle w:val="FootnoteReference"/>
        </w:rPr>
        <w:footnoteReference w:id="6"/>
      </w:r>
      <w:r>
        <w:t xml:space="preserve">  An unsolicited advertisement is defined as “</w:t>
      </w:r>
      <w:r w:rsidRPr="00FF53CE">
        <w:t>any material advertising the commercial availability or quality of any property, goods, or services which is transmitted to any person without that person’s prior express invitation or permission, in writing or otherwise.</w:t>
      </w:r>
      <w:r>
        <w:t>”</w:t>
      </w:r>
      <w:r>
        <w:rPr>
          <w:rStyle w:val="FootnoteReference"/>
        </w:rPr>
        <w:footnoteReference w:id="7"/>
      </w:r>
      <w:r>
        <w:t xml:space="preserve">  </w:t>
      </w:r>
    </w:p>
    <w:p w14:paraId="62CB7393" w14:textId="77777777" w:rsidR="009A028F" w:rsidRDefault="009A028F" w:rsidP="00186317">
      <w:pPr>
        <w:pStyle w:val="Heading2"/>
        <w:numPr>
          <w:ilvl w:val="0"/>
          <w:numId w:val="0"/>
        </w:numPr>
        <w:ind w:left="720"/>
      </w:pPr>
      <w:r>
        <w:t>B.</w:t>
      </w:r>
      <w:r>
        <w:tab/>
        <w:t>The iHire Petition and Service</w:t>
      </w:r>
    </w:p>
    <w:p w14:paraId="321DB74E" w14:textId="77777777" w:rsidR="009A028F" w:rsidRDefault="009A028F" w:rsidP="00E60C95">
      <w:pPr>
        <w:pStyle w:val="ParaNum"/>
        <w:tabs>
          <w:tab w:val="clear" w:pos="1080"/>
          <w:tab w:val="num" w:pos="1440"/>
        </w:tabs>
        <w:jc w:val="left"/>
      </w:pPr>
      <w:r>
        <w:t>On June 20, 2011, iHire filed a Petition for Declaratory Ruling seeking clarification that resumes faxed by a third party on a job seeker’s behalf in response to online job postings are not advertisements under the TCPA and Commission rules, and therefore do not require the recipients’ consent or need to include opt-out notices.</w:t>
      </w:r>
      <w:r>
        <w:rPr>
          <w:rStyle w:val="FootnoteReference"/>
        </w:rPr>
        <w:footnoteReference w:id="8"/>
      </w:r>
      <w:r>
        <w:t xml:space="preserve">  In its Petition, iHire states that Baltimore Podiatry Group (BPG) posted a request for a medical assistant on Craigslist.</w:t>
      </w:r>
      <w:r>
        <w:rPr>
          <w:rStyle w:val="FootnoteReference"/>
        </w:rPr>
        <w:footnoteReference w:id="9"/>
      </w:r>
      <w:r>
        <w:t xml:space="preserve">  In response, iHire faxed “summary resumes” of job seekers to BPG on six occasions.</w:t>
      </w:r>
      <w:r>
        <w:rPr>
          <w:rStyle w:val="FootnoteReference"/>
        </w:rPr>
        <w:footnoteReference w:id="10"/>
      </w:r>
      <w:r>
        <w:t xml:space="preserve">  iHire states that each fax encouraged BPG to contact the applicant directly, contained information on how to view a full resume for the applicant at iHire’s website, and included a notice with a telephone number and email address explaining how BPG could contact iHire if it no longer wished to receive summary resumes from iHire.</w:t>
      </w:r>
      <w:r>
        <w:rPr>
          <w:rStyle w:val="FootnoteReference"/>
        </w:rPr>
        <w:footnoteReference w:id="11"/>
      </w:r>
      <w:r>
        <w:t xml:space="preserve"> </w:t>
      </w:r>
    </w:p>
    <w:p w14:paraId="390DEA34" w14:textId="2EA7D5BB" w:rsidR="009A028F" w:rsidRPr="0049782A" w:rsidRDefault="009A028F" w:rsidP="00E73D9A">
      <w:pPr>
        <w:pStyle w:val="ParaNum"/>
        <w:widowControl/>
        <w:tabs>
          <w:tab w:val="clear" w:pos="1080"/>
          <w:tab w:val="num" w:pos="1440"/>
        </w:tabs>
        <w:jc w:val="left"/>
      </w:pPr>
      <w:r>
        <w:t>On October 23, 2012, the Bureau sought comment on iHire’s Petition.</w:t>
      </w:r>
      <w:r>
        <w:rPr>
          <w:rStyle w:val="FootnoteReference"/>
        </w:rPr>
        <w:footnoteReference w:id="12"/>
      </w:r>
      <w:r>
        <w:t xml:space="preserve">  Four individuals filed comments and reply comments</w:t>
      </w:r>
      <w:r w:rsidRPr="00C10BA2">
        <w:t>.</w:t>
      </w:r>
      <w:r w:rsidRPr="00C10BA2">
        <w:rPr>
          <w:rStyle w:val="FootnoteReference"/>
        </w:rPr>
        <w:footnoteReference w:id="13"/>
      </w:r>
      <w:r w:rsidRPr="00C10BA2">
        <w:t xml:space="preserve">  </w:t>
      </w:r>
      <w:r>
        <w:t>T</w:t>
      </w:r>
      <w:r w:rsidRPr="00623683">
        <w:t>wo commenters state that iHire’s faxes are prohibited unsolicited advertisements</w:t>
      </w:r>
      <w:r w:rsidRPr="00D67FFB">
        <w:t>;</w:t>
      </w:r>
      <w:r>
        <w:rPr>
          <w:rStyle w:val="FootnoteReference"/>
        </w:rPr>
        <w:footnoteReference w:id="14"/>
      </w:r>
      <w:r w:rsidRPr="00623683">
        <w:t xml:space="preserve"> </w:t>
      </w:r>
      <w:r>
        <w:t xml:space="preserve">one </w:t>
      </w:r>
      <w:r w:rsidRPr="00AC55F5">
        <w:t xml:space="preserve">cautions the Commission against taking action that would overturn or create inconsistency with </w:t>
      </w:r>
      <w:r>
        <w:t>a Maryland court decision finding iHire liable for TCPA violations;</w:t>
      </w:r>
      <w:r>
        <w:rPr>
          <w:rStyle w:val="FootnoteReference"/>
        </w:rPr>
        <w:footnoteReference w:id="15"/>
      </w:r>
      <w:r>
        <w:t xml:space="preserve"> and one </w:t>
      </w:r>
      <w:r w:rsidRPr="00D67FFB">
        <w:lastRenderedPageBreak/>
        <w:t xml:space="preserve">states that the Petition does not contain sufficient detail for the Commission to decide the question posed in the </w:t>
      </w:r>
      <w:r w:rsidRPr="00AC55F5">
        <w:t>Petition</w:t>
      </w:r>
      <w:r>
        <w:t>.</w:t>
      </w:r>
      <w:r>
        <w:rPr>
          <w:rStyle w:val="FootnoteReference"/>
        </w:rPr>
        <w:footnoteReference w:id="16"/>
      </w:r>
      <w:r>
        <w:t xml:space="preserve"> </w:t>
      </w:r>
    </w:p>
    <w:p w14:paraId="65DE8F93" w14:textId="7C7E5C1E" w:rsidR="009A028F" w:rsidRPr="003D20FB" w:rsidRDefault="009A028F" w:rsidP="00E60C95">
      <w:pPr>
        <w:pStyle w:val="ParaNum"/>
        <w:tabs>
          <w:tab w:val="clear" w:pos="1080"/>
          <w:tab w:val="num" w:pos="1440"/>
        </w:tabs>
        <w:jc w:val="left"/>
      </w:pPr>
      <w:r>
        <w:t xml:space="preserve">After the Bureau reviewed the Petition, </w:t>
      </w:r>
      <w:r w:rsidR="0016303D">
        <w:t>we</w:t>
      </w:r>
      <w:r>
        <w:t xml:space="preserve"> asked iHire to file additional information about its practices.  O</w:t>
      </w:r>
      <w:r w:rsidRPr="00D67FFB">
        <w:t>n April 16, 2013</w:t>
      </w:r>
      <w:r>
        <w:t>,</w:t>
      </w:r>
      <w:r w:rsidRPr="00623683">
        <w:t xml:space="preserve"> </w:t>
      </w:r>
      <w:r>
        <w:t xml:space="preserve">iHire filed </w:t>
      </w:r>
      <w:r w:rsidRPr="00D67FFB">
        <w:t xml:space="preserve">BPG’s </w:t>
      </w:r>
      <w:r>
        <w:t>Craigslist</w:t>
      </w:r>
      <w:r w:rsidRPr="00D67FFB">
        <w:t xml:space="preserve"> job posting, the six “</w:t>
      </w:r>
      <w:r w:rsidRPr="00AC55F5">
        <w:t>summary resumes</w:t>
      </w:r>
      <w:r w:rsidRPr="00BA433E">
        <w:t>”</w:t>
      </w:r>
      <w:r w:rsidRPr="00F83100">
        <w:t xml:space="preserve"> iHire faxed to BPG, the </w:t>
      </w:r>
      <w:r>
        <w:t xml:space="preserve">job candidates’ </w:t>
      </w:r>
      <w:r w:rsidRPr="00F83100">
        <w:t xml:space="preserve">full resumes, </w:t>
      </w:r>
      <w:r>
        <w:t xml:space="preserve">and </w:t>
      </w:r>
      <w:r w:rsidRPr="00F83100">
        <w:t xml:space="preserve">the </w:t>
      </w:r>
      <w:r>
        <w:t xml:space="preserve">Maryland </w:t>
      </w:r>
      <w:r w:rsidRPr="00F83100">
        <w:t>docket</w:t>
      </w:r>
      <w:r w:rsidRPr="007C5FFC">
        <w:t>.</w:t>
      </w:r>
      <w:r>
        <w:rPr>
          <w:rStyle w:val="FootnoteReference"/>
        </w:rPr>
        <w:footnoteReference w:id="17"/>
      </w:r>
      <w:r w:rsidRPr="007C5FFC">
        <w:t xml:space="preserve">  </w:t>
      </w:r>
      <w:r>
        <w:t>According to iHire’s website, potential employers must register with iHire and pay $450 for the ability to view up to 600 full resumes for 30 days.</w:t>
      </w:r>
      <w:r>
        <w:rPr>
          <w:rStyle w:val="FootnoteReference"/>
        </w:rPr>
        <w:footnoteReference w:id="18"/>
      </w:r>
      <w:r>
        <w:t xml:space="preserve">  iHire does not allow potential employers to view just one full resume.</w:t>
      </w:r>
      <w:r>
        <w:rPr>
          <w:rStyle w:val="FootnoteReference"/>
        </w:rPr>
        <w:footnoteReference w:id="19"/>
      </w:r>
      <w:r>
        <w:t xml:space="preserve">  </w:t>
      </w:r>
    </w:p>
    <w:p w14:paraId="2636ED92" w14:textId="77777777" w:rsidR="009A028F" w:rsidRPr="00F67974" w:rsidRDefault="009A028F" w:rsidP="00130962">
      <w:pPr>
        <w:pStyle w:val="Heading1"/>
      </w:pPr>
      <w:r w:rsidRPr="00F67974">
        <w:t>Discussion</w:t>
      </w:r>
    </w:p>
    <w:p w14:paraId="2444B47C" w14:textId="77777777" w:rsidR="009A028F" w:rsidRPr="00A17073" w:rsidRDefault="009A028F" w:rsidP="00E60C95">
      <w:pPr>
        <w:pStyle w:val="ParaNum"/>
        <w:tabs>
          <w:tab w:val="clear" w:pos="1080"/>
          <w:tab w:val="num" w:pos="1440"/>
        </w:tabs>
        <w:jc w:val="left"/>
        <w:rPr>
          <w:rStyle w:val="CommentReference"/>
          <w:sz w:val="22"/>
          <w:szCs w:val="22"/>
        </w:rPr>
      </w:pPr>
      <w:r>
        <w:t xml:space="preserve">We deny to the extent described herein iHire’s request for a declaratory ruling and otherwise dismiss it.  </w:t>
      </w:r>
      <w:r w:rsidRPr="00A17073">
        <w:rPr>
          <w:rStyle w:val="CommentReference"/>
          <w:sz w:val="22"/>
          <w:szCs w:val="22"/>
        </w:rPr>
        <w:t xml:space="preserve">We find that </w:t>
      </w:r>
      <w:r w:rsidRPr="00A17073">
        <w:t>iHire’s faxes to BPG are unsolicited advertisements for iHire’s services that are prohibited by the TCPA</w:t>
      </w:r>
      <w:r w:rsidRPr="00A17073">
        <w:rPr>
          <w:rStyle w:val="CommentReference"/>
          <w:sz w:val="22"/>
          <w:szCs w:val="22"/>
        </w:rPr>
        <w:t xml:space="preserve">.  </w:t>
      </w:r>
      <w:r>
        <w:rPr>
          <w:rStyle w:val="CommentReference"/>
          <w:sz w:val="22"/>
          <w:szCs w:val="22"/>
        </w:rPr>
        <w:t>W</w:t>
      </w:r>
      <w:r w:rsidRPr="00A17073">
        <w:t>e need not and do not reach the broad</w:t>
      </w:r>
      <w:r>
        <w:t>er</w:t>
      </w:r>
      <w:r w:rsidRPr="00A17073">
        <w:t xml:space="preserve"> question </w:t>
      </w:r>
      <w:r>
        <w:t xml:space="preserve">stated in </w:t>
      </w:r>
      <w:r w:rsidRPr="00A17073">
        <w:t>iHire</w:t>
      </w:r>
      <w:r>
        <w:t>’s</w:t>
      </w:r>
      <w:r w:rsidRPr="00A17073">
        <w:t xml:space="preserve"> Petition: whether resumes faxed by a third party on a job seeker’s behalf in response to </w:t>
      </w:r>
      <w:r>
        <w:t xml:space="preserve">an </w:t>
      </w:r>
      <w:r w:rsidRPr="00A17073">
        <w:t>online job posting are advertisements under the TCPA and Commission rules.</w:t>
      </w:r>
      <w:r>
        <w:rPr>
          <w:rStyle w:val="FootnoteReference"/>
        </w:rPr>
        <w:footnoteReference w:id="20"/>
      </w:r>
      <w:r w:rsidRPr="00A17073">
        <w:t xml:space="preserve">  </w:t>
      </w:r>
      <w:r>
        <w:t>I</w:t>
      </w:r>
      <w:r w:rsidRPr="00A17073">
        <w:t>nstead</w:t>
      </w:r>
      <w:r>
        <w:t xml:space="preserve">, we limit our analysis to </w:t>
      </w:r>
      <w:r w:rsidRPr="00A17073">
        <w:t xml:space="preserve">iHire’s </w:t>
      </w:r>
      <w:r>
        <w:t xml:space="preserve">actual </w:t>
      </w:r>
      <w:r w:rsidRPr="00A17073">
        <w:t xml:space="preserve">practice of faxing “summary resumes” </w:t>
      </w:r>
      <w:r>
        <w:t xml:space="preserve">and directing potential employers to iHire’s </w:t>
      </w:r>
      <w:r w:rsidRPr="00A17073">
        <w:t xml:space="preserve">website </w:t>
      </w:r>
      <w:r>
        <w:t>where they can only access full resumes by</w:t>
      </w:r>
      <w:r w:rsidRPr="00A17073">
        <w:t xml:space="preserve"> pay</w:t>
      </w:r>
      <w:r>
        <w:t>ing</w:t>
      </w:r>
      <w:r w:rsidRPr="00A17073">
        <w:t xml:space="preserve"> a</w:t>
      </w:r>
      <w:r>
        <w:t xml:space="preserve"> fee.</w:t>
      </w:r>
      <w:r w:rsidR="00B31BEB">
        <w:rPr>
          <w:rStyle w:val="FootnoteReference"/>
        </w:rPr>
        <w:footnoteReference w:id="21"/>
      </w:r>
      <w:r>
        <w:t xml:space="preserve">  Our action “terminate[s] the apparent controversy.”</w:t>
      </w:r>
      <w:r>
        <w:rPr>
          <w:rStyle w:val="FootnoteReference"/>
        </w:rPr>
        <w:footnoteReference w:id="22"/>
      </w:r>
      <w:r w:rsidRPr="00F8517C">
        <w:t xml:space="preserve"> </w:t>
      </w:r>
    </w:p>
    <w:p w14:paraId="7ACCC698" w14:textId="77777777" w:rsidR="009A028F" w:rsidRPr="004277B3" w:rsidRDefault="009A028F" w:rsidP="00E60C95">
      <w:pPr>
        <w:pStyle w:val="ParaNum"/>
        <w:tabs>
          <w:tab w:val="clear" w:pos="1080"/>
          <w:tab w:val="num" w:pos="1440"/>
        </w:tabs>
        <w:jc w:val="left"/>
      </w:pPr>
      <w:r>
        <w:rPr>
          <w:rStyle w:val="CommentReference"/>
          <w:sz w:val="22"/>
          <w:szCs w:val="22"/>
        </w:rPr>
        <w:t xml:space="preserve">We begin by </w:t>
      </w:r>
      <w:r>
        <w:t>reviewing the</w:t>
      </w:r>
      <w:r w:rsidRPr="00B85538">
        <w:t xml:space="preserve"> Commission</w:t>
      </w:r>
      <w:r>
        <w:t>’s</w:t>
      </w:r>
      <w:r w:rsidRPr="00B85538">
        <w:t xml:space="preserve"> guidance for determining when a fax is an advertisement.  </w:t>
      </w:r>
      <w:r>
        <w:t>An “advertisement” is “any material advertising the commercial availability or quality of any property, goods, or services.”</w:t>
      </w:r>
      <w:r>
        <w:rPr>
          <w:rStyle w:val="FootnoteReference"/>
        </w:rPr>
        <w:footnoteReference w:id="23"/>
      </w:r>
      <w:r>
        <w:t xml:space="preserve">  Faxes “that contain only information . . . [are] not [] prohibited by the TCPA rules.”</w:t>
      </w:r>
      <w:r>
        <w:rPr>
          <w:rStyle w:val="FootnoteReference"/>
        </w:rPr>
        <w:footnoteReference w:id="24"/>
      </w:r>
      <w:r>
        <w:t xml:space="preserve">  Faxes containing </w:t>
      </w:r>
      <w:r>
        <w:rPr>
          <w:i/>
          <w:iCs/>
        </w:rPr>
        <w:t xml:space="preserve">de minimis </w:t>
      </w:r>
      <w:r>
        <w:t xml:space="preserve">advertising do not trigger the TCPA’s </w:t>
      </w:r>
      <w:r w:rsidR="00554F37">
        <w:t>prohibitions</w:t>
      </w:r>
      <w:r>
        <w:t>.  For example, a company logo or business slogan on an account statement—a “</w:t>
      </w:r>
      <w:r w:rsidRPr="00EB4FC0">
        <w:rPr>
          <w:i/>
          <w:iCs/>
        </w:rPr>
        <w:t>de minim</w:t>
      </w:r>
      <w:r>
        <w:rPr>
          <w:i/>
          <w:iCs/>
        </w:rPr>
        <w:t>i</w:t>
      </w:r>
      <w:r w:rsidRPr="00EB4FC0">
        <w:rPr>
          <w:i/>
          <w:iCs/>
        </w:rPr>
        <w:t>s</w:t>
      </w:r>
      <w:r>
        <w:t xml:space="preserve"> amount of advertising information”—does not convert a communication into an unsolicited advertisement if, for example, the primary purpose is to relay account information to the fax recipient.</w:t>
      </w:r>
      <w:r>
        <w:rPr>
          <w:rStyle w:val="FootnoteReference"/>
        </w:rPr>
        <w:footnoteReference w:id="25"/>
      </w:r>
      <w:r>
        <w:t xml:space="preserve">  In addition, “[a]n incidental advertisement contained in [an informational fax such as a] newsletter does not convert the entire communication into an advertisement.”</w:t>
      </w:r>
      <w:r>
        <w:rPr>
          <w:rStyle w:val="FootnoteReference"/>
        </w:rPr>
        <w:footnoteReference w:id="26"/>
      </w:r>
      <w:r>
        <w:t xml:space="preserve">  In determining whether an advertisement is incidental to an informational communication, the Commission </w:t>
      </w:r>
      <w:r w:rsidR="009778B9">
        <w:t xml:space="preserve">has </w:t>
      </w:r>
      <w:r w:rsidR="008E4C44">
        <w:t>state</w:t>
      </w:r>
      <w:r w:rsidR="009778B9">
        <w:t>d</w:t>
      </w:r>
      <w:r w:rsidR="008E4C44">
        <w:t xml:space="preserve"> it </w:t>
      </w:r>
      <w:r>
        <w:t>will consider “</w:t>
      </w:r>
      <w:r w:rsidRPr="00934159">
        <w:t xml:space="preserve">whether the advertisement is </w:t>
      </w:r>
      <w:r>
        <w:t xml:space="preserve">to </w:t>
      </w:r>
      <w:r w:rsidRPr="00934159">
        <w:t xml:space="preserve">a </w:t>
      </w:r>
      <w:r w:rsidRPr="004277B3">
        <w:rPr>
          <w:i/>
          <w:iCs/>
        </w:rPr>
        <w:t>bona fide</w:t>
      </w:r>
      <w:r w:rsidRPr="00934159">
        <w:t xml:space="preserve"> ‘informational communication.’”</w:t>
      </w:r>
      <w:r>
        <w:rPr>
          <w:rStyle w:val="FootnoteReference"/>
        </w:rPr>
        <w:footnoteReference w:id="27"/>
      </w:r>
      <w:r>
        <w:t xml:space="preserve">  In this analysis, the</w:t>
      </w:r>
      <w:r w:rsidRPr="00934159">
        <w:t xml:space="preserve"> Commission </w:t>
      </w:r>
      <w:r w:rsidR="008E4C44">
        <w:t xml:space="preserve">has stated it </w:t>
      </w:r>
      <w:r>
        <w:t xml:space="preserve">may consider, among other things, </w:t>
      </w:r>
      <w:r w:rsidRPr="00934159">
        <w:t>the amount of space devoted to advertising versus the amount</w:t>
      </w:r>
      <w:r>
        <w:t xml:space="preserve"> of space used for information or transactional messages.</w:t>
      </w:r>
      <w:r>
        <w:rPr>
          <w:rStyle w:val="FootnoteReference"/>
        </w:rPr>
        <w:footnoteReference w:id="28"/>
      </w:r>
      <w:r w:rsidRPr="00934159">
        <w:t xml:space="preserve"> </w:t>
      </w:r>
      <w:r>
        <w:t xml:space="preserve"> The Commission also </w:t>
      </w:r>
      <w:r w:rsidR="008E4C44">
        <w:t xml:space="preserve">has stated it </w:t>
      </w:r>
      <w:r>
        <w:t>considers</w:t>
      </w:r>
      <w:r w:rsidRPr="00934159">
        <w:t xml:space="preserve"> </w:t>
      </w:r>
      <w:r>
        <w:t>the “primary purpose of the communication.”</w:t>
      </w:r>
      <w:r>
        <w:rPr>
          <w:rStyle w:val="FootnoteReference"/>
        </w:rPr>
        <w:footnoteReference w:id="29"/>
      </w:r>
      <w:r>
        <w:t xml:space="preserve">  </w:t>
      </w:r>
    </w:p>
    <w:p w14:paraId="1CEBB559" w14:textId="4A0F0C8D" w:rsidR="009A028F" w:rsidRPr="00B0465B" w:rsidRDefault="009A028F" w:rsidP="00E60C95">
      <w:pPr>
        <w:pStyle w:val="ParaNum"/>
        <w:tabs>
          <w:tab w:val="clear" w:pos="1080"/>
          <w:tab w:val="num" w:pos="1440"/>
        </w:tabs>
        <w:jc w:val="left"/>
      </w:pPr>
      <w:r>
        <w:t>Applying</w:t>
      </w:r>
      <w:r w:rsidR="001B5A35">
        <w:t xml:space="preserve"> </w:t>
      </w:r>
      <w:r w:rsidR="000718E8">
        <w:t>Commission precedent</w:t>
      </w:r>
      <w:r>
        <w:t xml:space="preserve">, we conclude that iHire’s faxes amount to “teaser” information aimed at generating enough interest in the candidate to induce a potential employer to visit iHire’s website and purchase access to full resumes, as well as to expose potential employers to advertising and offers for the other for-fee services iHire offers potential employers.  </w:t>
      </w:r>
      <w:r w:rsidRPr="004F4A0C">
        <w:t xml:space="preserve">We </w:t>
      </w:r>
      <w:r w:rsidRPr="00762DDB">
        <w:t>first “consider the amount of space devoted to advertising versus the amount of space used for information.”</w:t>
      </w:r>
      <w:r w:rsidRPr="00B85538">
        <w:rPr>
          <w:rStyle w:val="FootnoteReference"/>
        </w:rPr>
        <w:footnoteReference w:id="30"/>
      </w:r>
      <w:r w:rsidRPr="004F4A0C">
        <w:t xml:space="preserve">  R</w:t>
      </w:r>
      <w:r w:rsidRPr="00762DDB">
        <w:t xml:space="preserve">oughly two thirds of the printed lines on each of iHire’s one-page faxes encourage the recipient to visit iHire’s website and instruct the recipient on how to do so, while one </w:t>
      </w:r>
      <w:r>
        <w:t>third actually provides information about the job candidate.</w:t>
      </w:r>
      <w:r>
        <w:rPr>
          <w:rStyle w:val="FootnoteReference"/>
        </w:rPr>
        <w:footnoteReference w:id="31"/>
      </w:r>
      <w:r w:rsidRPr="004F4A0C">
        <w:t xml:space="preserve">  Specifically, each</w:t>
      </w:r>
      <w:r w:rsidRPr="00762DDB">
        <w:t xml:space="preserve"> fax’s first paragraph states that iHire is an employment </w:t>
      </w:r>
      <w:r w:rsidR="00E42972">
        <w:t>website, not a recruiter or agency,</w:t>
      </w:r>
      <w:r w:rsidRPr="00762DDB">
        <w:t xml:space="preserve"> and that potential </w:t>
      </w:r>
      <w:r>
        <w:t>employers may contact candidates directly.</w:t>
      </w:r>
      <w:r w:rsidRPr="00B85538">
        <w:rPr>
          <w:rStyle w:val="FootnoteReference"/>
        </w:rPr>
        <w:footnoteReference w:id="32"/>
      </w:r>
      <w:r w:rsidRPr="004F4A0C">
        <w:t xml:space="preserve">  The</w:t>
      </w:r>
      <w:r w:rsidRPr="00762DDB">
        <w:t xml:space="preserve"> second paragraph indicates that the document is a summary resume, states that a full resume is available at iHire’s website, and offers brief instructions for how to locate the full resume.</w:t>
      </w:r>
      <w:r w:rsidRPr="00B85538">
        <w:rPr>
          <w:rStyle w:val="FootnoteReference"/>
        </w:rPr>
        <w:footnoteReference w:id="33"/>
      </w:r>
      <w:r w:rsidRPr="004F4A0C">
        <w:t xml:space="preserve">  Following these paragraphs is information pertaining to the job candidate: a sentence describing the type of position sought, a sentence describing past experience, a statement of the job titles the candidate is qualified to fill, the candidate’s name and phone number, and the candidate’s ID number at iHire’s website.</w:t>
      </w:r>
      <w:r w:rsidRPr="00B85538">
        <w:rPr>
          <w:rStyle w:val="FootnoteReference"/>
        </w:rPr>
        <w:footnoteReference w:id="34"/>
      </w:r>
      <w:r w:rsidRPr="004F4A0C">
        <w:t xml:space="preserve">  Below this </w:t>
      </w:r>
      <w:r w:rsidRPr="00762DDB">
        <w:t>information are step-by-step instructions for the recipient to review the full resume at iHire’s website.</w:t>
      </w:r>
      <w:r w:rsidRPr="00B85538">
        <w:rPr>
          <w:rStyle w:val="FootnoteReference"/>
        </w:rPr>
        <w:footnoteReference w:id="35"/>
      </w:r>
      <w:r w:rsidRPr="004F4A0C">
        <w:t xml:space="preserve">  These instructions indicate that a potential employer must register on iHire’s website.</w:t>
      </w:r>
      <w:r w:rsidRPr="00B85538">
        <w:rPr>
          <w:rStyle w:val="FootnoteReference"/>
        </w:rPr>
        <w:footnoteReference w:id="36"/>
      </w:r>
      <w:r w:rsidRPr="004F4A0C">
        <w:t xml:space="preserve">  The fax concludes with iHire’s contact information, which a potential employer may use if it wishes to stop receiving faxes from iHire.</w:t>
      </w:r>
      <w:r w:rsidRPr="00B85538">
        <w:rPr>
          <w:rStyle w:val="FootnoteReference"/>
        </w:rPr>
        <w:footnoteReference w:id="37"/>
      </w:r>
      <w:r w:rsidRPr="004F4A0C">
        <w:t xml:space="preserve">  </w:t>
      </w:r>
      <w:r w:rsidRPr="00762DDB">
        <w:t>Even assuming that the information about the candidate in each fax is purely informational, we find that the amount of space devoted to iHire</w:t>
      </w:r>
      <w:r>
        <w:t>’s</w:t>
      </w:r>
      <w:r w:rsidRPr="00762DDB">
        <w:t xml:space="preserve"> </w:t>
      </w:r>
      <w:r>
        <w:t xml:space="preserve">services </w:t>
      </w:r>
      <w:r w:rsidRPr="00762DDB">
        <w:t xml:space="preserve">and the instructions </w:t>
      </w:r>
      <w:r>
        <w:t xml:space="preserve">on how </w:t>
      </w:r>
      <w:r w:rsidRPr="00762DDB">
        <w:t xml:space="preserve">to access its website indicate that the faxes are not </w:t>
      </w:r>
      <w:r w:rsidRPr="00762DDB">
        <w:rPr>
          <w:i/>
          <w:iCs/>
        </w:rPr>
        <w:t>bona fide</w:t>
      </w:r>
      <w:r w:rsidRPr="00762DDB">
        <w:t xml:space="preserve"> informational communications.</w:t>
      </w:r>
      <w:r>
        <w:rPr>
          <w:rStyle w:val="FootnoteReference"/>
        </w:rPr>
        <w:footnoteReference w:id="38"/>
      </w:r>
      <w:r w:rsidRPr="004F4A0C">
        <w:t xml:space="preserve">  </w:t>
      </w:r>
    </w:p>
    <w:p w14:paraId="1998E230" w14:textId="77777777" w:rsidR="009A028F" w:rsidRPr="00145CB4" w:rsidRDefault="009A028F" w:rsidP="00E73D9A">
      <w:pPr>
        <w:pStyle w:val="ParaNum"/>
        <w:widowControl/>
        <w:jc w:val="left"/>
      </w:pPr>
      <w:r w:rsidRPr="00234B8D">
        <w:t xml:space="preserve">Second, separate from the relative amount of space devoted to iHire’s service and how to access it, we find that the primary </w:t>
      </w:r>
      <w:r>
        <w:t xml:space="preserve">purpose </w:t>
      </w:r>
      <w:r w:rsidRPr="00234B8D">
        <w:t xml:space="preserve">of the faxes is to sell iHire’s services rather than </w:t>
      </w:r>
      <w:r>
        <w:t xml:space="preserve">to </w:t>
      </w:r>
      <w:r w:rsidRPr="00234B8D">
        <w:t>inform the recipient about the job candidate</w:t>
      </w:r>
      <w:r>
        <w:t>,</w:t>
      </w:r>
      <w:r w:rsidRPr="00234B8D">
        <w:t xml:space="preserve"> and </w:t>
      </w:r>
      <w:r>
        <w:t xml:space="preserve">the advertisement </w:t>
      </w:r>
      <w:r w:rsidRPr="00234B8D">
        <w:t xml:space="preserve">is thus not merely a </w:t>
      </w:r>
      <w:r w:rsidRPr="00663275">
        <w:rPr>
          <w:i/>
          <w:iCs/>
        </w:rPr>
        <w:t>de minim</w:t>
      </w:r>
      <w:r w:rsidRPr="00234B8D">
        <w:rPr>
          <w:i/>
          <w:iCs/>
        </w:rPr>
        <w:t>i</w:t>
      </w:r>
      <w:r w:rsidRPr="00663275">
        <w:rPr>
          <w:i/>
          <w:iCs/>
        </w:rPr>
        <w:t>s</w:t>
      </w:r>
      <w:r w:rsidRPr="00234B8D">
        <w:t xml:space="preserve"> or incidental portion of these faxes.</w:t>
      </w:r>
      <w:r>
        <w:rPr>
          <w:rStyle w:val="FootnoteReference"/>
        </w:rPr>
        <w:footnoteReference w:id="39"/>
      </w:r>
      <w:r w:rsidRPr="00234B8D">
        <w:t xml:space="preserve">  BPG asked for candidate resumes but iHire instead gave summary resume</w:t>
      </w:r>
      <w:r>
        <w:t>s</w:t>
      </w:r>
      <w:r w:rsidRPr="00234B8D">
        <w:t xml:space="preserve"> containing scant and general information, lacking present and past employment, education, and reference</w:t>
      </w:r>
      <w:r>
        <w:t xml:space="preserve"> information</w:t>
      </w:r>
      <w:r w:rsidRPr="00234B8D">
        <w:t xml:space="preserve"> that are standard in resumes.</w:t>
      </w:r>
      <w:r>
        <w:rPr>
          <w:rStyle w:val="FootnoteReference"/>
        </w:rPr>
        <w:footnoteReference w:id="40"/>
      </w:r>
      <w:r w:rsidRPr="00234B8D">
        <w:t xml:space="preserve">  This lack of candidate information, promotion of iHire</w:t>
      </w:r>
      <w:r>
        <w:t>,</w:t>
      </w:r>
      <w:r w:rsidRPr="00234B8D">
        <w:t xml:space="preserve"> and</w:t>
      </w:r>
      <w:r>
        <w:t xml:space="preserve"> provision of</w:t>
      </w:r>
      <w:r w:rsidRPr="00234B8D">
        <w:t xml:space="preserve"> instructions </w:t>
      </w:r>
      <w:r>
        <w:t xml:space="preserve">on how to </w:t>
      </w:r>
      <w:r w:rsidRPr="00234B8D">
        <w:t xml:space="preserve">access iHire’s website to view full resumes for a fee </w:t>
      </w:r>
      <w:r>
        <w:t xml:space="preserve">persuades us that </w:t>
      </w:r>
      <w:r w:rsidRPr="00234B8D">
        <w:t xml:space="preserve">the faxes’ </w:t>
      </w:r>
      <w:r>
        <w:t xml:space="preserve">primary </w:t>
      </w:r>
      <w:r w:rsidRPr="00234B8D">
        <w:t>purpose is to act as a “teaser” to induce potential employers to pay to see a full resume</w:t>
      </w:r>
      <w:r>
        <w:t xml:space="preserve"> and to expose them to advertising and offers for iHire’s other for-fee services</w:t>
      </w:r>
      <w:r w:rsidRPr="00234B8D">
        <w:t xml:space="preserve">.  </w:t>
      </w:r>
      <w:r>
        <w:t>Thus, we find that the faxes advertise the commercial availability of goods or services.</w:t>
      </w:r>
      <w:r>
        <w:rPr>
          <w:rStyle w:val="FootnoteReference"/>
        </w:rPr>
        <w:footnoteReference w:id="41"/>
      </w:r>
      <w:r>
        <w:t xml:space="preserve">  T</w:t>
      </w:r>
      <w:r w:rsidRPr="00234B8D">
        <w:t xml:space="preserve">he advertising on iHire’s faxes </w:t>
      </w:r>
      <w:r>
        <w:t xml:space="preserve">is </w:t>
      </w:r>
      <w:r w:rsidRPr="00234B8D">
        <w:t xml:space="preserve">clearly not </w:t>
      </w:r>
      <w:r w:rsidRPr="00234B8D">
        <w:rPr>
          <w:i/>
          <w:iCs/>
        </w:rPr>
        <w:t>de minimis</w:t>
      </w:r>
      <w:r>
        <w:t>; it</w:t>
      </w:r>
      <w:r w:rsidRPr="00234B8D">
        <w:t xml:space="preserve"> </w:t>
      </w:r>
      <w:r>
        <w:t xml:space="preserve">is </w:t>
      </w:r>
      <w:r w:rsidRPr="00234B8D">
        <w:t>a type of “pretext to advertise commercial products and services” and “marketing campaign to sell property, goods, or service</w:t>
      </w:r>
      <w:r>
        <w:t>s</w:t>
      </w:r>
      <w:r w:rsidRPr="00234B8D">
        <w:t>” that the Commission previously cautioned would violate the TCPA.</w:t>
      </w:r>
      <w:r w:rsidRPr="008C2BF6">
        <w:rPr>
          <w:rStyle w:val="FootnoteReference"/>
        </w:rPr>
        <w:footnoteReference w:id="42"/>
      </w:r>
      <w:r w:rsidRPr="00234B8D">
        <w:t xml:space="preserve">  </w:t>
      </w:r>
      <w:r w:rsidRPr="0052531F">
        <w:t xml:space="preserve">While the </w:t>
      </w:r>
      <w:r>
        <w:t>faxes include the job candidate</w:t>
      </w:r>
      <w:r w:rsidRPr="0052531F">
        <w:t>s</w:t>
      </w:r>
      <w:r>
        <w:t>’</w:t>
      </w:r>
      <w:r w:rsidRPr="0052531F">
        <w:t xml:space="preserve"> telephone number</w:t>
      </w:r>
      <w:r>
        <w:t>s</w:t>
      </w:r>
      <w:r w:rsidRPr="0052531F">
        <w:t xml:space="preserve"> and state that the potential employer may contact the job candidate</w:t>
      </w:r>
      <w:r>
        <w:t>s</w:t>
      </w:r>
      <w:r w:rsidRPr="0052531F">
        <w:t xml:space="preserve"> directly,</w:t>
      </w:r>
      <w:r>
        <w:rPr>
          <w:rStyle w:val="FootnoteReference"/>
        </w:rPr>
        <w:footnoteReference w:id="43"/>
      </w:r>
      <w:r>
        <w:t xml:space="preserve"> w</w:t>
      </w:r>
      <w:r w:rsidRPr="00B01673">
        <w:t xml:space="preserve">e believe a potential employer would </w:t>
      </w:r>
      <w:r>
        <w:t xml:space="preserve">more likely seek additional </w:t>
      </w:r>
      <w:r w:rsidRPr="00B01673">
        <w:t xml:space="preserve">information </w:t>
      </w:r>
      <w:r>
        <w:t xml:space="preserve">about a candidate </w:t>
      </w:r>
      <w:r w:rsidRPr="00B01673">
        <w:t>before contacting the candidate directly and</w:t>
      </w:r>
      <w:r>
        <w:t xml:space="preserve"> is</w:t>
      </w:r>
      <w:r w:rsidRPr="00B01673">
        <w:t xml:space="preserve"> therefore </w:t>
      </w:r>
      <w:r w:rsidR="00E42972">
        <w:t xml:space="preserve">more </w:t>
      </w:r>
      <w:r w:rsidRPr="00B01673">
        <w:t xml:space="preserve">likely to go to iHire’s website.  </w:t>
      </w:r>
    </w:p>
    <w:p w14:paraId="192A1086" w14:textId="3E614F92" w:rsidR="009A028F" w:rsidRPr="008C2BF6" w:rsidRDefault="009A028F" w:rsidP="00E60C95">
      <w:pPr>
        <w:pStyle w:val="ParaNum"/>
        <w:tabs>
          <w:tab w:val="clear" w:pos="1080"/>
          <w:tab w:val="num" w:pos="1440"/>
        </w:tabs>
        <w:jc w:val="left"/>
      </w:pPr>
      <w:r w:rsidRPr="00234B8D">
        <w:t xml:space="preserve">iHire </w:t>
      </w:r>
      <w:r>
        <w:t>nonetheless would not have violated</w:t>
      </w:r>
      <w:r w:rsidRPr="00234B8D">
        <w:t xml:space="preserve"> the TCPA and Commission rules if its faxes were solicited</w:t>
      </w:r>
      <w:r>
        <w:t xml:space="preserve"> from iHire</w:t>
      </w:r>
      <w:r w:rsidRPr="00234B8D">
        <w:t xml:space="preserve"> by the recipient,</w:t>
      </w:r>
      <w:r>
        <w:rPr>
          <w:rStyle w:val="FootnoteReference"/>
        </w:rPr>
        <w:footnoteReference w:id="44"/>
      </w:r>
      <w:r w:rsidRPr="00234B8D">
        <w:t xml:space="preserve"> but it is clear from the record they were </w:t>
      </w:r>
      <w:r w:rsidR="00E42972">
        <w:t>unsolicited</w:t>
      </w:r>
      <w:r w:rsidRPr="00234B8D">
        <w:t>.  BPG’s Craigs</w:t>
      </w:r>
      <w:r>
        <w:t>l</w:t>
      </w:r>
      <w:r w:rsidRPr="00234B8D">
        <w:t>ist posting instructs job “candidates” to “[f]ax a brief, hand written (by you), history of your previous health care positions” to a specified number.</w:t>
      </w:r>
      <w:r w:rsidRPr="008C2BF6">
        <w:rPr>
          <w:rStyle w:val="FootnoteReference"/>
        </w:rPr>
        <w:footnoteReference w:id="45"/>
      </w:r>
      <w:r w:rsidRPr="00234B8D">
        <w:t xml:space="preserve">  The posting also specifies “[p]rincipals only,” clarifies “[r]ecruiters, please don’t contact this job poster,” and indicates “[p]lease do not contact job poster about other services, products or commercial interests.”</w:t>
      </w:r>
      <w:r w:rsidRPr="008C2BF6">
        <w:rPr>
          <w:rStyle w:val="FootnoteReference"/>
        </w:rPr>
        <w:footnoteReference w:id="46"/>
      </w:r>
      <w:r w:rsidRPr="00234B8D">
        <w:t xml:space="preserve">  This job posting specifically states that third parties such as iHire should not fax resumes on behalf of a job candidate, and expressly precludes any other commercial fax communication.  </w:t>
      </w:r>
      <w:r w:rsidR="004A7362">
        <w:t xml:space="preserve">Moreover, </w:t>
      </w:r>
      <w:r w:rsidRPr="00234B8D">
        <w:t>BPG’s job posting did not provide the “prior express invitation or permission, in writing or otherwise”</w:t>
      </w:r>
      <w:r w:rsidRPr="008C2BF6">
        <w:rPr>
          <w:rStyle w:val="FootnoteReference"/>
        </w:rPr>
        <w:footnoteReference w:id="47"/>
      </w:r>
      <w:r w:rsidRPr="00234B8D">
        <w:t xml:space="preserve"> required for the faxes</w:t>
      </w:r>
      <w:r>
        <w:t xml:space="preserve"> </w:t>
      </w:r>
      <w:r w:rsidRPr="00234B8D">
        <w:t>to be considered solicited.</w:t>
      </w:r>
      <w:r>
        <w:rPr>
          <w:rStyle w:val="FootnoteReference"/>
        </w:rPr>
        <w:footnoteReference w:id="48"/>
      </w:r>
      <w:r w:rsidRPr="00234B8D">
        <w:t xml:space="preserve">  While the job posting solicited faxes from candidates themselves, the faxes sent by iHire to BPG were clearly unsolicited.</w:t>
      </w:r>
      <w:r w:rsidR="004A7362">
        <w:t xml:space="preserve">  </w:t>
      </w:r>
      <w:r w:rsidR="002878EE">
        <w:t>B</w:t>
      </w:r>
      <w:r w:rsidR="004A7362" w:rsidRPr="00234B8D">
        <w:t>usinesses such as iHire may provide a valuable service to job seekers and potential employers who wish to use it,</w:t>
      </w:r>
      <w:r w:rsidR="002878EE">
        <w:t xml:space="preserve"> but</w:t>
      </w:r>
      <w:r w:rsidR="004A7362" w:rsidRPr="00234B8D">
        <w:t xml:space="preserve"> the company cannot lawfully, under the TCPA, send fax advertisements that are clearly unsolicited.</w:t>
      </w:r>
    </w:p>
    <w:p w14:paraId="7DC8AA49" w14:textId="77777777" w:rsidR="009A028F" w:rsidRPr="00D664C0" w:rsidRDefault="009A028F" w:rsidP="00130962">
      <w:pPr>
        <w:pStyle w:val="Heading1"/>
      </w:pPr>
      <w:r>
        <w:t xml:space="preserve">CONCLUSION AND </w:t>
      </w:r>
      <w:r w:rsidRPr="00D664C0">
        <w:t>ordering clause</w:t>
      </w:r>
      <w:r>
        <w:t>S</w:t>
      </w:r>
    </w:p>
    <w:p w14:paraId="1639A8E9" w14:textId="77777777" w:rsidR="009A028F" w:rsidRDefault="009A028F" w:rsidP="00E73D9A">
      <w:pPr>
        <w:pStyle w:val="ParaNum"/>
        <w:widowControl/>
        <w:tabs>
          <w:tab w:val="clear" w:pos="1080"/>
          <w:tab w:val="num" w:pos="1440"/>
        </w:tabs>
        <w:jc w:val="left"/>
      </w:pPr>
      <w:r>
        <w:t>For the reasons discussed above, we deny iHire’s Petition to the extent described herein and find that iHire’s faxes to BPG are prohibited by the TCPA because they are unsolicited advertisements for iHire’s services.</w:t>
      </w:r>
    </w:p>
    <w:p w14:paraId="3D11A5D2" w14:textId="6B5F80E8" w:rsidR="009A028F" w:rsidRPr="00D664C0" w:rsidRDefault="009A028F" w:rsidP="00E73D9A">
      <w:pPr>
        <w:pStyle w:val="ParaNum"/>
        <w:widowControl/>
        <w:tabs>
          <w:tab w:val="clear" w:pos="1080"/>
          <w:tab w:val="num" w:pos="1440"/>
        </w:tabs>
        <w:jc w:val="left"/>
      </w:pPr>
      <w:r w:rsidRPr="00D664C0">
        <w:t xml:space="preserve">Accordingly, </w:t>
      </w:r>
      <w:r w:rsidRPr="00D664C0">
        <w:rPr>
          <w:caps/>
        </w:rPr>
        <w:t xml:space="preserve">it is </w:t>
      </w:r>
      <w:r w:rsidRPr="00D664C0">
        <w:t xml:space="preserve">ORDERED, </w:t>
      </w:r>
      <w:r w:rsidRPr="00B9272C">
        <w:t xml:space="preserve">pursuant to sections 1-4 and 227 of the Communications Act of 1934, as amended, 47 U.S.C. §§ 151-154, 227, </w:t>
      </w:r>
      <w:r w:rsidRPr="004770E9">
        <w:t>section</w:t>
      </w:r>
      <w:r>
        <w:t>s</w:t>
      </w:r>
      <w:r w:rsidRPr="004770E9">
        <w:t xml:space="preserve"> 1.2</w:t>
      </w:r>
      <w:r>
        <w:t xml:space="preserve"> and</w:t>
      </w:r>
      <w:r w:rsidRPr="004770E9">
        <w:t xml:space="preserve"> </w:t>
      </w:r>
      <w:r w:rsidRPr="00EC332E">
        <w:t>64.1200</w:t>
      </w:r>
      <w:r>
        <w:t xml:space="preserve"> </w:t>
      </w:r>
      <w:r w:rsidRPr="004770E9">
        <w:t>of the Commission’s rules, 47 C.F.R. §</w:t>
      </w:r>
      <w:r w:rsidRPr="007864D6">
        <w:t>§</w:t>
      </w:r>
      <w:r w:rsidRPr="004770E9">
        <w:t xml:space="preserve"> 1.2,</w:t>
      </w:r>
      <w:r>
        <w:t xml:space="preserve"> 64.1200, </w:t>
      </w:r>
      <w:r w:rsidR="004A7362">
        <w:t xml:space="preserve">and pursuant to the authority delegated in sections 0.141 and 0.361 of the Commission’s rules, 47 C.F.R. </w:t>
      </w:r>
      <w:r w:rsidR="004A7362" w:rsidRPr="00B9272C">
        <w:t>§§</w:t>
      </w:r>
      <w:r w:rsidR="004A7362">
        <w:t xml:space="preserve"> 0.141</w:t>
      </w:r>
      <w:r w:rsidR="002878EE">
        <w:t xml:space="preserve">, </w:t>
      </w:r>
      <w:r w:rsidR="004A7362">
        <w:t xml:space="preserve">0.361, </w:t>
      </w:r>
      <w:r w:rsidRPr="00D664C0">
        <w:t xml:space="preserve">that the Petition for Declaratory Ruling filed by </w:t>
      </w:r>
      <w:r>
        <w:t>iHire</w:t>
      </w:r>
      <w:r w:rsidRPr="00D664C0">
        <w:t xml:space="preserve"> in CG Docket No. 02-278 on </w:t>
      </w:r>
      <w:r>
        <w:t>June 20, 2011</w:t>
      </w:r>
      <w:r w:rsidRPr="00D664C0">
        <w:t>, IS DENIED</w:t>
      </w:r>
      <w:r>
        <w:t xml:space="preserve"> TO THE EXTENT DESCRIBED HEREIN AND IS OTHERWISE DISMISSED</w:t>
      </w:r>
      <w:r w:rsidRPr="00D664C0">
        <w:t>.</w:t>
      </w:r>
    </w:p>
    <w:p w14:paraId="69134573" w14:textId="77777777" w:rsidR="009A028F" w:rsidRPr="00D664C0" w:rsidRDefault="009A028F" w:rsidP="00844B14">
      <w:pPr>
        <w:pStyle w:val="ParaNum"/>
        <w:jc w:val="left"/>
      </w:pPr>
      <w:r w:rsidRPr="00D664C0">
        <w:t>IT IS FURTHER ORDERED that this Declaratory Ruling shall be effective upon release.</w:t>
      </w:r>
    </w:p>
    <w:p w14:paraId="235C36A7" w14:textId="77777777" w:rsidR="009A028F" w:rsidRDefault="009A028F" w:rsidP="00130962">
      <w:pPr>
        <w:pStyle w:val="ParaNum"/>
        <w:numPr>
          <w:ilvl w:val="0"/>
          <w:numId w:val="0"/>
        </w:numPr>
      </w:pPr>
    </w:p>
    <w:p w14:paraId="23A97166" w14:textId="77777777" w:rsidR="009A028F" w:rsidRDefault="009A028F" w:rsidP="00130962">
      <w:pPr>
        <w:keepNext/>
        <w:ind w:firstLine="4320"/>
      </w:pPr>
      <w:r>
        <w:t>FEDERAL COMMUNICATIONS COMMISSION</w:t>
      </w:r>
    </w:p>
    <w:p w14:paraId="36700988" w14:textId="77777777" w:rsidR="009A028F" w:rsidRDefault="009A028F" w:rsidP="00130962">
      <w:pPr>
        <w:keepNext/>
        <w:ind w:firstLine="4320"/>
      </w:pPr>
    </w:p>
    <w:p w14:paraId="032A7815" w14:textId="77777777" w:rsidR="009A028F" w:rsidRDefault="009A028F" w:rsidP="00130962">
      <w:r>
        <w:tab/>
      </w:r>
      <w:r>
        <w:tab/>
      </w:r>
      <w:r>
        <w:tab/>
      </w:r>
      <w:r>
        <w:tab/>
      </w:r>
      <w:r>
        <w:tab/>
      </w:r>
      <w:r>
        <w:tab/>
      </w:r>
    </w:p>
    <w:p w14:paraId="0F4D70A9" w14:textId="77777777" w:rsidR="009A028F" w:rsidRDefault="009A028F" w:rsidP="00130962">
      <w:r>
        <w:tab/>
      </w:r>
      <w:r>
        <w:tab/>
      </w:r>
      <w:r>
        <w:tab/>
      </w:r>
      <w:r>
        <w:tab/>
      </w:r>
      <w:r>
        <w:tab/>
      </w:r>
      <w:r>
        <w:tab/>
      </w:r>
    </w:p>
    <w:p w14:paraId="28E7AB43" w14:textId="77777777" w:rsidR="009A028F" w:rsidRDefault="009A028F" w:rsidP="00130962">
      <w:pPr>
        <w:ind w:firstLine="4320"/>
      </w:pPr>
    </w:p>
    <w:p w14:paraId="5AA1E5BB" w14:textId="49E132CD" w:rsidR="009A028F" w:rsidRDefault="00BD5868" w:rsidP="00130962">
      <w:pPr>
        <w:ind w:firstLine="4320"/>
      </w:pPr>
      <w:r>
        <w:t>Alison Kutler</w:t>
      </w:r>
    </w:p>
    <w:p w14:paraId="0FF72036" w14:textId="5F66B950" w:rsidR="00BD5868" w:rsidRDefault="00BD5868" w:rsidP="002878EE">
      <w:pPr>
        <w:ind w:firstLine="4320"/>
      </w:pPr>
      <w:r>
        <w:t xml:space="preserve">Acting Chief </w:t>
      </w:r>
    </w:p>
    <w:p w14:paraId="64961BCF" w14:textId="02E01FE9" w:rsidR="00BD5868" w:rsidRDefault="00BD5868" w:rsidP="002878EE">
      <w:pPr>
        <w:ind w:firstLine="4320"/>
      </w:pPr>
      <w:r>
        <w:t xml:space="preserve">Consumer and Governmental Affairs Bureau </w:t>
      </w:r>
    </w:p>
    <w:p w14:paraId="71F5F85B" w14:textId="77777777" w:rsidR="009A028F" w:rsidRDefault="009A028F" w:rsidP="00130962">
      <w:pPr>
        <w:pStyle w:val="ParaNum"/>
        <w:numPr>
          <w:ilvl w:val="0"/>
          <w:numId w:val="0"/>
        </w:numPr>
        <w:jc w:val="center"/>
        <w:rPr>
          <w:b/>
          <w:bCs/>
        </w:rPr>
      </w:pPr>
      <w:r>
        <w:br w:type="page"/>
      </w:r>
      <w:r>
        <w:rPr>
          <w:b/>
          <w:bCs/>
        </w:rPr>
        <w:t>Appendix</w:t>
      </w:r>
    </w:p>
    <w:p w14:paraId="0445BB1D" w14:textId="77777777" w:rsidR="009A028F" w:rsidRDefault="009A028F" w:rsidP="00130962">
      <w:pPr>
        <w:pStyle w:val="ParaNum"/>
        <w:numPr>
          <w:ilvl w:val="0"/>
          <w:numId w:val="0"/>
        </w:numPr>
        <w:jc w:val="center"/>
        <w:rPr>
          <w:b/>
          <w:bCs/>
        </w:rPr>
      </w:pPr>
      <w:r>
        <w:rPr>
          <w:b/>
          <w:bCs/>
        </w:rPr>
        <w:t>List of Commenters</w:t>
      </w:r>
    </w:p>
    <w:p w14:paraId="02280B59" w14:textId="77777777" w:rsidR="009A028F" w:rsidRDefault="009A028F" w:rsidP="00130962">
      <w:pPr>
        <w:tabs>
          <w:tab w:val="left" w:pos="-720"/>
        </w:tabs>
        <w:suppressAutoHyphens/>
      </w:pPr>
      <w:r>
        <w:t>The following parties filed comments in response to the October 23, 2012 Public Notice (CG Docket 02-278):</w:t>
      </w:r>
    </w:p>
    <w:p w14:paraId="55481791" w14:textId="77777777" w:rsidR="009A028F" w:rsidRDefault="009A028F" w:rsidP="00130962"/>
    <w:p w14:paraId="49BD0565" w14:textId="77777777" w:rsidR="009A028F" w:rsidRDefault="009A028F" w:rsidP="00130962">
      <w:pPr>
        <w:tabs>
          <w:tab w:val="left" w:pos="6300"/>
        </w:tabs>
        <w:rPr>
          <w:u w:val="single"/>
        </w:rPr>
      </w:pPr>
      <w:r w:rsidRPr="00E6678F">
        <w:rPr>
          <w:u w:val="single"/>
        </w:rPr>
        <w:t>Commenter</w:t>
      </w:r>
      <w:r>
        <w:tab/>
      </w:r>
      <w:r>
        <w:tab/>
      </w:r>
      <w:r w:rsidRPr="00E6678F">
        <w:rPr>
          <w:u w:val="single"/>
        </w:rPr>
        <w:t>Abbreviation</w:t>
      </w:r>
    </w:p>
    <w:p w14:paraId="7384DDDD" w14:textId="77777777" w:rsidR="009A028F" w:rsidRPr="006A0641" w:rsidRDefault="009A028F" w:rsidP="00130962">
      <w:pPr>
        <w:tabs>
          <w:tab w:val="left" w:pos="6300"/>
        </w:tabs>
        <w:rPr>
          <w:b/>
          <w:bCs/>
        </w:rPr>
      </w:pPr>
      <w:r w:rsidRPr="006A0641">
        <w:rPr>
          <w:b/>
          <w:bCs/>
        </w:rPr>
        <w:t>Richard S. Alembik</w:t>
      </w:r>
      <w:r w:rsidRPr="006A0641">
        <w:rPr>
          <w:b/>
          <w:bCs/>
        </w:rPr>
        <w:tab/>
      </w:r>
      <w:r w:rsidRPr="006A0641">
        <w:rPr>
          <w:b/>
          <w:bCs/>
        </w:rPr>
        <w:tab/>
        <w:t>Alembik</w:t>
      </w:r>
    </w:p>
    <w:p w14:paraId="4B404FE2" w14:textId="77777777" w:rsidR="009A028F" w:rsidRDefault="009A028F" w:rsidP="00130962">
      <w:pPr>
        <w:tabs>
          <w:tab w:val="left" w:pos="0"/>
          <w:tab w:val="left" w:pos="180"/>
          <w:tab w:val="left" w:pos="720"/>
          <w:tab w:val="left" w:pos="5760"/>
        </w:tabs>
        <w:suppressAutoHyphens/>
      </w:pPr>
      <w:r w:rsidRPr="00913761">
        <w:t>Gerald Roylance</w:t>
      </w:r>
      <w:r>
        <w:t>*</w:t>
      </w:r>
      <w:r w:rsidRPr="00913761">
        <w:tab/>
      </w:r>
      <w:r w:rsidRPr="00913761">
        <w:tab/>
        <w:t>Roylance</w:t>
      </w:r>
    </w:p>
    <w:p w14:paraId="7D4580D1" w14:textId="77777777" w:rsidR="009A028F" w:rsidRPr="00913761" w:rsidRDefault="009A028F" w:rsidP="00130962">
      <w:pPr>
        <w:tabs>
          <w:tab w:val="left" w:pos="0"/>
          <w:tab w:val="left" w:pos="180"/>
          <w:tab w:val="left" w:pos="720"/>
          <w:tab w:val="left" w:pos="5760"/>
        </w:tabs>
        <w:suppressAutoHyphens/>
      </w:pPr>
      <w:r w:rsidRPr="00913761">
        <w:t>Joe Shields</w:t>
      </w:r>
      <w:r w:rsidRPr="00913761">
        <w:tab/>
      </w:r>
      <w:r w:rsidRPr="00913761">
        <w:tab/>
        <w:t>Shields</w:t>
      </w:r>
    </w:p>
    <w:p w14:paraId="6E6BCB75" w14:textId="77777777" w:rsidR="009A028F" w:rsidRPr="006A0641" w:rsidRDefault="009A028F" w:rsidP="006A0641">
      <w:pPr>
        <w:tabs>
          <w:tab w:val="left" w:pos="6300"/>
        </w:tabs>
      </w:pPr>
      <w:r w:rsidRPr="006A0641">
        <w:t>Michael C. Worsham</w:t>
      </w:r>
      <w:r>
        <w:t>*</w:t>
      </w:r>
      <w:r w:rsidRPr="006A0641">
        <w:tab/>
      </w:r>
      <w:r w:rsidRPr="006A0641">
        <w:tab/>
        <w:t>Worsham</w:t>
      </w:r>
    </w:p>
    <w:p w14:paraId="38693952" w14:textId="77777777" w:rsidR="009A028F" w:rsidRDefault="009A028F" w:rsidP="00130962">
      <w:pPr>
        <w:tabs>
          <w:tab w:val="left" w:pos="0"/>
          <w:tab w:val="left" w:pos="180"/>
          <w:tab w:val="left" w:pos="720"/>
          <w:tab w:val="left" w:pos="5760"/>
        </w:tabs>
        <w:suppressAutoHyphens/>
        <w:rPr>
          <w:b/>
          <w:bCs/>
        </w:rPr>
      </w:pPr>
    </w:p>
    <w:p w14:paraId="37C8D555" w14:textId="77777777" w:rsidR="009A028F" w:rsidRDefault="009A028F" w:rsidP="00130962">
      <w:pPr>
        <w:tabs>
          <w:tab w:val="left" w:pos="6300"/>
        </w:tabs>
        <w:ind w:left="360"/>
      </w:pPr>
      <w:r>
        <w:t xml:space="preserve">* filing both comments and reply comment (bold - reply comments only)  </w:t>
      </w:r>
    </w:p>
    <w:p w14:paraId="2EACEFDA" w14:textId="77777777" w:rsidR="009A028F" w:rsidRPr="003D20FB" w:rsidRDefault="009A028F" w:rsidP="00130962">
      <w:pPr>
        <w:pStyle w:val="ParaNum"/>
        <w:numPr>
          <w:ilvl w:val="0"/>
          <w:numId w:val="0"/>
        </w:numPr>
        <w:jc w:val="left"/>
        <w:rPr>
          <w:b/>
          <w:bCs/>
        </w:rPr>
      </w:pPr>
    </w:p>
    <w:sectPr w:rsidR="009A028F" w:rsidRPr="003D20FB" w:rsidSect="00554F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1149D" w14:textId="77777777" w:rsidR="000B3D1E" w:rsidRDefault="000B3D1E">
      <w:r>
        <w:separator/>
      </w:r>
    </w:p>
  </w:endnote>
  <w:endnote w:type="continuationSeparator" w:id="0">
    <w:p w14:paraId="71A3A3FE" w14:textId="77777777" w:rsidR="000B3D1E" w:rsidRDefault="000B3D1E">
      <w:r>
        <w:continuationSeparator/>
      </w:r>
    </w:p>
  </w:endnote>
  <w:endnote w:type="continuationNotice" w:id="1">
    <w:p w14:paraId="3653EB47" w14:textId="77777777" w:rsidR="000B3D1E" w:rsidRDefault="000B3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14F6D" w14:textId="77777777" w:rsidR="00B13BA5" w:rsidRDefault="00B13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74002" w14:textId="77777777" w:rsidR="009A028F" w:rsidRDefault="009A028F">
    <w:pPr>
      <w:pStyle w:val="Footer"/>
      <w:jc w:val="center"/>
    </w:pPr>
    <w:r>
      <w:rPr>
        <w:rStyle w:val="PageNumber"/>
      </w:rPr>
      <w:fldChar w:fldCharType="begin"/>
    </w:r>
    <w:r>
      <w:rPr>
        <w:rStyle w:val="PageNumber"/>
      </w:rPr>
      <w:instrText xml:space="preserve"> PAGE </w:instrText>
    </w:r>
    <w:r>
      <w:rPr>
        <w:rStyle w:val="PageNumber"/>
      </w:rPr>
      <w:fldChar w:fldCharType="separate"/>
    </w:r>
    <w:r w:rsidR="00BE69C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900A" w14:textId="77777777" w:rsidR="00B13BA5" w:rsidRDefault="00B13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0511B" w14:textId="77777777" w:rsidR="000B3D1E" w:rsidRDefault="000B3D1E">
      <w:pPr>
        <w:rPr>
          <w:sz w:val="20"/>
          <w:szCs w:val="20"/>
        </w:rPr>
      </w:pPr>
      <w:r>
        <w:rPr>
          <w:sz w:val="20"/>
          <w:szCs w:val="20"/>
        </w:rPr>
        <w:separator/>
      </w:r>
    </w:p>
  </w:footnote>
  <w:footnote w:type="continuationSeparator" w:id="0">
    <w:p w14:paraId="674122E3" w14:textId="77777777" w:rsidR="000B3D1E" w:rsidRDefault="000B3D1E">
      <w:pPr>
        <w:rPr>
          <w:sz w:val="20"/>
          <w:szCs w:val="20"/>
        </w:rPr>
      </w:pPr>
      <w:r>
        <w:rPr>
          <w:sz w:val="20"/>
          <w:szCs w:val="20"/>
        </w:rPr>
        <w:separator/>
      </w:r>
      <w:r>
        <w:rPr>
          <w:sz w:val="20"/>
          <w:szCs w:val="20"/>
        </w:rPr>
        <w:t xml:space="preserve"> (...continued from previous page)</w:t>
      </w:r>
    </w:p>
  </w:footnote>
  <w:footnote w:type="continuationNotice" w:id="1">
    <w:p w14:paraId="772B502D" w14:textId="77777777" w:rsidR="000B3D1E" w:rsidRDefault="000B3D1E">
      <w:pPr>
        <w:jc w:val="right"/>
        <w:rPr>
          <w:sz w:val="20"/>
          <w:szCs w:val="20"/>
        </w:rPr>
      </w:pPr>
      <w:r>
        <w:rPr>
          <w:sz w:val="20"/>
          <w:szCs w:val="20"/>
        </w:rPr>
        <w:t>(continued....)</w:t>
      </w:r>
    </w:p>
  </w:footnote>
  <w:footnote w:id="2">
    <w:p w14:paraId="03DB20D8" w14:textId="3B49319C" w:rsidR="009A028F" w:rsidRDefault="009A028F" w:rsidP="00F8517C">
      <w:pPr>
        <w:pStyle w:val="FootnoteText"/>
        <w:jc w:val="left"/>
      </w:pPr>
      <w:r>
        <w:rPr>
          <w:rStyle w:val="FootnoteReference"/>
        </w:rPr>
        <w:footnoteRef/>
      </w:r>
      <w:r>
        <w:t xml:space="preserve"> iHire, LLC (iHire) states that it is an employment service.  iHire, Petition for Declaratory Ruling, CG Docket No. 02-278, filed June 20, 2011, at 3 (Petition).  </w:t>
      </w:r>
      <w:r w:rsidR="0016303D">
        <w:t>Under the Commission’s rules, t</w:t>
      </w:r>
      <w:r>
        <w:t xml:space="preserve">he Commission </w:t>
      </w:r>
      <w:r w:rsidR="0016303D">
        <w:t xml:space="preserve">or its delegate </w:t>
      </w:r>
      <w:r>
        <w:t>may issue a declaratory ruling “terminating a controversy or removing uncertainty.”  47 C.F.R. § 1.2.</w:t>
      </w:r>
    </w:p>
  </w:footnote>
  <w:footnote w:id="3">
    <w:p w14:paraId="0887AA75" w14:textId="77777777" w:rsidR="009A028F" w:rsidRDefault="009A028F" w:rsidP="00986D08">
      <w:pPr>
        <w:pStyle w:val="FootnoteText"/>
        <w:jc w:val="left"/>
      </w:pPr>
      <w:r>
        <w:rPr>
          <w:rStyle w:val="FootnoteReference"/>
        </w:rPr>
        <w:footnoteRef/>
      </w:r>
      <w:r>
        <w:t xml:space="preserve"> </w:t>
      </w:r>
      <w:r w:rsidRPr="00EE0641">
        <w:t xml:space="preserve">The TCPA is codified at section 227 of the Communications Act of 1934, as amended.  </w:t>
      </w:r>
      <w:r w:rsidRPr="00EE0641">
        <w:rPr>
          <w:i/>
          <w:iCs/>
        </w:rPr>
        <w:t xml:space="preserve">See </w:t>
      </w:r>
      <w:r w:rsidRPr="00EE0641">
        <w:t>47 U.S.C. § 227.  The TCPA defines “unsolicited advertisement” as “any material advertising the commercial availability or quality of any property, goods, or services which is transmitted to any person without that person’s prior express invitation or permission, in writing or otherwise.”  47 U.S.C. § 227(a)(5).</w:t>
      </w:r>
    </w:p>
  </w:footnote>
  <w:footnote w:id="4">
    <w:p w14:paraId="57A2EF84" w14:textId="77777777" w:rsidR="009A028F" w:rsidRDefault="009A028F" w:rsidP="00642155">
      <w:pPr>
        <w:pStyle w:val="FootnoteText"/>
      </w:pPr>
      <w:r>
        <w:rPr>
          <w:rStyle w:val="FootnoteReference"/>
        </w:rPr>
        <w:footnoteRef/>
      </w:r>
      <w:r>
        <w:t xml:space="preserve"> </w:t>
      </w:r>
      <w:r w:rsidRPr="00C115B7">
        <w:rPr>
          <w:i/>
          <w:iCs/>
        </w:rPr>
        <w:t>See infra</w:t>
      </w:r>
      <w:r>
        <w:t xml:space="preserve"> para. 6.</w:t>
      </w:r>
    </w:p>
  </w:footnote>
  <w:footnote w:id="5">
    <w:p w14:paraId="20CB90D1" w14:textId="77777777" w:rsidR="009A028F" w:rsidRDefault="009A028F" w:rsidP="000F3D63">
      <w:pPr>
        <w:pStyle w:val="FootnoteText"/>
        <w:jc w:val="left"/>
      </w:pPr>
      <w:r>
        <w:rPr>
          <w:rStyle w:val="FootnoteReference"/>
        </w:rPr>
        <w:footnoteRef/>
      </w:r>
      <w:r>
        <w:t xml:space="preserve"> </w:t>
      </w:r>
      <w:r w:rsidRPr="00FF53CE">
        <w:t>Telephone Consumer Protection Act of 1991, Pub. L. No. 102-243, 105 Stat. 2394 (1991),</w:t>
      </w:r>
      <w:r>
        <w:rPr>
          <w:i/>
          <w:iCs/>
        </w:rPr>
        <w:t xml:space="preserve"> codified at </w:t>
      </w:r>
      <w:r w:rsidRPr="00FF53CE">
        <w:t>47</w:t>
      </w:r>
      <w:r>
        <w:rPr>
          <w:i/>
          <w:iCs/>
        </w:rPr>
        <w:t xml:space="preserve"> </w:t>
      </w:r>
      <w:r w:rsidRPr="00EE0641">
        <w:t>U.S.C. § 227.</w:t>
      </w:r>
    </w:p>
  </w:footnote>
  <w:footnote w:id="6">
    <w:p w14:paraId="3C7F710D" w14:textId="77777777" w:rsidR="009A028F" w:rsidRDefault="009A028F" w:rsidP="000F3D63">
      <w:pPr>
        <w:pStyle w:val="FootnoteText"/>
        <w:jc w:val="left"/>
      </w:pPr>
      <w:r>
        <w:rPr>
          <w:rStyle w:val="FootnoteReference"/>
        </w:rPr>
        <w:footnoteRef/>
      </w:r>
      <w:r>
        <w:t xml:space="preserve"> 47 U.S.C. § 227(b)(1)(C); </w:t>
      </w:r>
      <w:r w:rsidRPr="00EC332E">
        <w:t>47 C.F.R. § 64.1200(a)(4).</w:t>
      </w:r>
      <w:r>
        <w:t xml:space="preserve">  The exceptions listed at 47 U.S.C. § 227(b)(1)(C)(i)-(iii) are not relevant here because the sender of the fax advertisement and the recipient of the fax did not have an established business relationship.  </w:t>
      </w:r>
      <w:r w:rsidRPr="00512A6D">
        <w:rPr>
          <w:i/>
          <w:iCs/>
        </w:rPr>
        <w:t xml:space="preserve">See </w:t>
      </w:r>
      <w:r>
        <w:rPr>
          <w:i/>
          <w:iCs/>
        </w:rPr>
        <w:t>Rules and Regulations Implementing the Telephone Consumer Protection Act of 1991; Junk Fax Prevention Act of 2005</w:t>
      </w:r>
      <w:r>
        <w:t>, CG Docket Nos. 02-278, 05-338, Report and Order and Third Order on Reconsideration, 21 FCC Rcd 3787, 3791, para. 8 (2006) (</w:t>
      </w:r>
      <w:r>
        <w:rPr>
          <w:i/>
          <w:iCs/>
        </w:rPr>
        <w:t>2006 Order</w:t>
      </w:r>
      <w:r>
        <w:t xml:space="preserve">); </w:t>
      </w:r>
      <w:r w:rsidRPr="00512A6D">
        <w:rPr>
          <w:i/>
          <w:iCs/>
        </w:rPr>
        <w:t>Rules and Regulations Implementing the Telephone Consumer Protection Act of 1991; Junk Fax Prevention Act of 2005</w:t>
      </w:r>
      <w:r>
        <w:t xml:space="preserve">, CG Docket Nos. 05-338, 08-239, Order on Reconsideration, </w:t>
      </w:r>
      <w:r w:rsidRPr="00512A6D">
        <w:t>23</w:t>
      </w:r>
      <w:r>
        <w:t xml:space="preserve"> FCC Rcd 15059, 15064 para. 11 (2008).</w:t>
      </w:r>
    </w:p>
  </w:footnote>
  <w:footnote w:id="7">
    <w:p w14:paraId="0020D25F" w14:textId="77777777" w:rsidR="009A028F" w:rsidRDefault="009A028F" w:rsidP="000F3D63">
      <w:pPr>
        <w:pStyle w:val="FootnoteText"/>
        <w:jc w:val="left"/>
      </w:pPr>
      <w:r>
        <w:rPr>
          <w:rStyle w:val="FootnoteReference"/>
        </w:rPr>
        <w:footnoteRef/>
      </w:r>
      <w:r>
        <w:t xml:space="preserve"> 47 U.S.C. § 227(a)(5); </w:t>
      </w:r>
      <w:r w:rsidRPr="00EC332E">
        <w:t>47 C.F.R. § 64.1200(</w:t>
      </w:r>
      <w:r>
        <w:t>f)(15).</w:t>
      </w:r>
    </w:p>
  </w:footnote>
  <w:footnote w:id="8">
    <w:p w14:paraId="06334767" w14:textId="77777777" w:rsidR="009A028F" w:rsidRDefault="009A028F" w:rsidP="000F3D63">
      <w:pPr>
        <w:pStyle w:val="FootnoteText"/>
        <w:jc w:val="left"/>
      </w:pPr>
      <w:r>
        <w:rPr>
          <w:rStyle w:val="FootnoteReference"/>
        </w:rPr>
        <w:footnoteRef/>
      </w:r>
      <w:r>
        <w:t xml:space="preserve"> Petition at 2.  The opt-out provisions are set forth at 47 U.S.C. § 227(b)(2)(D), 47 C.F.R. § 64.1200(a)(4)(iii).  They require, in part, that the notice appear on the first page of the unsolicited advertisement and include a domestic contact telephone number and fax machine number for the recipient to transmit an opt-out request to the sender.  47 U.S.C. § 227(b)(2)(D).  The included numbers must permit the recipient a cost-free mechanism to transmit an opt-out request any time on any day of the week.  </w:t>
      </w:r>
      <w:r>
        <w:rPr>
          <w:i/>
          <w:iCs/>
        </w:rPr>
        <w:t>Id.</w:t>
      </w:r>
      <w:r>
        <w:t xml:space="preserve">  </w:t>
      </w:r>
    </w:p>
  </w:footnote>
  <w:footnote w:id="9">
    <w:p w14:paraId="7846F96E" w14:textId="77777777" w:rsidR="009A028F" w:rsidRDefault="009A028F">
      <w:pPr>
        <w:pStyle w:val="FootnoteText"/>
      </w:pPr>
      <w:r>
        <w:rPr>
          <w:rStyle w:val="FootnoteReference"/>
        </w:rPr>
        <w:footnoteRef/>
      </w:r>
      <w:r>
        <w:t xml:space="preserve"> Petition at 2.</w:t>
      </w:r>
    </w:p>
  </w:footnote>
  <w:footnote w:id="10">
    <w:p w14:paraId="55DBF651" w14:textId="77777777" w:rsidR="009A028F" w:rsidRDefault="009A028F" w:rsidP="000F3D63">
      <w:pPr>
        <w:pStyle w:val="FootnoteText"/>
        <w:jc w:val="left"/>
      </w:pPr>
      <w:r>
        <w:rPr>
          <w:rStyle w:val="FootnoteReference"/>
        </w:rPr>
        <w:footnoteRef/>
      </w:r>
      <w:r>
        <w:t xml:space="preserve"> </w:t>
      </w:r>
      <w:r>
        <w:rPr>
          <w:i/>
          <w:iCs/>
        </w:rPr>
        <w:t>Id.</w:t>
      </w:r>
      <w:r>
        <w:t xml:space="preserve"> at </w:t>
      </w:r>
      <w:r w:rsidRPr="007C5FFC">
        <w:t>2</w:t>
      </w:r>
      <w:r>
        <w:t>-3.</w:t>
      </w:r>
    </w:p>
  </w:footnote>
  <w:footnote w:id="11">
    <w:p w14:paraId="72857723" w14:textId="77777777" w:rsidR="009A028F" w:rsidRDefault="009A028F" w:rsidP="000F3D63">
      <w:pPr>
        <w:pStyle w:val="FootnoteText"/>
        <w:jc w:val="left"/>
      </w:pPr>
      <w:r>
        <w:rPr>
          <w:rStyle w:val="FootnoteReference"/>
        </w:rPr>
        <w:footnoteRef/>
      </w:r>
      <w:r>
        <w:t xml:space="preserve"> </w:t>
      </w:r>
      <w:r>
        <w:rPr>
          <w:i/>
          <w:iCs/>
        </w:rPr>
        <w:t>Id.</w:t>
      </w:r>
      <w:r>
        <w:t xml:space="preserve"> at 3.</w:t>
      </w:r>
    </w:p>
  </w:footnote>
  <w:footnote w:id="12">
    <w:p w14:paraId="05386145" w14:textId="77777777" w:rsidR="009A028F" w:rsidRDefault="009A028F" w:rsidP="000F3D63">
      <w:pPr>
        <w:pStyle w:val="FootnoteText"/>
        <w:jc w:val="left"/>
      </w:pPr>
      <w:r>
        <w:rPr>
          <w:rStyle w:val="FootnoteReference"/>
        </w:rPr>
        <w:footnoteRef/>
      </w:r>
      <w:r>
        <w:t xml:space="preserve"> </w:t>
      </w:r>
      <w:r>
        <w:rPr>
          <w:i/>
          <w:iCs/>
        </w:rPr>
        <w:t>See</w:t>
      </w:r>
      <w:r>
        <w:t xml:space="preserve"> </w:t>
      </w:r>
      <w:r w:rsidRPr="00C91C78">
        <w:rPr>
          <w:i/>
          <w:iCs/>
        </w:rPr>
        <w:t xml:space="preserve">Consumer and Governmental Affairs Bureau Seeks Comment on Petition for Declaratory Rulemaking from </w:t>
      </w:r>
      <w:r>
        <w:rPr>
          <w:i/>
          <w:iCs/>
        </w:rPr>
        <w:t>iHire, LLC</w:t>
      </w:r>
      <w:r>
        <w:t>, CG Docket No. 02-278, Public Notice, 27 FCC Rcd 13305 (CGB 2012</w:t>
      </w:r>
      <w:r w:rsidRPr="007A469E">
        <w:t>).</w:t>
      </w:r>
      <w:r>
        <w:t xml:space="preserve">  </w:t>
      </w:r>
    </w:p>
  </w:footnote>
  <w:footnote w:id="13">
    <w:p w14:paraId="5EF848BD" w14:textId="77777777" w:rsidR="009A028F" w:rsidRDefault="009A028F" w:rsidP="000F3D63">
      <w:pPr>
        <w:pStyle w:val="FootnoteText"/>
        <w:jc w:val="left"/>
      </w:pPr>
      <w:r>
        <w:rPr>
          <w:rStyle w:val="FootnoteReference"/>
        </w:rPr>
        <w:footnoteRef/>
      </w:r>
      <w:r>
        <w:t xml:space="preserve"> </w:t>
      </w:r>
      <w:r>
        <w:rPr>
          <w:i/>
          <w:iCs/>
        </w:rPr>
        <w:t>See</w:t>
      </w:r>
      <w:r>
        <w:t xml:space="preserve"> Appendix.</w:t>
      </w:r>
    </w:p>
  </w:footnote>
  <w:footnote w:id="14">
    <w:p w14:paraId="760B6F19" w14:textId="77777777" w:rsidR="009A028F" w:rsidRDefault="009A028F" w:rsidP="000F3D63">
      <w:pPr>
        <w:pStyle w:val="FootnoteText"/>
        <w:jc w:val="left"/>
      </w:pPr>
      <w:r>
        <w:rPr>
          <w:rStyle w:val="FootnoteReference"/>
        </w:rPr>
        <w:footnoteRef/>
      </w:r>
      <w:r>
        <w:t xml:space="preserve"> </w:t>
      </w:r>
      <w:r w:rsidRPr="00F136C9">
        <w:rPr>
          <w:i/>
          <w:iCs/>
        </w:rPr>
        <w:t>See</w:t>
      </w:r>
      <w:r>
        <w:t xml:space="preserve"> Alembik Comments at 4; Shields Comments at 2.</w:t>
      </w:r>
    </w:p>
  </w:footnote>
  <w:footnote w:id="15">
    <w:p w14:paraId="2FB1F643" w14:textId="40CDB504" w:rsidR="009A028F" w:rsidRDefault="009A028F" w:rsidP="00761BF7">
      <w:pPr>
        <w:pStyle w:val="FootnoteText"/>
        <w:jc w:val="left"/>
      </w:pPr>
      <w:r>
        <w:rPr>
          <w:rStyle w:val="FootnoteReference"/>
        </w:rPr>
        <w:footnoteRef/>
      </w:r>
      <w:r>
        <w:t xml:space="preserve"> </w:t>
      </w:r>
      <w:r w:rsidRPr="00F136C9">
        <w:rPr>
          <w:i/>
          <w:iCs/>
        </w:rPr>
        <w:t>See</w:t>
      </w:r>
      <w:r>
        <w:t xml:space="preserve"> Worsham Comments at 1.  BPG successfully sued iHire for the same alleged TCPA violations in Maryland.  On February 23, 2011, the Circuit Court for Baltimore County entered judgment against iHire and awarded $1500 plus interest and costs to BPG.  </w:t>
      </w:r>
      <w:r>
        <w:rPr>
          <w:i/>
          <w:iCs/>
        </w:rPr>
        <w:t>Baltimore Podiatry Group Drs. Scheffler &amp; Sheitel P.A. v. iHire LLC,</w:t>
      </w:r>
      <w:r>
        <w:t xml:space="preserve"> Case No. 03C10010644 (District Case No. 080400006642010), Circuit Court for Baltimore County-Civil System (Circuit Court of Maryland).  In a separate complaint filed by BPG against iHire, t</w:t>
      </w:r>
      <w:r w:rsidRPr="00970EE0">
        <w:t>he Circuit Court for Baltimore County</w:t>
      </w:r>
      <w:r>
        <w:t xml:space="preserve"> </w:t>
      </w:r>
      <w:r w:rsidRPr="00D67FFB">
        <w:t xml:space="preserve">determined the three faxes at issue </w:t>
      </w:r>
      <w:r w:rsidRPr="00AC55F5">
        <w:t xml:space="preserve">were </w:t>
      </w:r>
      <w:r w:rsidRPr="00BA433E">
        <w:t>advertisements under the TCPA and that iHire did not have BPG’s invitation or permission to send the faxes.</w:t>
      </w:r>
      <w:r>
        <w:t xml:space="preserve">  April 29, 2013, filing by Michael C. Worsham, CG Docket No. 02-278, at 4-5.  The parties later settled and the court dismissed with prejudice.  </w:t>
      </w:r>
      <w:r>
        <w:rPr>
          <w:i/>
          <w:iCs/>
        </w:rPr>
        <w:t>See</w:t>
      </w:r>
      <w:r>
        <w:t xml:space="preserve"> Docket for the Circuit Court for Baltimore County, Case No. 03-C-10-002526, available at </w:t>
      </w:r>
      <w:hyperlink r:id="rId1" w:history="1">
        <w:r w:rsidRPr="00EA6A9E">
          <w:rPr>
            <w:rStyle w:val="Hyperlink"/>
          </w:rPr>
          <w:t>http://casesearch.courts.state.md.us/inquiry/inquiryDetail.jis?caseId=03C10002526&amp;loc=55&amp;detailLoc=CC</w:t>
        </w:r>
      </w:hyperlink>
      <w:r>
        <w:t xml:space="preserve"> (last visited on Aug. </w:t>
      </w:r>
      <w:r w:rsidR="00726E02">
        <w:t>25</w:t>
      </w:r>
      <w:r>
        <w:t>, 201</w:t>
      </w:r>
      <w:r w:rsidR="00B31BEB">
        <w:t>5</w:t>
      </w:r>
      <w:r>
        <w:t>).</w:t>
      </w:r>
    </w:p>
  </w:footnote>
  <w:footnote w:id="16">
    <w:p w14:paraId="59413CA2" w14:textId="77777777" w:rsidR="009A028F" w:rsidRDefault="009A028F" w:rsidP="00761BF7">
      <w:pPr>
        <w:pStyle w:val="FootnoteText"/>
        <w:jc w:val="left"/>
      </w:pPr>
      <w:r>
        <w:rPr>
          <w:rStyle w:val="FootnoteReference"/>
        </w:rPr>
        <w:footnoteRef/>
      </w:r>
      <w:r>
        <w:t xml:space="preserve"> </w:t>
      </w:r>
      <w:r w:rsidRPr="00F136C9">
        <w:rPr>
          <w:i/>
          <w:iCs/>
        </w:rPr>
        <w:t>See</w:t>
      </w:r>
      <w:r>
        <w:t xml:space="preserve"> </w:t>
      </w:r>
      <w:r w:rsidRPr="00F136C9">
        <w:t>Roylance</w:t>
      </w:r>
      <w:r>
        <w:t xml:space="preserve"> Comments at 5.</w:t>
      </w:r>
    </w:p>
  </w:footnote>
  <w:footnote w:id="17">
    <w:p w14:paraId="36BFF9F4" w14:textId="77777777" w:rsidR="009A028F" w:rsidRDefault="009A028F" w:rsidP="00361340">
      <w:pPr>
        <w:pStyle w:val="FootnoteText"/>
        <w:jc w:val="left"/>
      </w:pPr>
      <w:r>
        <w:rPr>
          <w:rStyle w:val="FootnoteReference"/>
        </w:rPr>
        <w:footnoteRef/>
      </w:r>
      <w:r>
        <w:t xml:space="preserve"> April 16, 2013, filing by iHire, CG Docket No. 02-278 (April Filing).</w:t>
      </w:r>
    </w:p>
  </w:footnote>
  <w:footnote w:id="18">
    <w:p w14:paraId="7DE4DD14" w14:textId="08EFEEC7" w:rsidR="009A028F" w:rsidRDefault="009A028F" w:rsidP="00973932">
      <w:pPr>
        <w:pStyle w:val="FootnoteText"/>
        <w:jc w:val="left"/>
      </w:pPr>
      <w:r>
        <w:rPr>
          <w:rStyle w:val="FootnoteReference"/>
        </w:rPr>
        <w:footnoteRef/>
      </w:r>
      <w:r>
        <w:t xml:space="preserve"> </w:t>
      </w:r>
      <w:r w:rsidRPr="00BE1FD3">
        <w:t xml:space="preserve">iHireNursing’s website </w:t>
      </w:r>
      <w:r>
        <w:t>includes a page of Frequently Asked Questions (FAQs).  Under the heading “Employer FAQs,” is the question “How do I get started?”  The answer reads in part:</w:t>
      </w:r>
      <w:r w:rsidRPr="00BE1FD3">
        <w:t xml:space="preserve"> “</w:t>
      </w:r>
      <w:r>
        <w:t>Simply register for free at our Website or call one of our account managers</w:t>
      </w:r>
      <w:r w:rsidRPr="00BE1FD3">
        <w:t xml:space="preserve">.”  </w:t>
      </w:r>
      <w:r>
        <w:t xml:space="preserve">The FAQ also states: </w:t>
      </w:r>
      <w:r w:rsidRPr="00BE1FD3">
        <w:t>“We do not offer the ability to purchase just one resume.</w:t>
      </w:r>
      <w:r>
        <w:t xml:space="preserve">  You are required to purchase a resume search.</w:t>
      </w:r>
      <w:r w:rsidRPr="00BE1FD3">
        <w:t xml:space="preserve">”  </w:t>
      </w:r>
      <w:hyperlink r:id="rId2" w:history="1">
        <w:r w:rsidRPr="004F0B5C">
          <w:rPr>
            <w:rStyle w:val="Hyperlink"/>
          </w:rPr>
          <w:t>http://www.ihirenursing.com/faq/employers</w:t>
        </w:r>
      </w:hyperlink>
      <w:r>
        <w:t xml:space="preserve"> (last visited Aug. </w:t>
      </w:r>
      <w:r w:rsidR="00726E02">
        <w:t>25</w:t>
      </w:r>
      <w:r>
        <w:t>, 201</w:t>
      </w:r>
      <w:r w:rsidR="00B31BEB">
        <w:t>5</w:t>
      </w:r>
      <w:r>
        <w:t xml:space="preserve">).  A 30-day resume search is $450.  </w:t>
      </w:r>
      <w:r>
        <w:rPr>
          <w:i/>
          <w:iCs/>
        </w:rPr>
        <w:t>Id.</w:t>
      </w:r>
    </w:p>
  </w:footnote>
  <w:footnote w:id="19">
    <w:p w14:paraId="5002477E" w14:textId="77777777" w:rsidR="009A028F" w:rsidRDefault="009A028F" w:rsidP="00F8517C">
      <w:pPr>
        <w:pStyle w:val="FootnoteText"/>
        <w:jc w:val="left"/>
      </w:pPr>
      <w:r>
        <w:rPr>
          <w:rStyle w:val="FootnoteReference"/>
        </w:rPr>
        <w:footnoteRef/>
      </w:r>
      <w:r>
        <w:t xml:space="preserve"> </w:t>
      </w:r>
      <w:r>
        <w:rPr>
          <w:i/>
          <w:iCs/>
        </w:rPr>
        <w:t>Id.</w:t>
      </w:r>
      <w:r>
        <w:t xml:space="preserve"> (“[Question:] You have a particular resume in your database that I would like to see, can I just pay for that one resume?  [Answer:] We do not offer the ability to purchase just one resume.  You are required to purchase a resume search.”).  </w:t>
      </w:r>
    </w:p>
  </w:footnote>
  <w:footnote w:id="20">
    <w:p w14:paraId="027D971A" w14:textId="77777777" w:rsidR="009A028F" w:rsidRDefault="009A028F" w:rsidP="00A17073">
      <w:pPr>
        <w:pStyle w:val="FootnoteText"/>
        <w:jc w:val="left"/>
      </w:pPr>
      <w:r>
        <w:rPr>
          <w:rStyle w:val="FootnoteReference"/>
        </w:rPr>
        <w:footnoteRef/>
      </w:r>
      <w:r>
        <w:t xml:space="preserve"> </w:t>
      </w:r>
      <w:r w:rsidRPr="00314842">
        <w:rPr>
          <w:i/>
          <w:iCs/>
        </w:rPr>
        <w:t>See</w:t>
      </w:r>
      <w:r>
        <w:t xml:space="preserve"> Petition at 2.</w:t>
      </w:r>
    </w:p>
  </w:footnote>
  <w:footnote w:id="21">
    <w:p w14:paraId="271A6A42" w14:textId="0ABB25FD" w:rsidR="00B31BEB" w:rsidRPr="002878EE" w:rsidRDefault="00B31BEB">
      <w:pPr>
        <w:pStyle w:val="FootnoteText"/>
        <w:rPr>
          <w:i/>
        </w:rPr>
      </w:pPr>
      <w:r>
        <w:rPr>
          <w:rStyle w:val="FootnoteReference"/>
        </w:rPr>
        <w:footnoteRef/>
      </w:r>
      <w:r>
        <w:t xml:space="preserve"> </w:t>
      </w:r>
      <w:r>
        <w:rPr>
          <w:i/>
        </w:rPr>
        <w:t xml:space="preserve">See </w:t>
      </w:r>
      <w:hyperlink r:id="rId3" w:history="1">
        <w:r w:rsidRPr="004F0B5C">
          <w:rPr>
            <w:rStyle w:val="Hyperlink"/>
          </w:rPr>
          <w:t>http://www.ihirenursing.com/faq/employers</w:t>
        </w:r>
      </w:hyperlink>
      <w:r>
        <w:rPr>
          <w:rStyle w:val="Hyperlink"/>
        </w:rPr>
        <w:t xml:space="preserve"> (last visited Aug. </w:t>
      </w:r>
      <w:r w:rsidR="00726E02">
        <w:rPr>
          <w:rStyle w:val="Hyperlink"/>
        </w:rPr>
        <w:t>25</w:t>
      </w:r>
      <w:r>
        <w:rPr>
          <w:rStyle w:val="Hyperlink"/>
        </w:rPr>
        <w:t>, 2015).</w:t>
      </w:r>
    </w:p>
  </w:footnote>
  <w:footnote w:id="22">
    <w:p w14:paraId="3B6B2718" w14:textId="5D1163F9" w:rsidR="009A028F" w:rsidRDefault="009A028F" w:rsidP="004962F0">
      <w:pPr>
        <w:pStyle w:val="FootnoteText"/>
        <w:jc w:val="left"/>
      </w:pPr>
      <w:r>
        <w:rPr>
          <w:rStyle w:val="FootnoteReference"/>
        </w:rPr>
        <w:footnoteRef/>
      </w:r>
      <w:r>
        <w:t xml:space="preserve"> Petition at 2.  The Administrative Procedure Act and the Commission’s rules allow the Commission</w:t>
      </w:r>
      <w:r w:rsidR="00B31BEB">
        <w:t xml:space="preserve"> or its delegate</w:t>
      </w:r>
      <w:r>
        <w:t>, in its discretion, to issue a declaratory r</w:t>
      </w:r>
      <w:r w:rsidRPr="00A17073">
        <w:t>uling</w:t>
      </w:r>
      <w:r>
        <w:t xml:space="preserve"> </w:t>
      </w:r>
      <w:r w:rsidRPr="00833157">
        <w:t>to terminate a controversy or remove uncertainty</w:t>
      </w:r>
      <w:r w:rsidRPr="00A17073">
        <w:t xml:space="preserve">.  </w:t>
      </w:r>
      <w:r>
        <w:rPr>
          <w:i/>
          <w:iCs/>
        </w:rPr>
        <w:t xml:space="preserve">See </w:t>
      </w:r>
      <w:hyperlink r:id="rId4" w:tgtFrame="_top" w:history="1">
        <w:r w:rsidRPr="004962F0">
          <w:t>5 U.S.C. § 554(e)</w:t>
        </w:r>
      </w:hyperlink>
      <w:r w:rsidRPr="004962F0">
        <w:t>;</w:t>
      </w:r>
      <w:r>
        <w:t xml:space="preserve"> </w:t>
      </w:r>
      <w:hyperlink r:id="rId5" w:tgtFrame="_top" w:history="1">
        <w:r w:rsidRPr="004962F0">
          <w:t>47 C.F.R. § 1.2</w:t>
        </w:r>
      </w:hyperlink>
      <w:r w:rsidRPr="004962F0">
        <w:t>.</w:t>
      </w:r>
      <w:r>
        <w:rPr>
          <w:rFonts w:ascii="Verdana" w:hAnsi="Verdana" w:cs="Verdana"/>
          <w:color w:val="000000"/>
          <w:sz w:val="19"/>
          <w:szCs w:val="19"/>
        </w:rPr>
        <w:t xml:space="preserve">  </w:t>
      </w:r>
      <w:r>
        <w:t xml:space="preserve">Consistent with that discretion, we decline to address the broader question because we would not be addressing the legality of iHire’s </w:t>
      </w:r>
      <w:r w:rsidR="00B31BEB">
        <w:t xml:space="preserve">actual </w:t>
      </w:r>
      <w:r>
        <w:t xml:space="preserve">practice by doing so.  </w:t>
      </w:r>
    </w:p>
  </w:footnote>
  <w:footnote w:id="23">
    <w:p w14:paraId="18C78848" w14:textId="77777777" w:rsidR="009A028F" w:rsidRDefault="009A028F">
      <w:pPr>
        <w:pStyle w:val="FootnoteText"/>
      </w:pPr>
      <w:r>
        <w:rPr>
          <w:rStyle w:val="FootnoteReference"/>
        </w:rPr>
        <w:footnoteRef/>
      </w:r>
      <w:r>
        <w:t xml:space="preserve"> 47 C.F.R. </w:t>
      </w:r>
      <w:r w:rsidRPr="00EE0641">
        <w:t>§</w:t>
      </w:r>
      <w:r>
        <w:t xml:space="preserve"> 64.1200(f)(1). </w:t>
      </w:r>
    </w:p>
  </w:footnote>
  <w:footnote w:id="24">
    <w:p w14:paraId="39C3ED5A" w14:textId="77777777" w:rsidR="009A028F" w:rsidRDefault="009A028F" w:rsidP="005458BD">
      <w:pPr>
        <w:pStyle w:val="FootnoteText"/>
        <w:jc w:val="left"/>
      </w:pPr>
      <w:r>
        <w:rPr>
          <w:rStyle w:val="FootnoteReference"/>
        </w:rPr>
        <w:footnoteRef/>
      </w:r>
      <w:r>
        <w:t xml:space="preserve"> </w:t>
      </w:r>
      <w:r>
        <w:rPr>
          <w:i/>
          <w:iCs/>
        </w:rPr>
        <w:t>2006 Order</w:t>
      </w:r>
      <w:r>
        <w:t>, 21 FCC Rcd</w:t>
      </w:r>
      <w:r>
        <w:rPr>
          <w:i/>
          <w:iCs/>
        </w:rPr>
        <w:t xml:space="preserve"> </w:t>
      </w:r>
      <w:r w:rsidRPr="00EA665A">
        <w:t xml:space="preserve">at </w:t>
      </w:r>
      <w:r>
        <w:t>3814, para. 53.</w:t>
      </w:r>
    </w:p>
  </w:footnote>
  <w:footnote w:id="25">
    <w:p w14:paraId="2C755C34" w14:textId="77777777" w:rsidR="009A028F" w:rsidRDefault="009A028F" w:rsidP="00D4011E">
      <w:pPr>
        <w:pStyle w:val="FootnoteText"/>
        <w:jc w:val="left"/>
      </w:pPr>
      <w:r>
        <w:rPr>
          <w:rStyle w:val="FootnoteReference"/>
        </w:rPr>
        <w:footnoteRef/>
      </w:r>
      <w:r>
        <w:t xml:space="preserve"> </w:t>
      </w:r>
      <w:r>
        <w:rPr>
          <w:i/>
          <w:iCs/>
        </w:rPr>
        <w:t>Id.</w:t>
      </w:r>
      <w:r>
        <w:t xml:space="preserve"> at 3814, para. 51. </w:t>
      </w:r>
    </w:p>
  </w:footnote>
  <w:footnote w:id="26">
    <w:p w14:paraId="2D5F0DCF" w14:textId="77777777" w:rsidR="009A028F" w:rsidRDefault="009A028F" w:rsidP="00F8517C">
      <w:pPr>
        <w:pStyle w:val="FootnoteText"/>
        <w:jc w:val="left"/>
      </w:pPr>
      <w:r>
        <w:rPr>
          <w:rStyle w:val="FootnoteReference"/>
        </w:rPr>
        <w:footnoteRef/>
      </w:r>
      <w:r>
        <w:t xml:space="preserve"> </w:t>
      </w:r>
      <w:r>
        <w:rPr>
          <w:i/>
          <w:iCs/>
        </w:rPr>
        <w:t>Id.</w:t>
      </w:r>
      <w:r>
        <w:t xml:space="preserve"> </w:t>
      </w:r>
      <w:r w:rsidRPr="00EA665A">
        <w:t xml:space="preserve">at </w:t>
      </w:r>
      <w:r>
        <w:t>3814, para. 53</w:t>
      </w:r>
    </w:p>
  </w:footnote>
  <w:footnote w:id="27">
    <w:p w14:paraId="32A18CA6" w14:textId="77777777" w:rsidR="009A028F" w:rsidRDefault="009A028F" w:rsidP="00A17073">
      <w:pPr>
        <w:pStyle w:val="FootnoteText"/>
        <w:jc w:val="left"/>
      </w:pPr>
      <w:r>
        <w:rPr>
          <w:rStyle w:val="FootnoteReference"/>
        </w:rPr>
        <w:footnoteRef/>
      </w:r>
      <w:r>
        <w:t xml:space="preserve"> </w:t>
      </w:r>
      <w:r w:rsidRPr="004277B3">
        <w:rPr>
          <w:i/>
          <w:iCs/>
        </w:rPr>
        <w:t>Id.</w:t>
      </w:r>
      <w:r>
        <w:t xml:space="preserve"> at 3814, para. 53 n.187.</w:t>
      </w:r>
    </w:p>
  </w:footnote>
  <w:footnote w:id="28">
    <w:p w14:paraId="7A9D9CF5" w14:textId="77777777" w:rsidR="009A028F" w:rsidRDefault="009A028F" w:rsidP="00597F69">
      <w:pPr>
        <w:pStyle w:val="FootnoteText"/>
        <w:jc w:val="left"/>
      </w:pPr>
      <w:r>
        <w:rPr>
          <w:rStyle w:val="FootnoteReference"/>
        </w:rPr>
        <w:footnoteRef/>
      </w:r>
      <w:r>
        <w:t xml:space="preserve"> </w:t>
      </w:r>
      <w:r>
        <w:rPr>
          <w:i/>
          <w:iCs/>
        </w:rPr>
        <w:t>Id.</w:t>
      </w:r>
    </w:p>
  </w:footnote>
  <w:footnote w:id="29">
    <w:p w14:paraId="0B9B6F59" w14:textId="77777777" w:rsidR="009A028F" w:rsidRDefault="009A028F" w:rsidP="00597F69">
      <w:pPr>
        <w:pStyle w:val="FootnoteText"/>
        <w:jc w:val="left"/>
      </w:pPr>
      <w:r>
        <w:rPr>
          <w:rStyle w:val="FootnoteReference"/>
        </w:rPr>
        <w:footnoteRef/>
      </w:r>
      <w:r>
        <w:t xml:space="preserve"> </w:t>
      </w:r>
      <w:r>
        <w:rPr>
          <w:i/>
          <w:iCs/>
        </w:rPr>
        <w:t>Id.</w:t>
      </w:r>
      <w:r>
        <w:t xml:space="preserve"> at 3814, para. 51.</w:t>
      </w:r>
    </w:p>
  </w:footnote>
  <w:footnote w:id="30">
    <w:p w14:paraId="650B650C" w14:textId="77777777" w:rsidR="009A028F" w:rsidRDefault="009A028F" w:rsidP="000F3D63">
      <w:pPr>
        <w:pStyle w:val="FootnoteText"/>
        <w:jc w:val="left"/>
      </w:pPr>
      <w:r>
        <w:rPr>
          <w:rStyle w:val="FootnoteReference"/>
        </w:rPr>
        <w:footnoteRef/>
      </w:r>
      <w:r>
        <w:t xml:space="preserve"> </w:t>
      </w:r>
      <w:r>
        <w:rPr>
          <w:i/>
          <w:iCs/>
        </w:rPr>
        <w:t>Id.</w:t>
      </w:r>
      <w:r>
        <w:t xml:space="preserve"> at 3814, para. 53 n.187.</w:t>
      </w:r>
    </w:p>
  </w:footnote>
  <w:footnote w:id="31">
    <w:p w14:paraId="013074A6" w14:textId="77777777" w:rsidR="009A028F" w:rsidRDefault="009A028F" w:rsidP="002172D0">
      <w:pPr>
        <w:pStyle w:val="FootnoteText"/>
        <w:jc w:val="left"/>
      </w:pPr>
      <w:r>
        <w:rPr>
          <w:rStyle w:val="FootnoteReference"/>
        </w:rPr>
        <w:footnoteRef/>
      </w:r>
      <w:r>
        <w:t xml:space="preserve"> April Filing at 3, 7, 10, 14, 18, 22.</w:t>
      </w:r>
    </w:p>
  </w:footnote>
  <w:footnote w:id="32">
    <w:p w14:paraId="3AF7BE60" w14:textId="77777777" w:rsidR="009A028F" w:rsidRDefault="009A028F" w:rsidP="000F3D63">
      <w:pPr>
        <w:pStyle w:val="FootnoteText"/>
        <w:jc w:val="left"/>
      </w:pPr>
      <w:r>
        <w:rPr>
          <w:rStyle w:val="FootnoteReference"/>
        </w:rPr>
        <w:footnoteRef/>
      </w:r>
      <w:r>
        <w:t xml:space="preserve"> </w:t>
      </w:r>
      <w:r w:rsidRPr="00C9166F">
        <w:rPr>
          <w:i/>
          <w:iCs/>
        </w:rPr>
        <w:t>Id.</w:t>
      </w:r>
    </w:p>
  </w:footnote>
  <w:footnote w:id="33">
    <w:p w14:paraId="4D4F39F3" w14:textId="77777777" w:rsidR="009A028F" w:rsidRDefault="009A028F" w:rsidP="000F3D63">
      <w:pPr>
        <w:pStyle w:val="FootnoteText"/>
        <w:jc w:val="left"/>
      </w:pPr>
      <w:r>
        <w:rPr>
          <w:rStyle w:val="FootnoteReference"/>
        </w:rPr>
        <w:footnoteRef/>
      </w:r>
      <w:r>
        <w:t xml:space="preserve"> </w:t>
      </w:r>
      <w:r>
        <w:rPr>
          <w:i/>
          <w:iCs/>
        </w:rPr>
        <w:t>Id.</w:t>
      </w:r>
      <w:r>
        <w:t xml:space="preserve"> </w:t>
      </w:r>
    </w:p>
  </w:footnote>
  <w:footnote w:id="34">
    <w:p w14:paraId="736EF2BF" w14:textId="77777777" w:rsidR="009A028F" w:rsidRDefault="009A028F" w:rsidP="000F3D63">
      <w:pPr>
        <w:pStyle w:val="FootnoteText"/>
        <w:jc w:val="left"/>
      </w:pPr>
      <w:r>
        <w:rPr>
          <w:rStyle w:val="FootnoteReference"/>
        </w:rPr>
        <w:footnoteRef/>
      </w:r>
      <w:r>
        <w:t xml:space="preserve"> </w:t>
      </w:r>
      <w:r>
        <w:rPr>
          <w:i/>
          <w:iCs/>
        </w:rPr>
        <w:t>Id.</w:t>
      </w:r>
    </w:p>
  </w:footnote>
  <w:footnote w:id="35">
    <w:p w14:paraId="02637091" w14:textId="77777777" w:rsidR="009A028F" w:rsidRDefault="009A028F" w:rsidP="000F3D63">
      <w:pPr>
        <w:pStyle w:val="FootnoteText"/>
        <w:jc w:val="left"/>
      </w:pPr>
      <w:r>
        <w:rPr>
          <w:rStyle w:val="FootnoteReference"/>
        </w:rPr>
        <w:footnoteRef/>
      </w:r>
      <w:r>
        <w:t xml:space="preserve"> </w:t>
      </w:r>
      <w:r>
        <w:rPr>
          <w:i/>
          <w:iCs/>
        </w:rPr>
        <w:t>Id.</w:t>
      </w:r>
    </w:p>
  </w:footnote>
  <w:footnote w:id="36">
    <w:p w14:paraId="3BE222CC" w14:textId="77777777" w:rsidR="009A028F" w:rsidRDefault="009A028F" w:rsidP="000F3D63">
      <w:pPr>
        <w:pStyle w:val="FootnoteText"/>
        <w:jc w:val="left"/>
      </w:pPr>
      <w:r>
        <w:rPr>
          <w:rStyle w:val="FootnoteReference"/>
        </w:rPr>
        <w:footnoteRef/>
      </w:r>
      <w:r>
        <w:t xml:space="preserve"> </w:t>
      </w:r>
      <w:r>
        <w:rPr>
          <w:i/>
          <w:iCs/>
        </w:rPr>
        <w:t>Id.</w:t>
      </w:r>
    </w:p>
  </w:footnote>
  <w:footnote w:id="37">
    <w:p w14:paraId="6D5DC7D2" w14:textId="77777777" w:rsidR="009A028F" w:rsidRDefault="009A028F" w:rsidP="000F3D63">
      <w:pPr>
        <w:pStyle w:val="FootnoteText"/>
        <w:jc w:val="left"/>
      </w:pPr>
      <w:r>
        <w:rPr>
          <w:rStyle w:val="FootnoteReference"/>
        </w:rPr>
        <w:footnoteRef/>
      </w:r>
      <w:r>
        <w:t xml:space="preserve"> </w:t>
      </w:r>
      <w:r>
        <w:rPr>
          <w:i/>
          <w:iCs/>
        </w:rPr>
        <w:t>Id.</w:t>
      </w:r>
    </w:p>
  </w:footnote>
  <w:footnote w:id="38">
    <w:p w14:paraId="41C7C0B8" w14:textId="77777777" w:rsidR="009A028F" w:rsidRDefault="009A028F" w:rsidP="00CE367C">
      <w:pPr>
        <w:pStyle w:val="FootnoteText"/>
        <w:jc w:val="left"/>
      </w:pPr>
      <w:r>
        <w:rPr>
          <w:rStyle w:val="FootnoteReference"/>
        </w:rPr>
        <w:footnoteRef/>
      </w:r>
      <w:r>
        <w:t xml:space="preserve"> The </w:t>
      </w:r>
      <w:r w:rsidRPr="005A15EB">
        <w:rPr>
          <w:i/>
          <w:iCs/>
        </w:rPr>
        <w:t>2006 Order</w:t>
      </w:r>
      <w:r>
        <w:t xml:space="preserve"> identifies several factors that the Commission will consider in determining whether an advertisement is to a bona fide “informational communication.”  </w:t>
      </w:r>
      <w:r>
        <w:rPr>
          <w:i/>
          <w:iCs/>
        </w:rPr>
        <w:t>See</w:t>
      </w:r>
      <w:r>
        <w:t xml:space="preserve"> </w:t>
      </w:r>
      <w:r w:rsidRPr="005A15EB">
        <w:rPr>
          <w:i/>
          <w:iCs/>
        </w:rPr>
        <w:t>2006 Order</w:t>
      </w:r>
      <w:r>
        <w:t>, 21 FCC Rcd at 3814, para. 53 n.187.  Other than “</w:t>
      </w:r>
      <w:r w:rsidRPr="00234B8D">
        <w:t>the amount of space devoted to advertising versus the amount of space used for information</w:t>
      </w:r>
      <w:r>
        <w:t xml:space="preserve">,” none of those factors are germane to an analysis of the faxes iHire sent to BPG.  </w:t>
      </w:r>
      <w:r>
        <w:rPr>
          <w:i/>
          <w:iCs/>
        </w:rPr>
        <w:t>Id.</w:t>
      </w:r>
    </w:p>
  </w:footnote>
  <w:footnote w:id="39">
    <w:p w14:paraId="27392F62" w14:textId="77777777" w:rsidR="009A028F" w:rsidRDefault="009A028F" w:rsidP="000F3D63">
      <w:pPr>
        <w:pStyle w:val="FootnoteText"/>
        <w:jc w:val="left"/>
      </w:pPr>
      <w:r>
        <w:rPr>
          <w:rStyle w:val="FootnoteReference"/>
        </w:rPr>
        <w:footnoteRef/>
      </w:r>
      <w:r>
        <w:t xml:space="preserve"> </w:t>
      </w:r>
      <w:r w:rsidRPr="0021338F">
        <w:rPr>
          <w:i/>
          <w:iCs/>
        </w:rPr>
        <w:t>See</w:t>
      </w:r>
      <w:r>
        <w:t xml:space="preserve"> </w:t>
      </w:r>
      <w:r>
        <w:rPr>
          <w:i/>
          <w:iCs/>
        </w:rPr>
        <w:t>2006 Order</w:t>
      </w:r>
      <w:r>
        <w:t>, 21 FCC Rcd at 3814, para. 51.</w:t>
      </w:r>
    </w:p>
  </w:footnote>
  <w:footnote w:id="40">
    <w:p w14:paraId="57DB8297" w14:textId="77777777" w:rsidR="009A028F" w:rsidRDefault="009A028F" w:rsidP="00022AB9">
      <w:pPr>
        <w:pStyle w:val="FootnoteText"/>
        <w:jc w:val="left"/>
      </w:pPr>
      <w:r>
        <w:rPr>
          <w:rStyle w:val="FootnoteReference"/>
        </w:rPr>
        <w:footnoteRef/>
      </w:r>
      <w:r>
        <w:t xml:space="preserve"> </w:t>
      </w:r>
      <w:r>
        <w:rPr>
          <w:i/>
          <w:iCs/>
        </w:rPr>
        <w:t>See</w:t>
      </w:r>
      <w:r>
        <w:t xml:space="preserve"> April Filing at 2-29.</w:t>
      </w:r>
    </w:p>
  </w:footnote>
  <w:footnote w:id="41">
    <w:p w14:paraId="1B2DB958" w14:textId="77777777" w:rsidR="009A028F" w:rsidRDefault="009A028F">
      <w:pPr>
        <w:pStyle w:val="FootnoteText"/>
      </w:pPr>
      <w:r>
        <w:rPr>
          <w:rStyle w:val="FootnoteReference"/>
        </w:rPr>
        <w:footnoteRef/>
      </w:r>
      <w:r>
        <w:t xml:space="preserve"> </w:t>
      </w:r>
      <w:r>
        <w:rPr>
          <w:i/>
          <w:iCs/>
        </w:rPr>
        <w:t>See</w:t>
      </w:r>
      <w:r>
        <w:t xml:space="preserve"> </w:t>
      </w:r>
      <w:r w:rsidRPr="00EE0641">
        <w:t>47 U.S.C. § 227(a)(5).</w:t>
      </w:r>
    </w:p>
  </w:footnote>
  <w:footnote w:id="42">
    <w:p w14:paraId="442C1A51" w14:textId="77777777" w:rsidR="009A028F" w:rsidRDefault="009A028F" w:rsidP="00145CB4">
      <w:pPr>
        <w:pStyle w:val="FootnoteText"/>
        <w:jc w:val="left"/>
      </w:pPr>
      <w:r>
        <w:rPr>
          <w:rStyle w:val="FootnoteReference"/>
        </w:rPr>
        <w:footnoteRef/>
      </w:r>
      <w:r>
        <w:t xml:space="preserve"> </w:t>
      </w:r>
      <w:r>
        <w:rPr>
          <w:i/>
          <w:iCs/>
        </w:rPr>
        <w:t>2006 Order</w:t>
      </w:r>
      <w:r>
        <w:t xml:space="preserve">, 21 FCC Rcd at 3814, para. 52; 47 U.S.C. § 227(a)(5); </w:t>
      </w:r>
      <w:r w:rsidRPr="00EC332E">
        <w:t>47 C.F.R. § 64.1200(</w:t>
      </w:r>
      <w:r>
        <w:t>f)(15).</w:t>
      </w:r>
    </w:p>
  </w:footnote>
  <w:footnote w:id="43">
    <w:p w14:paraId="6AFA7BDA" w14:textId="77777777" w:rsidR="009A028F" w:rsidRDefault="009A028F" w:rsidP="00900D52">
      <w:pPr>
        <w:pStyle w:val="FootnoteText"/>
        <w:jc w:val="left"/>
      </w:pPr>
      <w:r>
        <w:rPr>
          <w:rStyle w:val="FootnoteReference"/>
        </w:rPr>
        <w:footnoteRef/>
      </w:r>
      <w:r>
        <w:t xml:space="preserve"> April Filing at 3, 7, 10, 14, 18, 22.</w:t>
      </w:r>
    </w:p>
  </w:footnote>
  <w:footnote w:id="44">
    <w:p w14:paraId="266E3FA6" w14:textId="77777777" w:rsidR="009A028F" w:rsidRDefault="009A028F" w:rsidP="00CE367C">
      <w:pPr>
        <w:pStyle w:val="FootnoteText"/>
        <w:jc w:val="left"/>
      </w:pPr>
      <w:r>
        <w:rPr>
          <w:rStyle w:val="FootnoteReference"/>
        </w:rPr>
        <w:footnoteRef/>
      </w:r>
      <w:r>
        <w:t xml:space="preserve"> </w:t>
      </w:r>
      <w:r w:rsidRPr="00EA665A">
        <w:rPr>
          <w:i/>
          <w:iCs/>
        </w:rPr>
        <w:t>2006 Order</w:t>
      </w:r>
      <w:r>
        <w:t>, 21 FCC Rcd at 3811, para. 45 (“In the absence of an [established business relationship], the sender must obtain the prior express invitation or permission from the consumer before sending the facsimile advertisement.”).</w:t>
      </w:r>
    </w:p>
  </w:footnote>
  <w:footnote w:id="45">
    <w:p w14:paraId="6E8C9B0B" w14:textId="77777777" w:rsidR="009A028F" w:rsidRDefault="009A028F" w:rsidP="000F3D63">
      <w:pPr>
        <w:pStyle w:val="FootnoteText"/>
        <w:jc w:val="left"/>
      </w:pPr>
      <w:r>
        <w:rPr>
          <w:rStyle w:val="FootnoteReference"/>
        </w:rPr>
        <w:footnoteRef/>
      </w:r>
      <w:r>
        <w:t xml:space="preserve"> April Filing at 2.</w:t>
      </w:r>
    </w:p>
  </w:footnote>
  <w:footnote w:id="46">
    <w:p w14:paraId="2324E9BD" w14:textId="77777777" w:rsidR="009A028F" w:rsidRDefault="009A028F" w:rsidP="000F3D63">
      <w:pPr>
        <w:pStyle w:val="FootnoteText"/>
        <w:jc w:val="left"/>
      </w:pPr>
      <w:r>
        <w:rPr>
          <w:rStyle w:val="FootnoteReference"/>
        </w:rPr>
        <w:footnoteRef/>
      </w:r>
      <w:r>
        <w:t xml:space="preserve"> </w:t>
      </w:r>
      <w:r>
        <w:rPr>
          <w:i/>
          <w:iCs/>
        </w:rPr>
        <w:t>Id.</w:t>
      </w:r>
    </w:p>
  </w:footnote>
  <w:footnote w:id="47">
    <w:p w14:paraId="5A27AB22" w14:textId="77777777" w:rsidR="009A028F" w:rsidRDefault="009A028F" w:rsidP="000F3D63">
      <w:pPr>
        <w:pStyle w:val="FootnoteText"/>
        <w:jc w:val="left"/>
      </w:pPr>
      <w:r>
        <w:rPr>
          <w:rStyle w:val="FootnoteReference"/>
        </w:rPr>
        <w:footnoteRef/>
      </w:r>
      <w:r>
        <w:t xml:space="preserve"> 47 U.S.C. § 227(a)(5); </w:t>
      </w:r>
      <w:r w:rsidRPr="00EC332E">
        <w:t>47 C.F.R. § 64.1200(</w:t>
      </w:r>
      <w:r>
        <w:t>f)(15).</w:t>
      </w:r>
    </w:p>
  </w:footnote>
  <w:footnote w:id="48">
    <w:p w14:paraId="3EDD2F63" w14:textId="77777777" w:rsidR="009A028F" w:rsidRDefault="009A028F" w:rsidP="002172D0">
      <w:pPr>
        <w:pStyle w:val="FootnoteText"/>
        <w:jc w:val="left"/>
      </w:pPr>
      <w:r>
        <w:rPr>
          <w:rStyle w:val="FootnoteReference"/>
        </w:rPr>
        <w:footnoteRef/>
      </w:r>
      <w:r>
        <w:t xml:space="preserve"> </w:t>
      </w:r>
      <w:r w:rsidRPr="00F7654C">
        <w:rPr>
          <w:i/>
          <w:iCs/>
        </w:rPr>
        <w:t>See</w:t>
      </w:r>
      <w:r>
        <w:t xml:space="preserve"> 47 C.F.R. § 64.1200(f)(15)</w:t>
      </w:r>
      <w:r w:rsidDel="00F7654C">
        <w:t xml:space="preserve"> </w:t>
      </w:r>
      <w:r>
        <w:t>(“[U]nsolicited advertisement” is defined, in part, as material having been sent without “prior express invitation or permission, in writing or otherwise.”).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25664" w14:textId="77777777" w:rsidR="00B13BA5" w:rsidRDefault="00B13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9A5F5" w14:textId="4F8F614C" w:rsidR="009A028F" w:rsidRDefault="009A028F">
    <w:pPr>
      <w:pStyle w:val="Header"/>
      <w:tabs>
        <w:tab w:val="clear" w:pos="4320"/>
        <w:tab w:val="clear" w:pos="8640"/>
        <w:tab w:val="center" w:pos="4680"/>
        <w:tab w:val="right" w:pos="9360"/>
      </w:tabs>
      <w:rPr>
        <w:b/>
        <w:bCs/>
      </w:rPr>
    </w:pPr>
    <w:r>
      <w:rPr>
        <w:b/>
        <w:bCs/>
      </w:rPr>
      <w:tab/>
      <w:t>Federal Communications Commission</w:t>
    </w:r>
    <w:r>
      <w:rPr>
        <w:b/>
        <w:bCs/>
      </w:rPr>
      <w:tab/>
    </w:r>
    <w:r w:rsidR="0016303D">
      <w:rPr>
        <w:b/>
        <w:bCs/>
      </w:rPr>
      <w:t>DA</w:t>
    </w:r>
    <w:r>
      <w:rPr>
        <w:b/>
        <w:bCs/>
      </w:rPr>
      <w:t xml:space="preserve"> 1</w:t>
    </w:r>
    <w:r w:rsidR="0016303D">
      <w:rPr>
        <w:b/>
        <w:bCs/>
      </w:rPr>
      <w:t>5</w:t>
    </w:r>
    <w:r w:rsidR="00D23B29">
      <w:rPr>
        <w:b/>
        <w:bCs/>
      </w:rPr>
      <w:t>-978</w:t>
    </w:r>
  </w:p>
  <w:p w14:paraId="05E091CE" w14:textId="77777777" w:rsidR="009A028F" w:rsidRDefault="00554F37">
    <w:pPr>
      <w:pStyle w:val="Header"/>
      <w:tabs>
        <w:tab w:val="clear" w:pos="8640"/>
        <w:tab w:val="right" w:pos="9360"/>
      </w:tabs>
    </w:pPr>
    <w:r>
      <w:rPr>
        <w:noProof/>
      </w:rPr>
      <mc:AlternateContent>
        <mc:Choice Requires="wps">
          <w:drawing>
            <wp:anchor distT="0" distB="0" distL="114300" distR="114300" simplePos="0" relativeHeight="251661824" behindDoc="0" locked="0" layoutInCell="0" allowOverlap="1" wp14:anchorId="3DFF1C68" wp14:editId="7EF1A2BC">
              <wp:simplePos x="0" y="0"/>
              <wp:positionH relativeFrom="column">
                <wp:posOffset>0</wp:posOffset>
              </wp:positionH>
              <wp:positionV relativeFrom="paragraph">
                <wp:posOffset>22225</wp:posOffset>
              </wp:positionV>
              <wp:extent cx="5943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E584DA" id="Line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14:paraId="13465199" w14:textId="77777777" w:rsidR="009A028F" w:rsidRDefault="009A02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750D" w14:textId="47F4CE8D" w:rsidR="009A028F" w:rsidRDefault="009A028F">
    <w:pPr>
      <w:pStyle w:val="Header"/>
      <w:tabs>
        <w:tab w:val="clear" w:pos="4320"/>
        <w:tab w:val="clear" w:pos="8640"/>
        <w:tab w:val="center" w:pos="4680"/>
        <w:tab w:val="right" w:pos="9360"/>
      </w:tabs>
      <w:rPr>
        <w:b/>
        <w:bCs/>
      </w:rPr>
    </w:pPr>
    <w:r>
      <w:rPr>
        <w:b/>
        <w:bCs/>
      </w:rPr>
      <w:tab/>
      <w:t>Federal Communications Commission</w:t>
    </w:r>
    <w:r>
      <w:rPr>
        <w:b/>
        <w:bCs/>
      </w:rPr>
      <w:tab/>
    </w:r>
    <w:r w:rsidR="00BB3EDF">
      <w:rPr>
        <w:b/>
        <w:bCs/>
      </w:rPr>
      <w:t>DA</w:t>
    </w:r>
    <w:r>
      <w:rPr>
        <w:b/>
        <w:bCs/>
      </w:rPr>
      <w:t xml:space="preserve"> 1</w:t>
    </w:r>
    <w:r w:rsidR="00BB3EDF">
      <w:rPr>
        <w:b/>
        <w:bCs/>
      </w:rPr>
      <w:t>5</w:t>
    </w:r>
    <w:r w:rsidR="00D23B29">
      <w:rPr>
        <w:b/>
        <w:bCs/>
      </w:rPr>
      <w:t>-978</w:t>
    </w:r>
  </w:p>
  <w:p w14:paraId="25BB173E" w14:textId="77777777" w:rsidR="009A028F" w:rsidRDefault="00554F37">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16FD0827" wp14:editId="042E6B68">
              <wp:simplePos x="0" y="0"/>
              <wp:positionH relativeFrom="column">
                <wp:posOffset>0</wp:posOffset>
              </wp:positionH>
              <wp:positionV relativeFrom="paragraph">
                <wp:posOffset>22225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73C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C4AB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3">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cs="Tahoma" w:hint="default"/>
        <w:b/>
        <w:bCs/>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cs="Times New Roman" w:hint="default"/>
        <w:b/>
        <w:bCs/>
        <w:i w:val="0"/>
        <w:iCs w:val="0"/>
        <w:sz w:val="22"/>
        <w:szCs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9">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bCs w:val="0"/>
        <w:i w:val="0"/>
        <w:iCs w:val="0"/>
        <w:sz w:val="22"/>
        <w:szCs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bCs/>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rPr>
        <w:b/>
        <w:bCs/>
        <w:i w:val="0"/>
        <w:iCs w:val="0"/>
        <w:sz w:val="22"/>
        <w:szCs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cs="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bCs/>
        <w:i w:val="0"/>
        <w:iCs w:val="0"/>
        <w:sz w:val="22"/>
        <w:szCs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cs="Times New Roman" w:hint="default"/>
        <w:b/>
        <w:bCs/>
        <w:i w:val="0"/>
        <w:iCs w:val="0"/>
        <w:sz w:val="22"/>
        <w:szCs w:val="22"/>
      </w:rPr>
    </w:lvl>
    <w:lvl w:ilvl="4">
      <w:start w:val="1"/>
      <w:numFmt w:val="lowerRoman"/>
      <w:lvlText w:val="(%5)"/>
      <w:lvlJc w:val="left"/>
      <w:pPr>
        <w:tabs>
          <w:tab w:val="num" w:pos="3600"/>
        </w:tabs>
        <w:ind w:left="3600" w:hanging="720"/>
      </w:pPr>
      <w:rPr>
        <w:rFonts w:ascii="Times New Roman" w:hAnsi="Times New Roman" w:cs="Times New Roman" w:hint="default"/>
        <w:b/>
        <w:bCs/>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bCs/>
        <w:i w:val="0"/>
        <w:iCs w:val="0"/>
        <w:sz w:val="22"/>
        <w:szCs w:val="22"/>
      </w:r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rPr>
        <w:rFonts w:ascii="Times New Roman" w:hAnsi="Times New Roman" w:cs="Times New Roman" w:hint="default"/>
        <w:b/>
        <w:bCs/>
        <w:i w:val="0"/>
        <w:iCs w:val="0"/>
        <w:sz w:val="22"/>
        <w:szCs w:val="22"/>
      </w:rPr>
    </w:lvl>
    <w:lvl w:ilvl="8">
      <w:start w:val="1"/>
      <w:numFmt w:val="lowerRoman"/>
      <w:lvlText w:val="(%9)"/>
      <w:lvlJc w:val="left"/>
      <w:pPr>
        <w:tabs>
          <w:tab w:val="num" w:pos="6480"/>
        </w:tabs>
        <w:ind w:left="5760"/>
      </w:pPr>
      <w:rPr>
        <w:rFonts w:ascii="Times New Roman" w:hAnsi="Times New Roman" w:cs="Times New Roman" w:hint="default"/>
        <w:b/>
        <w:bCs/>
        <w:i w:val="0"/>
        <w:iCs w:val="0"/>
        <w:sz w:val="22"/>
        <w:szCs w:val="22"/>
      </w:rPr>
    </w:lvl>
  </w:abstractNum>
  <w:abstractNum w:abstractNumId="21">
    <w:nsid w:val="63E21F58"/>
    <w:multiLevelType w:val="hybridMultilevel"/>
    <w:tmpl w:val="0E6A4A44"/>
    <w:lvl w:ilvl="0" w:tplc="E30E1110">
      <w:start w:val="4"/>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num w:numId="1">
    <w:abstractNumId w:val="22"/>
  </w:num>
  <w:num w:numId="2">
    <w:abstractNumId w:val="23"/>
  </w:num>
  <w:num w:numId="3">
    <w:abstractNumId w:val="5"/>
  </w:num>
  <w:num w:numId="4">
    <w:abstractNumId w:val="17"/>
  </w:num>
  <w:num w:numId="5">
    <w:abstractNumId w:val="6"/>
  </w:num>
  <w:num w:numId="6">
    <w:abstractNumId w:val="20"/>
  </w:num>
  <w:num w:numId="7">
    <w:abstractNumId w:val="14"/>
  </w:num>
  <w:num w:numId="8">
    <w:abstractNumId w:val="7"/>
  </w:num>
  <w:num w:numId="9">
    <w:abstractNumId w:val="19"/>
  </w:num>
  <w:num w:numId="10">
    <w:abstractNumId w:val="12"/>
  </w:num>
  <w:num w:numId="11">
    <w:abstractNumId w:val="11"/>
  </w:num>
  <w:num w:numId="12">
    <w:abstractNumId w:val="8"/>
  </w:num>
  <w:num w:numId="13">
    <w:abstractNumId w:val="13"/>
  </w:num>
  <w:num w:numId="14">
    <w:abstractNumId w:val="18"/>
  </w:num>
  <w:num w:numId="15">
    <w:abstractNumId w:val="3"/>
  </w:num>
  <w:num w:numId="16">
    <w:abstractNumId w:val="4"/>
  </w:num>
  <w:num w:numId="17">
    <w:abstractNumId w:val="9"/>
  </w:num>
  <w:num w:numId="18">
    <w:abstractNumId w:val="2"/>
  </w:num>
  <w:num w:numId="19">
    <w:abstractNumId w:val="10"/>
  </w:num>
  <w:num w:numId="20">
    <w:abstractNumId w:val="15"/>
  </w:num>
  <w:num w:numId="21">
    <w:abstractNumId w:val="16"/>
  </w:num>
  <w:num w:numId="22">
    <w:abstractNumId w:val="21"/>
  </w:num>
  <w:num w:numId="23">
    <w:abstractNumId w:val="13"/>
    <w:lvlOverride w:ilvl="0">
      <w:startOverride w:val="1"/>
    </w:lvlOverride>
  </w:num>
  <w:num w:numId="24">
    <w:abstractNumId w:val="13"/>
    <w:lvlOverride w:ilvl="0">
      <w:startOverride w:val="1"/>
    </w:lvlOverride>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A2"/>
    <w:rsid w:val="00000AF5"/>
    <w:rsid w:val="000036E5"/>
    <w:rsid w:val="00006E3D"/>
    <w:rsid w:val="00007ED9"/>
    <w:rsid w:val="00010BAB"/>
    <w:rsid w:val="0001168F"/>
    <w:rsid w:val="00011E63"/>
    <w:rsid w:val="0001477C"/>
    <w:rsid w:val="00015ADB"/>
    <w:rsid w:val="00021446"/>
    <w:rsid w:val="00022557"/>
    <w:rsid w:val="00022AB9"/>
    <w:rsid w:val="00022E82"/>
    <w:rsid w:val="00022EB7"/>
    <w:rsid w:val="00022F3D"/>
    <w:rsid w:val="00026203"/>
    <w:rsid w:val="0003064C"/>
    <w:rsid w:val="00030E16"/>
    <w:rsid w:val="000326F9"/>
    <w:rsid w:val="0004452A"/>
    <w:rsid w:val="00044CD0"/>
    <w:rsid w:val="00051292"/>
    <w:rsid w:val="00054135"/>
    <w:rsid w:val="0005797C"/>
    <w:rsid w:val="00064547"/>
    <w:rsid w:val="00064B3A"/>
    <w:rsid w:val="00067F54"/>
    <w:rsid w:val="000718E8"/>
    <w:rsid w:val="000733C1"/>
    <w:rsid w:val="00073729"/>
    <w:rsid w:val="00077FA9"/>
    <w:rsid w:val="00081BE8"/>
    <w:rsid w:val="000823CF"/>
    <w:rsid w:val="00082437"/>
    <w:rsid w:val="00085B5D"/>
    <w:rsid w:val="00086D85"/>
    <w:rsid w:val="00086E3F"/>
    <w:rsid w:val="00090479"/>
    <w:rsid w:val="00091C57"/>
    <w:rsid w:val="00096B08"/>
    <w:rsid w:val="000A2288"/>
    <w:rsid w:val="000A47CF"/>
    <w:rsid w:val="000A61D0"/>
    <w:rsid w:val="000A7159"/>
    <w:rsid w:val="000B32FA"/>
    <w:rsid w:val="000B3511"/>
    <w:rsid w:val="000B3D1E"/>
    <w:rsid w:val="000B62E1"/>
    <w:rsid w:val="000C2F26"/>
    <w:rsid w:val="000C6D04"/>
    <w:rsid w:val="000D2470"/>
    <w:rsid w:val="000D36F7"/>
    <w:rsid w:val="000D3E7F"/>
    <w:rsid w:val="000D3F39"/>
    <w:rsid w:val="000D587E"/>
    <w:rsid w:val="000D5950"/>
    <w:rsid w:val="000D6B37"/>
    <w:rsid w:val="000E1EFB"/>
    <w:rsid w:val="000E2F69"/>
    <w:rsid w:val="000E4282"/>
    <w:rsid w:val="000E704D"/>
    <w:rsid w:val="000F0299"/>
    <w:rsid w:val="000F2486"/>
    <w:rsid w:val="000F3D63"/>
    <w:rsid w:val="000F472B"/>
    <w:rsid w:val="00104384"/>
    <w:rsid w:val="001067D8"/>
    <w:rsid w:val="0011226F"/>
    <w:rsid w:val="00112D3F"/>
    <w:rsid w:val="00123BAB"/>
    <w:rsid w:val="0012437F"/>
    <w:rsid w:val="00124938"/>
    <w:rsid w:val="0012546F"/>
    <w:rsid w:val="00126CE8"/>
    <w:rsid w:val="00126F24"/>
    <w:rsid w:val="00130227"/>
    <w:rsid w:val="00130962"/>
    <w:rsid w:val="001339E1"/>
    <w:rsid w:val="0013519B"/>
    <w:rsid w:val="001363A0"/>
    <w:rsid w:val="001410C6"/>
    <w:rsid w:val="00141229"/>
    <w:rsid w:val="00142299"/>
    <w:rsid w:val="00145CB4"/>
    <w:rsid w:val="001464E1"/>
    <w:rsid w:val="0014739C"/>
    <w:rsid w:val="00147D29"/>
    <w:rsid w:val="00151952"/>
    <w:rsid w:val="001572DE"/>
    <w:rsid w:val="00162C07"/>
    <w:rsid w:val="0016303D"/>
    <w:rsid w:val="00163181"/>
    <w:rsid w:val="00163EF9"/>
    <w:rsid w:val="001647D5"/>
    <w:rsid w:val="00166AD5"/>
    <w:rsid w:val="00166E42"/>
    <w:rsid w:val="0017044C"/>
    <w:rsid w:val="001727BA"/>
    <w:rsid w:val="00185633"/>
    <w:rsid w:val="00185D78"/>
    <w:rsid w:val="00186317"/>
    <w:rsid w:val="00186DD6"/>
    <w:rsid w:val="00187FE9"/>
    <w:rsid w:val="001907FC"/>
    <w:rsid w:val="0019204A"/>
    <w:rsid w:val="00195664"/>
    <w:rsid w:val="001A3A3A"/>
    <w:rsid w:val="001A419C"/>
    <w:rsid w:val="001A445B"/>
    <w:rsid w:val="001B5A35"/>
    <w:rsid w:val="001B747D"/>
    <w:rsid w:val="001B7862"/>
    <w:rsid w:val="001C429E"/>
    <w:rsid w:val="001C5FAD"/>
    <w:rsid w:val="001D057E"/>
    <w:rsid w:val="001D6E64"/>
    <w:rsid w:val="001D7BF7"/>
    <w:rsid w:val="001E380F"/>
    <w:rsid w:val="001E538B"/>
    <w:rsid w:val="001E6989"/>
    <w:rsid w:val="001E77F4"/>
    <w:rsid w:val="001F019C"/>
    <w:rsid w:val="001F073F"/>
    <w:rsid w:val="001F324A"/>
    <w:rsid w:val="00201022"/>
    <w:rsid w:val="00201FE4"/>
    <w:rsid w:val="002033E1"/>
    <w:rsid w:val="00204CB7"/>
    <w:rsid w:val="0021338F"/>
    <w:rsid w:val="0021456A"/>
    <w:rsid w:val="002172D0"/>
    <w:rsid w:val="002206B0"/>
    <w:rsid w:val="00221167"/>
    <w:rsid w:val="0022340E"/>
    <w:rsid w:val="00224680"/>
    <w:rsid w:val="002328E2"/>
    <w:rsid w:val="00232CC6"/>
    <w:rsid w:val="0023422E"/>
    <w:rsid w:val="00234B8D"/>
    <w:rsid w:val="00234DBF"/>
    <w:rsid w:val="002402E0"/>
    <w:rsid w:val="00244FFE"/>
    <w:rsid w:val="00251E01"/>
    <w:rsid w:val="002538AC"/>
    <w:rsid w:val="00257053"/>
    <w:rsid w:val="00260B67"/>
    <w:rsid w:val="002624C3"/>
    <w:rsid w:val="00265D4D"/>
    <w:rsid w:val="00267493"/>
    <w:rsid w:val="00267C80"/>
    <w:rsid w:val="00270DB9"/>
    <w:rsid w:val="0027736C"/>
    <w:rsid w:val="00280019"/>
    <w:rsid w:val="00285484"/>
    <w:rsid w:val="00286260"/>
    <w:rsid w:val="002878EE"/>
    <w:rsid w:val="002A2BA7"/>
    <w:rsid w:val="002A356C"/>
    <w:rsid w:val="002A4AFD"/>
    <w:rsid w:val="002A4E71"/>
    <w:rsid w:val="002A4F68"/>
    <w:rsid w:val="002A5E95"/>
    <w:rsid w:val="002B147B"/>
    <w:rsid w:val="002B38C5"/>
    <w:rsid w:val="002B39AE"/>
    <w:rsid w:val="002C672E"/>
    <w:rsid w:val="002D33CF"/>
    <w:rsid w:val="002D6130"/>
    <w:rsid w:val="002D6371"/>
    <w:rsid w:val="002E056B"/>
    <w:rsid w:val="002E0B97"/>
    <w:rsid w:val="002E28BB"/>
    <w:rsid w:val="002E32B0"/>
    <w:rsid w:val="002E7FCA"/>
    <w:rsid w:val="00303BBF"/>
    <w:rsid w:val="00310744"/>
    <w:rsid w:val="0031454D"/>
    <w:rsid w:val="00314842"/>
    <w:rsid w:val="0031583D"/>
    <w:rsid w:val="0032440D"/>
    <w:rsid w:val="00324F06"/>
    <w:rsid w:val="00327292"/>
    <w:rsid w:val="00333BF1"/>
    <w:rsid w:val="0033417B"/>
    <w:rsid w:val="003412AC"/>
    <w:rsid w:val="00341A9E"/>
    <w:rsid w:val="003464A4"/>
    <w:rsid w:val="003536DE"/>
    <w:rsid w:val="00354B12"/>
    <w:rsid w:val="0035515D"/>
    <w:rsid w:val="003552F2"/>
    <w:rsid w:val="0035553D"/>
    <w:rsid w:val="00355E54"/>
    <w:rsid w:val="00361340"/>
    <w:rsid w:val="00362DB1"/>
    <w:rsid w:val="00364E8C"/>
    <w:rsid w:val="00366A07"/>
    <w:rsid w:val="003724FF"/>
    <w:rsid w:val="00377549"/>
    <w:rsid w:val="003826EC"/>
    <w:rsid w:val="00382F4D"/>
    <w:rsid w:val="00383CF5"/>
    <w:rsid w:val="00393B0F"/>
    <w:rsid w:val="003A0652"/>
    <w:rsid w:val="003A09FD"/>
    <w:rsid w:val="003A1F37"/>
    <w:rsid w:val="003A6E0B"/>
    <w:rsid w:val="003A7DBF"/>
    <w:rsid w:val="003B01C9"/>
    <w:rsid w:val="003B5E62"/>
    <w:rsid w:val="003B64DC"/>
    <w:rsid w:val="003B75E2"/>
    <w:rsid w:val="003B7863"/>
    <w:rsid w:val="003B7F9B"/>
    <w:rsid w:val="003C658B"/>
    <w:rsid w:val="003C7279"/>
    <w:rsid w:val="003D10EB"/>
    <w:rsid w:val="003D17FB"/>
    <w:rsid w:val="003D20FB"/>
    <w:rsid w:val="003D304C"/>
    <w:rsid w:val="003E186D"/>
    <w:rsid w:val="003E43F8"/>
    <w:rsid w:val="00412F22"/>
    <w:rsid w:val="00413B04"/>
    <w:rsid w:val="00413CEB"/>
    <w:rsid w:val="0041531E"/>
    <w:rsid w:val="004158D7"/>
    <w:rsid w:val="00415B57"/>
    <w:rsid w:val="004277B3"/>
    <w:rsid w:val="00427ED1"/>
    <w:rsid w:val="0043458D"/>
    <w:rsid w:val="00440773"/>
    <w:rsid w:val="00440D7E"/>
    <w:rsid w:val="004426D5"/>
    <w:rsid w:val="00443152"/>
    <w:rsid w:val="00446872"/>
    <w:rsid w:val="00446AA0"/>
    <w:rsid w:val="00446C8B"/>
    <w:rsid w:val="004500B9"/>
    <w:rsid w:val="004511F3"/>
    <w:rsid w:val="00451702"/>
    <w:rsid w:val="004554AB"/>
    <w:rsid w:val="004569F8"/>
    <w:rsid w:val="00460FEC"/>
    <w:rsid w:val="00461C99"/>
    <w:rsid w:val="0046269C"/>
    <w:rsid w:val="00464612"/>
    <w:rsid w:val="004658C7"/>
    <w:rsid w:val="004703FA"/>
    <w:rsid w:val="00471354"/>
    <w:rsid w:val="00474AFC"/>
    <w:rsid w:val="004770E9"/>
    <w:rsid w:val="00481F57"/>
    <w:rsid w:val="0048229E"/>
    <w:rsid w:val="00490CF6"/>
    <w:rsid w:val="004916B8"/>
    <w:rsid w:val="004962F0"/>
    <w:rsid w:val="0049782A"/>
    <w:rsid w:val="004A1E74"/>
    <w:rsid w:val="004A2919"/>
    <w:rsid w:val="004A4B1A"/>
    <w:rsid w:val="004A6354"/>
    <w:rsid w:val="004A64D9"/>
    <w:rsid w:val="004A7362"/>
    <w:rsid w:val="004B2142"/>
    <w:rsid w:val="004B35F2"/>
    <w:rsid w:val="004B3EA6"/>
    <w:rsid w:val="004B4F03"/>
    <w:rsid w:val="004B7663"/>
    <w:rsid w:val="004C163D"/>
    <w:rsid w:val="004C2343"/>
    <w:rsid w:val="004C7D18"/>
    <w:rsid w:val="004D03D1"/>
    <w:rsid w:val="004D0C37"/>
    <w:rsid w:val="004D37EC"/>
    <w:rsid w:val="004D5EB4"/>
    <w:rsid w:val="004E29D2"/>
    <w:rsid w:val="004E6492"/>
    <w:rsid w:val="004F0B5C"/>
    <w:rsid w:val="004F0FD6"/>
    <w:rsid w:val="004F375F"/>
    <w:rsid w:val="004F4A0C"/>
    <w:rsid w:val="005033F3"/>
    <w:rsid w:val="00504F78"/>
    <w:rsid w:val="00506E35"/>
    <w:rsid w:val="005109A3"/>
    <w:rsid w:val="00510E93"/>
    <w:rsid w:val="00512790"/>
    <w:rsid w:val="00512A6D"/>
    <w:rsid w:val="005174FD"/>
    <w:rsid w:val="00523E22"/>
    <w:rsid w:val="0052428A"/>
    <w:rsid w:val="0052531F"/>
    <w:rsid w:val="00525A40"/>
    <w:rsid w:val="00530DE0"/>
    <w:rsid w:val="00535F2D"/>
    <w:rsid w:val="005407AA"/>
    <w:rsid w:val="00541CA6"/>
    <w:rsid w:val="005458BD"/>
    <w:rsid w:val="00545EE5"/>
    <w:rsid w:val="0055090C"/>
    <w:rsid w:val="0055184E"/>
    <w:rsid w:val="00553536"/>
    <w:rsid w:val="00554F37"/>
    <w:rsid w:val="00556DC8"/>
    <w:rsid w:val="005612A9"/>
    <w:rsid w:val="005667D8"/>
    <w:rsid w:val="00570EC8"/>
    <w:rsid w:val="00572EA2"/>
    <w:rsid w:val="00572F68"/>
    <w:rsid w:val="005771AD"/>
    <w:rsid w:val="0058355C"/>
    <w:rsid w:val="00583F4F"/>
    <w:rsid w:val="00584618"/>
    <w:rsid w:val="00586563"/>
    <w:rsid w:val="00591D60"/>
    <w:rsid w:val="0059385E"/>
    <w:rsid w:val="00593A58"/>
    <w:rsid w:val="00597F69"/>
    <w:rsid w:val="005A15EB"/>
    <w:rsid w:val="005A31C0"/>
    <w:rsid w:val="005A4DF4"/>
    <w:rsid w:val="005A7371"/>
    <w:rsid w:val="005B1CE7"/>
    <w:rsid w:val="005B1DB8"/>
    <w:rsid w:val="005B2A95"/>
    <w:rsid w:val="005B415B"/>
    <w:rsid w:val="005B589B"/>
    <w:rsid w:val="005C1ED7"/>
    <w:rsid w:val="005C2BBD"/>
    <w:rsid w:val="005C2C1D"/>
    <w:rsid w:val="005D01DE"/>
    <w:rsid w:val="005D1B8A"/>
    <w:rsid w:val="005E1715"/>
    <w:rsid w:val="005E3019"/>
    <w:rsid w:val="005E5780"/>
    <w:rsid w:val="005F01D3"/>
    <w:rsid w:val="005F0368"/>
    <w:rsid w:val="005F05C0"/>
    <w:rsid w:val="00602401"/>
    <w:rsid w:val="006042D4"/>
    <w:rsid w:val="006053FC"/>
    <w:rsid w:val="006067D9"/>
    <w:rsid w:val="00606D4F"/>
    <w:rsid w:val="00610457"/>
    <w:rsid w:val="006108B3"/>
    <w:rsid w:val="006124F4"/>
    <w:rsid w:val="00613AE7"/>
    <w:rsid w:val="006220FE"/>
    <w:rsid w:val="00623683"/>
    <w:rsid w:val="00625237"/>
    <w:rsid w:val="0063767E"/>
    <w:rsid w:val="00642155"/>
    <w:rsid w:val="0064302C"/>
    <w:rsid w:val="006469D5"/>
    <w:rsid w:val="00652FCD"/>
    <w:rsid w:val="0065531D"/>
    <w:rsid w:val="00656F78"/>
    <w:rsid w:val="006574AC"/>
    <w:rsid w:val="00660D7B"/>
    <w:rsid w:val="006611CD"/>
    <w:rsid w:val="00663275"/>
    <w:rsid w:val="0066330E"/>
    <w:rsid w:val="00667949"/>
    <w:rsid w:val="00670E24"/>
    <w:rsid w:val="00675434"/>
    <w:rsid w:val="00680FB7"/>
    <w:rsid w:val="00682F53"/>
    <w:rsid w:val="00687DDC"/>
    <w:rsid w:val="006931B7"/>
    <w:rsid w:val="00694DDF"/>
    <w:rsid w:val="006A0641"/>
    <w:rsid w:val="006A1471"/>
    <w:rsid w:val="006A1827"/>
    <w:rsid w:val="006A1B0D"/>
    <w:rsid w:val="006A1BCF"/>
    <w:rsid w:val="006A45C3"/>
    <w:rsid w:val="006A5ADF"/>
    <w:rsid w:val="006A657D"/>
    <w:rsid w:val="006A6C31"/>
    <w:rsid w:val="006A70E0"/>
    <w:rsid w:val="006B0B8F"/>
    <w:rsid w:val="006B5021"/>
    <w:rsid w:val="006C3F56"/>
    <w:rsid w:val="006D4A0E"/>
    <w:rsid w:val="006E50C3"/>
    <w:rsid w:val="006E608A"/>
    <w:rsid w:val="006E6437"/>
    <w:rsid w:val="006E6EDE"/>
    <w:rsid w:val="006F0917"/>
    <w:rsid w:val="006F1BED"/>
    <w:rsid w:val="006F307A"/>
    <w:rsid w:val="006F4F1D"/>
    <w:rsid w:val="006F6058"/>
    <w:rsid w:val="006F7D7E"/>
    <w:rsid w:val="00704ECE"/>
    <w:rsid w:val="007065A2"/>
    <w:rsid w:val="00706FDA"/>
    <w:rsid w:val="00707577"/>
    <w:rsid w:val="0071199A"/>
    <w:rsid w:val="007242D0"/>
    <w:rsid w:val="00725E5D"/>
    <w:rsid w:val="0072612A"/>
    <w:rsid w:val="00726E02"/>
    <w:rsid w:val="00731366"/>
    <w:rsid w:val="00731404"/>
    <w:rsid w:val="007347AF"/>
    <w:rsid w:val="00742660"/>
    <w:rsid w:val="00743F11"/>
    <w:rsid w:val="00745164"/>
    <w:rsid w:val="0074724E"/>
    <w:rsid w:val="0074725B"/>
    <w:rsid w:val="00747BFF"/>
    <w:rsid w:val="00751FF6"/>
    <w:rsid w:val="00754FFB"/>
    <w:rsid w:val="00757267"/>
    <w:rsid w:val="00761BF7"/>
    <w:rsid w:val="00762DDB"/>
    <w:rsid w:val="007638D6"/>
    <w:rsid w:val="00765BEB"/>
    <w:rsid w:val="00767538"/>
    <w:rsid w:val="007722C0"/>
    <w:rsid w:val="00772CF1"/>
    <w:rsid w:val="00780BCE"/>
    <w:rsid w:val="007822B8"/>
    <w:rsid w:val="007822D8"/>
    <w:rsid w:val="007864D6"/>
    <w:rsid w:val="007877EC"/>
    <w:rsid w:val="00796F2B"/>
    <w:rsid w:val="007A1B56"/>
    <w:rsid w:val="007A469E"/>
    <w:rsid w:val="007A4829"/>
    <w:rsid w:val="007A7BE7"/>
    <w:rsid w:val="007B19A3"/>
    <w:rsid w:val="007B2760"/>
    <w:rsid w:val="007B6474"/>
    <w:rsid w:val="007C3DB0"/>
    <w:rsid w:val="007C4CBB"/>
    <w:rsid w:val="007C5FFC"/>
    <w:rsid w:val="007C7B7D"/>
    <w:rsid w:val="007D172E"/>
    <w:rsid w:val="007D4E77"/>
    <w:rsid w:val="007E516B"/>
    <w:rsid w:val="007E6B4E"/>
    <w:rsid w:val="007E79B4"/>
    <w:rsid w:val="007F2B74"/>
    <w:rsid w:val="007F45E5"/>
    <w:rsid w:val="007F6A40"/>
    <w:rsid w:val="007F7567"/>
    <w:rsid w:val="008005E8"/>
    <w:rsid w:val="008020CD"/>
    <w:rsid w:val="00804949"/>
    <w:rsid w:val="00815E2C"/>
    <w:rsid w:val="0082046E"/>
    <w:rsid w:val="008223AF"/>
    <w:rsid w:val="0082353E"/>
    <w:rsid w:val="00826329"/>
    <w:rsid w:val="008272A4"/>
    <w:rsid w:val="0083224F"/>
    <w:rsid w:val="00833157"/>
    <w:rsid w:val="00836EBF"/>
    <w:rsid w:val="0083717F"/>
    <w:rsid w:val="0084144A"/>
    <w:rsid w:val="00844B14"/>
    <w:rsid w:val="00845943"/>
    <w:rsid w:val="00845FB5"/>
    <w:rsid w:val="008500C9"/>
    <w:rsid w:val="00851D1F"/>
    <w:rsid w:val="00852724"/>
    <w:rsid w:val="00852F1B"/>
    <w:rsid w:val="00853466"/>
    <w:rsid w:val="00854679"/>
    <w:rsid w:val="008551D3"/>
    <w:rsid w:val="008612EC"/>
    <w:rsid w:val="008636A9"/>
    <w:rsid w:val="008641FA"/>
    <w:rsid w:val="0086437E"/>
    <w:rsid w:val="00867572"/>
    <w:rsid w:val="00874EEE"/>
    <w:rsid w:val="008761B0"/>
    <w:rsid w:val="00881CFB"/>
    <w:rsid w:val="0088377A"/>
    <w:rsid w:val="008860D4"/>
    <w:rsid w:val="00890145"/>
    <w:rsid w:val="00890BFE"/>
    <w:rsid w:val="00892C6D"/>
    <w:rsid w:val="008A27F1"/>
    <w:rsid w:val="008A4915"/>
    <w:rsid w:val="008A5FBB"/>
    <w:rsid w:val="008A6EF2"/>
    <w:rsid w:val="008A74CE"/>
    <w:rsid w:val="008A7A1B"/>
    <w:rsid w:val="008B1A0F"/>
    <w:rsid w:val="008B30A4"/>
    <w:rsid w:val="008B408C"/>
    <w:rsid w:val="008B65E8"/>
    <w:rsid w:val="008C013E"/>
    <w:rsid w:val="008C1862"/>
    <w:rsid w:val="008C1FD9"/>
    <w:rsid w:val="008C2BF6"/>
    <w:rsid w:val="008C3092"/>
    <w:rsid w:val="008C5BB3"/>
    <w:rsid w:val="008C7C97"/>
    <w:rsid w:val="008D1B95"/>
    <w:rsid w:val="008D2FDA"/>
    <w:rsid w:val="008D439E"/>
    <w:rsid w:val="008D4EF9"/>
    <w:rsid w:val="008D5CE3"/>
    <w:rsid w:val="008E4C44"/>
    <w:rsid w:val="008F237E"/>
    <w:rsid w:val="008F2FD8"/>
    <w:rsid w:val="008F7AB0"/>
    <w:rsid w:val="0090096E"/>
    <w:rsid w:val="00900D52"/>
    <w:rsid w:val="00903011"/>
    <w:rsid w:val="0091249C"/>
    <w:rsid w:val="00913761"/>
    <w:rsid w:val="00916EF2"/>
    <w:rsid w:val="00921EAC"/>
    <w:rsid w:val="00922F79"/>
    <w:rsid w:val="00926030"/>
    <w:rsid w:val="00926603"/>
    <w:rsid w:val="00926663"/>
    <w:rsid w:val="009274FC"/>
    <w:rsid w:val="00934159"/>
    <w:rsid w:val="009521C3"/>
    <w:rsid w:val="00967524"/>
    <w:rsid w:val="00970EE0"/>
    <w:rsid w:val="00971F13"/>
    <w:rsid w:val="009736FA"/>
    <w:rsid w:val="00973932"/>
    <w:rsid w:val="00975E49"/>
    <w:rsid w:val="009778B9"/>
    <w:rsid w:val="00977B08"/>
    <w:rsid w:val="009809B6"/>
    <w:rsid w:val="00981019"/>
    <w:rsid w:val="00983795"/>
    <w:rsid w:val="00986D08"/>
    <w:rsid w:val="009918F8"/>
    <w:rsid w:val="00993890"/>
    <w:rsid w:val="009955A2"/>
    <w:rsid w:val="00996921"/>
    <w:rsid w:val="009A028F"/>
    <w:rsid w:val="009A25B5"/>
    <w:rsid w:val="009A70ED"/>
    <w:rsid w:val="009B2C5A"/>
    <w:rsid w:val="009B2CCE"/>
    <w:rsid w:val="009B7FF0"/>
    <w:rsid w:val="009C0FF7"/>
    <w:rsid w:val="009C1020"/>
    <w:rsid w:val="009C1998"/>
    <w:rsid w:val="009C5694"/>
    <w:rsid w:val="009D19DC"/>
    <w:rsid w:val="009D1E1B"/>
    <w:rsid w:val="009D2124"/>
    <w:rsid w:val="009D2EDB"/>
    <w:rsid w:val="009D3A61"/>
    <w:rsid w:val="009E255E"/>
    <w:rsid w:val="009E2E71"/>
    <w:rsid w:val="009E4924"/>
    <w:rsid w:val="009E73F3"/>
    <w:rsid w:val="009F1FDF"/>
    <w:rsid w:val="009F4CCB"/>
    <w:rsid w:val="009F50A3"/>
    <w:rsid w:val="00A00E32"/>
    <w:rsid w:val="00A01E68"/>
    <w:rsid w:val="00A0376D"/>
    <w:rsid w:val="00A11E4A"/>
    <w:rsid w:val="00A123E3"/>
    <w:rsid w:val="00A13BDF"/>
    <w:rsid w:val="00A143BF"/>
    <w:rsid w:val="00A17073"/>
    <w:rsid w:val="00A213ED"/>
    <w:rsid w:val="00A24BDA"/>
    <w:rsid w:val="00A30053"/>
    <w:rsid w:val="00A30129"/>
    <w:rsid w:val="00A30C4C"/>
    <w:rsid w:val="00A328A8"/>
    <w:rsid w:val="00A3301A"/>
    <w:rsid w:val="00A3328F"/>
    <w:rsid w:val="00A353CE"/>
    <w:rsid w:val="00A371E8"/>
    <w:rsid w:val="00A4121A"/>
    <w:rsid w:val="00A42BF4"/>
    <w:rsid w:val="00A43DD0"/>
    <w:rsid w:val="00A453B9"/>
    <w:rsid w:val="00A52B57"/>
    <w:rsid w:val="00A562A2"/>
    <w:rsid w:val="00A56D5F"/>
    <w:rsid w:val="00A638A5"/>
    <w:rsid w:val="00A64C0B"/>
    <w:rsid w:val="00A66735"/>
    <w:rsid w:val="00A747F6"/>
    <w:rsid w:val="00A76880"/>
    <w:rsid w:val="00A77E8A"/>
    <w:rsid w:val="00A8460D"/>
    <w:rsid w:val="00A857C1"/>
    <w:rsid w:val="00A86790"/>
    <w:rsid w:val="00A86DE5"/>
    <w:rsid w:val="00A875B6"/>
    <w:rsid w:val="00A90307"/>
    <w:rsid w:val="00A91D90"/>
    <w:rsid w:val="00A95B17"/>
    <w:rsid w:val="00A96F63"/>
    <w:rsid w:val="00AA105E"/>
    <w:rsid w:val="00AB1AED"/>
    <w:rsid w:val="00AB35DC"/>
    <w:rsid w:val="00AB4A55"/>
    <w:rsid w:val="00AC329F"/>
    <w:rsid w:val="00AC3A65"/>
    <w:rsid w:val="00AC55F5"/>
    <w:rsid w:val="00AD03D3"/>
    <w:rsid w:val="00AD1227"/>
    <w:rsid w:val="00AD3B7F"/>
    <w:rsid w:val="00AD3EFC"/>
    <w:rsid w:val="00AE0317"/>
    <w:rsid w:val="00AE0E9E"/>
    <w:rsid w:val="00AE1E16"/>
    <w:rsid w:val="00AE429E"/>
    <w:rsid w:val="00AE5605"/>
    <w:rsid w:val="00AF0A5D"/>
    <w:rsid w:val="00AF40B2"/>
    <w:rsid w:val="00B01114"/>
    <w:rsid w:val="00B01673"/>
    <w:rsid w:val="00B01D09"/>
    <w:rsid w:val="00B0465B"/>
    <w:rsid w:val="00B12B3E"/>
    <w:rsid w:val="00B13BA5"/>
    <w:rsid w:val="00B14A40"/>
    <w:rsid w:val="00B156F4"/>
    <w:rsid w:val="00B207E6"/>
    <w:rsid w:val="00B21D22"/>
    <w:rsid w:val="00B238B8"/>
    <w:rsid w:val="00B25060"/>
    <w:rsid w:val="00B250D8"/>
    <w:rsid w:val="00B26D29"/>
    <w:rsid w:val="00B26D70"/>
    <w:rsid w:val="00B26E15"/>
    <w:rsid w:val="00B307DF"/>
    <w:rsid w:val="00B31BEB"/>
    <w:rsid w:val="00B345C2"/>
    <w:rsid w:val="00B34B0D"/>
    <w:rsid w:val="00B37528"/>
    <w:rsid w:val="00B376E1"/>
    <w:rsid w:val="00B4067B"/>
    <w:rsid w:val="00B40D86"/>
    <w:rsid w:val="00B422F6"/>
    <w:rsid w:val="00B45686"/>
    <w:rsid w:val="00B512F9"/>
    <w:rsid w:val="00B518D1"/>
    <w:rsid w:val="00B53D1A"/>
    <w:rsid w:val="00B56345"/>
    <w:rsid w:val="00B6444C"/>
    <w:rsid w:val="00B70EEB"/>
    <w:rsid w:val="00B71BE7"/>
    <w:rsid w:val="00B732D1"/>
    <w:rsid w:val="00B74575"/>
    <w:rsid w:val="00B746AE"/>
    <w:rsid w:val="00B74B3D"/>
    <w:rsid w:val="00B825A0"/>
    <w:rsid w:val="00B85538"/>
    <w:rsid w:val="00B85A46"/>
    <w:rsid w:val="00B86F76"/>
    <w:rsid w:val="00B9272C"/>
    <w:rsid w:val="00BA282E"/>
    <w:rsid w:val="00BA402C"/>
    <w:rsid w:val="00BA426C"/>
    <w:rsid w:val="00BA433E"/>
    <w:rsid w:val="00BB3EDF"/>
    <w:rsid w:val="00BB46B1"/>
    <w:rsid w:val="00BB7160"/>
    <w:rsid w:val="00BC036B"/>
    <w:rsid w:val="00BC43DC"/>
    <w:rsid w:val="00BC6487"/>
    <w:rsid w:val="00BC7ED1"/>
    <w:rsid w:val="00BD31E7"/>
    <w:rsid w:val="00BD33C3"/>
    <w:rsid w:val="00BD4718"/>
    <w:rsid w:val="00BD4D5C"/>
    <w:rsid w:val="00BD4E8C"/>
    <w:rsid w:val="00BD5868"/>
    <w:rsid w:val="00BD6D23"/>
    <w:rsid w:val="00BD7615"/>
    <w:rsid w:val="00BE1D4C"/>
    <w:rsid w:val="00BE1FD3"/>
    <w:rsid w:val="00BE46E1"/>
    <w:rsid w:val="00BE69C5"/>
    <w:rsid w:val="00BF08D6"/>
    <w:rsid w:val="00BF2E54"/>
    <w:rsid w:val="00BF436D"/>
    <w:rsid w:val="00BF5151"/>
    <w:rsid w:val="00BF55A6"/>
    <w:rsid w:val="00C01E59"/>
    <w:rsid w:val="00C0694D"/>
    <w:rsid w:val="00C10315"/>
    <w:rsid w:val="00C10BA2"/>
    <w:rsid w:val="00C115B7"/>
    <w:rsid w:val="00C1225F"/>
    <w:rsid w:val="00C13DBF"/>
    <w:rsid w:val="00C15177"/>
    <w:rsid w:val="00C21480"/>
    <w:rsid w:val="00C2163D"/>
    <w:rsid w:val="00C22BC7"/>
    <w:rsid w:val="00C241D8"/>
    <w:rsid w:val="00C273F3"/>
    <w:rsid w:val="00C30473"/>
    <w:rsid w:val="00C37F88"/>
    <w:rsid w:val="00C40733"/>
    <w:rsid w:val="00C40C27"/>
    <w:rsid w:val="00C4160B"/>
    <w:rsid w:val="00C43AFC"/>
    <w:rsid w:val="00C47CE5"/>
    <w:rsid w:val="00C52614"/>
    <w:rsid w:val="00C53D03"/>
    <w:rsid w:val="00C53F55"/>
    <w:rsid w:val="00C63296"/>
    <w:rsid w:val="00C64C19"/>
    <w:rsid w:val="00C74A02"/>
    <w:rsid w:val="00C754AD"/>
    <w:rsid w:val="00C755EA"/>
    <w:rsid w:val="00C825BB"/>
    <w:rsid w:val="00C8317D"/>
    <w:rsid w:val="00C9166F"/>
    <w:rsid w:val="00C91C78"/>
    <w:rsid w:val="00C92128"/>
    <w:rsid w:val="00C95CC4"/>
    <w:rsid w:val="00CA07D7"/>
    <w:rsid w:val="00CA0EE1"/>
    <w:rsid w:val="00CA4172"/>
    <w:rsid w:val="00CB238B"/>
    <w:rsid w:val="00CB2A75"/>
    <w:rsid w:val="00CB3480"/>
    <w:rsid w:val="00CB56FC"/>
    <w:rsid w:val="00CB6F34"/>
    <w:rsid w:val="00CC1EDA"/>
    <w:rsid w:val="00CC4E54"/>
    <w:rsid w:val="00CC776E"/>
    <w:rsid w:val="00CD0678"/>
    <w:rsid w:val="00CD0CBF"/>
    <w:rsid w:val="00CD177C"/>
    <w:rsid w:val="00CE271E"/>
    <w:rsid w:val="00CE367C"/>
    <w:rsid w:val="00CE3C0A"/>
    <w:rsid w:val="00CE61B5"/>
    <w:rsid w:val="00CE7F33"/>
    <w:rsid w:val="00CF22DB"/>
    <w:rsid w:val="00CF2816"/>
    <w:rsid w:val="00CF350C"/>
    <w:rsid w:val="00CF698B"/>
    <w:rsid w:val="00D02F85"/>
    <w:rsid w:val="00D1206B"/>
    <w:rsid w:val="00D138E9"/>
    <w:rsid w:val="00D1586F"/>
    <w:rsid w:val="00D173D3"/>
    <w:rsid w:val="00D17C54"/>
    <w:rsid w:val="00D23B29"/>
    <w:rsid w:val="00D260EF"/>
    <w:rsid w:val="00D27407"/>
    <w:rsid w:val="00D32E69"/>
    <w:rsid w:val="00D347B2"/>
    <w:rsid w:val="00D359D9"/>
    <w:rsid w:val="00D3685D"/>
    <w:rsid w:val="00D4011E"/>
    <w:rsid w:val="00D41621"/>
    <w:rsid w:val="00D51BF9"/>
    <w:rsid w:val="00D61778"/>
    <w:rsid w:val="00D6645D"/>
    <w:rsid w:val="00D664C0"/>
    <w:rsid w:val="00D66D9D"/>
    <w:rsid w:val="00D67FFB"/>
    <w:rsid w:val="00D7280C"/>
    <w:rsid w:val="00D74FEF"/>
    <w:rsid w:val="00D75F92"/>
    <w:rsid w:val="00D8085E"/>
    <w:rsid w:val="00D826C9"/>
    <w:rsid w:val="00D84D7A"/>
    <w:rsid w:val="00D87890"/>
    <w:rsid w:val="00D87BBC"/>
    <w:rsid w:val="00D91637"/>
    <w:rsid w:val="00D93D30"/>
    <w:rsid w:val="00D96DDF"/>
    <w:rsid w:val="00DA2032"/>
    <w:rsid w:val="00DA2FD2"/>
    <w:rsid w:val="00DA68C3"/>
    <w:rsid w:val="00DA7876"/>
    <w:rsid w:val="00DB22EF"/>
    <w:rsid w:val="00DB34AF"/>
    <w:rsid w:val="00DB4D36"/>
    <w:rsid w:val="00DB637B"/>
    <w:rsid w:val="00DC5F8B"/>
    <w:rsid w:val="00DC6B4F"/>
    <w:rsid w:val="00DD5665"/>
    <w:rsid w:val="00DE2134"/>
    <w:rsid w:val="00DE4170"/>
    <w:rsid w:val="00DE6A2A"/>
    <w:rsid w:val="00DE79B9"/>
    <w:rsid w:val="00DF118A"/>
    <w:rsid w:val="00DF72A5"/>
    <w:rsid w:val="00E07C85"/>
    <w:rsid w:val="00E10BE8"/>
    <w:rsid w:val="00E11A78"/>
    <w:rsid w:val="00E11F18"/>
    <w:rsid w:val="00E13D9C"/>
    <w:rsid w:val="00E305AF"/>
    <w:rsid w:val="00E30FB1"/>
    <w:rsid w:val="00E3185E"/>
    <w:rsid w:val="00E31E0F"/>
    <w:rsid w:val="00E33A21"/>
    <w:rsid w:val="00E34AFD"/>
    <w:rsid w:val="00E35781"/>
    <w:rsid w:val="00E37D34"/>
    <w:rsid w:val="00E41ED6"/>
    <w:rsid w:val="00E4271F"/>
    <w:rsid w:val="00E42972"/>
    <w:rsid w:val="00E44A1D"/>
    <w:rsid w:val="00E45411"/>
    <w:rsid w:val="00E46B53"/>
    <w:rsid w:val="00E46D31"/>
    <w:rsid w:val="00E60C95"/>
    <w:rsid w:val="00E62D0B"/>
    <w:rsid w:val="00E6678F"/>
    <w:rsid w:val="00E67F9B"/>
    <w:rsid w:val="00E7212A"/>
    <w:rsid w:val="00E73D9A"/>
    <w:rsid w:val="00E753B6"/>
    <w:rsid w:val="00E858B0"/>
    <w:rsid w:val="00E87A75"/>
    <w:rsid w:val="00E9030F"/>
    <w:rsid w:val="00E95BB6"/>
    <w:rsid w:val="00E95F5C"/>
    <w:rsid w:val="00E96723"/>
    <w:rsid w:val="00EA121C"/>
    <w:rsid w:val="00EA28E4"/>
    <w:rsid w:val="00EA30C6"/>
    <w:rsid w:val="00EA665A"/>
    <w:rsid w:val="00EA6A9E"/>
    <w:rsid w:val="00EB10FE"/>
    <w:rsid w:val="00EB17DA"/>
    <w:rsid w:val="00EB4204"/>
    <w:rsid w:val="00EB4FC0"/>
    <w:rsid w:val="00EB6B79"/>
    <w:rsid w:val="00EB6EBC"/>
    <w:rsid w:val="00EC1065"/>
    <w:rsid w:val="00EC2DA8"/>
    <w:rsid w:val="00EC332E"/>
    <w:rsid w:val="00EC6157"/>
    <w:rsid w:val="00EC7CFE"/>
    <w:rsid w:val="00ED02D2"/>
    <w:rsid w:val="00ED3E2C"/>
    <w:rsid w:val="00ED6512"/>
    <w:rsid w:val="00EE0641"/>
    <w:rsid w:val="00EE29C5"/>
    <w:rsid w:val="00EE6DE9"/>
    <w:rsid w:val="00EF1F48"/>
    <w:rsid w:val="00EF492A"/>
    <w:rsid w:val="00EF514E"/>
    <w:rsid w:val="00F01D14"/>
    <w:rsid w:val="00F04089"/>
    <w:rsid w:val="00F136C9"/>
    <w:rsid w:val="00F13B7D"/>
    <w:rsid w:val="00F21511"/>
    <w:rsid w:val="00F25987"/>
    <w:rsid w:val="00F323FA"/>
    <w:rsid w:val="00F3689E"/>
    <w:rsid w:val="00F376C2"/>
    <w:rsid w:val="00F47D91"/>
    <w:rsid w:val="00F51CDC"/>
    <w:rsid w:val="00F54457"/>
    <w:rsid w:val="00F55221"/>
    <w:rsid w:val="00F55BCD"/>
    <w:rsid w:val="00F612CF"/>
    <w:rsid w:val="00F614F7"/>
    <w:rsid w:val="00F63088"/>
    <w:rsid w:val="00F6768C"/>
    <w:rsid w:val="00F67974"/>
    <w:rsid w:val="00F71C3A"/>
    <w:rsid w:val="00F733E3"/>
    <w:rsid w:val="00F759C2"/>
    <w:rsid w:val="00F762C6"/>
    <w:rsid w:val="00F7654C"/>
    <w:rsid w:val="00F7767B"/>
    <w:rsid w:val="00F77DB6"/>
    <w:rsid w:val="00F813E6"/>
    <w:rsid w:val="00F81935"/>
    <w:rsid w:val="00F81DAC"/>
    <w:rsid w:val="00F83100"/>
    <w:rsid w:val="00F843E9"/>
    <w:rsid w:val="00F8517C"/>
    <w:rsid w:val="00F87F55"/>
    <w:rsid w:val="00F9212D"/>
    <w:rsid w:val="00F97E84"/>
    <w:rsid w:val="00FA341D"/>
    <w:rsid w:val="00FA5646"/>
    <w:rsid w:val="00FB08C6"/>
    <w:rsid w:val="00FB2C2D"/>
    <w:rsid w:val="00FC03DA"/>
    <w:rsid w:val="00FC2B9A"/>
    <w:rsid w:val="00FC329A"/>
    <w:rsid w:val="00FC7A78"/>
    <w:rsid w:val="00FD0C72"/>
    <w:rsid w:val="00FD2BAB"/>
    <w:rsid w:val="00FD3A66"/>
    <w:rsid w:val="00FD61A3"/>
    <w:rsid w:val="00FE147F"/>
    <w:rsid w:val="00FE2B70"/>
    <w:rsid w:val="00FE37FE"/>
    <w:rsid w:val="00FE6E4D"/>
    <w:rsid w:val="00FE718F"/>
    <w:rsid w:val="00FF20BA"/>
    <w:rsid w:val="00FF53CE"/>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55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6F"/>
  </w:style>
  <w:style w:type="paragraph" w:styleId="Heading1">
    <w:name w:val="heading 1"/>
    <w:basedOn w:val="Normal"/>
    <w:next w:val="ParaNum"/>
    <w:link w:val="Heading1Char"/>
    <w:uiPriority w:val="99"/>
    <w:qFormat/>
    <w:rsid w:val="00D1586F"/>
    <w:pPr>
      <w:keepNext/>
      <w:widowControl w:val="0"/>
      <w:numPr>
        <w:numId w:val="4"/>
      </w:numPr>
      <w:suppressAutoHyphens/>
      <w:spacing w:after="220"/>
      <w:jc w:val="both"/>
      <w:outlineLvl w:val="0"/>
    </w:pPr>
    <w:rPr>
      <w:b/>
      <w:bCs/>
      <w:caps/>
    </w:rPr>
  </w:style>
  <w:style w:type="paragraph" w:styleId="Heading2">
    <w:name w:val="heading 2"/>
    <w:basedOn w:val="Normal"/>
    <w:next w:val="ParaNum"/>
    <w:link w:val="Heading2Char"/>
    <w:uiPriority w:val="99"/>
    <w:qFormat/>
    <w:rsid w:val="00D1586F"/>
    <w:pPr>
      <w:keepNext/>
      <w:widowControl w:val="0"/>
      <w:numPr>
        <w:ilvl w:val="1"/>
        <w:numId w:val="4"/>
      </w:numPr>
      <w:spacing w:after="220"/>
      <w:jc w:val="both"/>
      <w:outlineLvl w:val="1"/>
    </w:pPr>
    <w:rPr>
      <w:b/>
      <w:bCs/>
    </w:rPr>
  </w:style>
  <w:style w:type="paragraph" w:styleId="Heading3">
    <w:name w:val="heading 3"/>
    <w:basedOn w:val="Normal"/>
    <w:next w:val="ParaNum"/>
    <w:link w:val="Heading3Char"/>
    <w:uiPriority w:val="99"/>
    <w:qFormat/>
    <w:rsid w:val="00D1586F"/>
    <w:pPr>
      <w:keepNext/>
      <w:widowControl w:val="0"/>
      <w:numPr>
        <w:ilvl w:val="2"/>
        <w:numId w:val="4"/>
      </w:numPr>
      <w:spacing w:after="220"/>
      <w:jc w:val="both"/>
      <w:outlineLvl w:val="2"/>
    </w:pPr>
    <w:rPr>
      <w:b/>
      <w:bCs/>
    </w:rPr>
  </w:style>
  <w:style w:type="paragraph" w:styleId="Heading4">
    <w:name w:val="heading 4"/>
    <w:basedOn w:val="Normal"/>
    <w:next w:val="ParaNum"/>
    <w:link w:val="Heading4Char"/>
    <w:uiPriority w:val="99"/>
    <w:qFormat/>
    <w:rsid w:val="00D1586F"/>
    <w:pPr>
      <w:keepNext/>
      <w:widowControl w:val="0"/>
      <w:numPr>
        <w:ilvl w:val="3"/>
        <w:numId w:val="4"/>
      </w:numPr>
      <w:spacing w:after="220"/>
      <w:jc w:val="both"/>
      <w:outlineLvl w:val="3"/>
    </w:pPr>
    <w:rPr>
      <w:b/>
      <w:bCs/>
    </w:rPr>
  </w:style>
  <w:style w:type="paragraph" w:styleId="Heading5">
    <w:name w:val="heading 5"/>
    <w:basedOn w:val="Normal"/>
    <w:next w:val="ParaNum"/>
    <w:link w:val="Heading5Char"/>
    <w:uiPriority w:val="99"/>
    <w:qFormat/>
    <w:rsid w:val="00D1586F"/>
    <w:pPr>
      <w:keepNext/>
      <w:widowControl w:val="0"/>
      <w:numPr>
        <w:ilvl w:val="4"/>
        <w:numId w:val="4"/>
      </w:numPr>
      <w:suppressAutoHyphens/>
      <w:spacing w:after="220"/>
      <w:jc w:val="both"/>
      <w:outlineLvl w:val="4"/>
    </w:pPr>
    <w:rPr>
      <w:b/>
      <w:bCs/>
    </w:rPr>
  </w:style>
  <w:style w:type="paragraph" w:styleId="Heading6">
    <w:name w:val="heading 6"/>
    <w:basedOn w:val="Normal"/>
    <w:next w:val="ParaNum"/>
    <w:link w:val="Heading6Char"/>
    <w:uiPriority w:val="99"/>
    <w:qFormat/>
    <w:rsid w:val="00D1586F"/>
    <w:pPr>
      <w:widowControl w:val="0"/>
      <w:numPr>
        <w:ilvl w:val="5"/>
        <w:numId w:val="4"/>
      </w:numPr>
      <w:spacing w:after="220"/>
      <w:jc w:val="both"/>
      <w:outlineLvl w:val="5"/>
    </w:pPr>
    <w:rPr>
      <w:b/>
      <w:bCs/>
    </w:rPr>
  </w:style>
  <w:style w:type="paragraph" w:styleId="Heading7">
    <w:name w:val="heading 7"/>
    <w:basedOn w:val="Normal"/>
    <w:next w:val="ParaNum"/>
    <w:link w:val="Heading7Char"/>
    <w:uiPriority w:val="99"/>
    <w:qFormat/>
    <w:rsid w:val="00D1586F"/>
    <w:pPr>
      <w:widowControl w:val="0"/>
      <w:numPr>
        <w:ilvl w:val="6"/>
        <w:numId w:val="4"/>
      </w:numPr>
      <w:spacing w:after="220"/>
      <w:jc w:val="both"/>
      <w:outlineLvl w:val="6"/>
    </w:pPr>
    <w:rPr>
      <w:b/>
      <w:bCs/>
    </w:rPr>
  </w:style>
  <w:style w:type="paragraph" w:styleId="Heading8">
    <w:name w:val="heading 8"/>
    <w:basedOn w:val="Normal"/>
    <w:next w:val="ParaNum"/>
    <w:link w:val="Heading8Char"/>
    <w:uiPriority w:val="99"/>
    <w:qFormat/>
    <w:rsid w:val="00D1586F"/>
    <w:pPr>
      <w:widowControl w:val="0"/>
      <w:numPr>
        <w:ilvl w:val="7"/>
        <w:numId w:val="4"/>
      </w:numPr>
      <w:spacing w:after="220"/>
      <w:jc w:val="both"/>
      <w:outlineLvl w:val="7"/>
    </w:pPr>
    <w:rPr>
      <w:b/>
      <w:bCs/>
    </w:rPr>
  </w:style>
  <w:style w:type="paragraph" w:styleId="Heading9">
    <w:name w:val="heading 9"/>
    <w:basedOn w:val="Normal"/>
    <w:next w:val="ParaNum"/>
    <w:link w:val="Heading9Char"/>
    <w:uiPriority w:val="99"/>
    <w:qFormat/>
    <w:rsid w:val="00D1586F"/>
    <w:pPr>
      <w:widowControl w:val="0"/>
      <w:numPr>
        <w:ilvl w:val="8"/>
        <w:numId w:val="4"/>
      </w:numPr>
      <w:spacing w:after="2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A2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1A2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C1A2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C1A2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C1A2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C1A2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C1A2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C1A2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C1A25"/>
    <w:rPr>
      <w:rFonts w:asciiTheme="majorHAnsi" w:eastAsiaTheme="majorEastAsia" w:hAnsiTheme="majorHAnsi" w:cstheme="majorBidi"/>
    </w:rPr>
  </w:style>
  <w:style w:type="paragraph" w:styleId="Caption">
    <w:name w:val="caption"/>
    <w:basedOn w:val="Normal"/>
    <w:next w:val="Normal"/>
    <w:uiPriority w:val="99"/>
    <w:qFormat/>
    <w:rsid w:val="00D1586F"/>
    <w:pPr>
      <w:spacing w:before="120" w:after="120"/>
    </w:pPr>
    <w:rPr>
      <w:b/>
      <w:bCs/>
    </w:rPr>
  </w:style>
  <w:style w:type="paragraph" w:customStyle="1" w:styleId="ParaNum">
    <w:name w:val="ParaNum"/>
    <w:basedOn w:val="Normal"/>
    <w:uiPriority w:val="99"/>
    <w:rsid w:val="00D1586F"/>
    <w:pPr>
      <w:widowControl w:val="0"/>
      <w:numPr>
        <w:numId w:val="13"/>
      </w:numPr>
      <w:tabs>
        <w:tab w:val="left" w:pos="1440"/>
      </w:tabs>
      <w:spacing w:after="220"/>
      <w:jc w:val="both"/>
    </w:pPr>
  </w:style>
  <w:style w:type="paragraph" w:styleId="FootnoteText">
    <w:name w:val="footnote text"/>
    <w:aliases w:val="ALTS FOOTNOTE,fn,Footnote Text Char1,Footnote Text Char2 Char,Footnote Text Char1 Char Char,Footnote Text Char Char Char Char,Footnote Text Char1 Char Char Char Char1,Footnote Text Char Char Char Char Char Char1,fn Ch,Footnote Text Char,f"/>
    <w:basedOn w:val="Normal"/>
    <w:link w:val="FootnoteTextChar2"/>
    <w:uiPriority w:val="99"/>
    <w:semiHidden/>
    <w:rsid w:val="00D1586F"/>
    <w:pPr>
      <w:tabs>
        <w:tab w:val="left" w:pos="180"/>
        <w:tab w:val="left" w:pos="720"/>
        <w:tab w:val="left" w:pos="1440"/>
        <w:tab w:val="left" w:pos="2160"/>
      </w:tabs>
      <w:spacing w:after="120"/>
      <w:jc w:val="both"/>
    </w:pPr>
    <w:rPr>
      <w:sz w:val="20"/>
      <w:szCs w:val="20"/>
    </w:rPr>
  </w:style>
  <w:style w:type="character" w:customStyle="1" w:styleId="FootnoteTextChar2">
    <w:name w:val="Footnote Text Char2"/>
    <w:aliases w:val="ALTS FOOTNOTE Char,fn Char,Footnote Text Char1 Char,Footnote Text Char2 Char Char,Footnote Text Char1 Char Char Char,Footnote Text Char Char Char Char Char,Footnote Text Char1 Char Char Char Char1 Char,fn Ch Char,f Char"/>
    <w:basedOn w:val="DefaultParagraphFont"/>
    <w:link w:val="FootnoteText"/>
    <w:uiPriority w:val="99"/>
    <w:semiHidden/>
    <w:locked/>
    <w:rPr>
      <w:lang w:val="en-US" w:eastAsia="en-US"/>
    </w:rPr>
  </w:style>
  <w:style w:type="paragraph" w:customStyle="1" w:styleId="Bullet">
    <w:name w:val="Bullet"/>
    <w:basedOn w:val="Normal"/>
    <w:uiPriority w:val="99"/>
    <w:rsid w:val="00D1586F"/>
    <w:pPr>
      <w:widowControl w:val="0"/>
      <w:numPr>
        <w:numId w:val="9"/>
      </w:numPr>
      <w:tabs>
        <w:tab w:val="clear" w:pos="2520"/>
      </w:tabs>
      <w:spacing w:after="220"/>
      <w:ind w:left="2160" w:hanging="720"/>
      <w:jc w:val="both"/>
    </w:pPr>
  </w:style>
  <w:style w:type="paragraph" w:styleId="BlockText">
    <w:name w:val="Block Text"/>
    <w:basedOn w:val="Normal"/>
    <w:uiPriority w:val="99"/>
    <w:rsid w:val="00D1586F"/>
    <w:pPr>
      <w:widowControl w:val="0"/>
      <w:spacing w:after="220"/>
      <w:ind w:left="1440" w:right="1440"/>
      <w:jc w:val="both"/>
    </w:pPr>
  </w:style>
  <w:style w:type="paragraph" w:customStyle="1" w:styleId="TableFormat">
    <w:name w:val="TableFormat"/>
    <w:basedOn w:val="Normal"/>
    <w:uiPriority w:val="99"/>
    <w:rsid w:val="00D1586F"/>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Style 17,Style 6,Footnote Reference/"/>
    <w:basedOn w:val="DefaultParagraphFont"/>
    <w:uiPriority w:val="99"/>
    <w:semiHidden/>
    <w:rsid w:val="00D1586F"/>
    <w:rPr>
      <w:vertAlign w:val="superscript"/>
    </w:rPr>
  </w:style>
  <w:style w:type="paragraph" w:styleId="Header">
    <w:name w:val="header"/>
    <w:basedOn w:val="Normal"/>
    <w:link w:val="HeaderChar"/>
    <w:uiPriority w:val="99"/>
    <w:rsid w:val="00D1586F"/>
    <w:pPr>
      <w:tabs>
        <w:tab w:val="center" w:pos="4320"/>
        <w:tab w:val="right" w:pos="8640"/>
      </w:tabs>
    </w:pPr>
  </w:style>
  <w:style w:type="character" w:customStyle="1" w:styleId="HeaderChar">
    <w:name w:val="Header Char"/>
    <w:basedOn w:val="DefaultParagraphFont"/>
    <w:link w:val="Header"/>
    <w:uiPriority w:val="99"/>
    <w:semiHidden/>
    <w:rsid w:val="00BC1A25"/>
  </w:style>
  <w:style w:type="paragraph" w:styleId="Footer">
    <w:name w:val="footer"/>
    <w:basedOn w:val="Normal"/>
    <w:link w:val="FooterChar"/>
    <w:uiPriority w:val="99"/>
    <w:rsid w:val="00D1586F"/>
    <w:pPr>
      <w:tabs>
        <w:tab w:val="center" w:pos="4320"/>
        <w:tab w:val="right" w:pos="8640"/>
      </w:tabs>
    </w:pPr>
  </w:style>
  <w:style w:type="character" w:customStyle="1" w:styleId="FooterChar">
    <w:name w:val="Footer Char"/>
    <w:basedOn w:val="DefaultParagraphFont"/>
    <w:link w:val="Footer"/>
    <w:uiPriority w:val="99"/>
    <w:semiHidden/>
    <w:rsid w:val="00BC1A25"/>
  </w:style>
  <w:style w:type="paragraph" w:styleId="TOC2">
    <w:name w:val="toc 2"/>
    <w:basedOn w:val="Normal"/>
    <w:next w:val="Normal"/>
    <w:autoRedefine/>
    <w:uiPriority w:val="99"/>
    <w:semiHidden/>
    <w:rsid w:val="00D1586F"/>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D1586F"/>
    <w:pPr>
      <w:numPr>
        <w:numId w:val="21"/>
      </w:numPr>
      <w:tabs>
        <w:tab w:val="clear" w:pos="1080"/>
      </w:tabs>
      <w:spacing w:after="220"/>
      <w:ind w:firstLine="0"/>
    </w:pPr>
  </w:style>
  <w:style w:type="paragraph" w:styleId="TOC1">
    <w:name w:val="toc 1"/>
    <w:basedOn w:val="Normal"/>
    <w:next w:val="Normal"/>
    <w:autoRedefine/>
    <w:uiPriority w:val="99"/>
    <w:semiHidden/>
    <w:rsid w:val="00D1586F"/>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autoRedefine/>
    <w:uiPriority w:val="99"/>
    <w:semiHidden/>
    <w:rsid w:val="00D1586F"/>
    <w:pPr>
      <w:widowControl w:val="0"/>
      <w:tabs>
        <w:tab w:val="left" w:pos="2160"/>
        <w:tab w:val="right" w:leader="dot" w:pos="9360"/>
      </w:tabs>
      <w:suppressAutoHyphens/>
      <w:ind w:left="2160" w:right="720" w:hanging="720"/>
      <w:jc w:val="both"/>
    </w:pPr>
  </w:style>
  <w:style w:type="paragraph" w:styleId="TOC4">
    <w:name w:val="toc 4"/>
    <w:basedOn w:val="Normal"/>
    <w:next w:val="Normal"/>
    <w:autoRedefine/>
    <w:uiPriority w:val="99"/>
    <w:semiHidden/>
    <w:rsid w:val="00D1586F"/>
    <w:pPr>
      <w:widowControl w:val="0"/>
      <w:tabs>
        <w:tab w:val="left" w:pos="2880"/>
        <w:tab w:val="right" w:leader="dot" w:pos="9360"/>
      </w:tabs>
      <w:suppressAutoHyphens/>
      <w:ind w:left="2880" w:right="720" w:hanging="720"/>
      <w:jc w:val="both"/>
    </w:pPr>
  </w:style>
  <w:style w:type="paragraph" w:styleId="TOC5">
    <w:name w:val="toc 5"/>
    <w:basedOn w:val="Normal"/>
    <w:next w:val="Normal"/>
    <w:autoRedefine/>
    <w:uiPriority w:val="99"/>
    <w:semiHidden/>
    <w:rsid w:val="00D1586F"/>
    <w:pPr>
      <w:widowControl w:val="0"/>
      <w:tabs>
        <w:tab w:val="left" w:pos="3600"/>
        <w:tab w:val="right" w:leader="dot" w:pos="9360"/>
      </w:tabs>
      <w:suppressAutoHyphens/>
      <w:ind w:left="3600" w:right="720" w:hanging="720"/>
      <w:jc w:val="both"/>
    </w:pPr>
  </w:style>
  <w:style w:type="paragraph" w:styleId="TOC6">
    <w:name w:val="toc 6"/>
    <w:basedOn w:val="Normal"/>
    <w:next w:val="Normal"/>
    <w:autoRedefine/>
    <w:uiPriority w:val="99"/>
    <w:semiHidden/>
    <w:rsid w:val="00D1586F"/>
    <w:pPr>
      <w:widowControl w:val="0"/>
      <w:tabs>
        <w:tab w:val="left" w:leader="dot" w:pos="9360"/>
      </w:tabs>
      <w:suppressAutoHyphens/>
      <w:ind w:left="720" w:hanging="720"/>
      <w:jc w:val="both"/>
    </w:pPr>
  </w:style>
  <w:style w:type="paragraph" w:styleId="TOC7">
    <w:name w:val="toc 7"/>
    <w:basedOn w:val="Normal"/>
    <w:next w:val="Normal"/>
    <w:autoRedefine/>
    <w:uiPriority w:val="99"/>
    <w:semiHidden/>
    <w:rsid w:val="00D1586F"/>
    <w:pPr>
      <w:widowControl w:val="0"/>
      <w:tabs>
        <w:tab w:val="left" w:leader="dot" w:pos="9360"/>
      </w:tabs>
      <w:suppressAutoHyphens/>
      <w:ind w:left="720" w:hanging="720"/>
      <w:jc w:val="both"/>
    </w:pPr>
  </w:style>
  <w:style w:type="paragraph" w:styleId="TOC8">
    <w:name w:val="toc 8"/>
    <w:basedOn w:val="Normal"/>
    <w:next w:val="Normal"/>
    <w:autoRedefine/>
    <w:uiPriority w:val="99"/>
    <w:semiHidden/>
    <w:rsid w:val="00D1586F"/>
    <w:pPr>
      <w:widowControl w:val="0"/>
      <w:tabs>
        <w:tab w:val="left" w:leader="dot" w:pos="9360"/>
      </w:tabs>
      <w:suppressAutoHyphens/>
      <w:ind w:left="720" w:hanging="720"/>
      <w:jc w:val="both"/>
    </w:pPr>
  </w:style>
  <w:style w:type="paragraph" w:styleId="TOC9">
    <w:name w:val="toc 9"/>
    <w:basedOn w:val="Normal"/>
    <w:next w:val="Normal"/>
    <w:autoRedefine/>
    <w:uiPriority w:val="99"/>
    <w:semiHidden/>
    <w:rsid w:val="00D1586F"/>
    <w:pPr>
      <w:tabs>
        <w:tab w:val="left" w:leader="dot" w:pos="9360"/>
      </w:tabs>
      <w:ind w:left="720" w:hanging="720"/>
      <w:jc w:val="both"/>
    </w:pPr>
  </w:style>
  <w:style w:type="character" w:styleId="PageNumber">
    <w:name w:val="page number"/>
    <w:basedOn w:val="DefaultParagraphFont"/>
    <w:uiPriority w:val="99"/>
    <w:rsid w:val="00D1586F"/>
  </w:style>
  <w:style w:type="paragraph" w:styleId="Title">
    <w:name w:val="Title"/>
    <w:basedOn w:val="Normal"/>
    <w:link w:val="TitleChar"/>
    <w:uiPriority w:val="99"/>
    <w:qFormat/>
    <w:rsid w:val="00D1586F"/>
    <w:pPr>
      <w:jc w:val="center"/>
    </w:pPr>
    <w:rPr>
      <w:b/>
      <w:bCs/>
    </w:rPr>
  </w:style>
  <w:style w:type="character" w:customStyle="1" w:styleId="TitleChar">
    <w:name w:val="Title Char"/>
    <w:basedOn w:val="DefaultParagraphFont"/>
    <w:link w:val="Title"/>
    <w:uiPriority w:val="10"/>
    <w:rsid w:val="00BC1A25"/>
    <w:rPr>
      <w:rFonts w:asciiTheme="majorHAnsi" w:eastAsiaTheme="majorEastAsia" w:hAnsiTheme="majorHAnsi" w:cstheme="majorBidi"/>
      <w:b/>
      <w:bCs/>
      <w:kern w:val="28"/>
      <w:sz w:val="32"/>
      <w:szCs w:val="32"/>
    </w:rPr>
  </w:style>
  <w:style w:type="paragraph" w:styleId="EndnoteText">
    <w:name w:val="endnote text"/>
    <w:basedOn w:val="Normal"/>
    <w:link w:val="EndnoteTextChar"/>
    <w:uiPriority w:val="99"/>
    <w:semiHidden/>
    <w:pPr>
      <w:widowControl w:val="0"/>
      <w:jc w:val="both"/>
    </w:pPr>
    <w:rPr>
      <w:kern w:val="28"/>
      <w:sz w:val="20"/>
      <w:szCs w:val="20"/>
    </w:rPr>
  </w:style>
  <w:style w:type="character" w:customStyle="1" w:styleId="EndnoteTextChar">
    <w:name w:val="Endnote Text Char"/>
    <w:basedOn w:val="DefaultParagraphFont"/>
    <w:link w:val="EndnoteText"/>
    <w:uiPriority w:val="99"/>
    <w:semiHidden/>
    <w:rsid w:val="00BC1A25"/>
    <w:rPr>
      <w:sz w:val="20"/>
      <w:szCs w:val="20"/>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BC1A25"/>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BC1A25"/>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C1A25"/>
    <w:rPr>
      <w:sz w:val="0"/>
      <w:szCs w:val="0"/>
    </w:rPr>
  </w:style>
  <w:style w:type="character" w:styleId="FollowedHyperlink">
    <w:name w:val="FollowedHyperlink"/>
    <w:basedOn w:val="DefaultParagraphFont"/>
    <w:uiPriority w:val="99"/>
    <w:rPr>
      <w:color w:val="800080"/>
      <w:u w:val="single"/>
    </w:rPr>
  </w:style>
  <w:style w:type="character" w:styleId="Emphasis">
    <w:name w:val="Emphasis"/>
    <w:basedOn w:val="DefaultParagraphFont"/>
    <w:uiPriority w:val="99"/>
    <w:qFormat/>
    <w:rPr>
      <w:i/>
      <w:iCs/>
    </w:rPr>
  </w:style>
  <w:style w:type="character" w:customStyle="1" w:styleId="cosearchtermcocurrentsearchterm">
    <w:name w:val="co_searchterm co_currentsearchterm"/>
    <w:basedOn w:val="DefaultParagraphFont"/>
    <w:uiPriority w:val="99"/>
    <w:rsid w:val="00BA426C"/>
  </w:style>
  <w:style w:type="paragraph" w:styleId="Revision">
    <w:name w:val="Revision"/>
    <w:hidden/>
    <w:uiPriority w:val="99"/>
    <w:semiHidden/>
    <w:rsid w:val="007C5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6F"/>
  </w:style>
  <w:style w:type="paragraph" w:styleId="Heading1">
    <w:name w:val="heading 1"/>
    <w:basedOn w:val="Normal"/>
    <w:next w:val="ParaNum"/>
    <w:link w:val="Heading1Char"/>
    <w:uiPriority w:val="99"/>
    <w:qFormat/>
    <w:rsid w:val="00D1586F"/>
    <w:pPr>
      <w:keepNext/>
      <w:widowControl w:val="0"/>
      <w:numPr>
        <w:numId w:val="4"/>
      </w:numPr>
      <w:suppressAutoHyphens/>
      <w:spacing w:after="220"/>
      <w:jc w:val="both"/>
      <w:outlineLvl w:val="0"/>
    </w:pPr>
    <w:rPr>
      <w:b/>
      <w:bCs/>
      <w:caps/>
    </w:rPr>
  </w:style>
  <w:style w:type="paragraph" w:styleId="Heading2">
    <w:name w:val="heading 2"/>
    <w:basedOn w:val="Normal"/>
    <w:next w:val="ParaNum"/>
    <w:link w:val="Heading2Char"/>
    <w:uiPriority w:val="99"/>
    <w:qFormat/>
    <w:rsid w:val="00D1586F"/>
    <w:pPr>
      <w:keepNext/>
      <w:widowControl w:val="0"/>
      <w:numPr>
        <w:ilvl w:val="1"/>
        <w:numId w:val="4"/>
      </w:numPr>
      <w:spacing w:after="220"/>
      <w:jc w:val="both"/>
      <w:outlineLvl w:val="1"/>
    </w:pPr>
    <w:rPr>
      <w:b/>
      <w:bCs/>
    </w:rPr>
  </w:style>
  <w:style w:type="paragraph" w:styleId="Heading3">
    <w:name w:val="heading 3"/>
    <w:basedOn w:val="Normal"/>
    <w:next w:val="ParaNum"/>
    <w:link w:val="Heading3Char"/>
    <w:uiPriority w:val="99"/>
    <w:qFormat/>
    <w:rsid w:val="00D1586F"/>
    <w:pPr>
      <w:keepNext/>
      <w:widowControl w:val="0"/>
      <w:numPr>
        <w:ilvl w:val="2"/>
        <w:numId w:val="4"/>
      </w:numPr>
      <w:spacing w:after="220"/>
      <w:jc w:val="both"/>
      <w:outlineLvl w:val="2"/>
    </w:pPr>
    <w:rPr>
      <w:b/>
      <w:bCs/>
    </w:rPr>
  </w:style>
  <w:style w:type="paragraph" w:styleId="Heading4">
    <w:name w:val="heading 4"/>
    <w:basedOn w:val="Normal"/>
    <w:next w:val="ParaNum"/>
    <w:link w:val="Heading4Char"/>
    <w:uiPriority w:val="99"/>
    <w:qFormat/>
    <w:rsid w:val="00D1586F"/>
    <w:pPr>
      <w:keepNext/>
      <w:widowControl w:val="0"/>
      <w:numPr>
        <w:ilvl w:val="3"/>
        <w:numId w:val="4"/>
      </w:numPr>
      <w:spacing w:after="220"/>
      <w:jc w:val="both"/>
      <w:outlineLvl w:val="3"/>
    </w:pPr>
    <w:rPr>
      <w:b/>
      <w:bCs/>
    </w:rPr>
  </w:style>
  <w:style w:type="paragraph" w:styleId="Heading5">
    <w:name w:val="heading 5"/>
    <w:basedOn w:val="Normal"/>
    <w:next w:val="ParaNum"/>
    <w:link w:val="Heading5Char"/>
    <w:uiPriority w:val="99"/>
    <w:qFormat/>
    <w:rsid w:val="00D1586F"/>
    <w:pPr>
      <w:keepNext/>
      <w:widowControl w:val="0"/>
      <w:numPr>
        <w:ilvl w:val="4"/>
        <w:numId w:val="4"/>
      </w:numPr>
      <w:suppressAutoHyphens/>
      <w:spacing w:after="220"/>
      <w:jc w:val="both"/>
      <w:outlineLvl w:val="4"/>
    </w:pPr>
    <w:rPr>
      <w:b/>
      <w:bCs/>
    </w:rPr>
  </w:style>
  <w:style w:type="paragraph" w:styleId="Heading6">
    <w:name w:val="heading 6"/>
    <w:basedOn w:val="Normal"/>
    <w:next w:val="ParaNum"/>
    <w:link w:val="Heading6Char"/>
    <w:uiPriority w:val="99"/>
    <w:qFormat/>
    <w:rsid w:val="00D1586F"/>
    <w:pPr>
      <w:widowControl w:val="0"/>
      <w:numPr>
        <w:ilvl w:val="5"/>
        <w:numId w:val="4"/>
      </w:numPr>
      <w:spacing w:after="220"/>
      <w:jc w:val="both"/>
      <w:outlineLvl w:val="5"/>
    </w:pPr>
    <w:rPr>
      <w:b/>
      <w:bCs/>
    </w:rPr>
  </w:style>
  <w:style w:type="paragraph" w:styleId="Heading7">
    <w:name w:val="heading 7"/>
    <w:basedOn w:val="Normal"/>
    <w:next w:val="ParaNum"/>
    <w:link w:val="Heading7Char"/>
    <w:uiPriority w:val="99"/>
    <w:qFormat/>
    <w:rsid w:val="00D1586F"/>
    <w:pPr>
      <w:widowControl w:val="0"/>
      <w:numPr>
        <w:ilvl w:val="6"/>
        <w:numId w:val="4"/>
      </w:numPr>
      <w:spacing w:after="220"/>
      <w:jc w:val="both"/>
      <w:outlineLvl w:val="6"/>
    </w:pPr>
    <w:rPr>
      <w:b/>
      <w:bCs/>
    </w:rPr>
  </w:style>
  <w:style w:type="paragraph" w:styleId="Heading8">
    <w:name w:val="heading 8"/>
    <w:basedOn w:val="Normal"/>
    <w:next w:val="ParaNum"/>
    <w:link w:val="Heading8Char"/>
    <w:uiPriority w:val="99"/>
    <w:qFormat/>
    <w:rsid w:val="00D1586F"/>
    <w:pPr>
      <w:widowControl w:val="0"/>
      <w:numPr>
        <w:ilvl w:val="7"/>
        <w:numId w:val="4"/>
      </w:numPr>
      <w:spacing w:after="220"/>
      <w:jc w:val="both"/>
      <w:outlineLvl w:val="7"/>
    </w:pPr>
    <w:rPr>
      <w:b/>
      <w:bCs/>
    </w:rPr>
  </w:style>
  <w:style w:type="paragraph" w:styleId="Heading9">
    <w:name w:val="heading 9"/>
    <w:basedOn w:val="Normal"/>
    <w:next w:val="ParaNum"/>
    <w:link w:val="Heading9Char"/>
    <w:uiPriority w:val="99"/>
    <w:qFormat/>
    <w:rsid w:val="00D1586F"/>
    <w:pPr>
      <w:widowControl w:val="0"/>
      <w:numPr>
        <w:ilvl w:val="8"/>
        <w:numId w:val="4"/>
      </w:numPr>
      <w:spacing w:after="2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A2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1A2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C1A2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C1A2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C1A2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C1A2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C1A2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C1A2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C1A25"/>
    <w:rPr>
      <w:rFonts w:asciiTheme="majorHAnsi" w:eastAsiaTheme="majorEastAsia" w:hAnsiTheme="majorHAnsi" w:cstheme="majorBidi"/>
    </w:rPr>
  </w:style>
  <w:style w:type="paragraph" w:styleId="Caption">
    <w:name w:val="caption"/>
    <w:basedOn w:val="Normal"/>
    <w:next w:val="Normal"/>
    <w:uiPriority w:val="99"/>
    <w:qFormat/>
    <w:rsid w:val="00D1586F"/>
    <w:pPr>
      <w:spacing w:before="120" w:after="120"/>
    </w:pPr>
    <w:rPr>
      <w:b/>
      <w:bCs/>
    </w:rPr>
  </w:style>
  <w:style w:type="paragraph" w:customStyle="1" w:styleId="ParaNum">
    <w:name w:val="ParaNum"/>
    <w:basedOn w:val="Normal"/>
    <w:uiPriority w:val="99"/>
    <w:rsid w:val="00D1586F"/>
    <w:pPr>
      <w:widowControl w:val="0"/>
      <w:numPr>
        <w:numId w:val="13"/>
      </w:numPr>
      <w:tabs>
        <w:tab w:val="left" w:pos="1440"/>
      </w:tabs>
      <w:spacing w:after="220"/>
      <w:jc w:val="both"/>
    </w:pPr>
  </w:style>
  <w:style w:type="paragraph" w:styleId="FootnoteText">
    <w:name w:val="footnote text"/>
    <w:aliases w:val="ALTS FOOTNOTE,fn,Footnote Text Char1,Footnote Text Char2 Char,Footnote Text Char1 Char Char,Footnote Text Char Char Char Char,Footnote Text Char1 Char Char Char Char1,Footnote Text Char Char Char Char Char Char1,fn Ch,Footnote Text Char,f"/>
    <w:basedOn w:val="Normal"/>
    <w:link w:val="FootnoteTextChar2"/>
    <w:uiPriority w:val="99"/>
    <w:semiHidden/>
    <w:rsid w:val="00D1586F"/>
    <w:pPr>
      <w:tabs>
        <w:tab w:val="left" w:pos="180"/>
        <w:tab w:val="left" w:pos="720"/>
        <w:tab w:val="left" w:pos="1440"/>
        <w:tab w:val="left" w:pos="2160"/>
      </w:tabs>
      <w:spacing w:after="120"/>
      <w:jc w:val="both"/>
    </w:pPr>
    <w:rPr>
      <w:sz w:val="20"/>
      <w:szCs w:val="20"/>
    </w:rPr>
  </w:style>
  <w:style w:type="character" w:customStyle="1" w:styleId="FootnoteTextChar2">
    <w:name w:val="Footnote Text Char2"/>
    <w:aliases w:val="ALTS FOOTNOTE Char,fn Char,Footnote Text Char1 Char,Footnote Text Char2 Char Char,Footnote Text Char1 Char Char Char,Footnote Text Char Char Char Char Char,Footnote Text Char1 Char Char Char Char1 Char,fn Ch Char,f Char"/>
    <w:basedOn w:val="DefaultParagraphFont"/>
    <w:link w:val="FootnoteText"/>
    <w:uiPriority w:val="99"/>
    <w:semiHidden/>
    <w:locked/>
    <w:rPr>
      <w:lang w:val="en-US" w:eastAsia="en-US"/>
    </w:rPr>
  </w:style>
  <w:style w:type="paragraph" w:customStyle="1" w:styleId="Bullet">
    <w:name w:val="Bullet"/>
    <w:basedOn w:val="Normal"/>
    <w:uiPriority w:val="99"/>
    <w:rsid w:val="00D1586F"/>
    <w:pPr>
      <w:widowControl w:val="0"/>
      <w:numPr>
        <w:numId w:val="9"/>
      </w:numPr>
      <w:tabs>
        <w:tab w:val="clear" w:pos="2520"/>
      </w:tabs>
      <w:spacing w:after="220"/>
      <w:ind w:left="2160" w:hanging="720"/>
      <w:jc w:val="both"/>
    </w:pPr>
  </w:style>
  <w:style w:type="paragraph" w:styleId="BlockText">
    <w:name w:val="Block Text"/>
    <w:basedOn w:val="Normal"/>
    <w:uiPriority w:val="99"/>
    <w:rsid w:val="00D1586F"/>
    <w:pPr>
      <w:widowControl w:val="0"/>
      <w:spacing w:after="220"/>
      <w:ind w:left="1440" w:right="1440"/>
      <w:jc w:val="both"/>
    </w:pPr>
  </w:style>
  <w:style w:type="paragraph" w:customStyle="1" w:styleId="TableFormat">
    <w:name w:val="TableFormat"/>
    <w:basedOn w:val="Normal"/>
    <w:uiPriority w:val="99"/>
    <w:rsid w:val="00D1586F"/>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Style 17,Style 6,Footnote Reference/"/>
    <w:basedOn w:val="DefaultParagraphFont"/>
    <w:uiPriority w:val="99"/>
    <w:semiHidden/>
    <w:rsid w:val="00D1586F"/>
    <w:rPr>
      <w:vertAlign w:val="superscript"/>
    </w:rPr>
  </w:style>
  <w:style w:type="paragraph" w:styleId="Header">
    <w:name w:val="header"/>
    <w:basedOn w:val="Normal"/>
    <w:link w:val="HeaderChar"/>
    <w:uiPriority w:val="99"/>
    <w:rsid w:val="00D1586F"/>
    <w:pPr>
      <w:tabs>
        <w:tab w:val="center" w:pos="4320"/>
        <w:tab w:val="right" w:pos="8640"/>
      </w:tabs>
    </w:pPr>
  </w:style>
  <w:style w:type="character" w:customStyle="1" w:styleId="HeaderChar">
    <w:name w:val="Header Char"/>
    <w:basedOn w:val="DefaultParagraphFont"/>
    <w:link w:val="Header"/>
    <w:uiPriority w:val="99"/>
    <w:semiHidden/>
    <w:rsid w:val="00BC1A25"/>
  </w:style>
  <w:style w:type="paragraph" w:styleId="Footer">
    <w:name w:val="footer"/>
    <w:basedOn w:val="Normal"/>
    <w:link w:val="FooterChar"/>
    <w:uiPriority w:val="99"/>
    <w:rsid w:val="00D1586F"/>
    <w:pPr>
      <w:tabs>
        <w:tab w:val="center" w:pos="4320"/>
        <w:tab w:val="right" w:pos="8640"/>
      </w:tabs>
    </w:pPr>
  </w:style>
  <w:style w:type="character" w:customStyle="1" w:styleId="FooterChar">
    <w:name w:val="Footer Char"/>
    <w:basedOn w:val="DefaultParagraphFont"/>
    <w:link w:val="Footer"/>
    <w:uiPriority w:val="99"/>
    <w:semiHidden/>
    <w:rsid w:val="00BC1A25"/>
  </w:style>
  <w:style w:type="paragraph" w:styleId="TOC2">
    <w:name w:val="toc 2"/>
    <w:basedOn w:val="Normal"/>
    <w:next w:val="Normal"/>
    <w:autoRedefine/>
    <w:uiPriority w:val="99"/>
    <w:semiHidden/>
    <w:rsid w:val="00D1586F"/>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D1586F"/>
    <w:pPr>
      <w:numPr>
        <w:numId w:val="21"/>
      </w:numPr>
      <w:tabs>
        <w:tab w:val="clear" w:pos="1080"/>
      </w:tabs>
      <w:spacing w:after="220"/>
      <w:ind w:firstLine="0"/>
    </w:pPr>
  </w:style>
  <w:style w:type="paragraph" w:styleId="TOC1">
    <w:name w:val="toc 1"/>
    <w:basedOn w:val="Normal"/>
    <w:next w:val="Normal"/>
    <w:autoRedefine/>
    <w:uiPriority w:val="99"/>
    <w:semiHidden/>
    <w:rsid w:val="00D1586F"/>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autoRedefine/>
    <w:uiPriority w:val="99"/>
    <w:semiHidden/>
    <w:rsid w:val="00D1586F"/>
    <w:pPr>
      <w:widowControl w:val="0"/>
      <w:tabs>
        <w:tab w:val="left" w:pos="2160"/>
        <w:tab w:val="right" w:leader="dot" w:pos="9360"/>
      </w:tabs>
      <w:suppressAutoHyphens/>
      <w:ind w:left="2160" w:right="720" w:hanging="720"/>
      <w:jc w:val="both"/>
    </w:pPr>
  </w:style>
  <w:style w:type="paragraph" w:styleId="TOC4">
    <w:name w:val="toc 4"/>
    <w:basedOn w:val="Normal"/>
    <w:next w:val="Normal"/>
    <w:autoRedefine/>
    <w:uiPriority w:val="99"/>
    <w:semiHidden/>
    <w:rsid w:val="00D1586F"/>
    <w:pPr>
      <w:widowControl w:val="0"/>
      <w:tabs>
        <w:tab w:val="left" w:pos="2880"/>
        <w:tab w:val="right" w:leader="dot" w:pos="9360"/>
      </w:tabs>
      <w:suppressAutoHyphens/>
      <w:ind w:left="2880" w:right="720" w:hanging="720"/>
      <w:jc w:val="both"/>
    </w:pPr>
  </w:style>
  <w:style w:type="paragraph" w:styleId="TOC5">
    <w:name w:val="toc 5"/>
    <w:basedOn w:val="Normal"/>
    <w:next w:val="Normal"/>
    <w:autoRedefine/>
    <w:uiPriority w:val="99"/>
    <w:semiHidden/>
    <w:rsid w:val="00D1586F"/>
    <w:pPr>
      <w:widowControl w:val="0"/>
      <w:tabs>
        <w:tab w:val="left" w:pos="3600"/>
        <w:tab w:val="right" w:leader="dot" w:pos="9360"/>
      </w:tabs>
      <w:suppressAutoHyphens/>
      <w:ind w:left="3600" w:right="720" w:hanging="720"/>
      <w:jc w:val="both"/>
    </w:pPr>
  </w:style>
  <w:style w:type="paragraph" w:styleId="TOC6">
    <w:name w:val="toc 6"/>
    <w:basedOn w:val="Normal"/>
    <w:next w:val="Normal"/>
    <w:autoRedefine/>
    <w:uiPriority w:val="99"/>
    <w:semiHidden/>
    <w:rsid w:val="00D1586F"/>
    <w:pPr>
      <w:widowControl w:val="0"/>
      <w:tabs>
        <w:tab w:val="left" w:leader="dot" w:pos="9360"/>
      </w:tabs>
      <w:suppressAutoHyphens/>
      <w:ind w:left="720" w:hanging="720"/>
      <w:jc w:val="both"/>
    </w:pPr>
  </w:style>
  <w:style w:type="paragraph" w:styleId="TOC7">
    <w:name w:val="toc 7"/>
    <w:basedOn w:val="Normal"/>
    <w:next w:val="Normal"/>
    <w:autoRedefine/>
    <w:uiPriority w:val="99"/>
    <w:semiHidden/>
    <w:rsid w:val="00D1586F"/>
    <w:pPr>
      <w:widowControl w:val="0"/>
      <w:tabs>
        <w:tab w:val="left" w:leader="dot" w:pos="9360"/>
      </w:tabs>
      <w:suppressAutoHyphens/>
      <w:ind w:left="720" w:hanging="720"/>
      <w:jc w:val="both"/>
    </w:pPr>
  </w:style>
  <w:style w:type="paragraph" w:styleId="TOC8">
    <w:name w:val="toc 8"/>
    <w:basedOn w:val="Normal"/>
    <w:next w:val="Normal"/>
    <w:autoRedefine/>
    <w:uiPriority w:val="99"/>
    <w:semiHidden/>
    <w:rsid w:val="00D1586F"/>
    <w:pPr>
      <w:widowControl w:val="0"/>
      <w:tabs>
        <w:tab w:val="left" w:leader="dot" w:pos="9360"/>
      </w:tabs>
      <w:suppressAutoHyphens/>
      <w:ind w:left="720" w:hanging="720"/>
      <w:jc w:val="both"/>
    </w:pPr>
  </w:style>
  <w:style w:type="paragraph" w:styleId="TOC9">
    <w:name w:val="toc 9"/>
    <w:basedOn w:val="Normal"/>
    <w:next w:val="Normal"/>
    <w:autoRedefine/>
    <w:uiPriority w:val="99"/>
    <w:semiHidden/>
    <w:rsid w:val="00D1586F"/>
    <w:pPr>
      <w:tabs>
        <w:tab w:val="left" w:leader="dot" w:pos="9360"/>
      </w:tabs>
      <w:ind w:left="720" w:hanging="720"/>
      <w:jc w:val="both"/>
    </w:pPr>
  </w:style>
  <w:style w:type="character" w:styleId="PageNumber">
    <w:name w:val="page number"/>
    <w:basedOn w:val="DefaultParagraphFont"/>
    <w:uiPriority w:val="99"/>
    <w:rsid w:val="00D1586F"/>
  </w:style>
  <w:style w:type="paragraph" w:styleId="Title">
    <w:name w:val="Title"/>
    <w:basedOn w:val="Normal"/>
    <w:link w:val="TitleChar"/>
    <w:uiPriority w:val="99"/>
    <w:qFormat/>
    <w:rsid w:val="00D1586F"/>
    <w:pPr>
      <w:jc w:val="center"/>
    </w:pPr>
    <w:rPr>
      <w:b/>
      <w:bCs/>
    </w:rPr>
  </w:style>
  <w:style w:type="character" w:customStyle="1" w:styleId="TitleChar">
    <w:name w:val="Title Char"/>
    <w:basedOn w:val="DefaultParagraphFont"/>
    <w:link w:val="Title"/>
    <w:uiPriority w:val="10"/>
    <w:rsid w:val="00BC1A25"/>
    <w:rPr>
      <w:rFonts w:asciiTheme="majorHAnsi" w:eastAsiaTheme="majorEastAsia" w:hAnsiTheme="majorHAnsi" w:cstheme="majorBidi"/>
      <w:b/>
      <w:bCs/>
      <w:kern w:val="28"/>
      <w:sz w:val="32"/>
      <w:szCs w:val="32"/>
    </w:rPr>
  </w:style>
  <w:style w:type="paragraph" w:styleId="EndnoteText">
    <w:name w:val="endnote text"/>
    <w:basedOn w:val="Normal"/>
    <w:link w:val="EndnoteTextChar"/>
    <w:uiPriority w:val="99"/>
    <w:semiHidden/>
    <w:pPr>
      <w:widowControl w:val="0"/>
      <w:jc w:val="both"/>
    </w:pPr>
    <w:rPr>
      <w:kern w:val="28"/>
      <w:sz w:val="20"/>
      <w:szCs w:val="20"/>
    </w:rPr>
  </w:style>
  <w:style w:type="character" w:customStyle="1" w:styleId="EndnoteTextChar">
    <w:name w:val="Endnote Text Char"/>
    <w:basedOn w:val="DefaultParagraphFont"/>
    <w:link w:val="EndnoteText"/>
    <w:uiPriority w:val="99"/>
    <w:semiHidden/>
    <w:rsid w:val="00BC1A25"/>
    <w:rPr>
      <w:sz w:val="20"/>
      <w:szCs w:val="20"/>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BC1A25"/>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BC1A25"/>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C1A25"/>
    <w:rPr>
      <w:sz w:val="0"/>
      <w:szCs w:val="0"/>
    </w:rPr>
  </w:style>
  <w:style w:type="character" w:styleId="FollowedHyperlink">
    <w:name w:val="FollowedHyperlink"/>
    <w:basedOn w:val="DefaultParagraphFont"/>
    <w:uiPriority w:val="99"/>
    <w:rPr>
      <w:color w:val="800080"/>
      <w:u w:val="single"/>
    </w:rPr>
  </w:style>
  <w:style w:type="character" w:styleId="Emphasis">
    <w:name w:val="Emphasis"/>
    <w:basedOn w:val="DefaultParagraphFont"/>
    <w:uiPriority w:val="99"/>
    <w:qFormat/>
    <w:rPr>
      <w:i/>
      <w:iCs/>
    </w:rPr>
  </w:style>
  <w:style w:type="character" w:customStyle="1" w:styleId="cosearchtermcocurrentsearchterm">
    <w:name w:val="co_searchterm co_currentsearchterm"/>
    <w:basedOn w:val="DefaultParagraphFont"/>
    <w:uiPriority w:val="99"/>
    <w:rsid w:val="00BA426C"/>
  </w:style>
  <w:style w:type="paragraph" w:styleId="Revision">
    <w:name w:val="Revision"/>
    <w:hidden/>
    <w:uiPriority w:val="99"/>
    <w:semiHidden/>
    <w:rsid w:val="007C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0065">
      <w:marLeft w:val="0"/>
      <w:marRight w:val="0"/>
      <w:marTop w:val="0"/>
      <w:marBottom w:val="0"/>
      <w:divBdr>
        <w:top w:val="none" w:sz="0" w:space="0" w:color="auto"/>
        <w:left w:val="none" w:sz="0" w:space="0" w:color="auto"/>
        <w:bottom w:val="none" w:sz="0" w:space="0" w:color="auto"/>
        <w:right w:val="none" w:sz="0" w:space="0" w:color="auto"/>
      </w:divBdr>
      <w:divsChild>
        <w:div w:id="1143540061">
          <w:marLeft w:val="0"/>
          <w:marRight w:val="0"/>
          <w:marTop w:val="0"/>
          <w:marBottom w:val="0"/>
          <w:divBdr>
            <w:top w:val="none" w:sz="0" w:space="0" w:color="auto"/>
            <w:left w:val="single" w:sz="6" w:space="0" w:color="BBBBBB"/>
            <w:bottom w:val="single" w:sz="6" w:space="0" w:color="BBBBBB"/>
            <w:right w:val="single" w:sz="6" w:space="0" w:color="BBBBBB"/>
          </w:divBdr>
          <w:divsChild>
            <w:div w:id="1143540060">
              <w:marLeft w:val="0"/>
              <w:marRight w:val="0"/>
              <w:marTop w:val="0"/>
              <w:marBottom w:val="0"/>
              <w:divBdr>
                <w:top w:val="none" w:sz="0" w:space="0" w:color="auto"/>
                <w:left w:val="none" w:sz="0" w:space="0" w:color="auto"/>
                <w:bottom w:val="none" w:sz="0" w:space="0" w:color="auto"/>
                <w:right w:val="none" w:sz="0" w:space="0" w:color="auto"/>
              </w:divBdr>
              <w:divsChild>
                <w:div w:id="1143540064">
                  <w:marLeft w:val="0"/>
                  <w:marRight w:val="0"/>
                  <w:marTop w:val="0"/>
                  <w:marBottom w:val="0"/>
                  <w:divBdr>
                    <w:top w:val="none" w:sz="0" w:space="0" w:color="auto"/>
                    <w:left w:val="none" w:sz="0" w:space="0" w:color="auto"/>
                    <w:bottom w:val="none" w:sz="0" w:space="0" w:color="auto"/>
                    <w:right w:val="none" w:sz="0" w:space="0" w:color="auto"/>
                  </w:divBdr>
                  <w:divsChild>
                    <w:div w:id="1143540063">
                      <w:marLeft w:val="0"/>
                      <w:marRight w:val="0"/>
                      <w:marTop w:val="0"/>
                      <w:marBottom w:val="0"/>
                      <w:divBdr>
                        <w:top w:val="none" w:sz="0" w:space="0" w:color="auto"/>
                        <w:left w:val="none" w:sz="0" w:space="0" w:color="auto"/>
                        <w:bottom w:val="none" w:sz="0" w:space="0" w:color="auto"/>
                        <w:right w:val="none" w:sz="0" w:space="0" w:color="auto"/>
                      </w:divBdr>
                      <w:divsChild>
                        <w:div w:id="1143540066">
                          <w:marLeft w:val="0"/>
                          <w:marRight w:val="0"/>
                          <w:marTop w:val="0"/>
                          <w:marBottom w:val="0"/>
                          <w:divBdr>
                            <w:top w:val="none" w:sz="0" w:space="0" w:color="auto"/>
                            <w:left w:val="none" w:sz="0" w:space="0" w:color="auto"/>
                            <w:bottom w:val="none" w:sz="0" w:space="0" w:color="auto"/>
                            <w:right w:val="none" w:sz="0" w:space="0" w:color="auto"/>
                          </w:divBdr>
                          <w:divsChild>
                            <w:div w:id="1143540062">
                              <w:marLeft w:val="0"/>
                              <w:marRight w:val="0"/>
                              <w:marTop w:val="0"/>
                              <w:marBottom w:val="0"/>
                              <w:divBdr>
                                <w:top w:val="none" w:sz="0" w:space="0" w:color="auto"/>
                                <w:left w:val="none" w:sz="0" w:space="0" w:color="auto"/>
                                <w:bottom w:val="none" w:sz="0" w:space="0" w:color="auto"/>
                                <w:right w:val="none" w:sz="0" w:space="0" w:color="auto"/>
                              </w:divBdr>
                              <w:divsChild>
                                <w:div w:id="1143540058">
                                  <w:marLeft w:val="0"/>
                                  <w:marRight w:val="0"/>
                                  <w:marTop w:val="0"/>
                                  <w:marBottom w:val="0"/>
                                  <w:divBdr>
                                    <w:top w:val="none" w:sz="0" w:space="0" w:color="auto"/>
                                    <w:left w:val="none" w:sz="0" w:space="0" w:color="auto"/>
                                    <w:bottom w:val="none" w:sz="0" w:space="0" w:color="auto"/>
                                    <w:right w:val="none" w:sz="0" w:space="0" w:color="auto"/>
                                  </w:divBdr>
                                  <w:divsChild>
                                    <w:div w:id="1143540059">
                                      <w:marLeft w:val="0"/>
                                      <w:marRight w:val="0"/>
                                      <w:marTop w:val="0"/>
                                      <w:marBottom w:val="0"/>
                                      <w:divBdr>
                                        <w:top w:val="none" w:sz="0" w:space="0" w:color="auto"/>
                                        <w:left w:val="none" w:sz="0" w:space="0" w:color="auto"/>
                                        <w:bottom w:val="none" w:sz="0" w:space="0" w:color="auto"/>
                                        <w:right w:val="none" w:sz="0" w:space="0" w:color="auto"/>
                                      </w:divBdr>
                                      <w:divsChild>
                                        <w:div w:id="1143540056">
                                          <w:marLeft w:val="1200"/>
                                          <w:marRight w:val="1200"/>
                                          <w:marTop w:val="0"/>
                                          <w:marBottom w:val="0"/>
                                          <w:divBdr>
                                            <w:top w:val="none" w:sz="0" w:space="0" w:color="auto"/>
                                            <w:left w:val="none" w:sz="0" w:space="0" w:color="auto"/>
                                            <w:bottom w:val="none" w:sz="0" w:space="0" w:color="auto"/>
                                            <w:right w:val="none" w:sz="0" w:space="0" w:color="auto"/>
                                          </w:divBdr>
                                          <w:divsChild>
                                            <w:div w:id="1143540067">
                                              <w:marLeft w:val="0"/>
                                              <w:marRight w:val="0"/>
                                              <w:marTop w:val="0"/>
                                              <w:marBottom w:val="0"/>
                                              <w:divBdr>
                                                <w:top w:val="none" w:sz="0" w:space="0" w:color="auto"/>
                                                <w:left w:val="none" w:sz="0" w:space="0" w:color="auto"/>
                                                <w:bottom w:val="none" w:sz="0" w:space="0" w:color="auto"/>
                                                <w:right w:val="none" w:sz="0" w:space="0" w:color="auto"/>
                                              </w:divBdr>
                                              <w:divsChild>
                                                <w:div w:id="1143540069">
                                                  <w:marLeft w:val="0"/>
                                                  <w:marRight w:val="0"/>
                                                  <w:marTop w:val="0"/>
                                                  <w:marBottom w:val="0"/>
                                                  <w:divBdr>
                                                    <w:top w:val="none" w:sz="0" w:space="0" w:color="auto"/>
                                                    <w:left w:val="none" w:sz="0" w:space="0" w:color="auto"/>
                                                    <w:bottom w:val="none" w:sz="0" w:space="0" w:color="auto"/>
                                                    <w:right w:val="none" w:sz="0" w:space="0" w:color="auto"/>
                                                  </w:divBdr>
                                                  <w:divsChild>
                                                    <w:div w:id="1143540057">
                                                      <w:marLeft w:val="0"/>
                                                      <w:marRight w:val="0"/>
                                                      <w:marTop w:val="0"/>
                                                      <w:marBottom w:val="0"/>
                                                      <w:divBdr>
                                                        <w:top w:val="none" w:sz="0" w:space="0" w:color="auto"/>
                                                        <w:left w:val="none" w:sz="0" w:space="0" w:color="auto"/>
                                                        <w:bottom w:val="none" w:sz="0" w:space="0" w:color="auto"/>
                                                        <w:right w:val="none" w:sz="0" w:space="0" w:color="auto"/>
                                                      </w:divBdr>
                                                      <w:divsChild>
                                                        <w:div w:id="11435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540070">
      <w:marLeft w:val="0"/>
      <w:marRight w:val="0"/>
      <w:marTop w:val="0"/>
      <w:marBottom w:val="0"/>
      <w:divBdr>
        <w:top w:val="none" w:sz="0" w:space="0" w:color="auto"/>
        <w:left w:val="none" w:sz="0" w:space="0" w:color="auto"/>
        <w:bottom w:val="none" w:sz="0" w:space="0" w:color="auto"/>
        <w:right w:val="none" w:sz="0" w:space="0" w:color="auto"/>
      </w:divBdr>
      <w:divsChild>
        <w:div w:id="1143540068">
          <w:marLeft w:val="0"/>
          <w:marRight w:val="0"/>
          <w:marTop w:val="0"/>
          <w:marBottom w:val="0"/>
          <w:divBdr>
            <w:top w:val="none" w:sz="0" w:space="0" w:color="auto"/>
            <w:left w:val="none" w:sz="0" w:space="0" w:color="auto"/>
            <w:bottom w:val="none" w:sz="0" w:space="0" w:color="auto"/>
            <w:right w:val="none" w:sz="0" w:space="0" w:color="auto"/>
          </w:divBdr>
          <w:divsChild>
            <w:div w:id="11435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hirenursing.com/faq/employers" TargetMode="External"/><Relationship Id="rId2" Type="http://schemas.openxmlformats.org/officeDocument/2006/relationships/hyperlink" Target="http://www.ihirenursing.com/faq/employers" TargetMode="External"/><Relationship Id="rId1" Type="http://schemas.openxmlformats.org/officeDocument/2006/relationships/hyperlink" Target="http://casesearch.courts.state.md.us/inquiry/inquiryDetail.jis?caseId=03C10002526&amp;loc=55&amp;detailLoc=CC" TargetMode="External"/><Relationship Id="rId5" Type="http://schemas.openxmlformats.org/officeDocument/2006/relationships/hyperlink" Target="http://web2.westlaw.com/find/default.wl?mt=26&amp;db=1000547&amp;docname=47CFRS1.2&amp;rp=%2ffind%2fdefault.wl&amp;findtype=L&amp;ordoc=2017937166&amp;tc=-1&amp;vr=2.0&amp;fn=_top&amp;sv=Split&amp;tf=-1&amp;pbc=A57A697F&amp;rs=WLW13.04" TargetMode="External"/><Relationship Id="rId4" Type="http://schemas.openxmlformats.org/officeDocument/2006/relationships/hyperlink" Target="http://web2.westlaw.com/find/default.wl?mt=26&amp;db=1000546&amp;docname=5USCAS554&amp;rp=%2ffind%2fdefault.wl&amp;findtype=L&amp;ordoc=2017937166&amp;tc=-1&amp;vr=2.0&amp;fn=_top&amp;sv=Split&amp;tf=-1&amp;referencepositiontype=T&amp;pbc=A57A697F&amp;referenceposition=SP%3b7fdd00001ca15&amp;rs=WLW1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1851</Words>
  <Characters>10079</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11958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2012-12-18T12:43:00Z</cp:lastPrinted>
  <dcterms:created xsi:type="dcterms:W3CDTF">2015-08-28T18:41:00Z</dcterms:created>
  <dcterms:modified xsi:type="dcterms:W3CDTF">2015-08-28T18:41:00Z</dcterms:modified>
  <cp:category> </cp:category>
  <cp:contentStatus> </cp:contentStatus>
</cp:coreProperties>
</file>