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58" w:rsidRDefault="0071316B" w:rsidP="00887458">
      <w:pPr>
        <w:jc w:val="right"/>
        <w:rPr>
          <w:b/>
          <w:szCs w:val="24"/>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887458">
        <w:rPr>
          <w:b/>
          <w:szCs w:val="24"/>
        </w:rPr>
        <w:t>DA 15-97</w:t>
      </w:r>
    </w:p>
    <w:p w:rsidR="00887458" w:rsidRDefault="005D6BB9" w:rsidP="00887458">
      <w:pPr>
        <w:jc w:val="right"/>
        <w:rPr>
          <w:b/>
          <w:szCs w:val="24"/>
        </w:rPr>
      </w:pPr>
      <w:r>
        <w:rPr>
          <w:b/>
          <w:szCs w:val="24"/>
        </w:rPr>
        <w:t>January 26</w:t>
      </w:r>
      <w:r w:rsidR="00887458">
        <w:rPr>
          <w:b/>
          <w:szCs w:val="24"/>
        </w:rPr>
        <w:t>, 2015</w:t>
      </w:r>
    </w:p>
    <w:p w:rsidR="00887458" w:rsidRDefault="00887458" w:rsidP="00887458">
      <w:pPr>
        <w:spacing w:after="240"/>
        <w:jc w:val="center"/>
        <w:rPr>
          <w:b/>
          <w:szCs w:val="24"/>
        </w:rPr>
      </w:pPr>
    </w:p>
    <w:p w:rsidR="00887458" w:rsidRDefault="00887458" w:rsidP="00887458">
      <w:pPr>
        <w:spacing w:after="240"/>
        <w:jc w:val="center"/>
        <w:rPr>
          <w:b/>
          <w:szCs w:val="24"/>
        </w:rPr>
      </w:pPr>
      <w:r>
        <w:rPr>
          <w:b/>
          <w:szCs w:val="24"/>
        </w:rPr>
        <w:t>NATIONAL EXCHANGE CARRIER ASSOCIATION, INC.’S PROPOSED 2015 MODIFICATION OF AVERAGE SCHEDULE FORMULAS</w:t>
      </w:r>
    </w:p>
    <w:p w:rsidR="00887458" w:rsidRDefault="00887458" w:rsidP="00887458">
      <w:pPr>
        <w:jc w:val="center"/>
        <w:outlineLvl w:val="0"/>
        <w:rPr>
          <w:b/>
          <w:szCs w:val="24"/>
        </w:rPr>
      </w:pPr>
      <w:r>
        <w:rPr>
          <w:b/>
          <w:szCs w:val="24"/>
        </w:rPr>
        <w:t>PLEADING CYCLE ESTABLISHED</w:t>
      </w:r>
    </w:p>
    <w:p w:rsidR="00887458" w:rsidRDefault="00887458" w:rsidP="00887458">
      <w:pPr>
        <w:jc w:val="center"/>
        <w:rPr>
          <w:b/>
          <w:szCs w:val="24"/>
        </w:rPr>
      </w:pPr>
      <w:r>
        <w:rPr>
          <w:b/>
          <w:szCs w:val="24"/>
        </w:rPr>
        <w:t>WC Docket No. 14-247</w:t>
      </w:r>
    </w:p>
    <w:p w:rsidR="00887458" w:rsidRDefault="00887458" w:rsidP="00887458">
      <w:pPr>
        <w:jc w:val="center"/>
        <w:rPr>
          <w:szCs w:val="24"/>
        </w:rPr>
      </w:pPr>
    </w:p>
    <w:p w:rsidR="00887458" w:rsidRDefault="002D33A9" w:rsidP="00887458">
      <w:pPr>
        <w:spacing w:before="120" w:after="240"/>
        <w:rPr>
          <w:b/>
          <w:szCs w:val="24"/>
        </w:rPr>
      </w:pPr>
      <w:r>
        <w:rPr>
          <w:b/>
          <w:szCs w:val="24"/>
        </w:rPr>
        <w:t>Comments Due:  February 17</w:t>
      </w:r>
      <w:r w:rsidR="00887458">
        <w:rPr>
          <w:b/>
          <w:szCs w:val="24"/>
        </w:rPr>
        <w:softHyphen/>
      </w:r>
      <w:r w:rsidR="00887458">
        <w:rPr>
          <w:b/>
          <w:szCs w:val="24"/>
        </w:rPr>
        <w:softHyphen/>
        <w:t xml:space="preserve">, 2015 </w:t>
      </w:r>
      <w:r w:rsidR="00887458">
        <w:rPr>
          <w:b/>
          <w:szCs w:val="24"/>
        </w:rPr>
        <w:br/>
      </w:r>
      <w:r>
        <w:rPr>
          <w:b/>
          <w:szCs w:val="24"/>
        </w:rPr>
        <w:t>Reply Comments Due:  February 27</w:t>
      </w:r>
      <w:r w:rsidR="00887458">
        <w:rPr>
          <w:b/>
          <w:szCs w:val="24"/>
        </w:rPr>
        <w:t xml:space="preserve">, 2015 </w:t>
      </w:r>
    </w:p>
    <w:p w:rsidR="00887458" w:rsidRPr="00B10D3F" w:rsidRDefault="00887458" w:rsidP="00887458">
      <w:pPr>
        <w:pStyle w:val="Style0"/>
        <w:spacing w:after="240"/>
        <w:ind w:firstLine="720"/>
        <w:rPr>
          <w:rFonts w:ascii="Times New Roman" w:hAnsi="Times New Roman"/>
          <w:color w:val="000000"/>
          <w:sz w:val="22"/>
          <w:szCs w:val="22"/>
        </w:rPr>
      </w:pPr>
      <w:r w:rsidRPr="00B10D3F">
        <w:rPr>
          <w:rFonts w:ascii="Times New Roman" w:hAnsi="Times New Roman"/>
          <w:color w:val="000000"/>
          <w:sz w:val="22"/>
          <w:szCs w:val="22"/>
        </w:rPr>
        <w:t>On December 2</w:t>
      </w:r>
      <w:r>
        <w:rPr>
          <w:rFonts w:ascii="Times New Roman" w:hAnsi="Times New Roman"/>
          <w:color w:val="000000"/>
          <w:sz w:val="22"/>
          <w:szCs w:val="22"/>
        </w:rPr>
        <w:t>3</w:t>
      </w:r>
      <w:r w:rsidRPr="00B10D3F">
        <w:rPr>
          <w:rFonts w:ascii="Times New Roman" w:hAnsi="Times New Roman"/>
          <w:color w:val="000000"/>
          <w:sz w:val="22"/>
          <w:szCs w:val="22"/>
        </w:rPr>
        <w:t>, 201</w:t>
      </w:r>
      <w:r>
        <w:rPr>
          <w:rFonts w:ascii="Times New Roman" w:hAnsi="Times New Roman"/>
          <w:color w:val="000000"/>
          <w:sz w:val="22"/>
          <w:szCs w:val="22"/>
        </w:rPr>
        <w:t>4</w:t>
      </w:r>
      <w:r w:rsidRPr="00B10D3F">
        <w:rPr>
          <w:rFonts w:ascii="Times New Roman" w:hAnsi="Times New Roman"/>
          <w:color w:val="000000"/>
          <w:sz w:val="22"/>
          <w:szCs w:val="22"/>
        </w:rPr>
        <w:t>, the National Exchange Carrier Association, Inc. (NECA) filed with the Commission its proposed modification of average schedule formulas for interstate settlements, pursuant to section 69.606 of the Commission’s rules.</w:t>
      </w:r>
      <w:r w:rsidRPr="00B10D3F">
        <w:rPr>
          <w:rStyle w:val="FootnoteReference"/>
          <w:rFonts w:ascii="Times New Roman" w:hAnsi="Times New Roman"/>
          <w:color w:val="000000"/>
          <w:sz w:val="22"/>
          <w:szCs w:val="22"/>
        </w:rPr>
        <w:footnoteReference w:id="1"/>
      </w:r>
      <w:r w:rsidRPr="00B10D3F">
        <w:rPr>
          <w:rFonts w:ascii="Times New Roman" w:hAnsi="Times New Roman"/>
          <w:color w:val="000000"/>
          <w:sz w:val="22"/>
          <w:szCs w:val="22"/>
        </w:rPr>
        <w:t xml:space="preserve">  NECA proposes to revise the formulas for average schedule interstate settlement disbursements in connection with the provision of interstate access services for the period beginning July 1, 201</w:t>
      </w:r>
      <w:r>
        <w:rPr>
          <w:rFonts w:ascii="Times New Roman" w:hAnsi="Times New Roman"/>
          <w:color w:val="000000"/>
          <w:sz w:val="22"/>
          <w:szCs w:val="22"/>
        </w:rPr>
        <w:t>5</w:t>
      </w:r>
      <w:r w:rsidRPr="00B10D3F">
        <w:rPr>
          <w:rFonts w:ascii="Times New Roman" w:hAnsi="Times New Roman"/>
          <w:color w:val="000000"/>
          <w:sz w:val="22"/>
          <w:szCs w:val="22"/>
        </w:rPr>
        <w:t>, through June 30, 201</w:t>
      </w:r>
      <w:r>
        <w:rPr>
          <w:rFonts w:ascii="Times New Roman" w:hAnsi="Times New Roman"/>
          <w:color w:val="000000"/>
          <w:sz w:val="22"/>
          <w:szCs w:val="22"/>
        </w:rPr>
        <w:t>6</w:t>
      </w:r>
      <w:r w:rsidRPr="00B10D3F">
        <w:rPr>
          <w:rFonts w:ascii="Times New Roman" w:hAnsi="Times New Roman"/>
          <w:color w:val="000000"/>
          <w:sz w:val="22"/>
          <w:szCs w:val="22"/>
        </w:rPr>
        <w:t xml:space="preserve">.  </w:t>
      </w:r>
    </w:p>
    <w:p w:rsidR="00887458" w:rsidRPr="00B10D3F" w:rsidRDefault="00887458" w:rsidP="00887458">
      <w:pPr>
        <w:autoSpaceDE w:val="0"/>
        <w:autoSpaceDN w:val="0"/>
        <w:adjustRightInd w:val="0"/>
        <w:rPr>
          <w:color w:val="231F20"/>
          <w:szCs w:val="22"/>
        </w:rPr>
      </w:pPr>
      <w:r w:rsidRPr="00B10D3F">
        <w:rPr>
          <w:szCs w:val="22"/>
        </w:rPr>
        <w:tab/>
      </w:r>
      <w:r w:rsidRPr="00B10D3F">
        <w:rPr>
          <w:color w:val="231F20"/>
          <w:szCs w:val="22"/>
        </w:rPr>
        <w:t xml:space="preserve">Overall, NECA proposes formula changes that would </w:t>
      </w:r>
      <w:r>
        <w:rPr>
          <w:color w:val="231F20"/>
          <w:szCs w:val="22"/>
        </w:rPr>
        <w:t xml:space="preserve">increase </w:t>
      </w:r>
      <w:r w:rsidRPr="00B10D3F">
        <w:rPr>
          <w:color w:val="231F20"/>
          <w:szCs w:val="22"/>
        </w:rPr>
        <w:t xml:space="preserve">settlement rates by </w:t>
      </w:r>
      <w:r>
        <w:rPr>
          <w:color w:val="231F20"/>
          <w:szCs w:val="22"/>
        </w:rPr>
        <w:t>6.6 percent</w:t>
      </w:r>
      <w:r w:rsidRPr="00B10D3F">
        <w:rPr>
          <w:color w:val="231F20"/>
          <w:szCs w:val="22"/>
        </w:rPr>
        <w:t>, at constant demand.</w:t>
      </w:r>
      <w:r w:rsidRPr="00B10D3F">
        <w:rPr>
          <w:rStyle w:val="FootnoteReference"/>
          <w:szCs w:val="22"/>
        </w:rPr>
        <w:footnoteReference w:id="2"/>
      </w:r>
      <w:r w:rsidRPr="00B10D3F">
        <w:rPr>
          <w:color w:val="231F20"/>
          <w:szCs w:val="22"/>
        </w:rPr>
        <w:t xml:space="preserve"> </w:t>
      </w:r>
      <w:r>
        <w:rPr>
          <w:color w:val="231F20"/>
          <w:szCs w:val="22"/>
        </w:rPr>
        <w:t xml:space="preserve"> </w:t>
      </w:r>
      <w:r w:rsidRPr="00B10D3F">
        <w:rPr>
          <w:color w:val="231F20"/>
          <w:szCs w:val="22"/>
        </w:rPr>
        <w:t xml:space="preserve">The proposed settlement formulas reflect the same general structures and methods as current formulas.  </w:t>
      </w:r>
      <w:r w:rsidRPr="00B10D3F">
        <w:rPr>
          <w:szCs w:val="22"/>
        </w:rPr>
        <w:t xml:space="preserve">Modifications to the average schedule formulas are based on a statistical sampling of the costs and demand of comparable cost companies. </w:t>
      </w:r>
      <w:r>
        <w:rPr>
          <w:szCs w:val="22"/>
        </w:rPr>
        <w:t xml:space="preserve"> </w:t>
      </w:r>
      <w:r w:rsidRPr="00B10D3F">
        <w:rPr>
          <w:szCs w:val="22"/>
        </w:rPr>
        <w:t xml:space="preserve">The effects of these formula changes on individual average schedule companies will vary depending on each company’s size and demand characteristics.  </w:t>
      </w:r>
      <w:r w:rsidRPr="00B10D3F">
        <w:rPr>
          <w:color w:val="231F20"/>
          <w:szCs w:val="22"/>
        </w:rPr>
        <w:t xml:space="preserve">NECA calculates that </w:t>
      </w:r>
      <w:r>
        <w:rPr>
          <w:color w:val="231F20"/>
          <w:szCs w:val="22"/>
        </w:rPr>
        <w:t xml:space="preserve">274 companies </w:t>
      </w:r>
      <w:r w:rsidRPr="00B10D3F">
        <w:rPr>
          <w:color w:val="231F20"/>
          <w:szCs w:val="22"/>
        </w:rPr>
        <w:t xml:space="preserve">are expected to experience increases </w:t>
      </w:r>
      <w:r>
        <w:rPr>
          <w:color w:val="231F20"/>
          <w:szCs w:val="22"/>
        </w:rPr>
        <w:t xml:space="preserve">in settlement rates </w:t>
      </w:r>
      <w:r w:rsidRPr="00B10D3F">
        <w:rPr>
          <w:color w:val="231F20"/>
          <w:szCs w:val="22"/>
        </w:rPr>
        <w:t xml:space="preserve">and </w:t>
      </w:r>
      <w:r>
        <w:rPr>
          <w:color w:val="231F20"/>
          <w:szCs w:val="22"/>
        </w:rPr>
        <w:t>48</w:t>
      </w:r>
      <w:r w:rsidRPr="00B10D3F">
        <w:rPr>
          <w:color w:val="231F20"/>
          <w:szCs w:val="22"/>
        </w:rPr>
        <w:t xml:space="preserve"> study areas are expected to experience decreases in settlement rates</w:t>
      </w:r>
      <w:r>
        <w:rPr>
          <w:color w:val="231F20"/>
          <w:szCs w:val="22"/>
        </w:rPr>
        <w:t>,</w:t>
      </w:r>
      <w:r w:rsidRPr="00B10D3F">
        <w:rPr>
          <w:color w:val="231F20"/>
          <w:szCs w:val="22"/>
        </w:rPr>
        <w:t xml:space="preserve"> at constant demand.</w:t>
      </w:r>
      <w:r w:rsidRPr="00B10D3F">
        <w:rPr>
          <w:rStyle w:val="FootnoteReference"/>
          <w:szCs w:val="22"/>
        </w:rPr>
        <w:footnoteReference w:id="3"/>
      </w:r>
      <w:r w:rsidRPr="00B10D3F">
        <w:rPr>
          <w:color w:val="231F20"/>
          <w:szCs w:val="22"/>
        </w:rPr>
        <w:t xml:space="preserve"> </w:t>
      </w:r>
    </w:p>
    <w:p w:rsidR="00887458" w:rsidRPr="00B10D3F" w:rsidRDefault="00887458" w:rsidP="00887458">
      <w:pPr>
        <w:autoSpaceDE w:val="0"/>
        <w:autoSpaceDN w:val="0"/>
        <w:adjustRightInd w:val="0"/>
        <w:rPr>
          <w:color w:val="231F20"/>
          <w:szCs w:val="22"/>
        </w:rPr>
      </w:pPr>
    </w:p>
    <w:p w:rsidR="00887458" w:rsidRPr="00B81500" w:rsidRDefault="00887458" w:rsidP="006211C4">
      <w:pPr>
        <w:autoSpaceDE w:val="0"/>
        <w:autoSpaceDN w:val="0"/>
        <w:adjustRightInd w:val="0"/>
        <w:ind w:firstLine="720"/>
        <w:rPr>
          <w:color w:val="231F20"/>
          <w:szCs w:val="22"/>
        </w:rPr>
      </w:pPr>
      <w:r w:rsidRPr="00CB37DF">
        <w:rPr>
          <w:color w:val="231F20"/>
          <w:szCs w:val="22"/>
        </w:rPr>
        <w:t>According to NECA, most of the settlement increases are attributed to increases in Common Line (CL) and Non-DSL formulas for medium and large study areas, partly offset by decreases in the DSL Basic formula.</w:t>
      </w:r>
      <w:r w:rsidRPr="007A53DA">
        <w:rPr>
          <w:rStyle w:val="FootnoteReference"/>
          <w:szCs w:val="22"/>
        </w:rPr>
        <w:t xml:space="preserve"> </w:t>
      </w:r>
      <w:r w:rsidRPr="00B10D3F">
        <w:rPr>
          <w:rStyle w:val="FootnoteReference"/>
          <w:szCs w:val="22"/>
        </w:rPr>
        <w:footnoteReference w:id="4"/>
      </w:r>
      <w:r w:rsidRPr="00CB37DF">
        <w:rPr>
          <w:color w:val="231F20"/>
          <w:szCs w:val="22"/>
        </w:rPr>
        <w:t xml:space="preserve">  The increases in CL and Non-DSL formulas are attributable to significant increases in Cable and Wire Facilities investment reported by sample average schedule study areas, higher account growth, and significant reductions in access lines and Non-DSL demand in this year’s study compared to last year. </w:t>
      </w:r>
      <w:r w:rsidR="002250D8">
        <w:rPr>
          <w:color w:val="231F20"/>
          <w:szCs w:val="22"/>
        </w:rPr>
        <w:t xml:space="preserve"> </w:t>
      </w:r>
      <w:r w:rsidRPr="00CB37DF">
        <w:rPr>
          <w:color w:val="231F20"/>
          <w:szCs w:val="22"/>
        </w:rPr>
        <w:t xml:space="preserve">NECA also </w:t>
      </w:r>
      <w:r>
        <w:rPr>
          <w:color w:val="231F20"/>
          <w:szCs w:val="22"/>
        </w:rPr>
        <w:t xml:space="preserve">reports </w:t>
      </w:r>
      <w:r w:rsidRPr="00CB37DF">
        <w:rPr>
          <w:color w:val="231F20"/>
          <w:szCs w:val="22"/>
        </w:rPr>
        <w:t xml:space="preserve">that, for </w:t>
      </w:r>
      <w:r w:rsidRPr="00BE333C">
        <w:rPr>
          <w:color w:val="231F20"/>
          <w:szCs w:val="22"/>
        </w:rPr>
        <w:t xml:space="preserve">the basic </w:t>
      </w:r>
      <w:r w:rsidRPr="00B81500">
        <w:rPr>
          <w:color w:val="231F20"/>
          <w:szCs w:val="22"/>
        </w:rPr>
        <w:t xml:space="preserve">DSL formula higher account, growth is offset by higher demand growth and lower allocation to the DSL basic revenue requirement due to more data-only costs </w:t>
      </w:r>
      <w:r w:rsidRPr="00B81500">
        <w:rPr>
          <w:color w:val="231F20"/>
          <w:szCs w:val="22"/>
        </w:rPr>
        <w:lastRenderedPageBreak/>
        <w:t xml:space="preserve">excluded from reported accounts.  Together these factors have contributed to a decrease in the basic DSL formula compared to </w:t>
      </w:r>
      <w:r>
        <w:rPr>
          <w:color w:val="231F20"/>
          <w:szCs w:val="22"/>
        </w:rPr>
        <w:t>last year</w:t>
      </w:r>
      <w:r w:rsidRPr="00B81500">
        <w:rPr>
          <w:color w:val="231F20"/>
          <w:szCs w:val="22"/>
        </w:rPr>
        <w:t>.</w:t>
      </w:r>
      <w:r>
        <w:rPr>
          <w:rStyle w:val="FootnoteReference"/>
          <w:color w:val="231F20"/>
          <w:szCs w:val="22"/>
        </w:rPr>
        <w:footnoteReference w:id="5"/>
      </w:r>
    </w:p>
    <w:p w:rsidR="00887458" w:rsidRDefault="00887458" w:rsidP="00887458">
      <w:pPr>
        <w:autoSpaceDE w:val="0"/>
        <w:autoSpaceDN w:val="0"/>
        <w:adjustRightInd w:val="0"/>
        <w:rPr>
          <w:szCs w:val="22"/>
        </w:rPr>
      </w:pPr>
    </w:p>
    <w:p w:rsidR="00887458" w:rsidRPr="00157D41" w:rsidRDefault="00887458" w:rsidP="00887458">
      <w:pPr>
        <w:ind w:firstLine="360"/>
        <w:contextualSpacing/>
        <w:rPr>
          <w:rFonts w:eastAsia="Calibri"/>
          <w:color w:val="000000"/>
          <w:szCs w:val="22"/>
        </w:rPr>
      </w:pPr>
      <w:r w:rsidRPr="00157D41">
        <w:rPr>
          <w:rFonts w:eastAsia="Calibri"/>
          <w:color w:val="000000"/>
          <w:szCs w:val="22"/>
        </w:rPr>
        <w:t xml:space="preserve">Pursuant to section 1.419 of the Commission’s rules, 47 C.F.R. § 1.419, interested parties may file comments on or before the date indicated above.  Comments may be filed by paper copies or by using the Commission’s Electronic Comment Filing System (ECFS).  </w:t>
      </w:r>
      <w:r w:rsidRPr="00157D41">
        <w:rPr>
          <w:rFonts w:eastAsia="Calibri"/>
          <w:i/>
          <w:color w:val="000000"/>
          <w:szCs w:val="22"/>
        </w:rPr>
        <w:t>See</w:t>
      </w:r>
      <w:r w:rsidRPr="00157D41">
        <w:rPr>
          <w:rFonts w:eastAsia="Calibri"/>
          <w:color w:val="000000"/>
          <w:szCs w:val="22"/>
        </w:rPr>
        <w:t xml:space="preserve"> </w:t>
      </w:r>
      <w:r w:rsidRPr="00157D41">
        <w:rPr>
          <w:rFonts w:eastAsia="Calibri"/>
          <w:i/>
          <w:color w:val="000000"/>
          <w:szCs w:val="22"/>
        </w:rPr>
        <w:t>Electronic Filing of Documents in Rulemaking Proceedings</w:t>
      </w:r>
      <w:r w:rsidRPr="00157D41">
        <w:rPr>
          <w:rFonts w:eastAsia="Calibri"/>
          <w:color w:val="000000"/>
          <w:szCs w:val="22"/>
        </w:rPr>
        <w:t>, 63 FR 24121 (1998).</w:t>
      </w:r>
    </w:p>
    <w:p w:rsidR="00887458" w:rsidRPr="005510DF" w:rsidRDefault="00887458" w:rsidP="00887458">
      <w:pPr>
        <w:contextualSpacing/>
        <w:rPr>
          <w:rFonts w:eastAsia="Calibri"/>
          <w:szCs w:val="22"/>
        </w:rPr>
      </w:pPr>
    </w:p>
    <w:p w:rsidR="00887458" w:rsidRPr="005510DF" w:rsidRDefault="00887458" w:rsidP="00887458">
      <w:pPr>
        <w:numPr>
          <w:ilvl w:val="0"/>
          <w:numId w:val="6"/>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887458" w:rsidRPr="005510DF" w:rsidRDefault="00887458" w:rsidP="00887458">
      <w:pPr>
        <w:contextualSpacing/>
        <w:rPr>
          <w:rFonts w:eastAsia="Calibri"/>
          <w:szCs w:val="22"/>
        </w:rPr>
      </w:pPr>
    </w:p>
    <w:p w:rsidR="00887458" w:rsidRPr="00C55FE4" w:rsidRDefault="00887458" w:rsidP="00887458">
      <w:pPr>
        <w:numPr>
          <w:ilvl w:val="0"/>
          <w:numId w:val="6"/>
        </w:numPr>
        <w:contextualSpacing/>
        <w:rPr>
          <w:rFonts w:eastAsia="Calibri"/>
          <w:szCs w:val="22"/>
        </w:rPr>
      </w:pPr>
      <w:r w:rsidRPr="00C55FE4">
        <w:rPr>
          <w:rFonts w:eastAsia="Calibri"/>
          <w:szCs w:val="22"/>
        </w:rPr>
        <w:t>Paper Filers: Parties who choose to file by paper must file an original and one copy of each filing.  Because more than one docket number appears in the caption of this proceeding, filers must submit two additional copies for each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887458" w:rsidRPr="005510DF" w:rsidRDefault="00887458" w:rsidP="00887458">
      <w:pPr>
        <w:contextualSpacing/>
        <w:rPr>
          <w:rFonts w:eastAsia="Calibri"/>
          <w:szCs w:val="22"/>
        </w:rPr>
      </w:pPr>
    </w:p>
    <w:p w:rsidR="00887458" w:rsidRPr="005510DF" w:rsidRDefault="00887458" w:rsidP="00887458">
      <w:pPr>
        <w:numPr>
          <w:ilvl w:val="0"/>
          <w:numId w:val="7"/>
        </w:numPr>
        <w:ind w:left="1080"/>
        <w:contextualSpacing/>
        <w:rPr>
          <w:rFonts w:eastAsia="Calibri"/>
          <w:szCs w:val="22"/>
        </w:rPr>
      </w:pPr>
      <w:r w:rsidRPr="005510DF">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5510DF">
        <w:rPr>
          <w:rFonts w:eastAsia="Calibri"/>
          <w:szCs w:val="22"/>
          <w:u w:val="single"/>
        </w:rPr>
        <w:t>before</w:t>
      </w:r>
      <w:r w:rsidRPr="005510DF">
        <w:rPr>
          <w:rFonts w:eastAsia="Calibri"/>
          <w:szCs w:val="22"/>
        </w:rPr>
        <w:t xml:space="preserve"> entering the building.</w:t>
      </w:r>
    </w:p>
    <w:p w:rsidR="00887458" w:rsidRPr="005510DF" w:rsidRDefault="00887458" w:rsidP="00887458">
      <w:pPr>
        <w:ind w:left="1080"/>
        <w:contextualSpacing/>
        <w:rPr>
          <w:rFonts w:eastAsia="Calibri"/>
          <w:szCs w:val="22"/>
        </w:rPr>
      </w:pPr>
    </w:p>
    <w:p w:rsidR="00887458" w:rsidRPr="005510DF" w:rsidRDefault="00887458" w:rsidP="00887458">
      <w:pPr>
        <w:numPr>
          <w:ilvl w:val="0"/>
          <w:numId w:val="7"/>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887458" w:rsidRPr="005510DF" w:rsidRDefault="00887458" w:rsidP="00887458">
      <w:pPr>
        <w:ind w:left="1080"/>
        <w:contextualSpacing/>
        <w:rPr>
          <w:rFonts w:eastAsia="Calibri"/>
          <w:szCs w:val="22"/>
        </w:rPr>
      </w:pPr>
    </w:p>
    <w:p w:rsidR="00887458" w:rsidRPr="005510DF" w:rsidRDefault="00887458" w:rsidP="00887458">
      <w:pPr>
        <w:numPr>
          <w:ilvl w:val="0"/>
          <w:numId w:val="7"/>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887458" w:rsidRPr="005510DF" w:rsidRDefault="00887458" w:rsidP="00887458">
      <w:pPr>
        <w:contextualSpacing/>
        <w:rPr>
          <w:rFonts w:eastAsia="Calibri"/>
          <w:szCs w:val="22"/>
        </w:rPr>
      </w:pPr>
    </w:p>
    <w:p w:rsidR="00887458" w:rsidRPr="005510DF" w:rsidRDefault="00887458" w:rsidP="00887458">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887458" w:rsidRPr="005510DF" w:rsidRDefault="00887458" w:rsidP="00887458">
      <w:pPr>
        <w:contextualSpacing/>
        <w:rPr>
          <w:rFonts w:eastAsia="Calibri"/>
          <w:szCs w:val="22"/>
        </w:rPr>
      </w:pPr>
      <w:r w:rsidRPr="005510DF">
        <w:rPr>
          <w:rFonts w:eastAsia="Calibri"/>
          <w:szCs w:val="22"/>
        </w:rPr>
        <w:t xml:space="preserve">(Braille, large print, electronic files, audio format), send an e-mail to </w:t>
      </w:r>
      <w:r w:rsidRPr="007F2AAB">
        <w:rPr>
          <w:rFonts w:eastAsia="Calibri"/>
          <w:szCs w:val="22"/>
          <w:u w:val="single"/>
        </w:rPr>
        <w:t xml:space="preserve">fcc504@fcc.gov </w:t>
      </w:r>
      <w:r w:rsidRPr="005510DF">
        <w:rPr>
          <w:rFonts w:eastAsia="Calibri"/>
          <w:szCs w:val="22"/>
        </w:rPr>
        <w:t>or call the Consumer &amp; Governmental Affairs Bureau at (202) 418-0530 (voice) or (202) 418-0432 (tty).</w:t>
      </w:r>
    </w:p>
    <w:p w:rsidR="00887458" w:rsidRPr="005510DF" w:rsidRDefault="00887458" w:rsidP="00887458">
      <w:pPr>
        <w:contextualSpacing/>
        <w:rPr>
          <w:rFonts w:eastAsia="Calibri"/>
          <w:szCs w:val="22"/>
        </w:rPr>
      </w:pPr>
    </w:p>
    <w:p w:rsidR="00887458" w:rsidRPr="00E169D5" w:rsidRDefault="00887458" w:rsidP="00887458">
      <w:pPr>
        <w:ind w:firstLine="720"/>
      </w:pPr>
      <w:r>
        <w:t xml:space="preserve">This matter shall be treated as a “permit-but-disclose” proceeding in accordance with the Commission’s </w:t>
      </w:r>
      <w:r>
        <w:rPr>
          <w:i/>
          <w:iCs/>
        </w:rPr>
        <w:t xml:space="preserve">ex parte </w:t>
      </w:r>
      <w:r>
        <w:t>rules.</w:t>
      </w:r>
      <w:r>
        <w:rPr>
          <w:rStyle w:val="FootnoteReference"/>
        </w:rPr>
        <w:footnoteReference w:id="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887458" w:rsidRPr="005510DF" w:rsidRDefault="00887458" w:rsidP="00887458">
      <w:pPr>
        <w:contextualSpacing/>
        <w:rPr>
          <w:rFonts w:eastAsia="Calibri"/>
          <w:szCs w:val="22"/>
        </w:rPr>
      </w:pPr>
    </w:p>
    <w:p w:rsidR="00887458" w:rsidRPr="005510DF" w:rsidRDefault="00887458" w:rsidP="00887458">
      <w:pPr>
        <w:ind w:firstLine="720"/>
        <w:contextualSpacing/>
        <w:rPr>
          <w:rFonts w:eastAsia="Calibri"/>
          <w:szCs w:val="22"/>
        </w:rPr>
      </w:pPr>
      <w:r w:rsidRPr="005510DF">
        <w:rPr>
          <w:rFonts w:eastAsia="Calibri"/>
          <w:szCs w:val="22"/>
        </w:rPr>
        <w:t xml:space="preserve">For further information, please contact </w:t>
      </w:r>
      <w:r>
        <w:rPr>
          <w:rFonts w:eastAsia="Calibri"/>
          <w:szCs w:val="22"/>
        </w:rPr>
        <w:t>Don Sussman</w:t>
      </w:r>
      <w:r w:rsidRPr="005510DF">
        <w:rPr>
          <w:rFonts w:eastAsia="Calibri"/>
          <w:szCs w:val="22"/>
        </w:rPr>
        <w:t xml:space="preserve">, </w:t>
      </w:r>
      <w:r>
        <w:rPr>
          <w:rFonts w:eastAsia="Calibri"/>
          <w:szCs w:val="22"/>
        </w:rPr>
        <w:t xml:space="preserve">Pricing Policy Division, </w:t>
      </w:r>
      <w:r w:rsidRPr="005510DF">
        <w:rPr>
          <w:rFonts w:eastAsia="Calibri"/>
          <w:szCs w:val="22"/>
        </w:rPr>
        <w:t>Wireline Competition Bureau, at (202) 418-</w:t>
      </w:r>
      <w:r>
        <w:rPr>
          <w:rFonts w:eastAsia="Calibri"/>
          <w:szCs w:val="22"/>
        </w:rPr>
        <w:t>0629</w:t>
      </w:r>
      <w:r w:rsidRPr="005510DF">
        <w:rPr>
          <w:rFonts w:eastAsia="Calibri"/>
          <w:szCs w:val="22"/>
        </w:rPr>
        <w:t xml:space="preserve"> or via e-mail at </w:t>
      </w:r>
      <w:r>
        <w:rPr>
          <w:rFonts w:eastAsia="Calibri"/>
          <w:szCs w:val="22"/>
        </w:rPr>
        <w:t>Don</w:t>
      </w:r>
      <w:r w:rsidRPr="00D52F07">
        <w:rPr>
          <w:rFonts w:eastAsia="Calibri"/>
          <w:szCs w:val="22"/>
        </w:rPr>
        <w:t>.</w:t>
      </w:r>
      <w:r>
        <w:rPr>
          <w:rFonts w:eastAsia="Calibri"/>
          <w:szCs w:val="22"/>
        </w:rPr>
        <w:t>Sussman</w:t>
      </w:r>
      <w:r w:rsidRPr="00D52F07">
        <w:rPr>
          <w:rFonts w:eastAsia="Calibri"/>
          <w:szCs w:val="22"/>
        </w:rPr>
        <w:t>@fcc.gov</w:t>
      </w:r>
      <w:r w:rsidRPr="005510DF">
        <w:rPr>
          <w:rFonts w:eastAsia="Calibri"/>
          <w:szCs w:val="22"/>
        </w:rPr>
        <w:t>.</w:t>
      </w:r>
    </w:p>
    <w:p w:rsidR="00887458" w:rsidRPr="005510DF" w:rsidRDefault="00887458" w:rsidP="00887458">
      <w:pPr>
        <w:contextualSpacing/>
        <w:rPr>
          <w:rFonts w:eastAsia="Calibri"/>
          <w:szCs w:val="22"/>
        </w:rPr>
      </w:pPr>
    </w:p>
    <w:p w:rsidR="00887458" w:rsidRPr="00E13D74" w:rsidRDefault="00887458" w:rsidP="00887458">
      <w:pPr>
        <w:contextualSpacing/>
        <w:jc w:val="center"/>
        <w:rPr>
          <w:b/>
        </w:rPr>
      </w:pPr>
      <w:r w:rsidRPr="00E13D74">
        <w:rPr>
          <w:rFonts w:eastAsia="Calibri"/>
          <w:b/>
          <w:szCs w:val="22"/>
        </w:rPr>
        <w:t>- FCC -</w:t>
      </w:r>
    </w:p>
    <w:p w:rsidR="00887458" w:rsidRPr="00B10D3F" w:rsidRDefault="00887458" w:rsidP="00887458">
      <w:pPr>
        <w:autoSpaceDE w:val="0"/>
        <w:autoSpaceDN w:val="0"/>
        <w:adjustRightInd w:val="0"/>
        <w:rPr>
          <w:szCs w:val="22"/>
        </w:rPr>
      </w:pPr>
    </w:p>
    <w:p w:rsidR="00887458" w:rsidRDefault="00887458" w:rsidP="00887458">
      <w:pPr>
        <w:spacing w:before="120" w:after="240"/>
        <w:jc w:val="center"/>
        <w:rPr>
          <w:b/>
          <w:szCs w:val="24"/>
        </w:rPr>
      </w:pPr>
    </w:p>
    <w:p w:rsidR="0071316B" w:rsidRDefault="0071316B" w:rsidP="0088745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sectPr w:rsidR="0071316B" w:rsidSect="00AC64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89" w:rsidRDefault="00504189">
      <w:r>
        <w:separator/>
      </w:r>
    </w:p>
  </w:endnote>
  <w:endnote w:type="continuationSeparator" w:id="0">
    <w:p w:rsidR="00504189" w:rsidRDefault="0050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30" w:rsidRDefault="00015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4F2204">
    <w:pPr>
      <w:pStyle w:val="Footer"/>
      <w:jc w:val="center"/>
    </w:pPr>
    <w:r>
      <w:rPr>
        <w:rStyle w:val="PageNumber"/>
      </w:rPr>
      <w:fldChar w:fldCharType="begin"/>
    </w:r>
    <w:r>
      <w:rPr>
        <w:rStyle w:val="PageNumber"/>
      </w:rPr>
      <w:instrText xml:space="preserve"> PAGE </w:instrText>
    </w:r>
    <w:r>
      <w:rPr>
        <w:rStyle w:val="PageNumber"/>
      </w:rPr>
      <w:fldChar w:fldCharType="separate"/>
    </w:r>
    <w:r w:rsidR="00A841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30" w:rsidRDefault="0001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89" w:rsidRDefault="00504189">
      <w:r>
        <w:separator/>
      </w:r>
    </w:p>
  </w:footnote>
  <w:footnote w:type="continuationSeparator" w:id="0">
    <w:p w:rsidR="00504189" w:rsidRDefault="00504189">
      <w:r>
        <w:continuationSeparator/>
      </w:r>
    </w:p>
  </w:footnote>
  <w:footnote w:id="1">
    <w:p w:rsidR="00887458" w:rsidRPr="002250D8" w:rsidRDefault="00887458" w:rsidP="00887458">
      <w:pPr>
        <w:pStyle w:val="FootnoteText"/>
        <w:spacing w:after="120"/>
        <w:rPr>
          <w:sz w:val="20"/>
        </w:rPr>
      </w:pPr>
      <w:r w:rsidRPr="002250D8">
        <w:rPr>
          <w:rStyle w:val="FootnoteReference"/>
          <w:sz w:val="20"/>
        </w:rPr>
        <w:footnoteRef/>
      </w:r>
      <w:r w:rsidRPr="002250D8">
        <w:rPr>
          <w:color w:val="000000"/>
          <w:sz w:val="20"/>
        </w:rPr>
        <w:t xml:space="preserve"> 47 C.F.R. § 69.606(b).  </w:t>
      </w:r>
      <w:r w:rsidRPr="002250D8">
        <w:rPr>
          <w:i/>
          <w:sz w:val="20"/>
        </w:rPr>
        <w:t>See</w:t>
      </w:r>
      <w:r w:rsidRPr="002250D8">
        <w:rPr>
          <w:sz w:val="20"/>
        </w:rPr>
        <w:t xml:space="preserve"> National Exchange Carrier Association</w:t>
      </w:r>
      <w:r w:rsidRPr="002250D8">
        <w:rPr>
          <w:i/>
          <w:sz w:val="20"/>
        </w:rPr>
        <w:t xml:space="preserve">, </w:t>
      </w:r>
      <w:r w:rsidRPr="002250D8">
        <w:rPr>
          <w:sz w:val="20"/>
        </w:rPr>
        <w:t xml:space="preserve">2015 Modification of Average Schedules, </w:t>
      </w:r>
      <w:r w:rsidRPr="002250D8">
        <w:rPr>
          <w:i/>
          <w:sz w:val="20"/>
        </w:rPr>
        <w:t>attached to</w:t>
      </w:r>
      <w:r w:rsidRPr="002250D8">
        <w:rPr>
          <w:sz w:val="20"/>
        </w:rPr>
        <w:t xml:space="preserve"> Letter from Richar</w:t>
      </w:r>
      <w:r w:rsidR="006519B4">
        <w:rPr>
          <w:sz w:val="20"/>
        </w:rPr>
        <w:t xml:space="preserve">d A. Askoff, Executive Director - </w:t>
      </w:r>
      <w:r w:rsidRPr="002250D8">
        <w:rPr>
          <w:sz w:val="20"/>
        </w:rPr>
        <w:t xml:space="preserve">Regulatory, NECA, to Marlene H. Dortch, Secretary, FCC, WC Docket No. 14-247 (filed Dec. 23, 2014). </w:t>
      </w:r>
    </w:p>
  </w:footnote>
  <w:footnote w:id="2">
    <w:p w:rsidR="00887458" w:rsidRPr="002250D8" w:rsidRDefault="00887458" w:rsidP="004A79D1">
      <w:pPr>
        <w:pStyle w:val="FootnoteText"/>
        <w:spacing w:after="120"/>
        <w:rPr>
          <w:sz w:val="20"/>
        </w:rPr>
      </w:pPr>
      <w:r w:rsidRPr="002250D8">
        <w:rPr>
          <w:rStyle w:val="FootnoteReference"/>
          <w:sz w:val="20"/>
        </w:rPr>
        <w:footnoteRef/>
      </w:r>
      <w:r w:rsidRPr="002250D8">
        <w:rPr>
          <w:sz w:val="20"/>
        </w:rPr>
        <w:t xml:space="preserve"> </w:t>
      </w:r>
      <w:r w:rsidRPr="002250D8">
        <w:rPr>
          <w:i/>
          <w:sz w:val="20"/>
        </w:rPr>
        <w:t>Id</w:t>
      </w:r>
      <w:r w:rsidRPr="002250D8">
        <w:rPr>
          <w:sz w:val="20"/>
        </w:rPr>
        <w:t>. at Summary-1.</w:t>
      </w:r>
    </w:p>
  </w:footnote>
  <w:footnote w:id="3">
    <w:p w:rsidR="00887458" w:rsidRPr="002250D8" w:rsidRDefault="00887458" w:rsidP="004A79D1">
      <w:pPr>
        <w:pStyle w:val="FootnoteText"/>
        <w:spacing w:after="120"/>
        <w:rPr>
          <w:sz w:val="20"/>
        </w:rPr>
      </w:pPr>
      <w:r w:rsidRPr="002250D8">
        <w:rPr>
          <w:rStyle w:val="FootnoteReference"/>
          <w:sz w:val="20"/>
        </w:rPr>
        <w:footnoteRef/>
      </w:r>
      <w:r w:rsidRPr="002250D8">
        <w:rPr>
          <w:sz w:val="20"/>
        </w:rPr>
        <w:t xml:space="preserve"> </w:t>
      </w:r>
      <w:r w:rsidRPr="002250D8">
        <w:rPr>
          <w:i/>
          <w:sz w:val="20"/>
        </w:rPr>
        <w:t>Id</w:t>
      </w:r>
      <w:r w:rsidRPr="002250D8">
        <w:rPr>
          <w:sz w:val="20"/>
        </w:rPr>
        <w:t>. at I-5-6.</w:t>
      </w:r>
    </w:p>
  </w:footnote>
  <w:footnote w:id="4">
    <w:p w:rsidR="00887458" w:rsidRPr="002250D8" w:rsidRDefault="00887458" w:rsidP="004A79D1">
      <w:pPr>
        <w:pStyle w:val="FootnoteText"/>
        <w:spacing w:after="120"/>
        <w:rPr>
          <w:sz w:val="20"/>
        </w:rPr>
      </w:pPr>
      <w:r w:rsidRPr="002250D8">
        <w:rPr>
          <w:rStyle w:val="FootnoteReference"/>
          <w:sz w:val="20"/>
        </w:rPr>
        <w:footnoteRef/>
      </w:r>
      <w:r w:rsidRPr="002250D8">
        <w:rPr>
          <w:sz w:val="20"/>
        </w:rPr>
        <w:t xml:space="preserve"> </w:t>
      </w:r>
      <w:r w:rsidRPr="002250D8">
        <w:rPr>
          <w:i/>
          <w:sz w:val="20"/>
        </w:rPr>
        <w:t>Id</w:t>
      </w:r>
      <w:r w:rsidRPr="002250D8">
        <w:rPr>
          <w:sz w:val="20"/>
        </w:rPr>
        <w:t>. at I-6.</w:t>
      </w:r>
    </w:p>
  </w:footnote>
  <w:footnote w:id="5">
    <w:p w:rsidR="00887458" w:rsidRPr="002250D8" w:rsidRDefault="00887458" w:rsidP="004A79D1">
      <w:pPr>
        <w:pStyle w:val="FootnoteText"/>
        <w:spacing w:after="120"/>
        <w:rPr>
          <w:sz w:val="20"/>
        </w:rPr>
      </w:pPr>
      <w:r w:rsidRPr="002250D8">
        <w:rPr>
          <w:rStyle w:val="FootnoteReference"/>
          <w:sz w:val="20"/>
        </w:rPr>
        <w:footnoteRef/>
      </w:r>
      <w:r w:rsidRPr="002250D8">
        <w:rPr>
          <w:sz w:val="20"/>
        </w:rPr>
        <w:t xml:space="preserve"> </w:t>
      </w:r>
      <w:r w:rsidRPr="002250D8">
        <w:rPr>
          <w:i/>
          <w:sz w:val="20"/>
        </w:rPr>
        <w:t>Id</w:t>
      </w:r>
      <w:r w:rsidRPr="002250D8">
        <w:rPr>
          <w:sz w:val="20"/>
        </w:rPr>
        <w:t>.</w:t>
      </w:r>
    </w:p>
  </w:footnote>
  <w:footnote w:id="6">
    <w:p w:rsidR="00887458" w:rsidRPr="002250D8" w:rsidRDefault="00887458" w:rsidP="004A79D1">
      <w:pPr>
        <w:pStyle w:val="FootnoteText"/>
        <w:spacing w:after="120"/>
        <w:rPr>
          <w:iCs/>
          <w:sz w:val="20"/>
        </w:rPr>
      </w:pPr>
      <w:r w:rsidRPr="002250D8">
        <w:rPr>
          <w:rStyle w:val="FootnoteReference"/>
          <w:sz w:val="20"/>
        </w:rPr>
        <w:footnoteRef/>
      </w:r>
      <w:r w:rsidRPr="002250D8">
        <w:rPr>
          <w:sz w:val="20"/>
        </w:rPr>
        <w:t xml:space="preserve"> 47 C.F.R. §§ 1.1200 </w:t>
      </w:r>
      <w:r w:rsidRPr="002250D8">
        <w:rPr>
          <w:i/>
          <w:iCs/>
          <w:sz w:val="20"/>
        </w:rPr>
        <w:t>et seq</w:t>
      </w:r>
      <w:r w:rsidRPr="002250D8">
        <w:rPr>
          <w:iCs/>
          <w:sz w:val="20"/>
        </w:rPr>
        <w:t>.</w:t>
      </w:r>
    </w:p>
    <w:p w:rsidR="00887458" w:rsidRPr="00E169D5" w:rsidRDefault="00887458" w:rsidP="00887458">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30" w:rsidRDefault="00015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30" w:rsidRDefault="00015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A841A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4F2204" w:rsidRDefault="004F2204">
                <w:pPr>
                  <w:rPr>
                    <w:rFonts w:ascii="Arial" w:hAnsi="Arial"/>
                    <w:b/>
                  </w:rPr>
                </w:pPr>
                <w:r>
                  <w:rPr>
                    <w:rFonts w:ascii="Arial" w:hAnsi="Arial"/>
                    <w:b/>
                  </w:rPr>
                  <w:t>Federal Communications Commission</w:t>
                </w:r>
              </w:p>
              <w:p w:rsidR="004F2204" w:rsidRDefault="004F2204">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4F2204" w:rsidRDefault="004F220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F2204">
      <w:rPr>
        <w:rFonts w:ascii="News Gothic MT" w:hAnsi="News Gothic MT"/>
        <w:b/>
        <w:kern w:val="28"/>
        <w:sz w:val="96"/>
      </w:rPr>
      <w:t>PUBLIC NOTICE</w:t>
    </w:r>
  </w:p>
  <w:p w:rsidR="004F2204" w:rsidRDefault="00A841A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4F2204" w:rsidRDefault="004F2204">
                <w:pPr>
                  <w:spacing w:before="40"/>
                  <w:jc w:val="right"/>
                  <w:rPr>
                    <w:rFonts w:ascii="Arial" w:hAnsi="Arial"/>
                    <w:b/>
                    <w:sz w:val="16"/>
                    <w:szCs w:val="16"/>
                  </w:rPr>
                </w:pPr>
                <w:r>
                  <w:rPr>
                    <w:rFonts w:ascii="Arial" w:hAnsi="Arial"/>
                    <w:b/>
                    <w:sz w:val="16"/>
                    <w:szCs w:val="16"/>
                  </w:rPr>
                  <w:t>News Media Information 202 / 418-0500</w:t>
                </w:r>
              </w:p>
              <w:p w:rsidR="004F2204" w:rsidRDefault="004F2204">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4F2204" w:rsidRDefault="004F2204">
                <w:pPr>
                  <w:jc w:val="right"/>
                  <w:rPr>
                    <w:rFonts w:ascii="Arial" w:hAnsi="Arial"/>
                    <w:b/>
                    <w:szCs w:val="22"/>
                  </w:rPr>
                </w:pPr>
                <w:r>
                  <w:rPr>
                    <w:rFonts w:ascii="Arial" w:hAnsi="Arial"/>
                    <w:b/>
                    <w:sz w:val="16"/>
                    <w:szCs w:val="16"/>
                  </w:rPr>
                  <w:t>TTY: 1-888-835-5322</w:t>
                </w:r>
              </w:p>
              <w:p w:rsidR="004F2204" w:rsidRDefault="004F220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1555F"/>
    <w:rsid w:val="00015930"/>
    <w:rsid w:val="00017DE1"/>
    <w:rsid w:val="00033CCD"/>
    <w:rsid w:val="000503D2"/>
    <w:rsid w:val="0005408F"/>
    <w:rsid w:val="0005496C"/>
    <w:rsid w:val="00060E1F"/>
    <w:rsid w:val="000843E2"/>
    <w:rsid w:val="00097455"/>
    <w:rsid w:val="000A4E6B"/>
    <w:rsid w:val="000A5E84"/>
    <w:rsid w:val="000D04A5"/>
    <w:rsid w:val="000E05B1"/>
    <w:rsid w:val="000E115E"/>
    <w:rsid w:val="000E1987"/>
    <w:rsid w:val="000E21E5"/>
    <w:rsid w:val="000F4DA7"/>
    <w:rsid w:val="001056E6"/>
    <w:rsid w:val="00114519"/>
    <w:rsid w:val="001146EC"/>
    <w:rsid w:val="00114A09"/>
    <w:rsid w:val="001240EF"/>
    <w:rsid w:val="00151341"/>
    <w:rsid w:val="00151ACA"/>
    <w:rsid w:val="00181212"/>
    <w:rsid w:val="001813C4"/>
    <w:rsid w:val="00192DC1"/>
    <w:rsid w:val="0019507C"/>
    <w:rsid w:val="001A3E0C"/>
    <w:rsid w:val="001B0662"/>
    <w:rsid w:val="001C02F2"/>
    <w:rsid w:val="001D04DF"/>
    <w:rsid w:val="001E3E93"/>
    <w:rsid w:val="001E43DF"/>
    <w:rsid w:val="001E466F"/>
    <w:rsid w:val="002002D7"/>
    <w:rsid w:val="00210963"/>
    <w:rsid w:val="002128AA"/>
    <w:rsid w:val="002209AB"/>
    <w:rsid w:val="002250D8"/>
    <w:rsid w:val="00235C10"/>
    <w:rsid w:val="002423C9"/>
    <w:rsid w:val="00242C97"/>
    <w:rsid w:val="002539B0"/>
    <w:rsid w:val="00255E71"/>
    <w:rsid w:val="00265789"/>
    <w:rsid w:val="002709C2"/>
    <w:rsid w:val="002A7A31"/>
    <w:rsid w:val="002B6172"/>
    <w:rsid w:val="002C136E"/>
    <w:rsid w:val="002D33A9"/>
    <w:rsid w:val="002D3F1C"/>
    <w:rsid w:val="002D585D"/>
    <w:rsid w:val="002D58D8"/>
    <w:rsid w:val="002D5D20"/>
    <w:rsid w:val="002E71DD"/>
    <w:rsid w:val="0030010F"/>
    <w:rsid w:val="0030016D"/>
    <w:rsid w:val="00305811"/>
    <w:rsid w:val="00322DB4"/>
    <w:rsid w:val="00340BA9"/>
    <w:rsid w:val="00353EA7"/>
    <w:rsid w:val="003740BB"/>
    <w:rsid w:val="00377AEE"/>
    <w:rsid w:val="0038068A"/>
    <w:rsid w:val="00382F63"/>
    <w:rsid w:val="00394037"/>
    <w:rsid w:val="003943C7"/>
    <w:rsid w:val="003A228C"/>
    <w:rsid w:val="003B78ED"/>
    <w:rsid w:val="003C77CE"/>
    <w:rsid w:val="003D5CC8"/>
    <w:rsid w:val="003E5866"/>
    <w:rsid w:val="0040687F"/>
    <w:rsid w:val="00414EC7"/>
    <w:rsid w:val="00451777"/>
    <w:rsid w:val="00466034"/>
    <w:rsid w:val="00473C43"/>
    <w:rsid w:val="00477695"/>
    <w:rsid w:val="00480917"/>
    <w:rsid w:val="00485144"/>
    <w:rsid w:val="004A79D1"/>
    <w:rsid w:val="004D3EDF"/>
    <w:rsid w:val="004D5296"/>
    <w:rsid w:val="004F2204"/>
    <w:rsid w:val="00504189"/>
    <w:rsid w:val="0050534F"/>
    <w:rsid w:val="00521B85"/>
    <w:rsid w:val="00523046"/>
    <w:rsid w:val="0053374D"/>
    <w:rsid w:val="0053618B"/>
    <w:rsid w:val="00546F83"/>
    <w:rsid w:val="00566DF6"/>
    <w:rsid w:val="00573A86"/>
    <w:rsid w:val="005920EF"/>
    <w:rsid w:val="005C70F0"/>
    <w:rsid w:val="005D1E95"/>
    <w:rsid w:val="005D6BB9"/>
    <w:rsid w:val="005E3395"/>
    <w:rsid w:val="00607E8F"/>
    <w:rsid w:val="006211C4"/>
    <w:rsid w:val="006519B4"/>
    <w:rsid w:val="00652B7F"/>
    <w:rsid w:val="00655452"/>
    <w:rsid w:val="006627B7"/>
    <w:rsid w:val="00664F43"/>
    <w:rsid w:val="00667328"/>
    <w:rsid w:val="00675AE7"/>
    <w:rsid w:val="00677D97"/>
    <w:rsid w:val="006832E2"/>
    <w:rsid w:val="0068673B"/>
    <w:rsid w:val="00695E34"/>
    <w:rsid w:val="006A3DF5"/>
    <w:rsid w:val="006E648A"/>
    <w:rsid w:val="006E76A8"/>
    <w:rsid w:val="00702B3B"/>
    <w:rsid w:val="00711ACF"/>
    <w:rsid w:val="0071316B"/>
    <w:rsid w:val="00715C1D"/>
    <w:rsid w:val="00721327"/>
    <w:rsid w:val="00726FBA"/>
    <w:rsid w:val="00731EEF"/>
    <w:rsid w:val="00733A07"/>
    <w:rsid w:val="00751512"/>
    <w:rsid w:val="00753A45"/>
    <w:rsid w:val="00755FF7"/>
    <w:rsid w:val="00761BA0"/>
    <w:rsid w:val="0077040A"/>
    <w:rsid w:val="00774A86"/>
    <w:rsid w:val="00782B69"/>
    <w:rsid w:val="007954AA"/>
    <w:rsid w:val="007F5B21"/>
    <w:rsid w:val="00836928"/>
    <w:rsid w:val="008626F3"/>
    <w:rsid w:val="0087408F"/>
    <w:rsid w:val="00874FBD"/>
    <w:rsid w:val="008801DF"/>
    <w:rsid w:val="00887458"/>
    <w:rsid w:val="008908ED"/>
    <w:rsid w:val="008A7EF9"/>
    <w:rsid w:val="008B1B57"/>
    <w:rsid w:val="008B2339"/>
    <w:rsid w:val="008C1273"/>
    <w:rsid w:val="008C343F"/>
    <w:rsid w:val="008C390B"/>
    <w:rsid w:val="008D01BC"/>
    <w:rsid w:val="008D1AE5"/>
    <w:rsid w:val="008F2C3F"/>
    <w:rsid w:val="00903A08"/>
    <w:rsid w:val="00907C52"/>
    <w:rsid w:val="009462E4"/>
    <w:rsid w:val="00946B44"/>
    <w:rsid w:val="00954429"/>
    <w:rsid w:val="009570A1"/>
    <w:rsid w:val="00961730"/>
    <w:rsid w:val="009617DA"/>
    <w:rsid w:val="0096222C"/>
    <w:rsid w:val="00970335"/>
    <w:rsid w:val="009A5ECA"/>
    <w:rsid w:val="009B4991"/>
    <w:rsid w:val="009C1861"/>
    <w:rsid w:val="009D3C5B"/>
    <w:rsid w:val="009D5120"/>
    <w:rsid w:val="009F4B87"/>
    <w:rsid w:val="00A008A4"/>
    <w:rsid w:val="00A14D32"/>
    <w:rsid w:val="00A36696"/>
    <w:rsid w:val="00A37D3B"/>
    <w:rsid w:val="00A417C3"/>
    <w:rsid w:val="00A53E88"/>
    <w:rsid w:val="00A778E5"/>
    <w:rsid w:val="00A841A4"/>
    <w:rsid w:val="00A85F4C"/>
    <w:rsid w:val="00A94ACF"/>
    <w:rsid w:val="00AA54D9"/>
    <w:rsid w:val="00AC6425"/>
    <w:rsid w:val="00AE425E"/>
    <w:rsid w:val="00B1390A"/>
    <w:rsid w:val="00B91AAD"/>
    <w:rsid w:val="00BA1E75"/>
    <w:rsid w:val="00BA5505"/>
    <w:rsid w:val="00BA5DE9"/>
    <w:rsid w:val="00BC1D68"/>
    <w:rsid w:val="00BC1EB6"/>
    <w:rsid w:val="00BE515B"/>
    <w:rsid w:val="00BE5F66"/>
    <w:rsid w:val="00C0306E"/>
    <w:rsid w:val="00C05B41"/>
    <w:rsid w:val="00C12BFB"/>
    <w:rsid w:val="00C30F09"/>
    <w:rsid w:val="00C4190F"/>
    <w:rsid w:val="00C46809"/>
    <w:rsid w:val="00C47428"/>
    <w:rsid w:val="00C5566C"/>
    <w:rsid w:val="00C60DF6"/>
    <w:rsid w:val="00C61CD7"/>
    <w:rsid w:val="00C765D5"/>
    <w:rsid w:val="00C968FF"/>
    <w:rsid w:val="00CA3321"/>
    <w:rsid w:val="00CA4542"/>
    <w:rsid w:val="00CA4D8F"/>
    <w:rsid w:val="00CD5703"/>
    <w:rsid w:val="00CF0C15"/>
    <w:rsid w:val="00D05462"/>
    <w:rsid w:val="00D05C00"/>
    <w:rsid w:val="00D070FB"/>
    <w:rsid w:val="00D10279"/>
    <w:rsid w:val="00D105E4"/>
    <w:rsid w:val="00D2351F"/>
    <w:rsid w:val="00D30CA6"/>
    <w:rsid w:val="00D3267C"/>
    <w:rsid w:val="00D51939"/>
    <w:rsid w:val="00DB21B8"/>
    <w:rsid w:val="00DB366C"/>
    <w:rsid w:val="00DC7586"/>
    <w:rsid w:val="00DD7295"/>
    <w:rsid w:val="00DF3FBD"/>
    <w:rsid w:val="00DF4E3C"/>
    <w:rsid w:val="00E00D23"/>
    <w:rsid w:val="00E02605"/>
    <w:rsid w:val="00E07250"/>
    <w:rsid w:val="00E1318C"/>
    <w:rsid w:val="00E311A5"/>
    <w:rsid w:val="00E44C41"/>
    <w:rsid w:val="00E66562"/>
    <w:rsid w:val="00E72576"/>
    <w:rsid w:val="00E84128"/>
    <w:rsid w:val="00E85B68"/>
    <w:rsid w:val="00EA27BE"/>
    <w:rsid w:val="00EA66AD"/>
    <w:rsid w:val="00EB7A8B"/>
    <w:rsid w:val="00ED2839"/>
    <w:rsid w:val="00ED7065"/>
    <w:rsid w:val="00EE6D4D"/>
    <w:rsid w:val="00EF6789"/>
    <w:rsid w:val="00F32DAA"/>
    <w:rsid w:val="00F41903"/>
    <w:rsid w:val="00F50FBE"/>
    <w:rsid w:val="00F56FDB"/>
    <w:rsid w:val="00F60159"/>
    <w:rsid w:val="00F64C20"/>
    <w:rsid w:val="00F804B3"/>
    <w:rsid w:val="00FA23A4"/>
    <w:rsid w:val="00FA62F5"/>
    <w:rsid w:val="00FB4F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customStyle="1" w:styleId="Style0">
    <w:name w:val="Style0"/>
    <w:rsid w:val="00887458"/>
    <w:rPr>
      <w:rFonts w:ascii="Arial" w:eastAsia="Times New Roman"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5234</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2015-01-26T16:31:00Z</dcterms:created>
  <dcterms:modified xsi:type="dcterms:W3CDTF">2015-01-26T16:31:00Z</dcterms:modified>
  <cp:category> </cp:category>
  <cp:contentStatus> </cp:contentStatus>
</cp:coreProperties>
</file>