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684EE" w14:textId="77777777" w:rsidR="00E273E3" w:rsidRPr="00BE70CC" w:rsidRDefault="00E273E3" w:rsidP="00B7124E">
      <w:pPr>
        <w:widowControl/>
        <w:jc w:val="center"/>
        <w:rPr>
          <w:b/>
        </w:rPr>
      </w:pPr>
      <w:bookmarkStart w:id="0" w:name="_GoBack"/>
      <w:bookmarkEnd w:id="0"/>
      <w:r w:rsidRPr="00BE70CC">
        <w:rPr>
          <w:b/>
          <w:kern w:val="0"/>
          <w:szCs w:val="22"/>
        </w:rPr>
        <w:t>Before</w:t>
      </w:r>
      <w:r w:rsidRPr="00BE70CC">
        <w:rPr>
          <w:b/>
        </w:rPr>
        <w:t xml:space="preserve"> the</w:t>
      </w:r>
    </w:p>
    <w:p w14:paraId="7D866C3C" w14:textId="77777777" w:rsidR="00E273E3" w:rsidRPr="00BE70CC" w:rsidRDefault="00E273E3" w:rsidP="00B7124E">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14:paraId="28F32878" w14:textId="77777777" w:rsidR="00E273E3" w:rsidRPr="00BE70CC" w:rsidRDefault="00E273E3" w:rsidP="00B7124E">
      <w:pPr>
        <w:pStyle w:val="StyleBoldCentered"/>
        <w:widowControl/>
        <w:rPr>
          <w:rFonts w:ascii="Times New Roman" w:hAnsi="Times New Roman"/>
        </w:rPr>
      </w:pPr>
      <w:r w:rsidRPr="00BE70CC">
        <w:rPr>
          <w:rFonts w:ascii="Times New Roman" w:hAnsi="Times New Roman"/>
          <w:caps w:val="0"/>
        </w:rPr>
        <w:t>Washington</w:t>
      </w:r>
      <w:r w:rsidR="00BD0B73">
        <w:rPr>
          <w:rFonts w:ascii="Times New Roman" w:hAnsi="Times New Roman"/>
        </w:rPr>
        <w:t>, DC</w:t>
      </w:r>
      <w:r w:rsidRPr="00BE70CC">
        <w:rPr>
          <w:rFonts w:ascii="Times New Roman" w:hAnsi="Times New Roman"/>
        </w:rPr>
        <w:t xml:space="preserve"> 20554</w:t>
      </w:r>
    </w:p>
    <w:p w14:paraId="13644203" w14:textId="77777777" w:rsidR="00E273E3" w:rsidRPr="00BE70CC" w:rsidRDefault="00E273E3" w:rsidP="00B7124E">
      <w:pPr>
        <w:widowControl/>
      </w:pPr>
    </w:p>
    <w:tbl>
      <w:tblPr>
        <w:tblW w:w="0" w:type="auto"/>
        <w:tblLayout w:type="fixed"/>
        <w:tblLook w:val="0000" w:firstRow="0" w:lastRow="0" w:firstColumn="0" w:lastColumn="0" w:noHBand="0" w:noVBand="0"/>
      </w:tblPr>
      <w:tblGrid>
        <w:gridCol w:w="4698"/>
        <w:gridCol w:w="630"/>
        <w:gridCol w:w="4248"/>
      </w:tblGrid>
      <w:tr w:rsidR="00E273E3" w:rsidRPr="00BE70CC" w14:paraId="4B2C8A45" w14:textId="77777777">
        <w:tc>
          <w:tcPr>
            <w:tcW w:w="4698" w:type="dxa"/>
          </w:tcPr>
          <w:p w14:paraId="08452C55" w14:textId="77777777" w:rsidR="00E273E3" w:rsidRPr="00BE70CC" w:rsidRDefault="00E273E3" w:rsidP="00B7124E">
            <w:pPr>
              <w:widowControl/>
              <w:suppressAutoHyphens/>
              <w:rPr>
                <w:spacing w:val="-2"/>
              </w:rPr>
            </w:pPr>
            <w:r w:rsidRPr="00BE70CC">
              <w:rPr>
                <w:spacing w:val="-2"/>
              </w:rPr>
              <w:t>In the Matter of</w:t>
            </w:r>
          </w:p>
          <w:p w14:paraId="60C2780B" w14:textId="77777777" w:rsidR="00E273E3" w:rsidRPr="00BE70CC" w:rsidRDefault="00E273E3" w:rsidP="00B7124E">
            <w:pPr>
              <w:widowControl/>
              <w:suppressAutoHyphens/>
              <w:rPr>
                <w:spacing w:val="-2"/>
              </w:rPr>
            </w:pPr>
          </w:p>
          <w:p w14:paraId="1F841C8F" w14:textId="77777777" w:rsidR="00E273E3" w:rsidRPr="00BE70CC" w:rsidRDefault="0053478F" w:rsidP="00D65B08">
            <w:pPr>
              <w:widowControl/>
              <w:suppressAutoHyphens/>
              <w:rPr>
                <w:spacing w:val="-2"/>
              </w:rPr>
            </w:pPr>
            <w:r>
              <w:rPr>
                <w:kern w:val="2"/>
                <w:szCs w:val="22"/>
              </w:rPr>
              <w:t>F.N.B. Corporation</w:t>
            </w:r>
          </w:p>
        </w:tc>
        <w:tc>
          <w:tcPr>
            <w:tcW w:w="630" w:type="dxa"/>
          </w:tcPr>
          <w:p w14:paraId="2A485645" w14:textId="77777777" w:rsidR="00E273E3" w:rsidRPr="00BE70CC" w:rsidRDefault="00E273E3" w:rsidP="00B7124E">
            <w:pPr>
              <w:widowControl/>
              <w:suppressAutoHyphens/>
              <w:rPr>
                <w:spacing w:val="-2"/>
              </w:rPr>
            </w:pPr>
            <w:r w:rsidRPr="00BE70CC">
              <w:rPr>
                <w:spacing w:val="-2"/>
              </w:rPr>
              <w:t>)</w:t>
            </w:r>
          </w:p>
          <w:p w14:paraId="34225103" w14:textId="77777777" w:rsidR="00E273E3" w:rsidRPr="00BE70CC" w:rsidRDefault="00E273E3" w:rsidP="00B7124E">
            <w:pPr>
              <w:widowControl/>
              <w:suppressAutoHyphens/>
              <w:rPr>
                <w:spacing w:val="-2"/>
              </w:rPr>
            </w:pPr>
            <w:r w:rsidRPr="00BE70CC">
              <w:rPr>
                <w:spacing w:val="-2"/>
              </w:rPr>
              <w:t>)</w:t>
            </w:r>
          </w:p>
          <w:p w14:paraId="238A9F8E" w14:textId="77777777" w:rsidR="00E273E3" w:rsidRPr="00BE70CC" w:rsidRDefault="00E273E3" w:rsidP="00B7124E">
            <w:pPr>
              <w:widowControl/>
              <w:suppressAutoHyphens/>
              <w:rPr>
                <w:spacing w:val="-2"/>
              </w:rPr>
            </w:pPr>
            <w:r w:rsidRPr="00BE70CC">
              <w:rPr>
                <w:spacing w:val="-2"/>
              </w:rPr>
              <w:t>)</w:t>
            </w:r>
          </w:p>
          <w:p w14:paraId="1817DEA9" w14:textId="77777777" w:rsidR="00E273E3" w:rsidRDefault="00E273E3" w:rsidP="00B7124E">
            <w:pPr>
              <w:widowControl/>
              <w:suppressAutoHyphens/>
              <w:rPr>
                <w:spacing w:val="-2"/>
              </w:rPr>
            </w:pPr>
            <w:r w:rsidRPr="00BE70CC">
              <w:rPr>
                <w:spacing w:val="-2"/>
              </w:rPr>
              <w:t>)</w:t>
            </w:r>
          </w:p>
          <w:p w14:paraId="66C5A53A" w14:textId="77777777" w:rsidR="00B7124E" w:rsidRPr="00BE70CC" w:rsidRDefault="00B7124E" w:rsidP="00B7124E">
            <w:pPr>
              <w:widowControl/>
              <w:suppressAutoHyphens/>
              <w:rPr>
                <w:spacing w:val="-2"/>
              </w:rPr>
            </w:pPr>
            <w:r>
              <w:rPr>
                <w:spacing w:val="-2"/>
              </w:rPr>
              <w:t>)</w:t>
            </w:r>
          </w:p>
          <w:p w14:paraId="476085E0" w14:textId="77777777" w:rsidR="00E273E3" w:rsidRPr="00BE70CC" w:rsidRDefault="00E273E3" w:rsidP="00B7124E">
            <w:pPr>
              <w:widowControl/>
              <w:suppressAutoHyphens/>
              <w:rPr>
                <w:spacing w:val="-2"/>
              </w:rPr>
            </w:pPr>
          </w:p>
        </w:tc>
        <w:tc>
          <w:tcPr>
            <w:tcW w:w="4248" w:type="dxa"/>
          </w:tcPr>
          <w:p w14:paraId="5CFCBA1D" w14:textId="77777777" w:rsidR="00E273E3" w:rsidRPr="00BE70CC" w:rsidRDefault="00E273E3" w:rsidP="00B7124E">
            <w:pPr>
              <w:widowControl/>
              <w:suppressAutoHyphens/>
              <w:rPr>
                <w:spacing w:val="-2"/>
              </w:rPr>
            </w:pPr>
          </w:p>
          <w:p w14:paraId="667CDF45" w14:textId="77777777" w:rsidR="00E273E3" w:rsidRPr="00BE70CC" w:rsidRDefault="00E273E3" w:rsidP="00B7124E">
            <w:pPr>
              <w:widowControl/>
              <w:suppressAutoHyphens/>
              <w:rPr>
                <w:spacing w:val="-2"/>
              </w:rPr>
            </w:pPr>
          </w:p>
          <w:p w14:paraId="5F8E5A1E" w14:textId="77777777" w:rsidR="00E273E3" w:rsidRPr="00BE70CC" w:rsidRDefault="00E273E3" w:rsidP="00B7124E">
            <w:pPr>
              <w:widowControl/>
              <w:suppressAutoHyphens/>
              <w:ind w:left="432"/>
              <w:rPr>
                <w:spacing w:val="-2"/>
              </w:rPr>
            </w:pPr>
            <w:r w:rsidRPr="00BE70CC">
              <w:rPr>
                <w:spacing w:val="-2"/>
              </w:rPr>
              <w:t xml:space="preserve">File No.:  </w:t>
            </w:r>
            <w:r w:rsidR="004628B3" w:rsidRPr="008B1BBC">
              <w:rPr>
                <w:kern w:val="2"/>
                <w:szCs w:val="22"/>
              </w:rPr>
              <w:t>EB</w:t>
            </w:r>
            <w:r w:rsidR="004628B3" w:rsidRPr="008B1BBC">
              <w:rPr>
                <w:kern w:val="2"/>
                <w:szCs w:val="22"/>
              </w:rPr>
              <w:noBreakHyphen/>
              <w:t>TCD</w:t>
            </w:r>
            <w:r w:rsidR="004628B3" w:rsidRPr="008B1BBC">
              <w:rPr>
                <w:kern w:val="2"/>
                <w:szCs w:val="22"/>
              </w:rPr>
              <w:noBreakHyphen/>
            </w:r>
            <w:r w:rsidR="004628B3">
              <w:t>1</w:t>
            </w:r>
            <w:r w:rsidR="0053478F">
              <w:t>5-00019627</w:t>
            </w:r>
          </w:p>
          <w:p w14:paraId="73241AFE" w14:textId="77777777" w:rsidR="00E273E3" w:rsidRPr="00BE70CC" w:rsidRDefault="00E273E3" w:rsidP="00B7124E">
            <w:pPr>
              <w:widowControl/>
              <w:suppressAutoHyphens/>
              <w:ind w:left="432"/>
              <w:rPr>
                <w:spacing w:val="-2"/>
              </w:rPr>
            </w:pPr>
          </w:p>
        </w:tc>
      </w:tr>
    </w:tbl>
    <w:p w14:paraId="06C1469F" w14:textId="77777777" w:rsidR="00B7124E" w:rsidRDefault="00B7124E" w:rsidP="00B7124E">
      <w:pPr>
        <w:pStyle w:val="StyleBoldCentered"/>
        <w:widowControl/>
        <w:spacing w:after="220"/>
      </w:pPr>
    </w:p>
    <w:p w14:paraId="3FBEF52A" w14:textId="77777777" w:rsidR="00E273E3" w:rsidRPr="00BE70CC" w:rsidRDefault="004F6A54" w:rsidP="00B7124E">
      <w:pPr>
        <w:pStyle w:val="StyleBoldCentered"/>
        <w:widowControl/>
        <w:spacing w:after="220"/>
      </w:pPr>
      <w:r w:rsidRPr="00BE70CC">
        <w:t xml:space="preserve">CITATION AND </w:t>
      </w:r>
      <w:r w:rsidR="00E273E3" w:rsidRPr="00BE70CC">
        <w:t>ORDER</w:t>
      </w:r>
    </w:p>
    <w:p w14:paraId="1BD016F7" w14:textId="77777777" w:rsidR="005321F0" w:rsidRPr="00BE70CC" w:rsidRDefault="004628B3" w:rsidP="00B7124E">
      <w:pPr>
        <w:widowControl/>
        <w:spacing w:after="240"/>
        <w:jc w:val="center"/>
        <w:rPr>
          <w:b/>
          <w:szCs w:val="22"/>
        </w:rPr>
      </w:pPr>
      <w:r w:rsidRPr="008B1BBC">
        <w:rPr>
          <w:b/>
          <w:kern w:val="2"/>
          <w:szCs w:val="22"/>
        </w:rPr>
        <w:t>PRERECORDED MESSAGE VIOLATIONS</w:t>
      </w:r>
    </w:p>
    <w:p w14:paraId="190DB8E1" w14:textId="6718F035" w:rsidR="00E273E3" w:rsidRPr="00BE70CC" w:rsidRDefault="00E273E3" w:rsidP="00B7124E">
      <w:pPr>
        <w:widowControl/>
        <w:tabs>
          <w:tab w:val="right" w:pos="9360"/>
        </w:tabs>
        <w:suppressAutoHyphens/>
        <w:rPr>
          <w:spacing w:val="-2"/>
        </w:rPr>
      </w:pPr>
      <w:r w:rsidRPr="00BE70CC">
        <w:rPr>
          <w:b/>
          <w:spacing w:val="-2"/>
        </w:rPr>
        <w:t xml:space="preserve">Adopted:  </w:t>
      </w:r>
      <w:r w:rsidR="00A72EFE">
        <w:rPr>
          <w:b/>
          <w:spacing w:val="-2"/>
        </w:rPr>
        <w:t>September 11</w:t>
      </w:r>
      <w:r w:rsidR="00327FD2">
        <w:rPr>
          <w:b/>
          <w:spacing w:val="-2"/>
        </w:rPr>
        <w:t>, 2015</w:t>
      </w:r>
      <w:r w:rsidR="006D2212" w:rsidRPr="00BE70CC">
        <w:rPr>
          <w:b/>
          <w:spacing w:val="-2"/>
        </w:rPr>
        <w:tab/>
        <w:t xml:space="preserve">Released:  </w:t>
      </w:r>
      <w:r w:rsidR="00A72EFE">
        <w:rPr>
          <w:b/>
          <w:spacing w:val="-2"/>
        </w:rPr>
        <w:t>September 11</w:t>
      </w:r>
      <w:r w:rsidR="00327FD2">
        <w:rPr>
          <w:b/>
          <w:spacing w:val="-2"/>
        </w:rPr>
        <w:t>, 2015</w:t>
      </w:r>
    </w:p>
    <w:p w14:paraId="3E7A5D97" w14:textId="77777777" w:rsidR="00E273E3" w:rsidRPr="00BE70CC" w:rsidRDefault="00E273E3" w:rsidP="00B7124E">
      <w:pPr>
        <w:widowControl/>
        <w:jc w:val="center"/>
      </w:pPr>
    </w:p>
    <w:p w14:paraId="77653920" w14:textId="515413EE" w:rsidR="00E273E3" w:rsidRPr="00BE70CC" w:rsidRDefault="00E273E3" w:rsidP="00B7124E">
      <w:pPr>
        <w:widowControl/>
        <w:rPr>
          <w:spacing w:val="-2"/>
        </w:rPr>
      </w:pPr>
      <w:r w:rsidRPr="00BE70CC">
        <w:t xml:space="preserve">By the </w:t>
      </w:r>
      <w:r w:rsidR="007C4300">
        <w:rPr>
          <w:kern w:val="2"/>
          <w:szCs w:val="22"/>
        </w:rPr>
        <w:t>Chief</w:t>
      </w:r>
      <w:r w:rsidR="004628B3" w:rsidRPr="008B1BBC">
        <w:rPr>
          <w:kern w:val="2"/>
          <w:szCs w:val="22"/>
        </w:rPr>
        <w:t>, Enforcement Bureau</w:t>
      </w:r>
      <w:r w:rsidR="00EE36BE" w:rsidRPr="006D73F2">
        <w:rPr>
          <w:spacing w:val="-2"/>
          <w:szCs w:val="22"/>
        </w:rPr>
        <w:t>:</w:t>
      </w:r>
    </w:p>
    <w:p w14:paraId="014D8793" w14:textId="77777777" w:rsidR="00E273E3" w:rsidRPr="00BE70CC" w:rsidRDefault="00E273E3" w:rsidP="00B7124E">
      <w:pPr>
        <w:widowControl/>
        <w:rPr>
          <w:spacing w:val="-2"/>
        </w:rPr>
      </w:pPr>
    </w:p>
    <w:p w14:paraId="1656CB20" w14:textId="77777777" w:rsidR="00E273E3" w:rsidRPr="00BE70CC" w:rsidRDefault="00500FF2" w:rsidP="00B7124E">
      <w:pPr>
        <w:pStyle w:val="Heading1"/>
        <w:widowControl/>
      </w:pPr>
      <w:bookmarkStart w:id="1" w:name="_Toc379288998"/>
      <w:bookmarkStart w:id="2" w:name="_Toc379365499"/>
      <w:r w:rsidRPr="00BE70CC">
        <w:t>NOTICE OF CITATION</w:t>
      </w:r>
      <w:bookmarkEnd w:id="1"/>
      <w:bookmarkEnd w:id="2"/>
    </w:p>
    <w:p w14:paraId="1ABB515C" w14:textId="151C4FB8" w:rsidR="00A204BA" w:rsidRPr="00BE70CC" w:rsidRDefault="0077224C" w:rsidP="00B7124E">
      <w:pPr>
        <w:pStyle w:val="ParaNum"/>
        <w:widowControl/>
        <w:tabs>
          <w:tab w:val="clear" w:pos="1080"/>
        </w:tabs>
      </w:pPr>
      <w:r>
        <w:t>T</w:t>
      </w:r>
      <w:r w:rsidR="00500FF2" w:rsidRPr="00BE70CC">
        <w:t xml:space="preserve">his </w:t>
      </w:r>
      <w:r w:rsidR="00500FF2" w:rsidRPr="00BE70CC">
        <w:rPr>
          <w:b/>
        </w:rPr>
        <w:t>CITATION AND ORDER</w:t>
      </w:r>
      <w:r w:rsidR="00716E89" w:rsidRPr="00BE70CC">
        <w:rPr>
          <w:b/>
        </w:rPr>
        <w:t xml:space="preserve"> </w:t>
      </w:r>
      <w:r w:rsidR="00716E89" w:rsidRPr="00BE70CC">
        <w:t>(Citation)</w:t>
      </w:r>
      <w:r>
        <w:t xml:space="preserve"> </w:t>
      </w:r>
      <w:r w:rsidRPr="00D65B08">
        <w:t>notifies</w:t>
      </w:r>
      <w:r w:rsidR="00500FF2" w:rsidRPr="00D65B08">
        <w:t xml:space="preserve"> </w:t>
      </w:r>
      <w:r w:rsidR="00BB6AB1" w:rsidRPr="00D65B08">
        <w:t>F.N.B. Corporation</w:t>
      </w:r>
      <w:r w:rsidR="00B7124E" w:rsidRPr="00D65B08">
        <w:t xml:space="preserve"> </w:t>
      </w:r>
      <w:r w:rsidR="00E273E3" w:rsidRPr="00D65B08">
        <w:t>(</w:t>
      </w:r>
      <w:r w:rsidR="00BB6AB1" w:rsidRPr="00D65B08">
        <w:t>First National Bank</w:t>
      </w:r>
      <w:r w:rsidR="0031689E" w:rsidRPr="00D65B08">
        <w:t xml:space="preserve"> </w:t>
      </w:r>
      <w:r w:rsidR="00B7124E" w:rsidRPr="00D65B08">
        <w:t xml:space="preserve">or </w:t>
      </w:r>
      <w:r w:rsidR="0031689E" w:rsidRPr="00D65B08">
        <w:t>FNB</w:t>
      </w:r>
      <w:r w:rsidR="00E273E3" w:rsidRPr="00D65B08">
        <w:t>)</w:t>
      </w:r>
      <w:r w:rsidR="003764CE" w:rsidRPr="00D65B08">
        <w:t>,</w:t>
      </w:r>
      <w:r w:rsidR="00E273E3" w:rsidRPr="00D65B08">
        <w:t xml:space="preserve"> </w:t>
      </w:r>
      <w:r w:rsidR="00CB3051">
        <w:t>that it violated</w:t>
      </w:r>
      <w:r w:rsidR="00CB3051" w:rsidRPr="00D03C68">
        <w:rPr>
          <w:kern w:val="2"/>
          <w:szCs w:val="22"/>
        </w:rPr>
        <w:t xml:space="preserve"> the</w:t>
      </w:r>
      <w:r w:rsidR="00CB3051">
        <w:rPr>
          <w:kern w:val="2"/>
          <w:szCs w:val="22"/>
        </w:rPr>
        <w:t xml:space="preserve"> law by infringing consumers’ rights to be free from unauthorized marketing calls.  Specifically, First National Bank</w:t>
      </w:r>
      <w:r w:rsidR="00076A1F">
        <w:t xml:space="preserve"> violated</w:t>
      </w:r>
      <w:r w:rsidR="00F32322">
        <w:t xml:space="preserve"> </w:t>
      </w:r>
      <w:r w:rsidR="00EF115F" w:rsidRPr="00D03C68">
        <w:rPr>
          <w:kern w:val="2"/>
          <w:szCs w:val="22"/>
        </w:rPr>
        <w:t xml:space="preserve">the provisions of the </w:t>
      </w:r>
      <w:r w:rsidR="00EF115F" w:rsidRPr="00BE70CC">
        <w:t>Communications Act of 1934, as amended (Act)</w:t>
      </w:r>
      <w:r w:rsidR="001342E7">
        <w:t>, F</w:t>
      </w:r>
      <w:r w:rsidR="000C3352">
        <w:t xml:space="preserve">ederal </w:t>
      </w:r>
      <w:r w:rsidR="001342E7">
        <w:t>C</w:t>
      </w:r>
      <w:r w:rsidR="000C3352">
        <w:t xml:space="preserve">ommunications </w:t>
      </w:r>
      <w:r w:rsidR="001342E7">
        <w:t>C</w:t>
      </w:r>
      <w:r w:rsidR="000C3352">
        <w:t>ommission (FCC or Commission)</w:t>
      </w:r>
      <w:r w:rsidR="001342E7">
        <w:t xml:space="preserve"> regulations,</w:t>
      </w:r>
      <w:r w:rsidR="00EF115F">
        <w:t xml:space="preserve"> </w:t>
      </w:r>
      <w:r w:rsidR="00EF115F" w:rsidRPr="00D03C68">
        <w:rPr>
          <w:kern w:val="2"/>
          <w:szCs w:val="22"/>
        </w:rPr>
        <w:t xml:space="preserve">and </w:t>
      </w:r>
      <w:r w:rsidR="001342E7">
        <w:rPr>
          <w:kern w:val="2"/>
          <w:szCs w:val="22"/>
        </w:rPr>
        <w:t xml:space="preserve">the </w:t>
      </w:r>
      <w:r w:rsidR="00EF115F" w:rsidRPr="00BE70CC">
        <w:rPr>
          <w:color w:val="000000"/>
          <w:kern w:val="2"/>
        </w:rPr>
        <w:t>Commission’s rules (</w:t>
      </w:r>
      <w:r w:rsidR="000C3352">
        <w:rPr>
          <w:color w:val="000000"/>
          <w:kern w:val="2"/>
        </w:rPr>
        <w:t xml:space="preserve">collectively, </w:t>
      </w:r>
      <w:r w:rsidR="00EF115F" w:rsidRPr="00BE70CC">
        <w:rPr>
          <w:color w:val="000000"/>
          <w:kern w:val="2"/>
        </w:rPr>
        <w:t>Rules)</w:t>
      </w:r>
      <w:r w:rsidR="00EF115F">
        <w:rPr>
          <w:color w:val="000000"/>
          <w:kern w:val="2"/>
        </w:rPr>
        <w:t xml:space="preserve"> </w:t>
      </w:r>
      <w:r w:rsidR="00674F58">
        <w:rPr>
          <w:kern w:val="2"/>
          <w:szCs w:val="22"/>
        </w:rPr>
        <w:t>that regulate</w:t>
      </w:r>
      <w:r w:rsidR="00EF115F" w:rsidRPr="00D03C68">
        <w:rPr>
          <w:kern w:val="2"/>
          <w:szCs w:val="22"/>
        </w:rPr>
        <w:t xml:space="preserve"> </w:t>
      </w:r>
      <w:r w:rsidR="0070290C">
        <w:rPr>
          <w:kern w:val="2"/>
          <w:szCs w:val="22"/>
        </w:rPr>
        <w:t xml:space="preserve">marketing and advertising </w:t>
      </w:r>
      <w:r w:rsidR="00EF115F" w:rsidRPr="00D03C68">
        <w:rPr>
          <w:kern w:val="2"/>
          <w:szCs w:val="22"/>
        </w:rPr>
        <w:t xml:space="preserve">calls </w:t>
      </w:r>
      <w:r w:rsidR="000947A2">
        <w:rPr>
          <w:kern w:val="2"/>
          <w:szCs w:val="22"/>
        </w:rPr>
        <w:t>that use</w:t>
      </w:r>
      <w:r w:rsidR="000947A2" w:rsidRPr="00D03C68">
        <w:rPr>
          <w:kern w:val="2"/>
          <w:szCs w:val="22"/>
        </w:rPr>
        <w:t xml:space="preserve"> </w:t>
      </w:r>
      <w:r w:rsidR="00EF115F" w:rsidRPr="00D03C68">
        <w:rPr>
          <w:kern w:val="2"/>
          <w:szCs w:val="22"/>
        </w:rPr>
        <w:t>autodialers or artificial or prerecorded messages</w:t>
      </w:r>
      <w:r w:rsidR="000947A2" w:rsidRPr="000947A2">
        <w:rPr>
          <w:kern w:val="2"/>
          <w:szCs w:val="22"/>
        </w:rPr>
        <w:t xml:space="preserve"> </w:t>
      </w:r>
      <w:r w:rsidR="000947A2" w:rsidRPr="00D03C68">
        <w:rPr>
          <w:kern w:val="2"/>
          <w:szCs w:val="22"/>
        </w:rPr>
        <w:t xml:space="preserve">to </w:t>
      </w:r>
      <w:r w:rsidR="000947A2">
        <w:rPr>
          <w:kern w:val="2"/>
          <w:szCs w:val="22"/>
        </w:rPr>
        <w:t xml:space="preserve">residential and wireless </w:t>
      </w:r>
      <w:r w:rsidR="000947A2" w:rsidRPr="00D03C68">
        <w:rPr>
          <w:kern w:val="2"/>
          <w:szCs w:val="22"/>
        </w:rPr>
        <w:t>phones</w:t>
      </w:r>
      <w:r w:rsidR="00EF115F" w:rsidRPr="00BE70CC">
        <w:t xml:space="preserve">.  </w:t>
      </w:r>
      <w:r w:rsidR="00500FF2" w:rsidRPr="00BE70CC">
        <w:t xml:space="preserve">We therefore direct </w:t>
      </w:r>
      <w:r w:rsidR="00BB6AB1">
        <w:t>First National Bank</w:t>
      </w:r>
      <w:r w:rsidR="00500FF2" w:rsidRPr="00BE70CC">
        <w:t xml:space="preserve"> </w:t>
      </w:r>
      <w:r w:rsidR="00EF115F" w:rsidRPr="00BE70CC">
        <w:t>to take immediate steps to comply with</w:t>
      </w:r>
      <w:r w:rsidR="000947A2">
        <w:t xml:space="preserve"> the</w:t>
      </w:r>
      <w:r w:rsidR="00EF115F" w:rsidRPr="00BE70CC">
        <w:t xml:space="preserve"> </w:t>
      </w:r>
      <w:r w:rsidR="001342E7">
        <w:t xml:space="preserve">Rules, </w:t>
      </w:r>
      <w:r w:rsidR="000947A2">
        <w:t>FCC orders</w:t>
      </w:r>
      <w:r w:rsidR="001342E7">
        <w:t>,</w:t>
      </w:r>
      <w:r w:rsidR="00EF115F">
        <w:t xml:space="preserve"> and the Telephone Consumer Prot</w:t>
      </w:r>
      <w:r w:rsidR="00D96F48">
        <w:t>ection Act’s (TCPA) prohibition</w:t>
      </w:r>
      <w:r w:rsidR="00EF115F">
        <w:t xml:space="preserve"> against unlawful </w:t>
      </w:r>
      <w:r w:rsidR="0070290C">
        <w:t>marketing and advertising calls</w:t>
      </w:r>
      <w:r w:rsidR="00EF115F" w:rsidRPr="00BE70CC">
        <w:t xml:space="preserve">.  </w:t>
      </w:r>
      <w:r w:rsidR="00500FF2" w:rsidRPr="00BE70CC">
        <w:t xml:space="preserve">If </w:t>
      </w:r>
      <w:r w:rsidR="00BB6AB1">
        <w:t>First National Bank</w:t>
      </w:r>
      <w:r w:rsidR="00500FF2" w:rsidRPr="00BE70CC">
        <w:t xml:space="preserve"> </w:t>
      </w:r>
      <w:r w:rsidR="00EF115F" w:rsidRPr="00BE70CC">
        <w:t>fails to comply with these laws, it may</w:t>
      </w:r>
      <w:r w:rsidR="00EF115F">
        <w:t xml:space="preserve"> be liable for significant penalties</w:t>
      </w:r>
      <w:r w:rsidR="008B27C1" w:rsidRPr="00BE70CC">
        <w:t xml:space="preserve">. </w:t>
      </w:r>
    </w:p>
    <w:p w14:paraId="1F2D0762" w14:textId="3C644534" w:rsidR="00EF1FDD" w:rsidRPr="00BE70CC" w:rsidRDefault="00B85F3E" w:rsidP="00B7124E">
      <w:pPr>
        <w:pStyle w:val="ParaNum"/>
        <w:widowControl/>
        <w:tabs>
          <w:tab w:val="clear" w:pos="1080"/>
          <w:tab w:val="num" w:pos="1440"/>
        </w:tabs>
      </w:pPr>
      <w:bookmarkStart w:id="3" w:name="_Ref428193130"/>
      <w:r w:rsidRPr="00BE70CC">
        <w:rPr>
          <w:b/>
          <w:i/>
        </w:rPr>
        <w:t xml:space="preserve">Notice of Duty to Comply with </w:t>
      </w:r>
      <w:r w:rsidR="00F6754D" w:rsidRPr="00BE70CC">
        <w:rPr>
          <w:b/>
          <w:i/>
        </w:rPr>
        <w:t>the Law</w:t>
      </w:r>
      <w:r w:rsidRPr="00BE70CC">
        <w:t xml:space="preserve">:  </w:t>
      </w:r>
      <w:r w:rsidR="00716E89" w:rsidRPr="00BE70CC">
        <w:t xml:space="preserve">We issue this Citation pursuant to Section 503(b)(5) of the Act, which </w:t>
      </w:r>
      <w:r w:rsidR="00727F4F" w:rsidRPr="00BE70CC">
        <w:t xml:space="preserve">states that the Commission may not impose </w:t>
      </w:r>
      <w:r w:rsidR="00716E89" w:rsidRPr="00BE70CC">
        <w:t xml:space="preserve">monetary forfeitures against non-regulatees who violate Commission </w:t>
      </w:r>
      <w:r w:rsidR="00327FD2">
        <w:t>Rules</w:t>
      </w:r>
      <w:r w:rsidR="00716E89" w:rsidRPr="00BE70CC">
        <w:t xml:space="preserve"> or the Act</w:t>
      </w:r>
      <w:r w:rsidR="00727F4F" w:rsidRPr="00BE70CC">
        <w:t xml:space="preserve"> </w:t>
      </w:r>
      <w:r w:rsidR="00C42D39" w:rsidRPr="00BE70CC">
        <w:t>unless and until</w:t>
      </w:r>
      <w:r w:rsidR="00BF39AF" w:rsidRPr="00BE70CC">
        <w:t xml:space="preserve">: </w:t>
      </w:r>
      <w:r w:rsidR="00716E89" w:rsidRPr="00BE70CC">
        <w:t xml:space="preserve"> (a)</w:t>
      </w:r>
      <w:r w:rsidR="00C42D39" w:rsidRPr="00BE70CC">
        <w:t xml:space="preserve"> the Commission</w:t>
      </w:r>
      <w:r w:rsidR="00716E89" w:rsidRPr="00BE70CC">
        <w:t xml:space="preserve"> issues a citation to the violator</w:t>
      </w:r>
      <w:r w:rsidR="00C42D39" w:rsidRPr="00BE70CC">
        <w:t xml:space="preserve">; (b) the Commission </w:t>
      </w:r>
      <w:r w:rsidR="00716E89" w:rsidRPr="00BE70CC">
        <w:t>provides the violator a reasonable opportunity to respond; and (c) the violator subsequently engages in conduct described in the citation.</w:t>
      </w:r>
      <w:r w:rsidR="00716E89" w:rsidRPr="00BE70CC">
        <w:rPr>
          <w:rStyle w:val="FootnoteReference"/>
          <w:kern w:val="2"/>
          <w:szCs w:val="22"/>
        </w:rPr>
        <w:footnoteReference w:id="2"/>
      </w:r>
      <w:r w:rsidR="00716E89" w:rsidRPr="00BE70CC">
        <w:t xml:space="preserve">  </w:t>
      </w:r>
      <w:r w:rsidR="006E6234" w:rsidRPr="00BE70CC">
        <w:t xml:space="preserve">Accordingly, </w:t>
      </w:r>
      <w:r w:rsidR="00BB6AB1">
        <w:t>First National Bank</w:t>
      </w:r>
      <w:r w:rsidR="00BF790E" w:rsidRPr="00BE70CC">
        <w:t xml:space="preserve"> </w:t>
      </w:r>
      <w:r w:rsidR="00EF115F" w:rsidRPr="00BE70CC">
        <w:rPr>
          <w:kern w:val="2"/>
        </w:rPr>
        <w:t xml:space="preserve">is hereby on notice that it must comply with </w:t>
      </w:r>
      <w:r w:rsidR="00EF115F" w:rsidRPr="00527A66">
        <w:rPr>
          <w:kern w:val="2"/>
          <w:szCs w:val="22"/>
        </w:rPr>
        <w:t xml:space="preserve">Section 227 of the Act </w:t>
      </w:r>
      <w:r w:rsidR="00EF115F">
        <w:rPr>
          <w:kern w:val="2"/>
          <w:szCs w:val="22"/>
        </w:rPr>
        <w:t>and Section</w:t>
      </w:r>
      <w:r w:rsidR="00EF115F" w:rsidRPr="00527A66">
        <w:rPr>
          <w:kern w:val="2"/>
          <w:szCs w:val="22"/>
        </w:rPr>
        <w:t xml:space="preserve"> 64.1200 of the </w:t>
      </w:r>
      <w:r w:rsidR="00EF115F">
        <w:rPr>
          <w:kern w:val="2"/>
          <w:szCs w:val="22"/>
        </w:rPr>
        <w:t>R</w:t>
      </w:r>
      <w:r w:rsidR="00EF115F" w:rsidRPr="00527A66">
        <w:rPr>
          <w:kern w:val="2"/>
          <w:szCs w:val="22"/>
        </w:rPr>
        <w:t>ules</w:t>
      </w:r>
      <w:r w:rsidR="00EF115F" w:rsidRPr="00BE70CC">
        <w:rPr>
          <w:color w:val="000000"/>
          <w:kern w:val="2"/>
        </w:rPr>
        <w:t>.</w:t>
      </w:r>
      <w:r w:rsidR="00EF115F" w:rsidRPr="00BE70CC">
        <w:rPr>
          <w:rStyle w:val="FootnoteReference"/>
          <w:kern w:val="2"/>
        </w:rPr>
        <w:footnoteReference w:id="3"/>
      </w:r>
      <w:r w:rsidR="00EF115F" w:rsidRPr="00BE70CC">
        <w:rPr>
          <w:color w:val="000000"/>
          <w:kern w:val="2"/>
        </w:rPr>
        <w:t xml:space="preserve">  </w:t>
      </w:r>
      <w:r w:rsidR="00BF790E" w:rsidRPr="00BE70CC">
        <w:rPr>
          <w:color w:val="000000"/>
          <w:kern w:val="2"/>
        </w:rPr>
        <w:t>I</w:t>
      </w:r>
      <w:r w:rsidR="00BF790E" w:rsidRPr="00BE70CC">
        <w:t xml:space="preserve">f </w:t>
      </w:r>
      <w:r w:rsidR="00BB6AB1">
        <w:t>First National Bank</w:t>
      </w:r>
      <w:r w:rsidR="00BF790E" w:rsidRPr="00BE70CC">
        <w:t xml:space="preserve"> </w:t>
      </w:r>
      <w:r w:rsidR="00EF115F" w:rsidRPr="00BE70CC">
        <w:rPr>
          <w:kern w:val="2"/>
        </w:rPr>
        <w:t xml:space="preserve">subsequently engages in any conduct of the type this Citation describes—and specifically any violation of </w:t>
      </w:r>
      <w:r w:rsidR="00EF115F">
        <w:t>the TCPA and accompanying Rules</w:t>
      </w:r>
      <w:r w:rsidR="00EF115F" w:rsidRPr="00BE70CC">
        <w:t>—</w:t>
      </w:r>
      <w:r w:rsidR="000C3352">
        <w:t xml:space="preserve">it </w:t>
      </w:r>
      <w:r w:rsidR="00EF115F" w:rsidRPr="00BE70CC">
        <w:rPr>
          <w:kern w:val="2"/>
        </w:rPr>
        <w:t xml:space="preserve">may be subject to civil penalties, including but not limited to, substantial monetary forfeitures.  In assessing such forfeitures, the Commission may </w:t>
      </w:r>
      <w:r w:rsidR="00F3376C">
        <w:rPr>
          <w:kern w:val="2"/>
        </w:rPr>
        <w:t>consider</w:t>
      </w:r>
      <w:r w:rsidR="00EF115F" w:rsidRPr="00BE70CC">
        <w:rPr>
          <w:kern w:val="2"/>
        </w:rPr>
        <w:t xml:space="preserve"> both the conduct that led to this Citation and the conduct following it.</w:t>
      </w:r>
      <w:r w:rsidR="00EF115F" w:rsidRPr="00BE70CC">
        <w:rPr>
          <w:kern w:val="2"/>
          <w:vertAlign w:val="superscript"/>
        </w:rPr>
        <w:footnoteReference w:id="4"/>
      </w:r>
      <w:bookmarkEnd w:id="3"/>
    </w:p>
    <w:p w14:paraId="1D810B57" w14:textId="77777777" w:rsidR="00E273E3" w:rsidRPr="00B54435" w:rsidRDefault="00E273E3" w:rsidP="00B7124E">
      <w:pPr>
        <w:pStyle w:val="Heading1"/>
        <w:widowControl/>
      </w:pPr>
      <w:bookmarkStart w:id="4" w:name="_Toc379288999"/>
      <w:bookmarkStart w:id="5" w:name="_Toc379365500"/>
      <w:r w:rsidRPr="00B54435">
        <w:lastRenderedPageBreak/>
        <w:t>BACKGROUND</w:t>
      </w:r>
      <w:bookmarkEnd w:id="4"/>
      <w:bookmarkEnd w:id="5"/>
      <w:r w:rsidR="00A8604A" w:rsidRPr="00B54435">
        <w:t xml:space="preserve"> </w:t>
      </w:r>
    </w:p>
    <w:p w14:paraId="7A9CC46F" w14:textId="69F1C3C6" w:rsidR="00EF115F" w:rsidRPr="00B54435" w:rsidRDefault="00B54435" w:rsidP="00B7124E">
      <w:pPr>
        <w:pStyle w:val="ParaNum"/>
        <w:widowControl/>
      </w:pPr>
      <w:r w:rsidRPr="00B54435">
        <w:t xml:space="preserve">For more than two decades, Congress and the Commission have sought to protect consumers from the nuisance, invasion of privacy, cost, and inconvenience </w:t>
      </w:r>
      <w:r w:rsidR="008F49A9">
        <w:t>of</w:t>
      </w:r>
      <w:r w:rsidRPr="00B54435">
        <w:t xml:space="preserve"> autodialed </w:t>
      </w:r>
      <w:r w:rsidR="00290198">
        <w:t xml:space="preserve">calls </w:t>
      </w:r>
      <w:r w:rsidRPr="00B54435">
        <w:t xml:space="preserve">and </w:t>
      </w:r>
      <w:r w:rsidR="000A0447">
        <w:t>prerecorded or artificial voice messages (robocalls)</w:t>
      </w:r>
      <w:r w:rsidRPr="00B54435">
        <w:t>.</w:t>
      </w:r>
      <w:r w:rsidRPr="00B54435">
        <w:rPr>
          <w:rStyle w:val="FootnoteReference"/>
        </w:rPr>
        <w:footnoteReference w:id="5"/>
      </w:r>
      <w:r w:rsidRPr="00B54435">
        <w:t xml:space="preserve">  Congress found that consumers consider these kinds of calls, “regardless of the content or the initiator of the message, to be a nuisance and an invasion of privacy”; that businesses also complain that these kinds of calls “are a nuisance, are an invasion of privacy, and interfere with interstate commerce”; and that banning such calls, except when made for an emergency purpose or when the called party consents to receiving the call, “is the only effective means of protecting telephone consumers from this nuisance and privacy invasion.”</w:t>
      </w:r>
      <w:r w:rsidRPr="00B54435">
        <w:rPr>
          <w:rStyle w:val="FootnoteReference"/>
        </w:rPr>
        <w:footnoteReference w:id="6"/>
      </w:r>
      <w:r w:rsidRPr="00B54435">
        <w:t xml:space="preserve">  </w:t>
      </w:r>
      <w:r w:rsidR="00EF115F" w:rsidRPr="00B54435">
        <w:t xml:space="preserve">In 1991, </w:t>
      </w:r>
      <w:r w:rsidR="00EF115F" w:rsidRPr="00B54435">
        <w:rPr>
          <w:kern w:val="2"/>
          <w:szCs w:val="22"/>
        </w:rPr>
        <w:t>Congress passed the TCPA and</w:t>
      </w:r>
      <w:r>
        <w:rPr>
          <w:kern w:val="2"/>
          <w:szCs w:val="22"/>
        </w:rPr>
        <w:t xml:space="preserve"> enacted strict limitations on the use of autodialed </w:t>
      </w:r>
      <w:r w:rsidR="00290198">
        <w:rPr>
          <w:kern w:val="2"/>
          <w:szCs w:val="22"/>
        </w:rPr>
        <w:t xml:space="preserve">calls </w:t>
      </w:r>
      <w:r>
        <w:rPr>
          <w:kern w:val="2"/>
          <w:szCs w:val="22"/>
        </w:rPr>
        <w:t xml:space="preserve">and </w:t>
      </w:r>
      <w:r w:rsidR="00290198">
        <w:rPr>
          <w:kern w:val="2"/>
          <w:szCs w:val="22"/>
        </w:rPr>
        <w:t>robo</w:t>
      </w:r>
      <w:r w:rsidR="008F49A9">
        <w:rPr>
          <w:kern w:val="2"/>
          <w:szCs w:val="22"/>
        </w:rPr>
        <w:t>calls to wireless and residential phones—particularly with respect to telemarketing</w:t>
      </w:r>
      <w:r w:rsidR="00290198">
        <w:rPr>
          <w:kern w:val="2"/>
          <w:szCs w:val="22"/>
        </w:rPr>
        <w:t xml:space="preserve"> and advertising</w:t>
      </w:r>
      <w:r w:rsidR="00EF115F" w:rsidRPr="00B54435">
        <w:rPr>
          <w:kern w:val="2"/>
          <w:szCs w:val="22"/>
        </w:rPr>
        <w:t>.  The Commission adopted regulations implementing the TCPA in Section 64.1200 of the Rules</w:t>
      </w:r>
      <w:r w:rsidR="008F49A9">
        <w:rPr>
          <w:kern w:val="2"/>
          <w:szCs w:val="22"/>
        </w:rPr>
        <w:t>.</w:t>
      </w:r>
      <w:r w:rsidR="00EF115F" w:rsidRPr="00B54435">
        <w:rPr>
          <w:rStyle w:val="FootnoteReference"/>
          <w:kern w:val="2"/>
          <w:szCs w:val="22"/>
        </w:rPr>
        <w:footnoteReference w:id="7"/>
      </w:r>
      <w:r w:rsidR="008F49A9">
        <w:rPr>
          <w:kern w:val="2"/>
          <w:szCs w:val="22"/>
        </w:rPr>
        <w:t xml:space="preserve">  Among other things, the Rules pro</w:t>
      </w:r>
      <w:r w:rsidR="00290198">
        <w:rPr>
          <w:kern w:val="2"/>
          <w:szCs w:val="22"/>
        </w:rPr>
        <w:t>hibit making autodialed calls and robocalls for the purposes of telemarketing and advertising unless the caller has the prior express written consent of the called party.</w:t>
      </w:r>
      <w:r w:rsidR="00CB3051">
        <w:rPr>
          <w:rStyle w:val="FootnoteReference"/>
          <w:kern w:val="2"/>
          <w:szCs w:val="22"/>
        </w:rPr>
        <w:footnoteReference w:id="8"/>
      </w:r>
      <w:r w:rsidR="00290198">
        <w:rPr>
          <w:kern w:val="2"/>
          <w:szCs w:val="22"/>
        </w:rPr>
        <w:t xml:space="preserve">  In addition, to protect consumers from being forced to give consent unwillingly, FCC regulations </w:t>
      </w:r>
      <w:r w:rsidR="001342E7">
        <w:rPr>
          <w:kern w:val="2"/>
          <w:szCs w:val="22"/>
        </w:rPr>
        <w:t xml:space="preserve">forbid </w:t>
      </w:r>
      <w:r w:rsidR="00290198">
        <w:rPr>
          <w:kern w:val="2"/>
          <w:szCs w:val="22"/>
        </w:rPr>
        <w:t xml:space="preserve">requiring </w:t>
      </w:r>
      <w:r w:rsidR="00E463D4">
        <w:rPr>
          <w:kern w:val="2"/>
          <w:szCs w:val="22"/>
        </w:rPr>
        <w:t>c</w:t>
      </w:r>
      <w:r w:rsidR="00290198">
        <w:rPr>
          <w:kern w:val="2"/>
          <w:szCs w:val="22"/>
        </w:rPr>
        <w:t>onsumer</w:t>
      </w:r>
      <w:r w:rsidR="00E463D4">
        <w:rPr>
          <w:kern w:val="2"/>
          <w:szCs w:val="22"/>
        </w:rPr>
        <w:t>s to</w:t>
      </w:r>
      <w:r w:rsidR="00290198">
        <w:rPr>
          <w:kern w:val="2"/>
          <w:szCs w:val="22"/>
        </w:rPr>
        <w:t xml:space="preserve"> agree to receive </w:t>
      </w:r>
      <w:r w:rsidR="00E463D4">
        <w:rPr>
          <w:kern w:val="2"/>
          <w:szCs w:val="22"/>
        </w:rPr>
        <w:t>marketing robocalls/autodialed calls as a condition of purchasing any goods, services, or property.</w:t>
      </w:r>
      <w:r w:rsidR="00CB3051">
        <w:rPr>
          <w:rStyle w:val="FootnoteReference"/>
          <w:kern w:val="2"/>
          <w:szCs w:val="22"/>
        </w:rPr>
        <w:footnoteReference w:id="9"/>
      </w:r>
      <w:r w:rsidR="00E463D4">
        <w:rPr>
          <w:kern w:val="2"/>
          <w:szCs w:val="22"/>
        </w:rPr>
        <w:t xml:space="preserve"> </w:t>
      </w:r>
      <w:r w:rsidR="00290198">
        <w:rPr>
          <w:kern w:val="2"/>
          <w:szCs w:val="22"/>
        </w:rPr>
        <w:t xml:space="preserve"> </w:t>
      </w:r>
      <w:r w:rsidR="008F49A9">
        <w:rPr>
          <w:kern w:val="2"/>
          <w:szCs w:val="22"/>
        </w:rPr>
        <w:t>The FCC</w:t>
      </w:r>
      <w:r w:rsidR="00EF115F" w:rsidRPr="00B54435">
        <w:rPr>
          <w:kern w:val="2"/>
          <w:szCs w:val="22"/>
        </w:rPr>
        <w:t xml:space="preserve"> enforces the TCPA by conducting investigations and taking enforcement actions against violators.</w:t>
      </w:r>
    </w:p>
    <w:p w14:paraId="6B28C4E1" w14:textId="0CFB1E36" w:rsidR="00EF115F" w:rsidRPr="00687773" w:rsidRDefault="00BB6AB1" w:rsidP="00B7124E">
      <w:pPr>
        <w:pStyle w:val="ParaNum"/>
        <w:widowControl/>
      </w:pPr>
      <w:r w:rsidRPr="00B54435">
        <w:rPr>
          <w:kern w:val="2"/>
          <w:szCs w:val="22"/>
        </w:rPr>
        <w:t>First National Bank</w:t>
      </w:r>
      <w:r w:rsidR="00193330" w:rsidRPr="00B54435">
        <w:rPr>
          <w:kern w:val="2"/>
          <w:szCs w:val="22"/>
        </w:rPr>
        <w:t xml:space="preserve"> offers </w:t>
      </w:r>
      <w:r w:rsidR="0031689E" w:rsidRPr="00B54435">
        <w:rPr>
          <w:kern w:val="2"/>
          <w:szCs w:val="22"/>
        </w:rPr>
        <w:t xml:space="preserve">banking, credit card, lending, and other financial services to consumers across six states and </w:t>
      </w:r>
      <w:r w:rsidR="00D10D1C">
        <w:rPr>
          <w:kern w:val="2"/>
          <w:szCs w:val="22"/>
        </w:rPr>
        <w:t xml:space="preserve">holds a top retail deposit share in three of the country’s </w:t>
      </w:r>
      <w:r w:rsidR="0031689E" w:rsidRPr="00B54435">
        <w:rPr>
          <w:kern w:val="2"/>
          <w:szCs w:val="22"/>
        </w:rPr>
        <w:t>major metropolitan areas of Cleveland, Ohio, Pittsburgh, Pennsylvania, and Baltimore, Maryland.</w:t>
      </w:r>
      <w:r w:rsidR="0031689E" w:rsidRPr="00B54435">
        <w:rPr>
          <w:rStyle w:val="FootnoteReference"/>
          <w:kern w:val="2"/>
          <w:szCs w:val="22"/>
        </w:rPr>
        <w:footnoteReference w:id="10"/>
      </w:r>
      <w:r w:rsidR="0031689E" w:rsidRPr="00B54435">
        <w:rPr>
          <w:kern w:val="2"/>
          <w:szCs w:val="22"/>
        </w:rPr>
        <w:t xml:space="preserve">  In addition, First National Bank offers consumers</w:t>
      </w:r>
      <w:r w:rsidR="003E58AC" w:rsidRPr="00B54435">
        <w:rPr>
          <w:kern w:val="2"/>
          <w:szCs w:val="22"/>
        </w:rPr>
        <w:t xml:space="preserve"> various electronic and mobile banking options, including</w:t>
      </w:r>
      <w:r w:rsidR="0031689E" w:rsidRPr="00B54435">
        <w:rPr>
          <w:kern w:val="2"/>
          <w:szCs w:val="22"/>
        </w:rPr>
        <w:t xml:space="preserve"> the ability </w:t>
      </w:r>
      <w:r w:rsidR="003E58AC" w:rsidRPr="00B54435">
        <w:rPr>
          <w:kern w:val="2"/>
          <w:szCs w:val="22"/>
        </w:rPr>
        <w:t>for customers to</w:t>
      </w:r>
      <w:r w:rsidR="0031689E" w:rsidRPr="00B54435">
        <w:rPr>
          <w:kern w:val="2"/>
          <w:szCs w:val="22"/>
        </w:rPr>
        <w:t xml:space="preserve"> enroll their FNB-issued credit and debit cards in the</w:t>
      </w:r>
      <w:r w:rsidR="0031689E">
        <w:rPr>
          <w:kern w:val="2"/>
          <w:szCs w:val="22"/>
        </w:rPr>
        <w:t xml:space="preserve"> Apple Pay </w:t>
      </w:r>
      <w:r w:rsidR="003E58AC">
        <w:rPr>
          <w:kern w:val="2"/>
          <w:szCs w:val="22"/>
        </w:rPr>
        <w:t xml:space="preserve">mobile banking </w:t>
      </w:r>
      <w:r w:rsidR="0031689E">
        <w:rPr>
          <w:kern w:val="2"/>
          <w:szCs w:val="22"/>
        </w:rPr>
        <w:t>service</w:t>
      </w:r>
      <w:r w:rsidR="0031689E">
        <w:rPr>
          <w:rStyle w:val="FootnoteReference"/>
          <w:kern w:val="2"/>
          <w:szCs w:val="22"/>
        </w:rPr>
        <w:footnoteReference w:id="11"/>
      </w:r>
      <w:r w:rsidR="0031689E">
        <w:rPr>
          <w:kern w:val="2"/>
          <w:szCs w:val="22"/>
        </w:rPr>
        <w:t xml:space="preserve"> offered in conjunction with consumer technology company Apple, Inc.</w:t>
      </w:r>
      <w:r w:rsidR="003E58AC">
        <w:rPr>
          <w:rStyle w:val="FootnoteReference"/>
          <w:kern w:val="2"/>
          <w:szCs w:val="22"/>
        </w:rPr>
        <w:footnoteReference w:id="12"/>
      </w:r>
    </w:p>
    <w:p w14:paraId="1615D936" w14:textId="77777777" w:rsidR="00687773" w:rsidRPr="00687773" w:rsidRDefault="00687773" w:rsidP="00B7124E">
      <w:pPr>
        <w:pStyle w:val="ParaNum"/>
        <w:widowControl/>
      </w:pPr>
      <w:r>
        <w:t>Consumers who wish to use First National Bank’s online banking services do so by accessing the FNB website and enrolling via the Internet.</w:t>
      </w:r>
      <w:r>
        <w:rPr>
          <w:rStyle w:val="FootnoteReference"/>
          <w:kern w:val="2"/>
          <w:szCs w:val="22"/>
        </w:rPr>
        <w:footnoteReference w:id="13"/>
      </w:r>
      <w:r>
        <w:t xml:space="preserve">  Prior to entering their name and account information to activate online banking, consumers are presented with FNB’s Online Banking Services Agreement.  Consumers are directed to “</w:t>
      </w:r>
      <w:r w:rsidRPr="00687773">
        <w:rPr>
          <w:kern w:val="2"/>
          <w:szCs w:val="22"/>
        </w:rPr>
        <w:t>read this disclosure and click on your response at the bottom of the page to continue enrollment</w:t>
      </w:r>
      <w:r>
        <w:rPr>
          <w:kern w:val="2"/>
          <w:szCs w:val="22"/>
        </w:rPr>
        <w:t>.”</w:t>
      </w:r>
      <w:r>
        <w:rPr>
          <w:rStyle w:val="FootnoteReference"/>
          <w:kern w:val="2"/>
          <w:szCs w:val="22"/>
        </w:rPr>
        <w:footnoteReference w:id="14"/>
      </w:r>
      <w:r>
        <w:rPr>
          <w:kern w:val="2"/>
          <w:szCs w:val="22"/>
        </w:rPr>
        <w:t xml:space="preserve">  Section 6(F) of the Online Banking Services Agreement reads as follows:</w:t>
      </w:r>
    </w:p>
    <w:p w14:paraId="5F3AAEA1" w14:textId="77777777" w:rsidR="00687773" w:rsidRPr="000A0447" w:rsidRDefault="00687773" w:rsidP="00784054">
      <w:pPr>
        <w:pStyle w:val="ParaNum"/>
        <w:keepNext/>
        <w:widowControl/>
        <w:numPr>
          <w:ilvl w:val="0"/>
          <w:numId w:val="0"/>
        </w:numPr>
        <w:ind w:left="720" w:right="720"/>
        <w:jc w:val="both"/>
        <w:rPr>
          <w:szCs w:val="22"/>
        </w:rPr>
      </w:pPr>
      <w:r w:rsidRPr="000A0447">
        <w:rPr>
          <w:szCs w:val="22"/>
        </w:rPr>
        <w:lastRenderedPageBreak/>
        <w:t>(F)</w:t>
      </w:r>
      <w:r w:rsidRPr="000A0447">
        <w:rPr>
          <w:szCs w:val="22"/>
        </w:rPr>
        <w:tab/>
        <w:t>TELEPHONE CALLS, EMAILS, AND TEXT MESSAGES TO YOU</w:t>
      </w:r>
    </w:p>
    <w:p w14:paraId="694A314D" w14:textId="77777777" w:rsidR="00687773" w:rsidRPr="00F32322" w:rsidRDefault="00687773" w:rsidP="00B7124E">
      <w:pPr>
        <w:pStyle w:val="ParaNum"/>
        <w:widowControl/>
        <w:numPr>
          <w:ilvl w:val="0"/>
          <w:numId w:val="0"/>
        </w:numPr>
        <w:ind w:left="720" w:right="720"/>
        <w:jc w:val="both"/>
        <w:rPr>
          <w:szCs w:val="22"/>
        </w:rPr>
      </w:pPr>
      <w:r w:rsidRPr="000A0447">
        <w:rPr>
          <w:szCs w:val="22"/>
        </w:rPr>
        <w:t xml:space="preserve">By providing us with a landline or mobile/cellular telephone number, you consent to receiving calls, text messages, or e-mail messages from us at that number for our everyday business purposes (including identify verification). You further consent to receiving autodialed and prerecorded-message calls from us at that number for non-marketing purposes. For example, we may contact you in connection with validating or processing a transaction that you've requested through our Online Services. </w:t>
      </w:r>
      <w:r w:rsidRPr="000A0447">
        <w:rPr>
          <w:b/>
          <w:szCs w:val="22"/>
        </w:rPr>
        <w:t>You also consent to receiving text messages and e-mails from us at that number for marketing purposes.</w:t>
      </w:r>
      <w:r w:rsidRPr="000A0447">
        <w:rPr>
          <w:szCs w:val="22"/>
        </w:rPr>
        <w:t xml:space="preserve"> Please review our Privacy Policy for more information.</w:t>
      </w:r>
      <w:r w:rsidRPr="00F32322">
        <w:rPr>
          <w:rStyle w:val="FootnoteReference"/>
          <w:sz w:val="22"/>
          <w:szCs w:val="22"/>
        </w:rPr>
        <w:footnoteReference w:id="15"/>
      </w:r>
    </w:p>
    <w:p w14:paraId="5E523681" w14:textId="77777777" w:rsidR="009E5EA4" w:rsidRPr="009E5EA4" w:rsidRDefault="009E5EA4" w:rsidP="00B7124E">
      <w:pPr>
        <w:pStyle w:val="ParaNum"/>
        <w:widowControl/>
      </w:pPr>
      <w:r>
        <w:rPr>
          <w:kern w:val="2"/>
          <w:szCs w:val="22"/>
        </w:rPr>
        <w:t xml:space="preserve">Similarly, First National Bank customers who wish to enroll in the Apple Pay service are required to comply with </w:t>
      </w:r>
      <w:r w:rsidR="000607E7">
        <w:rPr>
          <w:kern w:val="2"/>
          <w:szCs w:val="22"/>
        </w:rPr>
        <w:t xml:space="preserve">certain </w:t>
      </w:r>
      <w:r>
        <w:rPr>
          <w:kern w:val="2"/>
          <w:szCs w:val="22"/>
        </w:rPr>
        <w:t>terms and conditions in order to use the service.  FNB’s Apple Pay Terms &amp; Conditions state, in relevant part:</w:t>
      </w:r>
    </w:p>
    <w:p w14:paraId="1301E369" w14:textId="77777777" w:rsidR="009E5EA4" w:rsidRPr="000A0447" w:rsidRDefault="009E5EA4" w:rsidP="00784054">
      <w:pPr>
        <w:pStyle w:val="ParaNum"/>
        <w:keepNext/>
        <w:widowControl/>
        <w:numPr>
          <w:ilvl w:val="0"/>
          <w:numId w:val="0"/>
        </w:numPr>
        <w:ind w:left="720" w:right="720"/>
        <w:jc w:val="both"/>
        <w:rPr>
          <w:kern w:val="2"/>
          <w:szCs w:val="22"/>
        </w:rPr>
      </w:pPr>
      <w:r w:rsidRPr="000A0447">
        <w:rPr>
          <w:kern w:val="2"/>
          <w:szCs w:val="22"/>
        </w:rPr>
        <w:t>YOUR CONSENT</w:t>
      </w:r>
    </w:p>
    <w:p w14:paraId="4A7DDFE0" w14:textId="77777777" w:rsidR="009E5EA4" w:rsidRPr="000A0447" w:rsidRDefault="009E5EA4" w:rsidP="00B7124E">
      <w:pPr>
        <w:pStyle w:val="ParaNum"/>
        <w:widowControl/>
        <w:numPr>
          <w:ilvl w:val="0"/>
          <w:numId w:val="0"/>
        </w:numPr>
        <w:ind w:left="720" w:right="720"/>
        <w:jc w:val="both"/>
        <w:rPr>
          <w:kern w:val="2"/>
          <w:szCs w:val="22"/>
        </w:rPr>
      </w:pPr>
      <w:r w:rsidRPr="000A0447">
        <w:rPr>
          <w:kern w:val="2"/>
          <w:szCs w:val="22"/>
        </w:rPr>
        <w:t>By enrolling in Apple Pay you affirmatively consent to receiving the legal disclosures, agreements and instructions relating to your account(s) enrolled in Apple Pay via electronic means. By providing us with a landline or mobile/cellular telephone number, you consent to receiving calls, text messages, or e-mail messages from us at that number for our everyday business purposes (including identity verification).</w:t>
      </w:r>
    </w:p>
    <w:p w14:paraId="5A027F12" w14:textId="77777777" w:rsidR="009E5EA4" w:rsidRPr="000A0447" w:rsidRDefault="009E5EA4" w:rsidP="00B7124E">
      <w:pPr>
        <w:pStyle w:val="ParaNum"/>
        <w:widowControl/>
        <w:numPr>
          <w:ilvl w:val="0"/>
          <w:numId w:val="0"/>
        </w:numPr>
        <w:ind w:left="720" w:right="720"/>
        <w:jc w:val="both"/>
        <w:rPr>
          <w:kern w:val="2"/>
          <w:szCs w:val="22"/>
        </w:rPr>
      </w:pPr>
      <w:r w:rsidRPr="000A0447">
        <w:rPr>
          <w:kern w:val="2"/>
          <w:szCs w:val="22"/>
        </w:rPr>
        <w:t xml:space="preserve">You further consent to receiving autodialed and prerecorded message calls from us at that number for non-marketing purposes. For example, we may contact you in connection with validating or processing a transaction that you've requested through Apple Pay. </w:t>
      </w:r>
      <w:r w:rsidRPr="000A0447">
        <w:rPr>
          <w:b/>
          <w:kern w:val="2"/>
          <w:szCs w:val="22"/>
        </w:rPr>
        <w:t>You also consent to receiving text messages and e-mails from us at that number for marketing purposes.</w:t>
      </w:r>
      <w:r w:rsidRPr="000A0447">
        <w:rPr>
          <w:kern w:val="2"/>
          <w:szCs w:val="22"/>
        </w:rPr>
        <w:t xml:space="preserve"> Please review our Privacy Policy for more information.</w:t>
      </w:r>
    </w:p>
    <w:p w14:paraId="2CD1C88E" w14:textId="77777777" w:rsidR="009E5EA4" w:rsidRPr="002B3E99" w:rsidRDefault="009E5EA4" w:rsidP="00B7124E">
      <w:pPr>
        <w:pStyle w:val="ParaNum"/>
        <w:widowControl/>
        <w:numPr>
          <w:ilvl w:val="0"/>
          <w:numId w:val="0"/>
        </w:numPr>
        <w:ind w:left="720" w:right="720"/>
        <w:jc w:val="both"/>
        <w:rPr>
          <w:b/>
          <w:kern w:val="2"/>
          <w:szCs w:val="22"/>
        </w:rPr>
      </w:pPr>
      <w:r w:rsidRPr="000A0447">
        <w:rPr>
          <w:b/>
          <w:kern w:val="2"/>
          <w:szCs w:val="22"/>
        </w:rPr>
        <w:t>If at any time you revoke this consent, we may suspend or cancel your ability to use your Card in Apple Pay.</w:t>
      </w:r>
      <w:r w:rsidRPr="000A0447">
        <w:rPr>
          <w:rStyle w:val="FootnoteReference"/>
          <w:kern w:val="2"/>
          <w:sz w:val="22"/>
          <w:szCs w:val="22"/>
        </w:rPr>
        <w:footnoteReference w:id="16"/>
      </w:r>
    </w:p>
    <w:p w14:paraId="0707C276" w14:textId="169532B3" w:rsidR="009E5EA4" w:rsidRPr="00193330" w:rsidRDefault="000607E7" w:rsidP="00B7124E">
      <w:pPr>
        <w:pStyle w:val="ParaNum"/>
        <w:widowControl/>
      </w:pPr>
      <w:r>
        <w:rPr>
          <w:kern w:val="2"/>
          <w:szCs w:val="22"/>
        </w:rPr>
        <w:t xml:space="preserve">As </w:t>
      </w:r>
      <w:r w:rsidR="009966D1">
        <w:rPr>
          <w:kern w:val="2"/>
          <w:szCs w:val="22"/>
        </w:rPr>
        <w:t>evidenced</w:t>
      </w:r>
      <w:r>
        <w:rPr>
          <w:kern w:val="2"/>
          <w:szCs w:val="22"/>
        </w:rPr>
        <w:t xml:space="preserve"> by the language quoted above</w:t>
      </w:r>
      <w:r w:rsidR="009E5EA4">
        <w:rPr>
          <w:kern w:val="2"/>
          <w:szCs w:val="22"/>
        </w:rPr>
        <w:t>, First National Bank requires consumers to agree to receive marketing text messages on their phones in order to use First National Bank’s online banking services and to use the Apple Pay mobile banking service.</w:t>
      </w:r>
      <w:r>
        <w:rPr>
          <w:kern w:val="2"/>
          <w:szCs w:val="22"/>
        </w:rPr>
        <w:t xml:space="preserve">  Nothing in either the Online Banking Services Agreement or </w:t>
      </w:r>
      <w:r w:rsidR="009E6325">
        <w:rPr>
          <w:kern w:val="2"/>
          <w:szCs w:val="22"/>
        </w:rPr>
        <w:t xml:space="preserve">FNB’s </w:t>
      </w:r>
      <w:r>
        <w:rPr>
          <w:kern w:val="2"/>
          <w:szCs w:val="22"/>
        </w:rPr>
        <w:t xml:space="preserve">Apple Pay Terms and Conditions states or suggests that consumers have the option to refuse consent to receive such marketing texts.  Moreover, both documents are blanket agreements—that is, agreements </w:t>
      </w:r>
      <w:r w:rsidR="00B7124E">
        <w:rPr>
          <w:kern w:val="2"/>
          <w:szCs w:val="22"/>
        </w:rPr>
        <w:t xml:space="preserve">that </w:t>
      </w:r>
      <w:r w:rsidR="0067496E">
        <w:rPr>
          <w:kern w:val="2"/>
          <w:szCs w:val="22"/>
        </w:rPr>
        <w:t>First National Bank requires all c</w:t>
      </w:r>
      <w:r>
        <w:rPr>
          <w:kern w:val="2"/>
          <w:szCs w:val="22"/>
        </w:rPr>
        <w:t xml:space="preserve">onsumers </w:t>
      </w:r>
      <w:r w:rsidR="0067496E">
        <w:rPr>
          <w:kern w:val="2"/>
          <w:szCs w:val="22"/>
        </w:rPr>
        <w:t>to affirm</w:t>
      </w:r>
      <w:r>
        <w:rPr>
          <w:kern w:val="2"/>
          <w:szCs w:val="22"/>
        </w:rPr>
        <w:t xml:space="preserve"> in order to obtain service, but that do not </w:t>
      </w:r>
      <w:r w:rsidR="0067496E">
        <w:rPr>
          <w:kern w:val="2"/>
          <w:szCs w:val="22"/>
        </w:rPr>
        <w:t>allow</w:t>
      </w:r>
      <w:r>
        <w:rPr>
          <w:kern w:val="2"/>
          <w:szCs w:val="22"/>
        </w:rPr>
        <w:t xml:space="preserve"> an</w:t>
      </w:r>
      <w:r w:rsidR="0067496E">
        <w:rPr>
          <w:kern w:val="2"/>
          <w:szCs w:val="22"/>
        </w:rPr>
        <w:t>y</w:t>
      </w:r>
      <w:r>
        <w:rPr>
          <w:kern w:val="2"/>
          <w:szCs w:val="22"/>
        </w:rPr>
        <w:t xml:space="preserve"> opportunity for consumers</w:t>
      </w:r>
      <w:r w:rsidR="0067496E">
        <w:rPr>
          <w:kern w:val="2"/>
          <w:szCs w:val="22"/>
        </w:rPr>
        <w:t xml:space="preserve"> to provide input on the terms.</w:t>
      </w:r>
    </w:p>
    <w:p w14:paraId="4FBBD84C" w14:textId="77777777" w:rsidR="0096675D" w:rsidRPr="00BE70CC" w:rsidRDefault="0096675D" w:rsidP="00B7124E">
      <w:pPr>
        <w:pStyle w:val="Heading1"/>
        <w:widowControl/>
      </w:pPr>
      <w:r w:rsidRPr="00BE70CC">
        <w:t xml:space="preserve">aPPLICABLE LAW </w:t>
      </w:r>
      <w:r w:rsidR="00654D13" w:rsidRPr="00BE70CC">
        <w:t>and violations</w:t>
      </w:r>
    </w:p>
    <w:p w14:paraId="7465B49F" w14:textId="3EEFD9FA" w:rsidR="003724EB" w:rsidRDefault="00017662" w:rsidP="00B7124E">
      <w:pPr>
        <w:pStyle w:val="ParaNum"/>
        <w:widowControl/>
        <w:tabs>
          <w:tab w:val="clear" w:pos="1080"/>
          <w:tab w:val="num" w:pos="1440"/>
        </w:tabs>
      </w:pPr>
      <w:r>
        <w:t xml:space="preserve">Federal law imposes limits on the use of autodialed </w:t>
      </w:r>
      <w:r w:rsidR="0067496E">
        <w:t xml:space="preserve">calls </w:t>
      </w:r>
      <w:r>
        <w:t xml:space="preserve">and </w:t>
      </w:r>
      <w:r w:rsidR="000A0447">
        <w:t>robocalls</w:t>
      </w:r>
      <w:r>
        <w:t xml:space="preserve"> delivered to both landline and wireless phones.</w:t>
      </w:r>
      <w:r w:rsidR="002E45A5">
        <w:t xml:space="preserve">  In particular, FCC regulations </w:t>
      </w:r>
      <w:r w:rsidR="002E45A5" w:rsidRPr="002E45A5">
        <w:t xml:space="preserve">require </w:t>
      </w:r>
      <w:r w:rsidR="002E45A5" w:rsidRPr="000607E7">
        <w:t>prior express written consent</w:t>
      </w:r>
      <w:r w:rsidR="002E45A5" w:rsidRPr="002E45A5">
        <w:t xml:space="preserve"> for all telephone calls </w:t>
      </w:r>
      <w:r w:rsidR="0067496E">
        <w:t>that use</w:t>
      </w:r>
      <w:r w:rsidR="002E45A5" w:rsidRPr="002E45A5">
        <w:t xml:space="preserve"> an automatic telephone dialing system or a </w:t>
      </w:r>
      <w:r w:rsidR="0067496E">
        <w:t>robocall</w:t>
      </w:r>
      <w:r w:rsidR="002E45A5" w:rsidRPr="002E45A5">
        <w:t xml:space="preserve"> to deliver a</w:t>
      </w:r>
      <w:r w:rsidR="00B37CCD">
        <w:t>n advertisement or</w:t>
      </w:r>
      <w:r w:rsidR="002E45A5" w:rsidRPr="002E45A5">
        <w:t xml:space="preserve"> telemarketing message to </w:t>
      </w:r>
      <w:r w:rsidR="0067496E">
        <w:t>a wireless number or a residential line</w:t>
      </w:r>
      <w:r w:rsidR="002E45A5">
        <w:t>.</w:t>
      </w:r>
      <w:r w:rsidR="002E45A5">
        <w:rPr>
          <w:rStyle w:val="FootnoteReference"/>
        </w:rPr>
        <w:footnoteReference w:id="17"/>
      </w:r>
      <w:r w:rsidR="0094321E">
        <w:t xml:space="preserve">  </w:t>
      </w:r>
      <w:r w:rsidR="003724EB">
        <w:t>Under longstanding FCC precedent, text messages are considered “calls” to a wireless number for the purposes of the TCPA.</w:t>
      </w:r>
      <w:r w:rsidR="003724EB">
        <w:rPr>
          <w:rStyle w:val="FootnoteReference"/>
        </w:rPr>
        <w:footnoteReference w:id="18"/>
      </w:r>
    </w:p>
    <w:p w14:paraId="7CCF2FDE" w14:textId="77777777" w:rsidR="00ED6970" w:rsidRPr="00A339C9" w:rsidRDefault="0094321E" w:rsidP="00B7124E">
      <w:pPr>
        <w:pStyle w:val="ParaNum"/>
        <w:widowControl/>
        <w:tabs>
          <w:tab w:val="clear" w:pos="1080"/>
          <w:tab w:val="num" w:pos="1440"/>
        </w:tabs>
      </w:pPr>
      <w:r>
        <w:rPr>
          <w:szCs w:val="22"/>
        </w:rPr>
        <w:t>Section</w:t>
      </w:r>
      <w:r w:rsidR="003724EB">
        <w:rPr>
          <w:szCs w:val="22"/>
        </w:rPr>
        <w:t xml:space="preserve"> 64.1200(f)(8) of the FCC rules requires that</w:t>
      </w:r>
      <w:r>
        <w:rPr>
          <w:szCs w:val="22"/>
        </w:rPr>
        <w:t xml:space="preserve"> the “prior express written consent” collected from consumers must include all of the following characteristics and features:</w:t>
      </w:r>
      <w:r>
        <w:rPr>
          <w:rStyle w:val="FootnoteReference"/>
          <w:szCs w:val="22"/>
        </w:rPr>
        <w:footnoteReference w:id="19"/>
      </w:r>
    </w:p>
    <w:p w14:paraId="336C5E72" w14:textId="77777777" w:rsidR="00A339C9" w:rsidRDefault="00A339C9" w:rsidP="00B7124E">
      <w:pPr>
        <w:pStyle w:val="ParaNum"/>
        <w:widowControl/>
        <w:numPr>
          <w:ilvl w:val="0"/>
          <w:numId w:val="31"/>
        </w:numPr>
      </w:pPr>
      <w:r>
        <w:t>The agreement must be in writing;</w:t>
      </w:r>
    </w:p>
    <w:p w14:paraId="5F700C8F" w14:textId="77777777" w:rsidR="00A339C9" w:rsidRDefault="00A339C9" w:rsidP="00B7124E">
      <w:pPr>
        <w:pStyle w:val="ParaNum"/>
        <w:widowControl/>
        <w:numPr>
          <w:ilvl w:val="0"/>
          <w:numId w:val="31"/>
        </w:numPr>
      </w:pPr>
      <w:r>
        <w:t xml:space="preserve">The agreement must bear the </w:t>
      </w:r>
      <w:r w:rsidRPr="003A2BC1">
        <w:t xml:space="preserve">signature of the person </w:t>
      </w:r>
      <w:r>
        <w:t>who will receive the ad</w:t>
      </w:r>
      <w:r w:rsidR="0067496E">
        <w:t xml:space="preserve">vertisement/telemarketing calls or </w:t>
      </w:r>
      <w:r>
        <w:t>texts;</w:t>
      </w:r>
    </w:p>
    <w:p w14:paraId="689EBF49" w14:textId="77777777" w:rsidR="00A339C9" w:rsidRDefault="00A339C9" w:rsidP="00B7124E">
      <w:pPr>
        <w:pStyle w:val="ParaNum"/>
        <w:widowControl/>
        <w:numPr>
          <w:ilvl w:val="0"/>
          <w:numId w:val="31"/>
        </w:numPr>
      </w:pPr>
      <w:r>
        <w:t xml:space="preserve">The language of the agreement must clearly authorize the caller </w:t>
      </w:r>
      <w:r w:rsidRPr="003A2BC1">
        <w:t xml:space="preserve">to deliver or cause to be delivered </w:t>
      </w:r>
      <w:r>
        <w:t>ad</w:t>
      </w:r>
      <w:r w:rsidR="00C331CA">
        <w:t>vertisement</w:t>
      </w:r>
      <w:r>
        <w:t>s</w:t>
      </w:r>
      <w:r w:rsidRPr="003A2BC1">
        <w:t xml:space="preserve"> or telemarketing messages </w:t>
      </w:r>
      <w:r>
        <w:t>via au</w:t>
      </w:r>
      <w:r w:rsidR="00784054">
        <w:t>todialed calls, texts, or robocalls</w:t>
      </w:r>
      <w:r>
        <w:t>;</w:t>
      </w:r>
    </w:p>
    <w:p w14:paraId="2D1D3E98" w14:textId="77777777" w:rsidR="00A339C9" w:rsidRDefault="00A339C9" w:rsidP="00B7124E">
      <w:pPr>
        <w:pStyle w:val="ParaNum"/>
        <w:widowControl/>
        <w:numPr>
          <w:ilvl w:val="0"/>
          <w:numId w:val="31"/>
        </w:numPr>
      </w:pPr>
      <w:r>
        <w:t>T</w:t>
      </w:r>
      <w:r w:rsidRPr="003A2BC1">
        <w:t>he</w:t>
      </w:r>
      <w:r>
        <w:t xml:space="preserve"> written agreement must include the</w:t>
      </w:r>
      <w:r w:rsidRPr="003A2BC1">
        <w:t xml:space="preserve"> telephone number to which the </w:t>
      </w:r>
      <w:r>
        <w:t>person signing</w:t>
      </w:r>
      <w:r w:rsidRPr="003A2BC1">
        <w:t xml:space="preserve"> authorizes advertisements or telemar</w:t>
      </w:r>
      <w:r>
        <w:t>keting messages to be delivered; and</w:t>
      </w:r>
    </w:p>
    <w:p w14:paraId="55F71659" w14:textId="77777777" w:rsidR="00A339C9" w:rsidRDefault="00A339C9" w:rsidP="00B7124E">
      <w:pPr>
        <w:pStyle w:val="ParaNum"/>
        <w:widowControl/>
        <w:numPr>
          <w:ilvl w:val="0"/>
          <w:numId w:val="31"/>
        </w:numPr>
      </w:pPr>
      <w:r>
        <w:t>The written agreement must include a</w:t>
      </w:r>
      <w:r w:rsidRPr="00FD599A">
        <w:t xml:space="preserve"> clear and conspicuous disclosure informing the person signing that</w:t>
      </w:r>
      <w:r>
        <w:t>:</w:t>
      </w:r>
    </w:p>
    <w:p w14:paraId="032138F7" w14:textId="77777777" w:rsidR="00A339C9" w:rsidRDefault="00A339C9" w:rsidP="00B7124E">
      <w:pPr>
        <w:pStyle w:val="ParaNum"/>
        <w:widowControl/>
        <w:numPr>
          <w:ilvl w:val="1"/>
          <w:numId w:val="31"/>
        </w:numPr>
      </w:pPr>
      <w:r w:rsidRPr="00FD599A">
        <w:t xml:space="preserve">By executing the agreement, </w:t>
      </w:r>
      <w:r>
        <w:t>the</w:t>
      </w:r>
      <w:r w:rsidRPr="00FD599A">
        <w:t xml:space="preserve"> person </w:t>
      </w:r>
      <w:r>
        <w:t xml:space="preserve">signing </w:t>
      </w:r>
      <w:r w:rsidRPr="00FD599A">
        <w:t xml:space="preserve">authorizes the </w:t>
      </w:r>
      <w:r>
        <w:t>caller</w:t>
      </w:r>
      <w:r w:rsidRPr="00FD599A">
        <w:t xml:space="preserve"> to </w:t>
      </w:r>
      <w:r w:rsidRPr="003A2BC1">
        <w:t xml:space="preserve">deliver or cause to be delivered </w:t>
      </w:r>
      <w:r>
        <w:t>ads</w:t>
      </w:r>
      <w:r w:rsidRPr="003A2BC1">
        <w:t xml:space="preserve"> or telemarketing messages </w:t>
      </w:r>
      <w:r>
        <w:t>via au</w:t>
      </w:r>
      <w:r w:rsidR="00784054">
        <w:t>todialed calls, texts, or robocalls</w:t>
      </w:r>
      <w:r w:rsidRPr="00FD599A">
        <w:t>; and</w:t>
      </w:r>
    </w:p>
    <w:p w14:paraId="2C930D09" w14:textId="77777777" w:rsidR="00A339C9" w:rsidRDefault="00A339C9" w:rsidP="00B7124E">
      <w:pPr>
        <w:pStyle w:val="ParaNum"/>
        <w:widowControl/>
        <w:numPr>
          <w:ilvl w:val="1"/>
          <w:numId w:val="31"/>
        </w:numPr>
      </w:pPr>
      <w:r w:rsidRPr="0082658D">
        <w:t>The person signing the agreement is</w:t>
      </w:r>
      <w:r w:rsidRPr="00C27364">
        <w:t xml:space="preserve"> </w:t>
      </w:r>
      <w:r w:rsidRPr="0082658D">
        <w:t>not required to sign the agreement (directly or indirectly), or agree to enter into such an agreement as a condition of purchasing any property, goods, or services</w:t>
      </w:r>
      <w:r w:rsidRPr="00C27364">
        <w:t>.</w:t>
      </w:r>
    </w:p>
    <w:p w14:paraId="2067D9AE" w14:textId="77777777" w:rsidR="0094321E" w:rsidRPr="00193330" w:rsidRDefault="0094321E" w:rsidP="00B7124E">
      <w:pPr>
        <w:pStyle w:val="ParaNum"/>
        <w:widowControl/>
        <w:numPr>
          <w:ilvl w:val="0"/>
          <w:numId w:val="0"/>
        </w:numPr>
      </w:pPr>
      <w:r w:rsidRPr="00ED6970">
        <w:rPr>
          <w:kern w:val="2"/>
          <w:szCs w:val="22"/>
        </w:rPr>
        <w:t xml:space="preserve">Callers contending that they have </w:t>
      </w:r>
      <w:r>
        <w:rPr>
          <w:kern w:val="2"/>
          <w:szCs w:val="22"/>
        </w:rPr>
        <w:t>fulfilled the</w:t>
      </w:r>
      <w:r w:rsidRPr="00ED6970">
        <w:rPr>
          <w:kern w:val="2"/>
          <w:szCs w:val="22"/>
        </w:rPr>
        <w:t xml:space="preserve"> prior express </w:t>
      </w:r>
      <w:r>
        <w:rPr>
          <w:kern w:val="2"/>
          <w:szCs w:val="22"/>
        </w:rPr>
        <w:t xml:space="preserve">written </w:t>
      </w:r>
      <w:r w:rsidRPr="00ED6970">
        <w:rPr>
          <w:kern w:val="2"/>
          <w:szCs w:val="22"/>
        </w:rPr>
        <w:t xml:space="preserve">consent </w:t>
      </w:r>
      <w:r>
        <w:rPr>
          <w:kern w:val="2"/>
          <w:szCs w:val="22"/>
        </w:rPr>
        <w:t>requirement</w:t>
      </w:r>
      <w:r w:rsidRPr="00ED6970">
        <w:rPr>
          <w:kern w:val="2"/>
          <w:szCs w:val="22"/>
        </w:rPr>
        <w:t xml:space="preserve"> </w:t>
      </w:r>
      <w:r>
        <w:rPr>
          <w:kern w:val="2"/>
          <w:szCs w:val="22"/>
        </w:rPr>
        <w:t>“bear the burden of demonstrating that a clear and conspicuous disclosure was provided and that unambiguous consent was obtained</w:t>
      </w:r>
      <w:r w:rsidRPr="00ED6970">
        <w:rPr>
          <w:kern w:val="2"/>
          <w:szCs w:val="22"/>
        </w:rPr>
        <w:t>.</w:t>
      </w:r>
      <w:bookmarkStart w:id="6" w:name="_Ref416102756"/>
      <w:r>
        <w:rPr>
          <w:kern w:val="2"/>
          <w:szCs w:val="22"/>
        </w:rPr>
        <w:t>”</w:t>
      </w:r>
      <w:r w:rsidRPr="00ED6970">
        <w:rPr>
          <w:kern w:val="2"/>
          <w:szCs w:val="22"/>
          <w:vertAlign w:val="superscript"/>
        </w:rPr>
        <w:footnoteReference w:id="20"/>
      </w:r>
      <w:bookmarkEnd w:id="6"/>
    </w:p>
    <w:p w14:paraId="4B16B6A9" w14:textId="05419CFF" w:rsidR="00193330" w:rsidRPr="00193330" w:rsidRDefault="0067496E" w:rsidP="00B7124E">
      <w:pPr>
        <w:pStyle w:val="ParaNum"/>
        <w:widowControl/>
        <w:tabs>
          <w:tab w:val="clear" w:pos="1080"/>
          <w:tab w:val="num" w:pos="1440"/>
        </w:tabs>
      </w:pPr>
      <w:r>
        <w:rPr>
          <w:kern w:val="2"/>
          <w:szCs w:val="22"/>
        </w:rPr>
        <w:t xml:space="preserve">Both </w:t>
      </w:r>
      <w:r w:rsidR="00D05BD2">
        <w:rPr>
          <w:kern w:val="2"/>
          <w:szCs w:val="22"/>
        </w:rPr>
        <w:t xml:space="preserve">FNB’s </w:t>
      </w:r>
      <w:r>
        <w:rPr>
          <w:kern w:val="2"/>
          <w:szCs w:val="22"/>
        </w:rPr>
        <w:t>Online Banking Services Agreement and Apple Pay Terms and Conditions document</w:t>
      </w:r>
      <w:r w:rsidR="00523C0D">
        <w:rPr>
          <w:kern w:val="2"/>
          <w:szCs w:val="22"/>
        </w:rPr>
        <w:t xml:space="preserve"> </w:t>
      </w:r>
      <w:r w:rsidR="00A339C9">
        <w:t>violate</w:t>
      </w:r>
      <w:r w:rsidR="00052093">
        <w:t xml:space="preserve"> </w:t>
      </w:r>
      <w:r>
        <w:t>FCC regulations</w:t>
      </w:r>
      <w:r w:rsidR="00A339C9">
        <w:t>.</w:t>
      </w:r>
      <w:r w:rsidR="00656D04">
        <w:t xml:space="preserve">  </w:t>
      </w:r>
      <w:r w:rsidR="00D10C7B" w:rsidRPr="00D10C7B">
        <w:t xml:space="preserve">As stated above, </w:t>
      </w:r>
      <w:r w:rsidR="00784054">
        <w:t>it is unlawful to require</w:t>
      </w:r>
      <w:r w:rsidR="00D10C7B" w:rsidRPr="00D10C7B">
        <w:t xml:space="preserve"> a consumer to consent to receive autodialed or prerecorded telemarketing or advertising calls</w:t>
      </w:r>
      <w:r w:rsidR="00784054">
        <w:t>/texts</w:t>
      </w:r>
      <w:r w:rsidR="00D10C7B" w:rsidRPr="00D10C7B">
        <w:t xml:space="preserve"> as a condition of purchasing any property, good, or service.  Contrary to these rules, First National Bank </w:t>
      </w:r>
      <w:r w:rsidR="00D10C7B" w:rsidRPr="000607E7">
        <w:t>requires</w:t>
      </w:r>
      <w:r w:rsidR="00D10C7B" w:rsidRPr="00D10C7B">
        <w:t xml:space="preserve"> consumers to consent to receive mark</w:t>
      </w:r>
      <w:r w:rsidR="00D10C7B">
        <w:t>eting texts in order to use FNB’</w:t>
      </w:r>
      <w:r w:rsidR="00D10C7B" w:rsidRPr="00D10C7B">
        <w:t xml:space="preserve">s online banking service or enroll in Apple Pay.  </w:t>
      </w:r>
      <w:r w:rsidR="00547BA3">
        <w:t xml:space="preserve">In fact, in the case of Apple Pay specifically, First National Bank threatens that it may </w:t>
      </w:r>
      <w:r w:rsidR="00547BA3" w:rsidRPr="00D10C7B">
        <w:rPr>
          <w:szCs w:val="22"/>
        </w:rPr>
        <w:t>“</w:t>
      </w:r>
      <w:r w:rsidR="00547BA3" w:rsidRPr="00D10C7B">
        <w:rPr>
          <w:kern w:val="2"/>
          <w:szCs w:val="22"/>
        </w:rPr>
        <w:t xml:space="preserve">suspend or cancel </w:t>
      </w:r>
      <w:r w:rsidR="00547BA3">
        <w:rPr>
          <w:kern w:val="2"/>
          <w:szCs w:val="22"/>
        </w:rPr>
        <w:t>[the consumer’s]</w:t>
      </w:r>
      <w:r w:rsidR="00547BA3" w:rsidRPr="00D10C7B">
        <w:rPr>
          <w:kern w:val="2"/>
          <w:szCs w:val="22"/>
        </w:rPr>
        <w:t xml:space="preserve"> ability to use </w:t>
      </w:r>
      <w:r w:rsidR="00547BA3">
        <w:rPr>
          <w:kern w:val="2"/>
          <w:szCs w:val="22"/>
        </w:rPr>
        <w:t>[his or her]</w:t>
      </w:r>
      <w:r w:rsidR="00547BA3" w:rsidRPr="00D10C7B">
        <w:rPr>
          <w:kern w:val="2"/>
          <w:szCs w:val="22"/>
        </w:rPr>
        <w:t xml:space="preserve"> Card in Apple Pay</w:t>
      </w:r>
      <w:r w:rsidR="00547BA3" w:rsidRPr="00D10C7B">
        <w:rPr>
          <w:szCs w:val="22"/>
        </w:rPr>
        <w:t>”</w:t>
      </w:r>
      <w:r w:rsidR="00547BA3">
        <w:rPr>
          <w:szCs w:val="22"/>
        </w:rPr>
        <w:t xml:space="preserve"> if consumers </w:t>
      </w:r>
      <w:r w:rsidR="00784054">
        <w:rPr>
          <w:szCs w:val="22"/>
        </w:rPr>
        <w:t>attempt</w:t>
      </w:r>
      <w:r w:rsidR="00547BA3">
        <w:rPr>
          <w:szCs w:val="22"/>
        </w:rPr>
        <w:t xml:space="preserve"> to revoke consent.</w:t>
      </w:r>
      <w:r w:rsidR="00547BA3">
        <w:rPr>
          <w:rStyle w:val="FootnoteReference"/>
          <w:szCs w:val="22"/>
        </w:rPr>
        <w:footnoteReference w:id="21"/>
      </w:r>
      <w:r w:rsidR="00547BA3" w:rsidRPr="00D10C7B">
        <w:t xml:space="preserve"> </w:t>
      </w:r>
      <w:r w:rsidR="00547BA3">
        <w:t xml:space="preserve"> </w:t>
      </w:r>
      <w:r w:rsidR="00D10C7B" w:rsidRPr="00D10C7B">
        <w:t xml:space="preserve">In addition, </w:t>
      </w:r>
      <w:r w:rsidR="000A0447">
        <w:t xml:space="preserve">as stated above, </w:t>
      </w:r>
      <w:r w:rsidR="00D10C7B" w:rsidRPr="00D10C7B">
        <w:t xml:space="preserve">FCC rules require </w:t>
      </w:r>
      <w:r w:rsidR="00547BA3">
        <w:t>that all persons seeking the prior express written consent of consumers to receive telemarketing or advertising messages</w:t>
      </w:r>
      <w:r w:rsidR="00D10C7B" w:rsidRPr="00D10C7B">
        <w:t xml:space="preserve"> </w:t>
      </w:r>
      <w:r w:rsidR="00547BA3">
        <w:t>must</w:t>
      </w:r>
      <w:r w:rsidR="00D10C7B" w:rsidRPr="00D10C7B">
        <w:t xml:space="preserve"> </w:t>
      </w:r>
      <w:r w:rsidR="00547BA3">
        <w:t>provide a clear and conspicuous disclosure</w:t>
      </w:r>
      <w:r w:rsidR="00D10C7B" w:rsidRPr="00D10C7B">
        <w:t xml:space="preserve"> </w:t>
      </w:r>
      <w:r w:rsidR="00547BA3">
        <w:t>informing the consumer of his or her</w:t>
      </w:r>
      <w:r w:rsidR="00D10C7B" w:rsidRPr="00D10C7B">
        <w:t xml:space="preserve"> right to refuse to give such consent.</w:t>
      </w:r>
      <w:r w:rsidR="000A0447">
        <w:rPr>
          <w:rStyle w:val="FootnoteReference"/>
        </w:rPr>
        <w:footnoteReference w:id="22"/>
      </w:r>
      <w:r w:rsidR="00D10C7B" w:rsidRPr="00D10C7B">
        <w:t xml:space="preserve">  </w:t>
      </w:r>
      <w:r w:rsidR="00547BA3">
        <w:t xml:space="preserve">Neither agreement contains any such disclosure.  </w:t>
      </w:r>
    </w:p>
    <w:p w14:paraId="416A520D" w14:textId="02854AFC" w:rsidR="00EF115F" w:rsidRPr="00BE70CC" w:rsidRDefault="00EF115F" w:rsidP="00B7124E">
      <w:pPr>
        <w:pStyle w:val="ParaNum"/>
        <w:widowControl/>
        <w:numPr>
          <w:ilvl w:val="0"/>
          <w:numId w:val="1"/>
        </w:numPr>
        <w:tabs>
          <w:tab w:val="clear" w:pos="1080"/>
          <w:tab w:val="num" w:pos="1440"/>
        </w:tabs>
      </w:pPr>
      <w:r w:rsidRPr="008B1BBC">
        <w:rPr>
          <w:kern w:val="2"/>
          <w:szCs w:val="22"/>
        </w:rPr>
        <w:t xml:space="preserve">Based on the record developed in this case, the Enforcement Bureau, acting through its delegated authority, finds that </w:t>
      </w:r>
      <w:r w:rsidR="00BB6AB1">
        <w:rPr>
          <w:kern w:val="2"/>
          <w:szCs w:val="22"/>
        </w:rPr>
        <w:t>First National Bank</w:t>
      </w:r>
      <w:r>
        <w:rPr>
          <w:kern w:val="2"/>
          <w:szCs w:val="22"/>
        </w:rPr>
        <w:t xml:space="preserve"> </w:t>
      </w:r>
      <w:r w:rsidR="003D4DDD">
        <w:rPr>
          <w:kern w:val="2"/>
          <w:szCs w:val="22"/>
        </w:rPr>
        <w:t xml:space="preserve">(1) </w:t>
      </w:r>
      <w:r w:rsidR="00D00D1D">
        <w:rPr>
          <w:kern w:val="2"/>
          <w:szCs w:val="22"/>
        </w:rPr>
        <w:t xml:space="preserve">unlawfully </w:t>
      </w:r>
      <w:r w:rsidR="00D00D1D">
        <w:t>conditioned consumers’ ability to use First National Bank’s services on their agreement to receive marketing text messages</w:t>
      </w:r>
      <w:r w:rsidR="003D4DDD">
        <w:t>, and (2</w:t>
      </w:r>
      <w:r w:rsidR="00D00D1D">
        <w:t>)</w:t>
      </w:r>
      <w:r w:rsidR="00D00D1D" w:rsidRPr="00D00D1D">
        <w:t xml:space="preserve"> </w:t>
      </w:r>
      <w:r w:rsidR="00D00D1D">
        <w:t>illegally circumvented the FCC’s disclosure requirements for prior express written consent</w:t>
      </w:r>
      <w:r w:rsidR="003D4DDD">
        <w:t>,</w:t>
      </w:r>
      <w:r w:rsidRPr="008B1BBC">
        <w:rPr>
          <w:kern w:val="2"/>
          <w:szCs w:val="22"/>
        </w:rPr>
        <w:t xml:space="preserve"> in violation of </w:t>
      </w:r>
      <w:r w:rsidR="0070290C">
        <w:rPr>
          <w:kern w:val="2"/>
          <w:szCs w:val="22"/>
        </w:rPr>
        <w:t xml:space="preserve">FCC </w:t>
      </w:r>
      <w:r w:rsidR="0043148D">
        <w:rPr>
          <w:kern w:val="2"/>
          <w:szCs w:val="22"/>
        </w:rPr>
        <w:t>order</w:t>
      </w:r>
      <w:r w:rsidR="0070290C">
        <w:rPr>
          <w:kern w:val="2"/>
          <w:szCs w:val="22"/>
        </w:rPr>
        <w:t>s</w:t>
      </w:r>
      <w:r w:rsidR="00A178B5">
        <w:rPr>
          <w:rStyle w:val="FootnoteReference"/>
          <w:kern w:val="2"/>
          <w:szCs w:val="22"/>
        </w:rPr>
        <w:footnoteReference w:id="23"/>
      </w:r>
      <w:r w:rsidR="0070290C">
        <w:rPr>
          <w:kern w:val="2"/>
          <w:szCs w:val="22"/>
        </w:rPr>
        <w:t xml:space="preserve"> and the requirements </w:t>
      </w:r>
      <w:r w:rsidR="00A178B5">
        <w:rPr>
          <w:kern w:val="2"/>
          <w:szCs w:val="22"/>
        </w:rPr>
        <w:t>set forth</w:t>
      </w:r>
      <w:r w:rsidR="0070290C">
        <w:rPr>
          <w:kern w:val="2"/>
          <w:szCs w:val="22"/>
        </w:rPr>
        <w:t xml:space="preserve"> in </w:t>
      </w:r>
      <w:r w:rsidRPr="008B1BBC">
        <w:rPr>
          <w:kern w:val="2"/>
          <w:szCs w:val="22"/>
        </w:rPr>
        <w:t xml:space="preserve">Section </w:t>
      </w:r>
      <w:r w:rsidRPr="008B1BBC">
        <w:rPr>
          <w:kern w:val="20"/>
          <w:szCs w:val="22"/>
        </w:rPr>
        <w:t>64.1200</w:t>
      </w:r>
      <w:r w:rsidR="0070290C">
        <w:rPr>
          <w:kern w:val="20"/>
          <w:szCs w:val="22"/>
        </w:rPr>
        <w:t>(f)(8)</w:t>
      </w:r>
      <w:r w:rsidRPr="008B1BBC">
        <w:rPr>
          <w:kern w:val="20"/>
          <w:szCs w:val="22"/>
        </w:rPr>
        <w:t xml:space="preserve"> of the</w:t>
      </w:r>
      <w:r w:rsidRPr="008B1BBC">
        <w:rPr>
          <w:kern w:val="2"/>
          <w:szCs w:val="22"/>
        </w:rPr>
        <w:t xml:space="preserve"> </w:t>
      </w:r>
      <w:r>
        <w:rPr>
          <w:kern w:val="2"/>
          <w:szCs w:val="22"/>
        </w:rPr>
        <w:t>R</w:t>
      </w:r>
      <w:r w:rsidRPr="008B1BBC">
        <w:rPr>
          <w:kern w:val="2"/>
          <w:szCs w:val="22"/>
        </w:rPr>
        <w:t>ules.</w:t>
      </w:r>
      <w:bookmarkStart w:id="7" w:name="_Ref425518963"/>
      <w:r>
        <w:rPr>
          <w:rStyle w:val="FootnoteReference"/>
          <w:kern w:val="2"/>
          <w:szCs w:val="22"/>
        </w:rPr>
        <w:footnoteReference w:id="24"/>
      </w:r>
      <w:bookmarkEnd w:id="7"/>
    </w:p>
    <w:p w14:paraId="26DAA2B4" w14:textId="77777777" w:rsidR="004D3233" w:rsidRPr="00BE70CC" w:rsidRDefault="002E3DE5" w:rsidP="00B7124E">
      <w:pPr>
        <w:pStyle w:val="Heading1"/>
        <w:widowControl/>
      </w:pPr>
      <w:bookmarkStart w:id="8" w:name="SR;716"/>
      <w:bookmarkStart w:id="9" w:name="SR;717"/>
      <w:bookmarkEnd w:id="8"/>
      <w:bookmarkEnd w:id="9"/>
      <w:r w:rsidRPr="00BE70CC">
        <w:t>Op</w:t>
      </w:r>
      <w:r w:rsidR="0096675D" w:rsidRPr="00BE70CC">
        <w:t>portunity</w:t>
      </w:r>
      <w:r w:rsidRPr="00BE70CC">
        <w:t xml:space="preserve"> to </w:t>
      </w:r>
      <w:r w:rsidR="004D3233" w:rsidRPr="00BE70CC">
        <w:t>respond to this citation</w:t>
      </w:r>
    </w:p>
    <w:p w14:paraId="2CA08F09" w14:textId="77777777" w:rsidR="00886C3A" w:rsidRPr="00BE70CC" w:rsidRDefault="00BB6AB1" w:rsidP="00B7124E">
      <w:pPr>
        <w:pStyle w:val="ParaNum"/>
        <w:widowControl/>
        <w:tabs>
          <w:tab w:val="clear" w:pos="1080"/>
          <w:tab w:val="num" w:pos="1440"/>
        </w:tabs>
        <w:rPr>
          <w:kern w:val="2"/>
        </w:rPr>
      </w:pPr>
      <w:r>
        <w:t>First National Bank</w:t>
      </w:r>
      <w:r w:rsidR="00886C3A" w:rsidRPr="00BE70CC">
        <w:t xml:space="preserve"> </w:t>
      </w:r>
      <w:r w:rsidR="00886C3A" w:rsidRPr="00BE70CC">
        <w:rPr>
          <w:kern w:val="2"/>
          <w:szCs w:val="22"/>
        </w:rPr>
        <w:t xml:space="preserve">may respond to this Citation within </w:t>
      </w:r>
      <w:r w:rsidR="00F60448">
        <w:rPr>
          <w:kern w:val="2"/>
          <w:szCs w:val="22"/>
        </w:rPr>
        <w:t>thirty (</w:t>
      </w:r>
      <w:r w:rsidR="00886C3A" w:rsidRPr="00BE70CC">
        <w:rPr>
          <w:kern w:val="2"/>
          <w:szCs w:val="22"/>
        </w:rPr>
        <w:t>30</w:t>
      </w:r>
      <w:r w:rsidR="00F60448">
        <w:rPr>
          <w:kern w:val="2"/>
          <w:szCs w:val="22"/>
        </w:rPr>
        <w:t>)</w:t>
      </w:r>
      <w:r w:rsidR="00886C3A" w:rsidRPr="00BE70CC">
        <w:rPr>
          <w:kern w:val="2"/>
          <w:szCs w:val="22"/>
        </w:rPr>
        <w:t xml:space="preserve"> calendar days from the </w:t>
      </w:r>
      <w:r w:rsidR="00B122C3" w:rsidRPr="00BE70CC">
        <w:rPr>
          <w:kern w:val="2"/>
          <w:szCs w:val="22"/>
        </w:rPr>
        <w:t xml:space="preserve">release date of this Citation by any of the following methods:  </w:t>
      </w:r>
      <w:r w:rsidR="00886C3A" w:rsidRPr="00BE70CC">
        <w:rPr>
          <w:kern w:val="2"/>
          <w:szCs w:val="22"/>
        </w:rPr>
        <w:t xml:space="preserve">(1) </w:t>
      </w:r>
      <w:r w:rsidR="00B122C3" w:rsidRPr="00BE70CC">
        <w:rPr>
          <w:kern w:val="2"/>
          <w:szCs w:val="22"/>
        </w:rPr>
        <w:t xml:space="preserve">a </w:t>
      </w:r>
      <w:r w:rsidR="00886C3A" w:rsidRPr="00BE70CC">
        <w:rPr>
          <w:kern w:val="2"/>
          <w:szCs w:val="22"/>
        </w:rPr>
        <w:t xml:space="preserve">written statement, (2) a teleconference interview, or (3) a personal interview at the Commission Office nearest to </w:t>
      </w:r>
      <w:r>
        <w:t>First National Bank</w:t>
      </w:r>
      <w:r w:rsidR="00F22E6D" w:rsidRPr="00BE70CC">
        <w:rPr>
          <w:kern w:val="2"/>
          <w:szCs w:val="22"/>
        </w:rPr>
        <w:t>’s place of business</w:t>
      </w:r>
      <w:r w:rsidR="0090510E">
        <w:rPr>
          <w:kern w:val="2"/>
          <w:szCs w:val="22"/>
        </w:rPr>
        <w:t>.  T</w:t>
      </w:r>
      <w:r w:rsidR="00F22E6D" w:rsidRPr="00BE70CC">
        <w:rPr>
          <w:kern w:val="2"/>
          <w:szCs w:val="22"/>
        </w:rPr>
        <w:t xml:space="preserve">he Commission Office nearest </w:t>
      </w:r>
      <w:r>
        <w:t>First National Bank</w:t>
      </w:r>
      <w:r w:rsidR="00F22E6D" w:rsidRPr="00BE70CC">
        <w:t xml:space="preserve"> </w:t>
      </w:r>
      <w:r w:rsidR="00F50F55">
        <w:rPr>
          <w:kern w:val="2"/>
          <w:szCs w:val="22"/>
        </w:rPr>
        <w:t xml:space="preserve">is </w:t>
      </w:r>
      <w:r>
        <w:rPr>
          <w:kern w:val="2"/>
          <w:szCs w:val="22"/>
        </w:rPr>
        <w:t xml:space="preserve">FCC Headquarters, </w:t>
      </w:r>
      <w:r w:rsidR="00F50F55">
        <w:rPr>
          <w:kern w:val="2"/>
          <w:szCs w:val="22"/>
        </w:rPr>
        <w:t xml:space="preserve">located in </w:t>
      </w:r>
      <w:r>
        <w:rPr>
          <w:kern w:val="2"/>
          <w:szCs w:val="22"/>
        </w:rPr>
        <w:t>Washington</w:t>
      </w:r>
      <w:r w:rsidR="00327FD2">
        <w:rPr>
          <w:kern w:val="2"/>
          <w:szCs w:val="22"/>
        </w:rPr>
        <w:t xml:space="preserve">, </w:t>
      </w:r>
      <w:r>
        <w:rPr>
          <w:kern w:val="2"/>
          <w:szCs w:val="22"/>
        </w:rPr>
        <w:t>DC</w:t>
      </w:r>
      <w:r w:rsidR="00F22E6D" w:rsidRPr="00BE70CC">
        <w:rPr>
          <w:kern w:val="2"/>
          <w:szCs w:val="22"/>
        </w:rPr>
        <w:t>.</w:t>
      </w:r>
      <w:r w:rsidR="00886C3A" w:rsidRPr="00BE70CC">
        <w:rPr>
          <w:kern w:val="2"/>
          <w:szCs w:val="22"/>
        </w:rPr>
        <w:t xml:space="preserve">     </w:t>
      </w:r>
    </w:p>
    <w:p w14:paraId="269C163A" w14:textId="743FFBB3" w:rsidR="00886C3A" w:rsidRPr="00BE70CC" w:rsidRDefault="00886C3A" w:rsidP="00B7124E">
      <w:pPr>
        <w:pStyle w:val="ParaNum"/>
        <w:widowControl/>
        <w:numPr>
          <w:ilvl w:val="0"/>
          <w:numId w:val="10"/>
        </w:numPr>
        <w:tabs>
          <w:tab w:val="clear" w:pos="1080"/>
        </w:tabs>
        <w:spacing w:after="220"/>
        <w:rPr>
          <w:kern w:val="2"/>
          <w:szCs w:val="22"/>
        </w:rPr>
      </w:pPr>
      <w:r w:rsidRPr="00BE70CC">
        <w:rPr>
          <w:kern w:val="2"/>
          <w:szCs w:val="22"/>
        </w:rPr>
        <w:t xml:space="preserve">If </w:t>
      </w:r>
      <w:r w:rsidR="00BB6AB1">
        <w:t>First National Bank</w:t>
      </w:r>
      <w:r w:rsidRPr="00BE70CC">
        <w:t xml:space="preserve"> </w:t>
      </w:r>
      <w:r w:rsidR="00F22E6D" w:rsidRPr="00BE70CC">
        <w:rPr>
          <w:kern w:val="2"/>
          <w:szCs w:val="22"/>
        </w:rPr>
        <w:t>requests</w:t>
      </w:r>
      <w:r w:rsidRPr="00BE70CC">
        <w:rPr>
          <w:kern w:val="2"/>
          <w:szCs w:val="22"/>
        </w:rPr>
        <w:t xml:space="preserve"> a teleconference or pers</w:t>
      </w:r>
      <w:r w:rsidR="00F22E6D" w:rsidRPr="00BE70CC">
        <w:rPr>
          <w:kern w:val="2"/>
          <w:szCs w:val="22"/>
        </w:rPr>
        <w:t xml:space="preserve">onal interview, </w:t>
      </w:r>
      <w:r w:rsidRPr="00BE70CC">
        <w:rPr>
          <w:kern w:val="2"/>
          <w:szCs w:val="22"/>
        </w:rPr>
        <w:t xml:space="preserve">contact </w:t>
      </w:r>
      <w:r w:rsidR="00EF115F">
        <w:rPr>
          <w:kern w:val="2"/>
          <w:szCs w:val="22"/>
        </w:rPr>
        <w:t>Kristi Thompson</w:t>
      </w:r>
      <w:r w:rsidRPr="00BE70CC">
        <w:rPr>
          <w:kern w:val="2"/>
          <w:szCs w:val="22"/>
        </w:rPr>
        <w:t xml:space="preserve"> </w:t>
      </w:r>
      <w:r w:rsidRPr="00BE70CC">
        <w:rPr>
          <w:noProof/>
          <w:color w:val="000000"/>
          <w:szCs w:val="22"/>
        </w:rPr>
        <w:t>at (</w:t>
      </w:r>
      <w:r w:rsidR="00EF115F">
        <w:rPr>
          <w:noProof/>
          <w:color w:val="000000"/>
          <w:szCs w:val="22"/>
        </w:rPr>
        <w:t>202</w:t>
      </w:r>
      <w:r w:rsidRPr="00BE70CC">
        <w:rPr>
          <w:noProof/>
          <w:color w:val="000000"/>
          <w:szCs w:val="22"/>
        </w:rPr>
        <w:t xml:space="preserve">) </w:t>
      </w:r>
      <w:r w:rsidR="00EF115F">
        <w:rPr>
          <w:noProof/>
          <w:color w:val="000000"/>
          <w:szCs w:val="22"/>
        </w:rPr>
        <w:t>418</w:t>
      </w:r>
      <w:r w:rsidRPr="00BE70CC">
        <w:rPr>
          <w:noProof/>
          <w:color w:val="000000"/>
          <w:szCs w:val="22"/>
        </w:rPr>
        <w:t>-</w:t>
      </w:r>
      <w:r w:rsidR="00EF115F">
        <w:rPr>
          <w:noProof/>
          <w:color w:val="000000"/>
          <w:szCs w:val="22"/>
        </w:rPr>
        <w:t>1318</w:t>
      </w:r>
      <w:r w:rsidRPr="00BE70CC">
        <w:rPr>
          <w:kern w:val="2"/>
          <w:szCs w:val="22"/>
        </w:rPr>
        <w:t xml:space="preserve">.  </w:t>
      </w:r>
      <w:r w:rsidR="00F22E6D" w:rsidRPr="00BE70CC">
        <w:rPr>
          <w:kern w:val="2"/>
          <w:szCs w:val="22"/>
        </w:rPr>
        <w:t xml:space="preserve">We </w:t>
      </w:r>
      <w:r w:rsidRPr="00BE70CC">
        <w:rPr>
          <w:kern w:val="2"/>
          <w:szCs w:val="22"/>
        </w:rPr>
        <w:t xml:space="preserve">note that such teleconference or interview must take place within 30 calendar days of the </w:t>
      </w:r>
      <w:r w:rsidR="00C22E21" w:rsidRPr="00BE70CC">
        <w:rPr>
          <w:kern w:val="2"/>
          <w:szCs w:val="22"/>
        </w:rPr>
        <w:t xml:space="preserve">release </w:t>
      </w:r>
      <w:r w:rsidRPr="00BE70CC">
        <w:rPr>
          <w:kern w:val="2"/>
          <w:szCs w:val="22"/>
        </w:rPr>
        <w:t xml:space="preserve">date of this Citation.  If </w:t>
      </w:r>
      <w:r w:rsidR="00BB6AB1">
        <w:t>First National Bank</w:t>
      </w:r>
      <w:r w:rsidRPr="00BE70CC">
        <w:t xml:space="preserve"> </w:t>
      </w:r>
      <w:r w:rsidRPr="00BE70CC">
        <w:rPr>
          <w:kern w:val="2"/>
          <w:szCs w:val="22"/>
        </w:rPr>
        <w:t xml:space="preserve">prefers to submit a written response with supporting documentation, it must send the response within </w:t>
      </w:r>
      <w:r w:rsidR="00F60448">
        <w:rPr>
          <w:kern w:val="2"/>
          <w:szCs w:val="22"/>
        </w:rPr>
        <w:t>thirty (</w:t>
      </w:r>
      <w:r w:rsidRPr="00BE70CC">
        <w:rPr>
          <w:kern w:val="2"/>
          <w:szCs w:val="22"/>
        </w:rPr>
        <w:t>30</w:t>
      </w:r>
      <w:r w:rsidR="00F60448">
        <w:rPr>
          <w:kern w:val="2"/>
          <w:szCs w:val="22"/>
        </w:rPr>
        <w:t>)</w:t>
      </w:r>
      <w:r w:rsidRPr="00BE70CC">
        <w:rPr>
          <w:kern w:val="2"/>
          <w:szCs w:val="22"/>
        </w:rPr>
        <w:t xml:space="preserve"> calendar days of the </w:t>
      </w:r>
      <w:r w:rsidR="00C22E21" w:rsidRPr="00BE70CC">
        <w:rPr>
          <w:kern w:val="2"/>
          <w:szCs w:val="22"/>
        </w:rPr>
        <w:t xml:space="preserve">release </w:t>
      </w:r>
      <w:r w:rsidRPr="00BE70CC">
        <w:rPr>
          <w:kern w:val="2"/>
          <w:szCs w:val="22"/>
        </w:rPr>
        <w:t xml:space="preserve">date of this Citation to the contact and address provided in </w:t>
      </w:r>
      <w:r w:rsidR="00674D36">
        <w:rPr>
          <w:kern w:val="2"/>
          <w:szCs w:val="22"/>
        </w:rPr>
        <w:t xml:space="preserve">the </w:t>
      </w:r>
      <w:r w:rsidRPr="00BE70CC">
        <w:rPr>
          <w:kern w:val="2"/>
          <w:szCs w:val="22"/>
        </w:rPr>
        <w:t>paragraph</w:t>
      </w:r>
      <w:r w:rsidR="00D82A8B" w:rsidRPr="00BE70CC">
        <w:rPr>
          <w:kern w:val="2"/>
          <w:szCs w:val="22"/>
        </w:rPr>
        <w:t xml:space="preserve"> </w:t>
      </w:r>
      <w:r w:rsidRPr="00BE70CC">
        <w:rPr>
          <w:kern w:val="2"/>
          <w:szCs w:val="22"/>
        </w:rPr>
        <w:t>below.</w:t>
      </w:r>
    </w:p>
    <w:p w14:paraId="4D0D6D43" w14:textId="77777777" w:rsidR="00886C3A" w:rsidRPr="00BE70CC" w:rsidRDefault="00886C3A" w:rsidP="00B7124E">
      <w:pPr>
        <w:pStyle w:val="ParaNum"/>
        <w:widowControl/>
        <w:numPr>
          <w:ilvl w:val="0"/>
          <w:numId w:val="10"/>
        </w:numPr>
        <w:tabs>
          <w:tab w:val="clear" w:pos="1080"/>
          <w:tab w:val="left" w:pos="1440"/>
        </w:tabs>
        <w:spacing w:after="220"/>
        <w:rPr>
          <w:kern w:val="2"/>
          <w:szCs w:val="22"/>
        </w:rPr>
      </w:pPr>
      <w:r w:rsidRPr="00BE70CC">
        <w:rPr>
          <w:kern w:val="2"/>
          <w:szCs w:val="22"/>
        </w:rPr>
        <w:t>All written communications should be sent to the address below.</w:t>
      </w:r>
    </w:p>
    <w:p w14:paraId="1725740A" w14:textId="77777777" w:rsidR="00EF115F" w:rsidRDefault="00886C3A" w:rsidP="00B7124E">
      <w:pPr>
        <w:widowControl/>
        <w:rPr>
          <w:noProof/>
        </w:rPr>
      </w:pPr>
      <w:r w:rsidRPr="00BE70CC">
        <w:rPr>
          <w:noProof/>
        </w:rPr>
        <w:tab/>
      </w:r>
      <w:r w:rsidRPr="00BE70CC">
        <w:rPr>
          <w:noProof/>
        </w:rPr>
        <w:tab/>
      </w:r>
      <w:r w:rsidRPr="00BE70CC">
        <w:rPr>
          <w:noProof/>
        </w:rPr>
        <w:tab/>
      </w:r>
      <w:r w:rsidR="00EF115F">
        <w:rPr>
          <w:noProof/>
        </w:rPr>
        <w:t>Kristi Thompson</w:t>
      </w:r>
    </w:p>
    <w:p w14:paraId="12E16F2A" w14:textId="77777777" w:rsidR="00EF115F" w:rsidRPr="00BE70CC" w:rsidRDefault="00EF115F" w:rsidP="00B7124E">
      <w:pPr>
        <w:widowControl/>
        <w:ind w:left="1440" w:firstLine="720"/>
        <w:rPr>
          <w:noProof/>
        </w:rPr>
      </w:pPr>
      <w:r>
        <w:rPr>
          <w:noProof/>
        </w:rPr>
        <w:t>Deputy Division Chief, EB-TCD</w:t>
      </w:r>
    </w:p>
    <w:p w14:paraId="6D725554" w14:textId="77777777" w:rsidR="00EF115F" w:rsidRDefault="00EF115F" w:rsidP="00B7124E">
      <w:pPr>
        <w:widowControl/>
        <w:ind w:left="1440" w:firstLine="720"/>
        <w:rPr>
          <w:noProof/>
        </w:rPr>
      </w:pPr>
      <w:r>
        <w:rPr>
          <w:noProof/>
        </w:rPr>
        <w:t>Room 4-C220</w:t>
      </w:r>
    </w:p>
    <w:p w14:paraId="564064C3" w14:textId="77777777" w:rsidR="00EF115F" w:rsidRPr="00BE70CC" w:rsidRDefault="00EF115F" w:rsidP="00B7124E">
      <w:pPr>
        <w:widowControl/>
        <w:ind w:left="1440" w:firstLine="720"/>
        <w:rPr>
          <w:noProof/>
        </w:rPr>
      </w:pPr>
      <w:r w:rsidRPr="00BE70CC">
        <w:t>Federal Communications Commission</w:t>
      </w:r>
    </w:p>
    <w:p w14:paraId="7F666062" w14:textId="77777777" w:rsidR="00EF115F" w:rsidRPr="00BE70CC" w:rsidRDefault="00EF115F" w:rsidP="00B7124E">
      <w:pPr>
        <w:widowControl/>
        <w:ind w:left="1440" w:firstLine="720"/>
      </w:pPr>
      <w:r>
        <w:t>445 12th St SW, Washington DC 20554</w:t>
      </w:r>
    </w:p>
    <w:p w14:paraId="158C7DC0" w14:textId="77777777" w:rsidR="00886C3A" w:rsidRDefault="00EF115F" w:rsidP="00B7124E">
      <w:pPr>
        <w:widowControl/>
        <w:ind w:left="1440" w:firstLine="720"/>
        <w:rPr>
          <w:b/>
          <w:noProof/>
        </w:rPr>
      </w:pPr>
      <w:r w:rsidRPr="00BE70CC">
        <w:rPr>
          <w:b/>
          <w:noProof/>
        </w:rPr>
        <w:t xml:space="preserve">Re: </w:t>
      </w:r>
      <w:r w:rsidR="00A339C9">
        <w:rPr>
          <w:b/>
          <w:noProof/>
        </w:rPr>
        <w:t>EB-TCD-15-00019627</w:t>
      </w:r>
    </w:p>
    <w:p w14:paraId="49C0E2D3" w14:textId="77777777" w:rsidR="00EF115F" w:rsidRPr="00BE70CC" w:rsidRDefault="00EF115F" w:rsidP="00B7124E">
      <w:pPr>
        <w:widowControl/>
        <w:ind w:left="1440" w:firstLine="720"/>
        <w:rPr>
          <w:b/>
          <w:noProof/>
          <w:szCs w:val="22"/>
        </w:rPr>
      </w:pPr>
    </w:p>
    <w:p w14:paraId="07CA9BB6" w14:textId="77777777" w:rsidR="00886C3A" w:rsidRPr="00BE70CC" w:rsidRDefault="00886C3A" w:rsidP="00B7124E">
      <w:pPr>
        <w:pStyle w:val="ParaNum"/>
        <w:widowControl/>
        <w:numPr>
          <w:ilvl w:val="0"/>
          <w:numId w:val="10"/>
        </w:numPr>
        <w:tabs>
          <w:tab w:val="clear" w:pos="1080"/>
          <w:tab w:val="left" w:pos="1440"/>
        </w:tabs>
        <w:spacing w:after="220"/>
        <w:rPr>
          <w:kern w:val="2"/>
          <w:szCs w:val="22"/>
        </w:rPr>
      </w:pPr>
      <w:r w:rsidRPr="00BE70CC">
        <w:rPr>
          <w:kern w:val="2"/>
          <w:szCs w:val="22"/>
        </w:rPr>
        <w:t xml:space="preserve">Upon request, the Commission will make reasonable accommodations for persons with disabilities.  If applicable, </w:t>
      </w:r>
      <w:r w:rsidR="00BB6AB1">
        <w:t>First National Bank</w:t>
      </w:r>
      <w:r w:rsidRPr="00BE70CC">
        <w:t xml:space="preserve"> </w:t>
      </w:r>
      <w:r w:rsidRPr="00BE70CC">
        <w:rPr>
          <w:kern w:val="2"/>
          <w:szCs w:val="22"/>
        </w:rPr>
        <w:t xml:space="preserve">should provide a description of the accommodation required, and include as much detail as possible, and also provide </w:t>
      </w:r>
      <w:r w:rsidR="00C22E21" w:rsidRPr="00BE70CC">
        <w:rPr>
          <w:kern w:val="2"/>
          <w:szCs w:val="22"/>
        </w:rPr>
        <w:t xml:space="preserve">a telephone number and other </w:t>
      </w:r>
      <w:r w:rsidRPr="00BE70CC">
        <w:rPr>
          <w:kern w:val="2"/>
          <w:szCs w:val="22"/>
        </w:rPr>
        <w:t xml:space="preserve">contact information.  </w:t>
      </w:r>
      <w:r w:rsidR="00BB6AB1">
        <w:t>First National Bank</w:t>
      </w:r>
      <w:r w:rsidRPr="00BE70CC">
        <w:t xml:space="preserve"> </w:t>
      </w:r>
      <w:r w:rsidR="00436E88" w:rsidRPr="00BE70CC">
        <w:rPr>
          <w:kern w:val="2"/>
          <w:szCs w:val="22"/>
        </w:rPr>
        <w:t xml:space="preserve">should allow at least five </w:t>
      </w:r>
      <w:r w:rsidRPr="00BE70CC">
        <w:rPr>
          <w:kern w:val="2"/>
          <w:szCs w:val="22"/>
        </w:rPr>
        <w:t xml:space="preserve">business days advance notice; last minute requests will be accepted, but may be impossible to fill.  </w:t>
      </w:r>
      <w:r w:rsidR="00BB6AB1">
        <w:t>First National Bank</w:t>
      </w:r>
      <w:r w:rsidRPr="00BE70CC">
        <w:t xml:space="preserve"> </w:t>
      </w:r>
      <w:r w:rsidRPr="00BE70CC">
        <w:rPr>
          <w:kern w:val="2"/>
          <w:szCs w:val="22"/>
        </w:rPr>
        <w:t>should send an e-mail to fcc504@fcc.gov or call the FCC’s Consumer &amp; Governmental Affairs Bureau:</w:t>
      </w:r>
    </w:p>
    <w:p w14:paraId="02C44D8B" w14:textId="77777777" w:rsidR="00886C3A" w:rsidRPr="00BE70CC" w:rsidRDefault="00886C3A" w:rsidP="00B7124E">
      <w:pPr>
        <w:widowControl/>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14:paraId="3FDF785B" w14:textId="77777777" w:rsidR="00886C3A" w:rsidRPr="00BE70CC" w:rsidRDefault="00886C3A" w:rsidP="00B7124E">
      <w:pPr>
        <w:widowControl/>
        <w:spacing w:after="220"/>
        <w:rPr>
          <w:kern w:val="2"/>
          <w:szCs w:val="22"/>
        </w:rPr>
      </w:pPr>
      <w:r w:rsidRPr="00BE70CC">
        <w:rPr>
          <w:kern w:val="2"/>
          <w:szCs w:val="22"/>
        </w:rPr>
        <w:tab/>
      </w:r>
      <w:r w:rsidRPr="00BE70CC">
        <w:rPr>
          <w:kern w:val="2"/>
          <w:szCs w:val="22"/>
        </w:rPr>
        <w:tab/>
        <w:t>202-418-0530 (voice), 202-418-0432 (tty);</w:t>
      </w:r>
    </w:p>
    <w:p w14:paraId="7B191100" w14:textId="77777777" w:rsidR="00886C3A" w:rsidRPr="00BE70CC" w:rsidRDefault="00886C3A" w:rsidP="00B7124E">
      <w:pPr>
        <w:widowControl/>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202-418-0531 (voice), 202-418-7365 (tty).</w:t>
      </w:r>
      <w:r w:rsidRPr="00BE70CC">
        <w:rPr>
          <w:b/>
          <w:kern w:val="2"/>
          <w:szCs w:val="22"/>
        </w:rPr>
        <w:t xml:space="preserve">  </w:t>
      </w:r>
    </w:p>
    <w:p w14:paraId="0BAE2AF5" w14:textId="77777777" w:rsidR="00886C3A" w:rsidRPr="00BE70CC" w:rsidRDefault="00886C3A" w:rsidP="00B7124E">
      <w:pPr>
        <w:pStyle w:val="ParaNum"/>
        <w:widowControl/>
        <w:numPr>
          <w:ilvl w:val="0"/>
          <w:numId w:val="10"/>
        </w:numPr>
        <w:tabs>
          <w:tab w:val="clear" w:pos="1080"/>
          <w:tab w:val="left" w:pos="1440"/>
        </w:tabs>
        <w:rPr>
          <w:szCs w:val="22"/>
        </w:rPr>
      </w:pPr>
      <w:r w:rsidRPr="00BE70CC">
        <w:rPr>
          <w:kern w:val="2"/>
          <w:szCs w:val="22"/>
        </w:rPr>
        <w:t xml:space="preserve">We advise </w:t>
      </w:r>
      <w:r w:rsidR="00BB6AB1">
        <w:t>First National Bank</w:t>
      </w:r>
      <w:r w:rsidRPr="00BE70CC">
        <w:t xml:space="preserve"> </w:t>
      </w:r>
      <w:r w:rsidRPr="00BE70CC">
        <w:rPr>
          <w:kern w:val="2"/>
          <w:szCs w:val="22"/>
        </w:rPr>
        <w:t>th</w:t>
      </w:r>
      <w:r w:rsidRPr="00BE70CC">
        <w:rPr>
          <w:szCs w:val="22"/>
        </w:rPr>
        <w:t>at it is a violation of Section 1.17 of the Rules</w:t>
      </w:r>
      <w:r w:rsidR="0090510E">
        <w:rPr>
          <w:rStyle w:val="FootnoteReference"/>
          <w:szCs w:val="22"/>
        </w:rPr>
        <w:footnoteReference w:id="25"/>
      </w:r>
      <w:r w:rsidRPr="00BE70CC">
        <w:rPr>
          <w:szCs w:val="22"/>
        </w:rPr>
        <w:t xml:space="preserve"> for any person to make any false or misleading written or oral statement of fact</w:t>
      </w:r>
      <w:r w:rsidR="00BE70CC">
        <w:rPr>
          <w:szCs w:val="22"/>
        </w:rPr>
        <w:t xml:space="preserve"> to the Commission</w:t>
      </w:r>
      <w:r w:rsidRPr="00BE70CC">
        <w:rPr>
          <w:szCs w:val="22"/>
        </w:rPr>
        <w:t>.  Specifically, no person shall:</w:t>
      </w:r>
    </w:p>
    <w:p w14:paraId="33B2B985" w14:textId="77777777" w:rsidR="00886C3A" w:rsidRPr="00BE70CC" w:rsidRDefault="00886C3A" w:rsidP="00B7124E">
      <w:pPr>
        <w:pStyle w:val="ParaNum"/>
        <w:widowControl/>
        <w:numPr>
          <w:ilvl w:val="0"/>
          <w:numId w:val="0"/>
        </w:numPr>
        <w:ind w:left="1440" w:right="720"/>
        <w:rPr>
          <w:kern w:val="2"/>
          <w:szCs w:val="22"/>
        </w:rPr>
      </w:pPr>
      <w:r w:rsidRPr="00BE70CC">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14:paraId="6A83E5DA" w14:textId="77777777" w:rsidR="00886C3A" w:rsidRPr="00BE70CC" w:rsidRDefault="00886C3A" w:rsidP="00B7124E">
      <w:pPr>
        <w:pStyle w:val="ParaNum"/>
        <w:widowControl/>
        <w:numPr>
          <w:ilvl w:val="0"/>
          <w:numId w:val="0"/>
        </w:numPr>
        <w:ind w:left="1440" w:right="720"/>
        <w:rPr>
          <w:kern w:val="2"/>
          <w:szCs w:val="22"/>
        </w:rPr>
      </w:pPr>
      <w:r w:rsidRPr="00BE70CC">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00AD2A83" w:rsidRPr="00AD2A83">
        <w:rPr>
          <w:rStyle w:val="FootnoteReference"/>
          <w:kern w:val="2"/>
          <w:szCs w:val="22"/>
        </w:rPr>
        <w:t xml:space="preserve"> </w:t>
      </w:r>
      <w:r w:rsidR="00AD2A83">
        <w:rPr>
          <w:rStyle w:val="FootnoteReference"/>
          <w:kern w:val="2"/>
          <w:szCs w:val="22"/>
        </w:rPr>
        <w:footnoteReference w:id="26"/>
      </w:r>
    </w:p>
    <w:p w14:paraId="6115C16C" w14:textId="77777777" w:rsidR="00886C3A" w:rsidRPr="00BE70CC" w:rsidRDefault="00886C3A" w:rsidP="00B7124E">
      <w:pPr>
        <w:pStyle w:val="ParaNum"/>
        <w:widowControl/>
        <w:numPr>
          <w:ilvl w:val="0"/>
          <w:numId w:val="10"/>
        </w:numPr>
        <w:tabs>
          <w:tab w:val="clear" w:pos="1080"/>
          <w:tab w:val="left" w:pos="1440"/>
        </w:tabs>
        <w:rPr>
          <w:kern w:val="2"/>
          <w:szCs w:val="22"/>
        </w:rPr>
      </w:pPr>
      <w:r w:rsidRPr="00BE70CC">
        <w:rPr>
          <w:kern w:val="2"/>
          <w:szCs w:val="22"/>
        </w:rPr>
        <w:t>Further, the knowing and willful making of any false statement, or the concealment of any material fact, in reply to this Citation is punishable by fine or imprisonment</w:t>
      </w:r>
      <w:r w:rsidR="0090510E">
        <w:rPr>
          <w:kern w:val="2"/>
          <w:szCs w:val="22"/>
        </w:rPr>
        <w:t>.</w:t>
      </w:r>
      <w:r w:rsidR="0090510E">
        <w:rPr>
          <w:rStyle w:val="FootnoteReference"/>
          <w:kern w:val="2"/>
          <w:szCs w:val="22"/>
        </w:rPr>
        <w:footnoteReference w:id="27"/>
      </w:r>
    </w:p>
    <w:p w14:paraId="1AAA3549" w14:textId="77777777" w:rsidR="00886C3A" w:rsidRPr="00BE70CC" w:rsidRDefault="00886C3A" w:rsidP="00B7124E">
      <w:pPr>
        <w:pStyle w:val="ParaNum"/>
        <w:widowControl/>
        <w:numPr>
          <w:ilvl w:val="0"/>
          <w:numId w:val="10"/>
        </w:numPr>
        <w:tabs>
          <w:tab w:val="clear" w:pos="1080"/>
          <w:tab w:val="left" w:pos="1440"/>
        </w:tabs>
        <w:rPr>
          <w:kern w:val="2"/>
          <w:szCs w:val="22"/>
        </w:rPr>
      </w:pPr>
      <w:r w:rsidRPr="00BE70CC">
        <w:rPr>
          <w:kern w:val="2"/>
          <w:szCs w:val="22"/>
        </w:rPr>
        <w:t>Violations of Section 1.17 of the Rules or the criminal statute referenced above may result in further legal action, including monetary forfeitures pursuant to Section 503 of the</w:t>
      </w:r>
      <w:r w:rsidR="003C4AD3">
        <w:rPr>
          <w:kern w:val="2"/>
          <w:szCs w:val="22"/>
        </w:rPr>
        <w:t xml:space="preserve"> </w:t>
      </w:r>
      <w:r w:rsidRPr="00BE70CC">
        <w:rPr>
          <w:kern w:val="2"/>
          <w:szCs w:val="22"/>
        </w:rPr>
        <w:t>Act.</w:t>
      </w:r>
    </w:p>
    <w:p w14:paraId="0ECAFE53" w14:textId="77777777" w:rsidR="004D3233" w:rsidRPr="00BE70CC" w:rsidRDefault="00886C3A" w:rsidP="00B7124E">
      <w:pPr>
        <w:pStyle w:val="ParaNum"/>
        <w:widowControl/>
        <w:numPr>
          <w:ilvl w:val="0"/>
          <w:numId w:val="10"/>
        </w:numPr>
        <w:tabs>
          <w:tab w:val="clear" w:pos="1080"/>
          <w:tab w:val="left" w:pos="1440"/>
        </w:tabs>
        <w:rPr>
          <w:kern w:val="2"/>
          <w:szCs w:val="22"/>
        </w:rPr>
      </w:pPr>
      <w:r w:rsidRPr="00BE70CC">
        <w:rPr>
          <w:kern w:val="2"/>
          <w:szCs w:val="22"/>
        </w:rPr>
        <w:t xml:space="preserve">Finally, we warn </w:t>
      </w:r>
      <w:r w:rsidR="00BB6AB1">
        <w:t>First National Bank</w:t>
      </w:r>
      <w:r w:rsidRPr="00BE70CC">
        <w:t xml:space="preserve"> </w:t>
      </w:r>
      <w:r w:rsidRPr="00BE70CC">
        <w:rPr>
          <w:kern w:val="2"/>
          <w:szCs w:val="22"/>
        </w:rPr>
        <w:t xml:space="preserve">that, under the </w:t>
      </w:r>
      <w:r w:rsidR="00436E88" w:rsidRPr="00BE70CC">
        <w:rPr>
          <w:kern w:val="2"/>
          <w:szCs w:val="22"/>
        </w:rPr>
        <w:t>Privacy Act of 1974</w:t>
      </w:r>
      <w:r w:rsidR="003C4AD3">
        <w:rPr>
          <w:kern w:val="2"/>
          <w:szCs w:val="22"/>
        </w:rPr>
        <w:t>,</w:t>
      </w:r>
      <w:r w:rsidR="003C4AD3">
        <w:rPr>
          <w:rStyle w:val="FootnoteReference"/>
          <w:kern w:val="2"/>
          <w:szCs w:val="22"/>
        </w:rPr>
        <w:footnoteReference w:id="28"/>
      </w:r>
      <w:r w:rsidR="00436E88" w:rsidRPr="00BE70CC">
        <w:rPr>
          <w:kern w:val="2"/>
          <w:szCs w:val="22"/>
        </w:rPr>
        <w:t xml:space="preserve"> </w:t>
      </w:r>
      <w:r w:rsidRPr="00BE70CC">
        <w:rPr>
          <w:kern w:val="2"/>
          <w:szCs w:val="22"/>
        </w:rPr>
        <w:t xml:space="preserve">Commission staff will use all relevant material information before it, including information disclosed </w:t>
      </w:r>
      <w:r w:rsidR="00BE70CC">
        <w:rPr>
          <w:kern w:val="2"/>
          <w:szCs w:val="22"/>
        </w:rPr>
        <w:t>in</w:t>
      </w:r>
      <w:r w:rsidRPr="00BE70CC">
        <w:rPr>
          <w:kern w:val="2"/>
          <w:szCs w:val="22"/>
        </w:rPr>
        <w:t xml:space="preserve"> interviews or written statements, to determine what, if any, enforcement action is required to ensure </w:t>
      </w:r>
      <w:r w:rsidR="00BB6AB1">
        <w:t>First National Bank</w:t>
      </w:r>
      <w:r w:rsidRPr="00BE70CC">
        <w:rPr>
          <w:kern w:val="2"/>
          <w:szCs w:val="22"/>
        </w:rPr>
        <w:t xml:space="preserve">’s compliance with the Act and </w:t>
      </w:r>
      <w:r w:rsidR="003C4AD3">
        <w:rPr>
          <w:kern w:val="2"/>
          <w:szCs w:val="22"/>
        </w:rPr>
        <w:t>R</w:t>
      </w:r>
      <w:r w:rsidRPr="00BE70CC">
        <w:rPr>
          <w:kern w:val="2"/>
          <w:szCs w:val="22"/>
        </w:rPr>
        <w:t>ules.</w:t>
      </w:r>
    </w:p>
    <w:p w14:paraId="1C8B7099" w14:textId="77777777" w:rsidR="003343CA" w:rsidRPr="00BE70CC" w:rsidRDefault="004D3233" w:rsidP="00B7124E">
      <w:pPr>
        <w:pStyle w:val="Heading1"/>
        <w:widowControl/>
      </w:pPr>
      <w:r w:rsidRPr="00BE70CC">
        <w:t>future violations</w:t>
      </w:r>
    </w:p>
    <w:p w14:paraId="2C6B6B22" w14:textId="798FFC54" w:rsidR="00501A74" w:rsidRDefault="00EF115F" w:rsidP="00501A74">
      <w:pPr>
        <w:pStyle w:val="ParaNum"/>
        <w:widowControl/>
        <w:numPr>
          <w:ilvl w:val="0"/>
          <w:numId w:val="29"/>
        </w:numPr>
        <w:tabs>
          <w:tab w:val="clear" w:pos="1080"/>
        </w:tabs>
      </w:pPr>
      <w:r w:rsidRPr="00BE70CC">
        <w:t>If, a</w:t>
      </w:r>
      <w:r>
        <w:t xml:space="preserve">fter receipt of this Citation, </w:t>
      </w:r>
      <w:r w:rsidR="00BB6AB1">
        <w:t>First National Bank</w:t>
      </w:r>
      <w:r>
        <w:t xml:space="preserve"> </w:t>
      </w:r>
      <w:r w:rsidRPr="00BE70CC">
        <w:t xml:space="preserve">again violates </w:t>
      </w:r>
      <w:r w:rsidR="00A178B5">
        <w:rPr>
          <w:kern w:val="2"/>
          <w:szCs w:val="22"/>
        </w:rPr>
        <w:t xml:space="preserve">FCC regulations, the notice requirements set forth in </w:t>
      </w:r>
      <w:r w:rsidR="00A178B5" w:rsidRPr="008B1BBC">
        <w:rPr>
          <w:kern w:val="2"/>
          <w:szCs w:val="22"/>
        </w:rPr>
        <w:t xml:space="preserve">Section </w:t>
      </w:r>
      <w:r w:rsidR="00A178B5" w:rsidRPr="008B1BBC">
        <w:rPr>
          <w:kern w:val="20"/>
          <w:szCs w:val="22"/>
        </w:rPr>
        <w:t>64.1200</w:t>
      </w:r>
      <w:r w:rsidR="00A178B5">
        <w:rPr>
          <w:kern w:val="20"/>
          <w:szCs w:val="22"/>
        </w:rPr>
        <w:t>(f)(8)</w:t>
      </w:r>
      <w:r w:rsidR="00A178B5" w:rsidRPr="008B1BBC">
        <w:rPr>
          <w:kern w:val="20"/>
          <w:szCs w:val="22"/>
        </w:rPr>
        <w:t xml:space="preserve"> of the</w:t>
      </w:r>
      <w:r w:rsidR="00A178B5" w:rsidRPr="008B1BBC">
        <w:rPr>
          <w:kern w:val="2"/>
          <w:szCs w:val="22"/>
        </w:rPr>
        <w:t xml:space="preserve"> </w:t>
      </w:r>
      <w:r w:rsidR="00A178B5">
        <w:rPr>
          <w:kern w:val="2"/>
          <w:szCs w:val="22"/>
        </w:rPr>
        <w:t>R</w:t>
      </w:r>
      <w:r w:rsidR="00A178B5" w:rsidRPr="008B1BBC">
        <w:rPr>
          <w:kern w:val="2"/>
          <w:szCs w:val="22"/>
        </w:rPr>
        <w:t>ules</w:t>
      </w:r>
      <w:r w:rsidR="00A178B5">
        <w:rPr>
          <w:kern w:val="2"/>
          <w:szCs w:val="22"/>
        </w:rPr>
        <w:t>, or makes any telemarketing or advertising calls</w:t>
      </w:r>
      <w:r w:rsidR="00501A74">
        <w:rPr>
          <w:kern w:val="2"/>
          <w:szCs w:val="22"/>
        </w:rPr>
        <w:t xml:space="preserve"> or texts</w:t>
      </w:r>
      <w:r w:rsidR="00A178B5">
        <w:rPr>
          <w:kern w:val="2"/>
          <w:szCs w:val="22"/>
        </w:rPr>
        <w:t xml:space="preserve"> in violation o</w:t>
      </w:r>
      <w:r w:rsidR="00A178B5" w:rsidRPr="00A178B5">
        <w:rPr>
          <w:kern w:val="2"/>
          <w:szCs w:val="22"/>
        </w:rPr>
        <w:t xml:space="preserve">f </w:t>
      </w:r>
      <w:r w:rsidRPr="00A178B5">
        <w:rPr>
          <w:kern w:val="2"/>
          <w:szCs w:val="22"/>
        </w:rPr>
        <w:t>Section 227 of the Act or Section 64.1200 of the Rules</w:t>
      </w:r>
      <w:r w:rsidRPr="00BE70CC">
        <w:t>,</w:t>
      </w:r>
      <w:r w:rsidR="00A178B5">
        <w:rPr>
          <w:rStyle w:val="FootnoteReference"/>
        </w:rPr>
        <w:footnoteReference w:id="29"/>
      </w:r>
      <w:r w:rsidRPr="00BE70CC">
        <w:t xml:space="preserve"> the Commission may impose sanctions for each such violation.  For example, the Commission may impose monetary forfeitures.  </w:t>
      </w:r>
      <w:r w:rsidRPr="003C4AD3">
        <w:rPr>
          <w:kern w:val="2"/>
          <w:szCs w:val="22"/>
        </w:rPr>
        <w:t>The Commission may impose forfeitures not to exceed $</w:t>
      </w:r>
      <w:r>
        <w:rPr>
          <w:kern w:val="2"/>
          <w:szCs w:val="22"/>
        </w:rPr>
        <w:t>16</w:t>
      </w:r>
      <w:r w:rsidRPr="003C4AD3">
        <w:rPr>
          <w:kern w:val="2"/>
          <w:szCs w:val="22"/>
        </w:rPr>
        <w:t xml:space="preserve">,000 </w:t>
      </w:r>
      <w:r w:rsidRPr="003C4AD3">
        <w:rPr>
          <w:szCs w:val="22"/>
        </w:rPr>
        <w:t>for each such violation or each day of a continuing violation, and up to $</w:t>
      </w:r>
      <w:r>
        <w:rPr>
          <w:szCs w:val="22"/>
        </w:rPr>
        <w:t>112</w:t>
      </w:r>
      <w:r w:rsidRPr="003C4AD3">
        <w:rPr>
          <w:szCs w:val="22"/>
        </w:rPr>
        <w:t>,</w:t>
      </w:r>
      <w:r>
        <w:rPr>
          <w:szCs w:val="22"/>
        </w:rPr>
        <w:t>500</w:t>
      </w:r>
      <w:r w:rsidRPr="003C4AD3">
        <w:rPr>
          <w:szCs w:val="22"/>
        </w:rPr>
        <w:t xml:space="preserve"> for any single act or failure to act.</w:t>
      </w:r>
      <w:r w:rsidRPr="00BE70CC">
        <w:rPr>
          <w:szCs w:val="22"/>
          <w:vertAlign w:val="superscript"/>
        </w:rPr>
        <w:footnoteReference w:id="30"/>
      </w:r>
      <w:r w:rsidR="003B01C0">
        <w:rPr>
          <w:szCs w:val="22"/>
        </w:rPr>
        <w:t xml:space="preserve">  </w:t>
      </w:r>
      <w:r w:rsidR="003B01C0" w:rsidRPr="00501A74">
        <w:rPr>
          <w:szCs w:val="22"/>
        </w:rPr>
        <w:t xml:space="preserve"> </w:t>
      </w:r>
      <w:r w:rsidRPr="00BE70CC">
        <w:t xml:space="preserve"> </w:t>
      </w:r>
    </w:p>
    <w:p w14:paraId="2FF9D11E" w14:textId="77777777" w:rsidR="005B4CEA" w:rsidRPr="00BE70CC" w:rsidRDefault="00EF115F" w:rsidP="00501A74">
      <w:pPr>
        <w:pStyle w:val="ParaNum"/>
        <w:widowControl/>
        <w:numPr>
          <w:ilvl w:val="0"/>
          <w:numId w:val="29"/>
        </w:numPr>
        <w:tabs>
          <w:tab w:val="clear" w:pos="1080"/>
        </w:tabs>
      </w:pPr>
      <w:r w:rsidRPr="00BE70CC">
        <w:t xml:space="preserve">The Commission may further adjust </w:t>
      </w:r>
      <w:r w:rsidR="00501A74">
        <w:t>any</w:t>
      </w:r>
      <w:r w:rsidRPr="00BE70CC">
        <w:t xml:space="preserve"> forfeiture</w:t>
      </w:r>
      <w:r w:rsidR="00501A74">
        <w:t>(s) to</w:t>
      </w:r>
      <w:r w:rsidRPr="00BE70CC">
        <w:t xml:space="preserve"> reflect enumerated statutory factors, </w:t>
      </w:r>
      <w:r w:rsidRPr="00501A74">
        <w:rPr>
          <w:szCs w:val="22"/>
        </w:rPr>
        <w:t>which include the nature, circumstances, extent, and gravity of the violation, and with respect to the violator, the degree of culpability, any history of prior offenses, ability to pay, and other such matters as justice may require</w:t>
      </w:r>
      <w:r w:rsidRPr="00BE70CC">
        <w:t>.</w:t>
      </w:r>
      <w:r w:rsidRPr="00BE70CC">
        <w:rPr>
          <w:rStyle w:val="FootnoteReference"/>
          <w:szCs w:val="22"/>
        </w:rPr>
        <w:footnoteReference w:id="31"/>
      </w:r>
      <w:r w:rsidRPr="00BE70CC">
        <w:t xml:space="preserve">  </w:t>
      </w:r>
      <w:r w:rsidR="001F6449">
        <w:t>The Enforcement Bureau will continue to monitor the Company’s practices with respect to federal law and FCC rules.  If the Enforcement Bureau finds additional or continued violations after the issuance of this Citation</w:t>
      </w:r>
      <w:r w:rsidRPr="00BE70CC">
        <w:t>, the Commission may assess forfeitures on both the conduct that led to this Citation and the conduct following it.</w:t>
      </w:r>
      <w:r w:rsidRPr="00BE70CC">
        <w:rPr>
          <w:rStyle w:val="FootnoteReference"/>
          <w:szCs w:val="22"/>
        </w:rPr>
        <w:footnoteReference w:id="32"/>
      </w:r>
    </w:p>
    <w:p w14:paraId="1DD8369B" w14:textId="77777777" w:rsidR="003343CA" w:rsidRPr="00BE70CC" w:rsidRDefault="003343CA" w:rsidP="00B7124E">
      <w:pPr>
        <w:pStyle w:val="Heading1"/>
        <w:widowControl/>
      </w:pPr>
      <w:r w:rsidRPr="00BE70CC">
        <w:t>ORDERING CLAUSES</w:t>
      </w:r>
    </w:p>
    <w:p w14:paraId="0AB38F76" w14:textId="77777777" w:rsidR="0077073F" w:rsidRPr="00BE70CC" w:rsidRDefault="003343CA" w:rsidP="00B7124E">
      <w:pPr>
        <w:pStyle w:val="ParaNum"/>
        <w:widowControl/>
        <w:tabs>
          <w:tab w:val="clear" w:pos="1080"/>
          <w:tab w:val="num" w:pos="1440"/>
        </w:tabs>
        <w:rPr>
          <w:kern w:val="2"/>
          <w:szCs w:val="22"/>
        </w:rPr>
      </w:pPr>
      <w:r w:rsidRPr="00BE70CC">
        <w:t xml:space="preserve">Accordingly, </w:t>
      </w:r>
      <w:r w:rsidRPr="00BE70CC">
        <w:rPr>
          <w:b/>
        </w:rPr>
        <w:t>IT IS ORDERED</w:t>
      </w:r>
      <w:r w:rsidRPr="00BE70CC">
        <w:t xml:space="preserve"> </w:t>
      </w:r>
      <w:r w:rsidR="009A01CF" w:rsidRPr="00BE70CC">
        <w:t>that</w:t>
      </w:r>
      <w:r w:rsidRPr="00BE70CC">
        <w:t xml:space="preserve">, pursuant to </w:t>
      </w:r>
      <w:r w:rsidR="00C93DFC" w:rsidRPr="00BE70CC">
        <w:rPr>
          <w:noProof/>
          <w:color w:val="000000"/>
          <w:szCs w:val="22"/>
        </w:rPr>
        <w:t xml:space="preserve">Sections 4(i) and 4(j) of the </w:t>
      </w:r>
      <w:r w:rsidR="003C4AD3">
        <w:rPr>
          <w:noProof/>
          <w:color w:val="000000"/>
          <w:szCs w:val="22"/>
        </w:rPr>
        <w:t>Act</w:t>
      </w:r>
      <w:r w:rsidR="00C93DFC" w:rsidRPr="00BE70CC">
        <w:rPr>
          <w:noProof/>
          <w:color w:val="000000"/>
          <w:szCs w:val="22"/>
        </w:rPr>
        <w:t>,</w:t>
      </w:r>
      <w:r w:rsidR="00E87690" w:rsidRPr="00BE70CC">
        <w:rPr>
          <w:rStyle w:val="FootnoteReference"/>
          <w:noProof/>
          <w:color w:val="000000"/>
          <w:szCs w:val="22"/>
        </w:rPr>
        <w:footnoteReference w:id="33"/>
      </w:r>
      <w:r w:rsidR="00C93DFC" w:rsidRPr="00BE70CC">
        <w:rPr>
          <w:noProof/>
          <w:color w:val="000000"/>
          <w:szCs w:val="22"/>
        </w:rPr>
        <w:t xml:space="preserve"> </w:t>
      </w:r>
      <w:r w:rsidR="00B7124E" w:rsidRPr="00D65B08">
        <w:t>F.N.B. Corporation</w:t>
      </w:r>
      <w:r w:rsidR="00C93DFC" w:rsidRPr="00BE70CC">
        <w:t xml:space="preserve"> </w:t>
      </w:r>
      <w:r w:rsidR="00EF115F" w:rsidRPr="00BE70CC">
        <w:rPr>
          <w:noProof/>
          <w:color w:val="000000"/>
          <w:szCs w:val="22"/>
        </w:rPr>
        <w:t xml:space="preserve">must </w:t>
      </w:r>
      <w:r w:rsidR="003B01C0">
        <w:rPr>
          <w:noProof/>
          <w:color w:val="000000"/>
          <w:szCs w:val="22"/>
        </w:rPr>
        <w:t>take immediate steps to comply with FCC regulations</w:t>
      </w:r>
      <w:r w:rsidR="00EF115F">
        <w:t>,</w:t>
      </w:r>
      <w:r w:rsidR="003B01C0">
        <w:t xml:space="preserve"> </w:t>
      </w:r>
      <w:r w:rsidR="00EF115F" w:rsidRPr="008B1BBC">
        <w:rPr>
          <w:kern w:val="2"/>
          <w:szCs w:val="22"/>
        </w:rPr>
        <w:t>Section 227 of the Act</w:t>
      </w:r>
      <w:r w:rsidR="003B01C0">
        <w:rPr>
          <w:kern w:val="2"/>
          <w:szCs w:val="22"/>
        </w:rPr>
        <w:t>,</w:t>
      </w:r>
      <w:r w:rsidR="00EF115F" w:rsidRPr="008B1BBC">
        <w:rPr>
          <w:kern w:val="2"/>
          <w:szCs w:val="22"/>
        </w:rPr>
        <w:t xml:space="preserve"> and Section 64.1200</w:t>
      </w:r>
      <w:r w:rsidR="00EF115F">
        <w:rPr>
          <w:kern w:val="2"/>
          <w:szCs w:val="22"/>
        </w:rPr>
        <w:t xml:space="preserve"> of the Rules.</w:t>
      </w:r>
      <w:r w:rsidR="00EF115F">
        <w:rPr>
          <w:rStyle w:val="FootnoteReference"/>
        </w:rPr>
        <w:footnoteReference w:id="34"/>
      </w:r>
      <w:r w:rsidR="00C93DFC" w:rsidRPr="00BE70CC">
        <w:rPr>
          <w:noProof/>
          <w:color w:val="000000"/>
          <w:szCs w:val="22"/>
        </w:rPr>
        <w:t xml:space="preserve">  </w:t>
      </w:r>
    </w:p>
    <w:p w14:paraId="2593495B" w14:textId="77777777" w:rsidR="003343CA" w:rsidRPr="00BE70CC" w:rsidRDefault="003343CA" w:rsidP="00B7124E">
      <w:pPr>
        <w:pStyle w:val="ParaNum"/>
        <w:keepNext/>
        <w:widowControl/>
      </w:pPr>
      <w:r w:rsidRPr="00BE70CC">
        <w:rPr>
          <w:b/>
        </w:rPr>
        <w:t>IT IS FURTHER ORDERED</w:t>
      </w:r>
      <w:r w:rsidRPr="00BE70CC">
        <w:t xml:space="preserve"> that a copy of this </w:t>
      </w:r>
      <w:r w:rsidR="009E53A5" w:rsidRPr="00BE70CC">
        <w:t>Citation and</w:t>
      </w:r>
      <w:r w:rsidRPr="00BE70CC">
        <w:t xml:space="preserve"> Order </w:t>
      </w:r>
      <w:r w:rsidR="00EE36BE" w:rsidRPr="00380C37">
        <w:t xml:space="preserve">shall be sent by first class mail and certified mail, return receipt requested, to </w:t>
      </w:r>
      <w:r w:rsidR="00B7124E">
        <w:t>F.N.B. Corporation</w:t>
      </w:r>
      <w:r w:rsidR="00EE36BE" w:rsidRPr="00380C37">
        <w:t xml:space="preserve">, </w:t>
      </w:r>
      <w:r w:rsidR="00D470EF" w:rsidRPr="00D470EF">
        <w:t>One North Shore Center, Pittsburgh, PA, 15212</w:t>
      </w:r>
      <w:r w:rsidR="00EE36BE" w:rsidRPr="00380C37">
        <w:t>.</w:t>
      </w:r>
    </w:p>
    <w:p w14:paraId="1E71F756" w14:textId="77777777" w:rsidR="003343CA" w:rsidRPr="00BE70CC" w:rsidRDefault="003343CA" w:rsidP="00B7124E">
      <w:pPr>
        <w:keepNext/>
        <w:widowControl/>
      </w:pPr>
    </w:p>
    <w:p w14:paraId="152A5877" w14:textId="77777777" w:rsidR="003343CA" w:rsidRPr="00BE70CC" w:rsidRDefault="003343CA" w:rsidP="00B7124E">
      <w:pPr>
        <w:keepNext/>
        <w:widowControl/>
      </w:pPr>
    </w:p>
    <w:p w14:paraId="149085E1" w14:textId="77777777" w:rsidR="003343CA" w:rsidRPr="00BE70CC" w:rsidRDefault="003343CA" w:rsidP="00B7124E">
      <w:pPr>
        <w:keepNext/>
        <w:widowControl/>
        <w:ind w:left="3600" w:firstLine="720"/>
      </w:pPr>
      <w:r w:rsidRPr="00BE70CC">
        <w:t>FEDERAL COMMUNICATIONS COMMISSION</w:t>
      </w:r>
    </w:p>
    <w:p w14:paraId="076CC882" w14:textId="77777777" w:rsidR="003343CA" w:rsidRPr="00BE70CC" w:rsidRDefault="003343CA" w:rsidP="00B7124E">
      <w:pPr>
        <w:keepNext/>
        <w:widowControl/>
        <w:ind w:left="4410"/>
      </w:pPr>
    </w:p>
    <w:p w14:paraId="7354C671" w14:textId="77777777" w:rsidR="003343CA" w:rsidRPr="00BE70CC" w:rsidRDefault="003343CA" w:rsidP="00B7124E">
      <w:pPr>
        <w:keepNext/>
        <w:widowControl/>
        <w:ind w:left="4410"/>
      </w:pPr>
    </w:p>
    <w:p w14:paraId="164DC521" w14:textId="77777777" w:rsidR="003343CA" w:rsidRPr="00BE70CC" w:rsidRDefault="003343CA" w:rsidP="00B7124E">
      <w:pPr>
        <w:keepNext/>
        <w:widowControl/>
        <w:ind w:left="4410"/>
      </w:pPr>
    </w:p>
    <w:p w14:paraId="40904201" w14:textId="77777777" w:rsidR="003343CA" w:rsidRPr="00BE70CC" w:rsidRDefault="003343CA" w:rsidP="00B7124E">
      <w:pPr>
        <w:keepNext/>
        <w:widowControl/>
        <w:ind w:left="4410"/>
      </w:pPr>
    </w:p>
    <w:p w14:paraId="7940F0FC" w14:textId="35E520EF" w:rsidR="00EF115F" w:rsidRDefault="003163A9" w:rsidP="00B7124E">
      <w:pPr>
        <w:keepNext/>
        <w:widowControl/>
        <w:tabs>
          <w:tab w:val="left" w:pos="0"/>
          <w:tab w:val="left" w:pos="720"/>
          <w:tab w:val="left" w:pos="1440"/>
        </w:tabs>
        <w:suppressAutoHyphens/>
        <w:spacing w:line="240" w:lineRule="atLeast"/>
        <w:ind w:left="4320"/>
        <w:rPr>
          <w:szCs w:val="22"/>
        </w:rPr>
      </w:pPr>
      <w:r>
        <w:rPr>
          <w:szCs w:val="22"/>
        </w:rPr>
        <w:t>Travis LeBlanc</w:t>
      </w:r>
    </w:p>
    <w:p w14:paraId="50B11E52" w14:textId="713695E5" w:rsidR="003163A9" w:rsidRPr="006D73F2" w:rsidRDefault="003163A9" w:rsidP="00B7124E">
      <w:pPr>
        <w:keepNext/>
        <w:widowControl/>
        <w:tabs>
          <w:tab w:val="left" w:pos="0"/>
          <w:tab w:val="left" w:pos="720"/>
          <w:tab w:val="left" w:pos="1440"/>
        </w:tabs>
        <w:suppressAutoHyphens/>
        <w:spacing w:line="240" w:lineRule="atLeast"/>
        <w:ind w:left="4320"/>
        <w:rPr>
          <w:szCs w:val="22"/>
        </w:rPr>
      </w:pPr>
      <w:r>
        <w:rPr>
          <w:szCs w:val="22"/>
        </w:rPr>
        <w:t>Chief</w:t>
      </w:r>
    </w:p>
    <w:p w14:paraId="4B69DE78" w14:textId="673E00C9" w:rsidR="00EF115F" w:rsidRPr="00A73EEB" w:rsidRDefault="003163A9" w:rsidP="00B7124E">
      <w:pPr>
        <w:widowControl/>
        <w:ind w:left="4320"/>
        <w:rPr>
          <w:szCs w:val="22"/>
        </w:rPr>
      </w:pPr>
      <w:r>
        <w:rPr>
          <w:szCs w:val="22"/>
        </w:rPr>
        <w:t>Enforcement Bureau</w:t>
      </w:r>
      <w:r w:rsidR="00EF115F">
        <w:rPr>
          <w:szCs w:val="22"/>
        </w:rPr>
        <w:t xml:space="preserve"> </w:t>
      </w:r>
    </w:p>
    <w:p w14:paraId="3788833A" w14:textId="77777777" w:rsidR="00715666" w:rsidRPr="00F32480" w:rsidRDefault="00715666" w:rsidP="00B7124E">
      <w:pPr>
        <w:widowControl/>
        <w:tabs>
          <w:tab w:val="left" w:pos="0"/>
          <w:tab w:val="left" w:pos="720"/>
          <w:tab w:val="left" w:pos="1440"/>
        </w:tabs>
        <w:suppressAutoHyphens/>
        <w:spacing w:line="240" w:lineRule="atLeast"/>
      </w:pPr>
    </w:p>
    <w:p w14:paraId="0B1F158D" w14:textId="77777777" w:rsidR="003343CA" w:rsidRPr="00F32480" w:rsidRDefault="003343CA" w:rsidP="00B7124E">
      <w:pPr>
        <w:widowControl/>
      </w:pPr>
    </w:p>
    <w:p w14:paraId="428A6EA8" w14:textId="77777777" w:rsidR="00E273E3" w:rsidRDefault="00E273E3" w:rsidP="00B7124E">
      <w:pPr>
        <w:widowControl/>
        <w:spacing w:after="240"/>
        <w:rPr>
          <w:szCs w:val="22"/>
        </w:rPr>
      </w:pPr>
    </w:p>
    <w:sectPr w:rsidR="00E273E3" w:rsidSect="006C2EE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F588E" w14:textId="77777777" w:rsidR="00EE2AEE" w:rsidRDefault="00EE2AEE">
      <w:pPr>
        <w:spacing w:line="20" w:lineRule="exact"/>
      </w:pPr>
    </w:p>
  </w:endnote>
  <w:endnote w:type="continuationSeparator" w:id="0">
    <w:p w14:paraId="413F84CE" w14:textId="77777777" w:rsidR="00EE2AEE" w:rsidRDefault="00EE2AEE">
      <w:r>
        <w:t xml:space="preserve"> </w:t>
      </w:r>
    </w:p>
  </w:endnote>
  <w:endnote w:type="continuationNotice" w:id="1">
    <w:p w14:paraId="131E3559" w14:textId="77777777" w:rsidR="00EE2AEE" w:rsidRDefault="00EE2A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9516B" w14:textId="77777777" w:rsidR="00EE2AEE" w:rsidRDefault="00EE2AEE">
    <w:pPr>
      <w:pStyle w:val="Footer"/>
      <w:framePr w:wrap="around" w:vAnchor="text" w:hAnchor="margin" w:xAlign="center" w:y="1"/>
    </w:pPr>
    <w:r>
      <w:fldChar w:fldCharType="begin"/>
    </w:r>
    <w:r>
      <w:instrText xml:space="preserve">PAGE  </w:instrText>
    </w:r>
    <w:r>
      <w:fldChar w:fldCharType="end"/>
    </w:r>
  </w:p>
  <w:p w14:paraId="56357B51" w14:textId="77777777" w:rsidR="00EE2AEE" w:rsidRDefault="00EE2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1D03" w14:textId="77777777" w:rsidR="00EE2AEE" w:rsidRDefault="00EE2AEE">
    <w:pPr>
      <w:pStyle w:val="Footer"/>
      <w:framePr w:wrap="around" w:vAnchor="text" w:hAnchor="margin" w:xAlign="center" w:y="1"/>
    </w:pPr>
    <w:r>
      <w:fldChar w:fldCharType="begin"/>
    </w:r>
    <w:r>
      <w:instrText xml:space="preserve">PAGE  </w:instrText>
    </w:r>
    <w:r>
      <w:fldChar w:fldCharType="separate"/>
    </w:r>
    <w:r w:rsidR="0082369F">
      <w:rPr>
        <w:noProof/>
      </w:rPr>
      <w:t>2</w:t>
    </w:r>
    <w:r>
      <w:rPr>
        <w:noProof/>
      </w:rPr>
      <w:fldChar w:fldCharType="end"/>
    </w:r>
  </w:p>
  <w:p w14:paraId="5444BA0E" w14:textId="77777777" w:rsidR="00EE2AEE" w:rsidRDefault="00EE2AEE">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DF05D" w14:textId="77777777" w:rsidR="00841042" w:rsidRDefault="00841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30ED6" w14:textId="77777777" w:rsidR="00EE2AEE" w:rsidRDefault="00EE2AEE">
      <w:r>
        <w:separator/>
      </w:r>
    </w:p>
  </w:footnote>
  <w:footnote w:type="continuationSeparator" w:id="0">
    <w:p w14:paraId="02E5CE80" w14:textId="77777777" w:rsidR="00EE2AEE" w:rsidRDefault="00EE2AEE">
      <w:pPr>
        <w:rPr>
          <w:sz w:val="20"/>
        </w:rPr>
      </w:pPr>
      <w:r>
        <w:rPr>
          <w:sz w:val="20"/>
        </w:rPr>
        <w:t xml:space="preserve">(Continued from previous page)  </w:t>
      </w:r>
      <w:r>
        <w:rPr>
          <w:sz w:val="20"/>
        </w:rPr>
        <w:separator/>
      </w:r>
    </w:p>
  </w:footnote>
  <w:footnote w:type="continuationNotice" w:id="1">
    <w:p w14:paraId="5366DB59" w14:textId="77777777" w:rsidR="00EE2AEE" w:rsidRDefault="00EE2AEE">
      <w:pPr>
        <w:rPr>
          <w:sz w:val="20"/>
        </w:rPr>
      </w:pPr>
      <w:r>
        <w:rPr>
          <w:sz w:val="20"/>
        </w:rPr>
        <w:t>(continued….)</w:t>
      </w:r>
    </w:p>
  </w:footnote>
  <w:footnote w:id="2">
    <w:p w14:paraId="0A856C5B" w14:textId="77777777" w:rsidR="00EE2AEE" w:rsidRPr="002D63C3" w:rsidRDefault="00EE2AEE" w:rsidP="003C4AD3">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w:t>
      </w:r>
      <w:r>
        <w:rPr>
          <w:kern w:val="20"/>
        </w:rPr>
        <w:t>.</w:t>
      </w:r>
      <w:r w:rsidRPr="002D63C3">
        <w:rPr>
          <w:kern w:val="20"/>
        </w:rPr>
        <w:t xml:space="preserve"> </w:t>
      </w:r>
      <w:r w:rsidRPr="002D63C3">
        <w:rPr>
          <w:kern w:val="20"/>
          <w:szCs w:val="24"/>
        </w:rPr>
        <w:t>§ 503(b)(5).</w:t>
      </w:r>
      <w:r w:rsidRPr="002D63C3">
        <w:rPr>
          <w:kern w:val="20"/>
        </w:rPr>
        <w:t xml:space="preserve">  </w:t>
      </w:r>
    </w:p>
  </w:footnote>
  <w:footnote w:id="3">
    <w:p w14:paraId="3B9A8952" w14:textId="41A53299" w:rsidR="00EE2AEE" w:rsidRPr="002D63C3" w:rsidRDefault="00EE2AEE" w:rsidP="00EF115F">
      <w:pPr>
        <w:pStyle w:val="FootnoteText"/>
      </w:pPr>
      <w:r w:rsidRPr="002D63C3">
        <w:rPr>
          <w:rStyle w:val="FootnoteReference"/>
        </w:rPr>
        <w:footnoteRef/>
      </w:r>
      <w:r w:rsidRPr="002D63C3">
        <w:t xml:space="preserve"> </w:t>
      </w:r>
      <w:r w:rsidRPr="00800FB3">
        <w:rPr>
          <w:kern w:val="20"/>
        </w:rPr>
        <w:t>47 U.S.C. § 227</w:t>
      </w:r>
      <w:r>
        <w:rPr>
          <w:kern w:val="20"/>
        </w:rPr>
        <w:t>; 47 C.F.R. §§ 64.1200.</w:t>
      </w:r>
      <w:r w:rsidRPr="002D63C3">
        <w:t xml:space="preserve"> </w:t>
      </w:r>
      <w:r w:rsidRPr="008E3AF7">
        <w:t>Section 227 was added to the Communications Act by the Telephone Consumer Protection Act of 1991, Pub. L. No. 102-243, 105 Stat. 2394 (codified at 47 U.S.C. § 227), and is most commonly known as the TCPA. The TCPA and the Commission’s rules restrict a variety of practices that are associated with telephone solicitation and the use of the telephone network to deliver unsolicited advertisements or prerecorded and autodialed telephone calls.</w:t>
      </w:r>
    </w:p>
  </w:footnote>
  <w:footnote w:id="4">
    <w:p w14:paraId="3292D359" w14:textId="77777777" w:rsidR="00EE2AEE" w:rsidRPr="002D63C3" w:rsidRDefault="00EE2AEE" w:rsidP="00EF115F">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w:t>
      </w:r>
      <w:r>
        <w:rPr>
          <w:color w:val="000000"/>
          <w:kern w:val="20"/>
        </w:rPr>
        <w:t xml:space="preserve">, </w:t>
      </w:r>
      <w:r>
        <w:rPr>
          <w:i/>
          <w:color w:val="000000"/>
          <w:kern w:val="20"/>
        </w:rPr>
        <w:t xml:space="preserve">reprinted </w:t>
      </w:r>
      <w:r w:rsidRPr="002B3E99">
        <w:rPr>
          <w:i/>
          <w:color w:val="000000"/>
          <w:kern w:val="20"/>
        </w:rPr>
        <w:t xml:space="preserve">in </w:t>
      </w:r>
      <w:r w:rsidRPr="00AF6152">
        <w:rPr>
          <w:color w:val="000000"/>
          <w:kern w:val="20"/>
        </w:rPr>
        <w:t>1978 U.S.C.C.A.N. 109</w:t>
      </w:r>
      <w:r w:rsidRPr="002D63C3">
        <w:rPr>
          <w:color w:val="000000"/>
          <w:kern w:val="20"/>
        </w:rPr>
        <w:t xml:space="preserve">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5">
    <w:p w14:paraId="45C2DEE3" w14:textId="18C2A482" w:rsidR="00EE2AEE" w:rsidRDefault="00EE2AEE" w:rsidP="00B54435">
      <w:pPr>
        <w:pStyle w:val="FootnoteText"/>
      </w:pPr>
      <w:r>
        <w:rPr>
          <w:rStyle w:val="FootnoteReference"/>
        </w:rPr>
        <w:footnoteRef/>
      </w:r>
      <w:r>
        <w:t xml:space="preserve"> </w:t>
      </w:r>
      <w:r>
        <w:rPr>
          <w:i/>
        </w:rPr>
        <w:t xml:space="preserve">See </w:t>
      </w:r>
      <w:r w:rsidRPr="000A0447">
        <w:rPr>
          <w:kern w:val="2"/>
        </w:rPr>
        <w:t>S.</w:t>
      </w:r>
      <w:r>
        <w:rPr>
          <w:kern w:val="2"/>
        </w:rPr>
        <w:t xml:space="preserve"> </w:t>
      </w:r>
      <w:r w:rsidRPr="000A0447">
        <w:rPr>
          <w:kern w:val="2"/>
        </w:rPr>
        <w:t>Rep. No</w:t>
      </w:r>
      <w:r>
        <w:rPr>
          <w:kern w:val="2"/>
          <w:szCs w:val="22"/>
        </w:rPr>
        <w:t xml:space="preserve">. 102-178, 1st Sess., 102nd Cong., at 2, 4–5 (1991), </w:t>
      </w:r>
      <w:r>
        <w:rPr>
          <w:i/>
          <w:kern w:val="2"/>
          <w:szCs w:val="22"/>
        </w:rPr>
        <w:t>reprinted in</w:t>
      </w:r>
      <w:r w:rsidRPr="000A0447">
        <w:rPr>
          <w:color w:val="000000"/>
          <w:kern w:val="20"/>
        </w:rPr>
        <w:t xml:space="preserve"> 1991 U.S.C.C.A.N. 1968</w:t>
      </w:r>
      <w:r>
        <w:rPr>
          <w:kern w:val="2"/>
          <w:szCs w:val="22"/>
        </w:rPr>
        <w:t xml:space="preserve">.  </w:t>
      </w:r>
    </w:p>
  </w:footnote>
  <w:footnote w:id="6">
    <w:p w14:paraId="5FED9756" w14:textId="77777777" w:rsidR="00EE2AEE" w:rsidRDefault="00EE2AEE" w:rsidP="00B54435">
      <w:pPr>
        <w:pStyle w:val="FootnoteText"/>
      </w:pPr>
      <w:r>
        <w:rPr>
          <w:rStyle w:val="FootnoteReference"/>
        </w:rPr>
        <w:footnoteRef/>
      </w:r>
      <w:r>
        <w:t xml:space="preserve"> Telephone Consumer Protection Act, Pub L. No. 102-243, § 2, 105 Stat. 2394 (1991).  </w:t>
      </w:r>
    </w:p>
  </w:footnote>
  <w:footnote w:id="7">
    <w:p w14:paraId="38D39529" w14:textId="5908CF14" w:rsidR="00EE2AEE" w:rsidRPr="009671A5" w:rsidRDefault="00EE2AEE" w:rsidP="00EF115F">
      <w:pPr>
        <w:pStyle w:val="FootnoteText"/>
      </w:pPr>
      <w:r>
        <w:rPr>
          <w:rStyle w:val="FootnoteReference"/>
        </w:rPr>
        <w:footnoteRef/>
      </w:r>
      <w:r>
        <w:t xml:space="preserve"> </w:t>
      </w:r>
      <w:r>
        <w:rPr>
          <w:i/>
        </w:rPr>
        <w:t xml:space="preserve">See </w:t>
      </w:r>
      <w:r>
        <w:t xml:space="preserve">47 C.F.R. § 64.1200; </w:t>
      </w:r>
      <w:r>
        <w:rPr>
          <w:i/>
        </w:rPr>
        <w:t>s</w:t>
      </w:r>
      <w:r w:rsidRPr="00DC0E0A">
        <w:rPr>
          <w:i/>
        </w:rPr>
        <w:t>ee</w:t>
      </w:r>
      <w:r>
        <w:rPr>
          <w:i/>
        </w:rPr>
        <w:t xml:space="preserve"> also Rules and Regulations Implementing the Telephone Consumer Protection Act of 1991</w:t>
      </w:r>
      <w:r>
        <w:t>, Report and Order, 7 FCC Rcd 8752 (1992).</w:t>
      </w:r>
    </w:p>
  </w:footnote>
  <w:footnote w:id="8">
    <w:p w14:paraId="1765F71F" w14:textId="1733CC21" w:rsidR="00EE2AEE" w:rsidRDefault="00EE2AEE">
      <w:pPr>
        <w:pStyle w:val="FootnoteText"/>
      </w:pPr>
      <w:r>
        <w:rPr>
          <w:rStyle w:val="FootnoteReference"/>
        </w:rPr>
        <w:footnoteRef/>
      </w:r>
      <w:r>
        <w:t xml:space="preserve"> 47 C.F.R. § 64.1200(f)(8).</w:t>
      </w:r>
    </w:p>
  </w:footnote>
  <w:footnote w:id="9">
    <w:p w14:paraId="7AF066CE" w14:textId="6186DD0A" w:rsidR="00EE2AEE" w:rsidRDefault="00EE2AEE">
      <w:pPr>
        <w:pStyle w:val="FootnoteText"/>
      </w:pPr>
      <w:r>
        <w:rPr>
          <w:rStyle w:val="FootnoteReference"/>
        </w:rPr>
        <w:footnoteRef/>
      </w:r>
      <w:r w:rsidR="00D96F48">
        <w:t xml:space="preserve"> </w:t>
      </w:r>
      <w:r w:rsidR="00D96F48">
        <w:rPr>
          <w:i/>
        </w:rPr>
        <w:t>Id</w:t>
      </w:r>
      <w:r>
        <w:t>.</w:t>
      </w:r>
    </w:p>
  </w:footnote>
  <w:footnote w:id="10">
    <w:p w14:paraId="280E1459" w14:textId="5DC06799" w:rsidR="00EE2AEE" w:rsidRPr="0031689E" w:rsidRDefault="00EE2AEE">
      <w:pPr>
        <w:pStyle w:val="FootnoteText"/>
      </w:pPr>
      <w:r>
        <w:rPr>
          <w:rStyle w:val="FootnoteReference"/>
        </w:rPr>
        <w:footnoteRef/>
      </w:r>
      <w:r>
        <w:t xml:space="preserve"> </w:t>
      </w:r>
      <w:r>
        <w:rPr>
          <w:i/>
        </w:rPr>
        <w:t>See</w:t>
      </w:r>
      <w:r>
        <w:t xml:space="preserve"> F.N.B. Corporation, “Fast Facts – April 2015,” </w:t>
      </w:r>
      <w:r>
        <w:rPr>
          <w:i/>
        </w:rPr>
        <w:t xml:space="preserve">available at </w:t>
      </w:r>
      <w:hyperlink r:id="rId1" w:history="1">
        <w:r w:rsidRPr="0031689E">
          <w:rPr>
            <w:rStyle w:val="Hyperlink"/>
          </w:rPr>
          <w:t>https://www.fnb-online.com/~/media/website%20documents/about%20us/05182015_10840115_fast%20facts_quarter%202.ashx</w:t>
        </w:r>
      </w:hyperlink>
      <w:r>
        <w:rPr>
          <w:i/>
        </w:rPr>
        <w:t xml:space="preserve"> </w:t>
      </w:r>
      <w:r>
        <w:t>(last visited Sept. 1, 2015).</w:t>
      </w:r>
    </w:p>
  </w:footnote>
  <w:footnote w:id="11">
    <w:p w14:paraId="3F2F54A0" w14:textId="67FF0A21" w:rsidR="00EE2AEE" w:rsidRPr="0031689E" w:rsidRDefault="00EE2AEE">
      <w:pPr>
        <w:pStyle w:val="FootnoteText"/>
      </w:pPr>
      <w:r>
        <w:rPr>
          <w:rStyle w:val="FootnoteReference"/>
        </w:rPr>
        <w:footnoteRef/>
      </w:r>
      <w:r>
        <w:t xml:space="preserve"> </w:t>
      </w:r>
      <w:r>
        <w:rPr>
          <w:i/>
        </w:rPr>
        <w:t>See</w:t>
      </w:r>
      <w:r>
        <w:t xml:space="preserve"> Apple Website, “Apple – Apple Pay,” </w:t>
      </w:r>
      <w:r>
        <w:rPr>
          <w:i/>
        </w:rPr>
        <w:t>available at</w:t>
      </w:r>
      <w:r>
        <w:t xml:space="preserve"> </w:t>
      </w:r>
      <w:hyperlink r:id="rId2" w:history="1">
        <w:r w:rsidRPr="000770BE">
          <w:rPr>
            <w:rStyle w:val="Hyperlink"/>
          </w:rPr>
          <w:t>https://www.apple.com/apple-pay/</w:t>
        </w:r>
      </w:hyperlink>
      <w:r>
        <w:t xml:space="preserve"> (last visited Sept. 1, 2015) (overview of Apple Pay financial transactions system, listing First National Bank as a “participating bank”).</w:t>
      </w:r>
    </w:p>
  </w:footnote>
  <w:footnote w:id="12">
    <w:p w14:paraId="15CE641B" w14:textId="3A48140F" w:rsidR="00EE2AEE" w:rsidRPr="003E58AC" w:rsidRDefault="00EE2AEE">
      <w:pPr>
        <w:pStyle w:val="FootnoteText"/>
      </w:pPr>
      <w:r>
        <w:rPr>
          <w:rStyle w:val="FootnoteReference"/>
        </w:rPr>
        <w:footnoteRef/>
      </w:r>
      <w:r>
        <w:t xml:space="preserve"> </w:t>
      </w:r>
      <w:r>
        <w:rPr>
          <w:i/>
        </w:rPr>
        <w:t>See</w:t>
      </w:r>
      <w:r>
        <w:t xml:space="preserve"> First National Bank Website, “Mobile Banking With FNB Direct,” </w:t>
      </w:r>
      <w:r>
        <w:rPr>
          <w:i/>
        </w:rPr>
        <w:t>available at</w:t>
      </w:r>
      <w:r>
        <w:t xml:space="preserve"> </w:t>
      </w:r>
      <w:hyperlink r:id="rId3" w:history="1">
        <w:r w:rsidRPr="000770BE">
          <w:rPr>
            <w:rStyle w:val="Hyperlink"/>
          </w:rPr>
          <w:t>https://www.fnb-online.com/bank/electronic-banking/mobile-banking</w:t>
        </w:r>
      </w:hyperlink>
      <w:r>
        <w:t xml:space="preserve"> (last visited Sept. 1, 2015) (providing overview of electronic and mobile banking options offered to FNB customers, including Apple Pay).</w:t>
      </w:r>
    </w:p>
  </w:footnote>
  <w:footnote w:id="13">
    <w:p w14:paraId="29E31B74" w14:textId="1E903C9F" w:rsidR="00EE2AEE" w:rsidRPr="00687773" w:rsidRDefault="00EE2AEE">
      <w:pPr>
        <w:pStyle w:val="FootnoteText"/>
      </w:pPr>
      <w:r>
        <w:rPr>
          <w:rStyle w:val="FootnoteReference"/>
        </w:rPr>
        <w:footnoteRef/>
      </w:r>
      <w:r>
        <w:t xml:space="preserve"> </w:t>
      </w:r>
      <w:r>
        <w:rPr>
          <w:i/>
        </w:rPr>
        <w:t>See</w:t>
      </w:r>
      <w:r>
        <w:t xml:space="preserve"> First National Bank Website, “Enrollment: Online Banking Services Agreement,” </w:t>
      </w:r>
      <w:r>
        <w:rPr>
          <w:i/>
        </w:rPr>
        <w:t>available at</w:t>
      </w:r>
      <w:r>
        <w:t xml:space="preserve"> </w:t>
      </w:r>
      <w:hyperlink r:id="rId4" w:history="1">
        <w:r w:rsidRPr="000770BE">
          <w:rPr>
            <w:rStyle w:val="Hyperlink"/>
          </w:rPr>
          <w:t>https://fnb-onlinebankingcenter.com/FNBPA/Enrollment/Enrollment.aspx</w:t>
        </w:r>
      </w:hyperlink>
      <w:r>
        <w:t xml:space="preserve"> (revised Nov. 11, 2014) (last visited Sept. 1, 2015).</w:t>
      </w:r>
    </w:p>
  </w:footnote>
  <w:footnote w:id="14">
    <w:p w14:paraId="08A0FB19" w14:textId="77777777" w:rsidR="00EE2AEE" w:rsidRPr="00687773" w:rsidRDefault="00EE2AEE">
      <w:pPr>
        <w:pStyle w:val="FootnoteText"/>
      </w:pPr>
      <w:r>
        <w:rPr>
          <w:rStyle w:val="FootnoteReference"/>
        </w:rPr>
        <w:footnoteRef/>
      </w:r>
      <w:r>
        <w:t xml:space="preserve"> </w:t>
      </w:r>
      <w:r>
        <w:rPr>
          <w:i/>
        </w:rPr>
        <w:t>Id.</w:t>
      </w:r>
    </w:p>
  </w:footnote>
  <w:footnote w:id="15">
    <w:p w14:paraId="22CDAC46" w14:textId="77777777" w:rsidR="00EE2AEE" w:rsidRPr="00687773" w:rsidRDefault="00EE2AEE">
      <w:pPr>
        <w:pStyle w:val="FootnoteText"/>
      </w:pPr>
      <w:r>
        <w:rPr>
          <w:rStyle w:val="FootnoteReference"/>
        </w:rPr>
        <w:footnoteRef/>
      </w:r>
      <w:r>
        <w:t xml:space="preserve"> </w:t>
      </w:r>
      <w:r>
        <w:rPr>
          <w:i/>
        </w:rPr>
        <w:t>Id.</w:t>
      </w:r>
      <w:r>
        <w:t xml:space="preserve"> (emphasis added).</w:t>
      </w:r>
    </w:p>
  </w:footnote>
  <w:footnote w:id="16">
    <w:p w14:paraId="4756CA21" w14:textId="60D1BED0" w:rsidR="00EE2AEE" w:rsidRPr="0055357B" w:rsidRDefault="00EE2AEE">
      <w:pPr>
        <w:pStyle w:val="FootnoteText"/>
      </w:pPr>
      <w:r>
        <w:rPr>
          <w:rStyle w:val="FootnoteReference"/>
        </w:rPr>
        <w:footnoteRef/>
      </w:r>
      <w:r>
        <w:t xml:space="preserve"> </w:t>
      </w:r>
      <w:r>
        <w:rPr>
          <w:i/>
        </w:rPr>
        <w:t>See</w:t>
      </w:r>
      <w:r>
        <w:t xml:space="preserve"> First National Bank Website, “Apple Pay Terms and Conditions,” </w:t>
      </w:r>
      <w:r>
        <w:rPr>
          <w:i/>
        </w:rPr>
        <w:t>available at</w:t>
      </w:r>
      <w:r>
        <w:t xml:space="preserve"> </w:t>
      </w:r>
      <w:hyperlink r:id="rId5" w:history="1">
        <w:r w:rsidRPr="000770BE">
          <w:rPr>
            <w:rStyle w:val="Hyperlink"/>
          </w:rPr>
          <w:t>https://www.fnb-online.com/bank/electronic-banking/mobile-banking/apple-pay-terms-conditions</w:t>
        </w:r>
      </w:hyperlink>
      <w:r>
        <w:t xml:space="preserve"> (effective Mar. 1, 2015) (last visited Sept. 1, 2015) (emphasis added).</w:t>
      </w:r>
      <w:r w:rsidR="0055357B">
        <w:t xml:space="preserve">  While First National Bank directs users to review the Privacy Policy for more information, the only information in that policy pertaining to marketing is a statement that FNB can share users’ information for their marketing purposes, as well as for “joint marketing with other financial companies.”   </w:t>
      </w:r>
      <w:r w:rsidR="0055357B">
        <w:rPr>
          <w:i/>
        </w:rPr>
        <w:t xml:space="preserve">See </w:t>
      </w:r>
      <w:r w:rsidR="0055357B">
        <w:t xml:space="preserve">First National Bank, “What Does F.N.B. Corporation Do With Your Personal Information?”, </w:t>
      </w:r>
      <w:r w:rsidR="0055357B">
        <w:rPr>
          <w:i/>
        </w:rPr>
        <w:t xml:space="preserve">available at </w:t>
      </w:r>
      <w:hyperlink r:id="rId6" w:history="1">
        <w:r w:rsidR="0055357B" w:rsidRPr="00D53A0A">
          <w:rPr>
            <w:rStyle w:val="Hyperlink"/>
          </w:rPr>
          <w:t>https://www.fnb-online.com/~/media/website%20documents/privacy%20policy/privacypolicy2014.ashx</w:t>
        </w:r>
      </w:hyperlink>
      <w:r w:rsidR="0055357B">
        <w:t xml:space="preserve"> (Rev. Nov. 4, 2014).  There is </w:t>
      </w:r>
      <w:r w:rsidR="00DB3B8A">
        <w:t xml:space="preserve">apparently </w:t>
      </w:r>
      <w:r w:rsidR="0055357B">
        <w:t xml:space="preserve">no language that states or suggests that consumers have the ability to refuse to receive marketing texts. </w:t>
      </w:r>
      <w:r w:rsidR="0055357B">
        <w:rPr>
          <w:i/>
        </w:rPr>
        <w:t>Id.</w:t>
      </w:r>
    </w:p>
  </w:footnote>
  <w:footnote w:id="17">
    <w:p w14:paraId="67951F84" w14:textId="0E01850A" w:rsidR="00EE2AEE" w:rsidRPr="002631A3" w:rsidRDefault="00EE2AEE">
      <w:pPr>
        <w:pStyle w:val="FootnoteText"/>
      </w:pPr>
      <w:r>
        <w:rPr>
          <w:rStyle w:val="FootnoteReference"/>
        </w:rPr>
        <w:footnoteRef/>
      </w:r>
      <w:r>
        <w:t xml:space="preserve"> </w:t>
      </w:r>
      <w:r>
        <w:rPr>
          <w:i/>
        </w:rPr>
        <w:t xml:space="preserve">See </w:t>
      </w:r>
      <w:r>
        <w:t xml:space="preserve">47 C.F.R. § </w:t>
      </w:r>
      <w:r w:rsidRPr="00ED6970">
        <w:t>64.1200(a)(2)–(3)</w:t>
      </w:r>
      <w:r>
        <w:t xml:space="preserve">; </w:t>
      </w:r>
      <w:r w:rsidRPr="00C358B1">
        <w:rPr>
          <w:i/>
        </w:rPr>
        <w:t>Rules and Regulations Implementing the Telephone Consumer Protection Act of 1991</w:t>
      </w:r>
      <w:r w:rsidRPr="00C358B1">
        <w:t xml:space="preserve">, Report &amp; Order, </w:t>
      </w:r>
      <w:r>
        <w:t>27</w:t>
      </w:r>
      <w:r w:rsidRPr="00C358B1">
        <w:t xml:space="preserve"> F</w:t>
      </w:r>
      <w:r>
        <w:t>CC Rcd 1830, 1838–44, paras. 20–</w:t>
      </w:r>
      <w:r w:rsidRPr="00C358B1">
        <w:t>34 (2012)</w:t>
      </w:r>
      <w:r>
        <w:t xml:space="preserve"> (2012 TCPA Order). </w:t>
      </w:r>
      <w:r w:rsidRPr="0094321E">
        <w:t xml:space="preserve"> </w:t>
      </w:r>
      <w:r w:rsidRPr="00ED6970">
        <w:t>The caller must also get prior express consent (either oral or written) for such calls to wireless phones if the call is not telemarketing.</w:t>
      </w:r>
      <w:r w:rsidRPr="00ED6970">
        <w:rPr>
          <w:i/>
        </w:rPr>
        <w:t xml:space="preserve"> See</w:t>
      </w:r>
      <w:r w:rsidRPr="00ED6970">
        <w:t xml:space="preserve"> </w:t>
      </w:r>
      <w:r>
        <w:t xml:space="preserve">47 C.F.R. </w:t>
      </w:r>
      <w:r w:rsidRPr="00ED6970">
        <w:t>§ 64.1200(a)(1)(iii).</w:t>
      </w:r>
      <w:r>
        <w:t xml:space="preserve">  The prior express written consent requirement went into effect on October 16, 2013.  </w:t>
      </w:r>
      <w:r>
        <w:rPr>
          <w:i/>
        </w:rPr>
        <w:t xml:space="preserve">See </w:t>
      </w:r>
      <w:r>
        <w:t>Telephone Consumer Protection Act of 1991, 77 Fed. Reg.</w:t>
      </w:r>
      <w:r w:rsidRPr="002631A3">
        <w:t xml:space="preserve"> 63</w:t>
      </w:r>
      <w:r>
        <w:t>,</w:t>
      </w:r>
      <w:r w:rsidRPr="002631A3">
        <w:t>240</w:t>
      </w:r>
      <w:r>
        <w:t xml:space="preserve"> (Oct. 16, 2012).</w:t>
      </w:r>
    </w:p>
  </w:footnote>
  <w:footnote w:id="18">
    <w:p w14:paraId="5EE6E863" w14:textId="18581107" w:rsidR="00EE2AEE" w:rsidRPr="003724EB" w:rsidRDefault="00EE2AEE">
      <w:pPr>
        <w:pStyle w:val="FootnoteText"/>
      </w:pPr>
      <w:r>
        <w:rPr>
          <w:rStyle w:val="FootnoteReference"/>
        </w:rPr>
        <w:footnoteRef/>
      </w:r>
      <w:r>
        <w:t xml:space="preserve"> </w:t>
      </w:r>
      <w:r>
        <w:rPr>
          <w:i/>
        </w:rPr>
        <w:t xml:space="preserve">See </w:t>
      </w:r>
      <w:r w:rsidRPr="00B06C74">
        <w:rPr>
          <w:i/>
        </w:rPr>
        <w:t>Rules and Regulations Implementing the Telephone Consumer Protection Act of 1991</w:t>
      </w:r>
      <w:r>
        <w:t>, Report and Order</w:t>
      </w:r>
      <w:r w:rsidRPr="00D33DC5">
        <w:t xml:space="preserve">, 18 FCC Rcd </w:t>
      </w:r>
      <w:r>
        <w:t>14014,</w:t>
      </w:r>
      <w:r w:rsidRPr="00D33DC5">
        <w:t xml:space="preserve"> 14115</w:t>
      </w:r>
      <w:r>
        <w:t>,</w:t>
      </w:r>
      <w:r w:rsidRPr="00D33DC5">
        <w:t xml:space="preserve"> para. 165 </w:t>
      </w:r>
      <w:r>
        <w:t xml:space="preserve">(2003) </w:t>
      </w:r>
      <w:r w:rsidRPr="00D33DC5">
        <w:t>(statutory prohibition</w:t>
      </w:r>
      <w:r>
        <w:t xml:space="preserve"> against </w:t>
      </w:r>
      <w:r w:rsidRPr="00D33DC5">
        <w:t xml:space="preserve">unlawful telemarketing calls </w:t>
      </w:r>
      <w:r w:rsidRPr="00FF15AD">
        <w:t xml:space="preserve">to </w:t>
      </w:r>
      <w:r w:rsidRPr="00D33DC5">
        <w:t>wireless numbers</w:t>
      </w:r>
      <w:r>
        <w:t xml:space="preserve"> </w:t>
      </w:r>
      <w:r w:rsidRPr="00D33DC5">
        <w:t>“encompasses both voice calls and</w:t>
      </w:r>
      <w:r w:rsidRPr="00FF15AD">
        <w:t xml:space="preserve"> text </w:t>
      </w:r>
      <w:r w:rsidRPr="00D33DC5">
        <w:t>calls</w:t>
      </w:r>
      <w:r w:rsidRPr="00FF15AD">
        <w:t xml:space="preserve"> to </w:t>
      </w:r>
      <w:r w:rsidRPr="00D33DC5">
        <w:t>wireless numbers including, for example, shor</w:t>
      </w:r>
      <w:r>
        <w:t xml:space="preserve">t message service (SMS) calls”); </w:t>
      </w:r>
      <w:r w:rsidRPr="00B06C74">
        <w:rPr>
          <w:i/>
        </w:rPr>
        <w:t>Rules and Regulations Implementing the Telephone Consumer Protection Act of 1991</w:t>
      </w:r>
      <w:r>
        <w:t>, Declaratory Ruling and Order, FCC 15-72, para. 107 (Rel. Jul. 10, 2015) (addressing the issue of “whether SMS text messages are subject to the same protections under the TCPA as voice calls,” and stating that “[w]e reiterate that they are. . . . [T]he Commission in 2003 determined that the TCPA applies to SMS texts.  Thus, we find no uncertainty on this issue. . . .” (internal citations omitted)).</w:t>
      </w:r>
    </w:p>
  </w:footnote>
  <w:footnote w:id="19">
    <w:p w14:paraId="5B6E0B35" w14:textId="77777777" w:rsidR="00EE2AEE" w:rsidRPr="00C358B1" w:rsidRDefault="00EE2AEE" w:rsidP="0094321E">
      <w:pPr>
        <w:pStyle w:val="FootnoteText"/>
      </w:pPr>
      <w:r>
        <w:rPr>
          <w:rStyle w:val="FootnoteReference"/>
        </w:rPr>
        <w:footnoteRef/>
      </w:r>
      <w:r>
        <w:t xml:space="preserve"> </w:t>
      </w:r>
      <w:r>
        <w:rPr>
          <w:i/>
        </w:rPr>
        <w:t>See</w:t>
      </w:r>
      <w:r>
        <w:t xml:space="preserve"> 47 C.F.R. § 64.1200(f)(8) (definition of “prior express written consent”); </w:t>
      </w:r>
      <w:r>
        <w:rPr>
          <w:i/>
        </w:rPr>
        <w:t>see also</w:t>
      </w:r>
      <w:r>
        <w:t xml:space="preserve"> 2012 TCPA Order</w:t>
      </w:r>
      <w:r w:rsidRPr="00C358B1">
        <w:t xml:space="preserve">, </w:t>
      </w:r>
      <w:r>
        <w:t>27</w:t>
      </w:r>
      <w:r w:rsidRPr="00C358B1">
        <w:t xml:space="preserve"> F</w:t>
      </w:r>
      <w:r>
        <w:t>CC Rcd at 1838–44, paras. 20–</w:t>
      </w:r>
      <w:r w:rsidRPr="00C358B1">
        <w:t>34.</w:t>
      </w:r>
    </w:p>
  </w:footnote>
  <w:footnote w:id="20">
    <w:p w14:paraId="27B0EA04" w14:textId="77777777" w:rsidR="00EE2AEE" w:rsidRDefault="00EE2AEE" w:rsidP="0094321E">
      <w:pPr>
        <w:pStyle w:val="FootnoteText"/>
      </w:pPr>
      <w:r w:rsidRPr="00800FB3">
        <w:rPr>
          <w:rStyle w:val="FootnoteReference"/>
          <w:kern w:val="20"/>
        </w:rPr>
        <w:footnoteRef/>
      </w:r>
      <w:r w:rsidRPr="00800FB3">
        <w:rPr>
          <w:kern w:val="20"/>
        </w:rPr>
        <w:t xml:space="preserve"> </w:t>
      </w:r>
      <w:r>
        <w:t>2012 TCPA Order</w:t>
      </w:r>
      <w:r w:rsidRPr="00C358B1">
        <w:t xml:space="preserve">, </w:t>
      </w:r>
      <w:r>
        <w:t>27</w:t>
      </w:r>
      <w:r w:rsidRPr="00C358B1">
        <w:t xml:space="preserve"> F</w:t>
      </w:r>
      <w:r>
        <w:t>CC Rcd at 1844, para. 33.</w:t>
      </w:r>
      <w:r w:rsidRPr="00800FB3">
        <w:rPr>
          <w:i/>
          <w:kern w:val="20"/>
        </w:rPr>
        <w:t xml:space="preserve"> </w:t>
      </w:r>
      <w:r>
        <w:rPr>
          <w:i/>
          <w:kern w:val="20"/>
        </w:rPr>
        <w:t xml:space="preserve"> See also </w:t>
      </w:r>
      <w:r w:rsidRPr="00800FB3">
        <w:rPr>
          <w:i/>
          <w:kern w:val="20"/>
        </w:rPr>
        <w:t>Rules and Regulations Implementing the Telephone Consumer Protection Act of 1991</w:t>
      </w:r>
      <w:r w:rsidRPr="00327FD2">
        <w:rPr>
          <w:kern w:val="20"/>
        </w:rPr>
        <w:t>,</w:t>
      </w:r>
      <w:r w:rsidRPr="00800FB3">
        <w:rPr>
          <w:kern w:val="20"/>
        </w:rPr>
        <w:t xml:space="preserve"> Declaratory Ruling, 23 FCC Rcd 559, 565, para. 10 (2008) (concluding that </w:t>
      </w:r>
      <w:r>
        <w:rPr>
          <w:kern w:val="20"/>
        </w:rPr>
        <w:t>“</w:t>
      </w:r>
      <w:r w:rsidRPr="00800FB3">
        <w:rPr>
          <w:kern w:val="20"/>
        </w:rPr>
        <w:t>[s]hould a question arise as to whether express consent was provided, the burden will be on [the caller] to show it obtained the necessary prior express consent</w:t>
      </w:r>
      <w:r>
        <w:rPr>
          <w:kern w:val="20"/>
        </w:rPr>
        <w:t>.”</w:t>
      </w:r>
      <w:r w:rsidRPr="00800FB3">
        <w:rPr>
          <w:kern w:val="20"/>
        </w:rPr>
        <w:t>)</w:t>
      </w:r>
      <w:r>
        <w:rPr>
          <w:kern w:val="20"/>
        </w:rPr>
        <w:t>.</w:t>
      </w:r>
      <w:r w:rsidRPr="00800FB3">
        <w:rPr>
          <w:kern w:val="20"/>
        </w:rPr>
        <w:t xml:space="preserve"> </w:t>
      </w:r>
    </w:p>
  </w:footnote>
  <w:footnote w:id="21">
    <w:p w14:paraId="490E554C" w14:textId="608D0890" w:rsidR="00EE2AEE" w:rsidRDefault="00EE2AEE" w:rsidP="00547BA3">
      <w:pPr>
        <w:pStyle w:val="FootnoteText"/>
      </w:pPr>
      <w:r>
        <w:rPr>
          <w:rStyle w:val="FootnoteReference"/>
        </w:rPr>
        <w:footnoteRef/>
      </w:r>
      <w:r>
        <w:t xml:space="preserve"> </w:t>
      </w:r>
      <w:r>
        <w:rPr>
          <w:i/>
        </w:rPr>
        <w:t>See</w:t>
      </w:r>
      <w:r>
        <w:t xml:space="preserve"> First National Bank Website, “Apple Pay Terms and Conditions,” </w:t>
      </w:r>
      <w:r>
        <w:rPr>
          <w:i/>
        </w:rPr>
        <w:t>available at</w:t>
      </w:r>
      <w:r>
        <w:t xml:space="preserve"> </w:t>
      </w:r>
      <w:hyperlink r:id="rId7" w:history="1">
        <w:r w:rsidRPr="000770BE">
          <w:rPr>
            <w:rStyle w:val="Hyperlink"/>
          </w:rPr>
          <w:t>https://www.fnb-online.com/bank/electronic-banking/mobile-banking/apple-pay-terms-conditions</w:t>
        </w:r>
      </w:hyperlink>
      <w:r>
        <w:t xml:space="preserve"> (effective Mar. 1, 2015) (last visited Sept. 1, 2015).</w:t>
      </w:r>
    </w:p>
  </w:footnote>
  <w:footnote w:id="22">
    <w:p w14:paraId="3ABB9169" w14:textId="6A250A50" w:rsidR="00EE2AEE" w:rsidRDefault="00EE2AEE">
      <w:pPr>
        <w:pStyle w:val="FootnoteText"/>
      </w:pPr>
      <w:r>
        <w:rPr>
          <w:rStyle w:val="FootnoteReference"/>
        </w:rPr>
        <w:footnoteRef/>
      </w:r>
      <w:r>
        <w:t xml:space="preserve"> </w:t>
      </w:r>
      <w:r>
        <w:rPr>
          <w:i/>
        </w:rPr>
        <w:t>See</w:t>
      </w:r>
      <w:r>
        <w:t xml:space="preserve"> 47 C.F.R. § 64.1200(f)(8) (definition of “prior express written consent”); </w:t>
      </w:r>
      <w:r>
        <w:rPr>
          <w:i/>
        </w:rPr>
        <w:t>see also</w:t>
      </w:r>
      <w:r>
        <w:t xml:space="preserve"> 2012 TCPA Order</w:t>
      </w:r>
      <w:r w:rsidRPr="00C358B1">
        <w:t xml:space="preserve">, </w:t>
      </w:r>
      <w:r>
        <w:t>27</w:t>
      </w:r>
      <w:r w:rsidRPr="00C358B1">
        <w:t xml:space="preserve"> F</w:t>
      </w:r>
      <w:r>
        <w:t>CC Rcd at 1838–44, paras. 20–</w:t>
      </w:r>
      <w:r w:rsidRPr="00C358B1">
        <w:t>34.</w:t>
      </w:r>
    </w:p>
  </w:footnote>
  <w:footnote w:id="23">
    <w:p w14:paraId="45EB2724" w14:textId="77777777" w:rsidR="00EE2AEE" w:rsidRPr="0043148D" w:rsidRDefault="00EE2AEE">
      <w:pPr>
        <w:pStyle w:val="FootnoteText"/>
      </w:pPr>
      <w:r>
        <w:rPr>
          <w:rStyle w:val="FootnoteReference"/>
        </w:rPr>
        <w:footnoteRef/>
      </w:r>
      <w:r>
        <w:t xml:space="preserve"> 2012 TCPA Order, 27</w:t>
      </w:r>
      <w:r w:rsidRPr="00C358B1">
        <w:t xml:space="preserve"> F</w:t>
      </w:r>
      <w:r>
        <w:t>CC Rcd at 1838–44, paras. 20–</w:t>
      </w:r>
      <w:r w:rsidRPr="00C358B1">
        <w:t>34</w:t>
      </w:r>
      <w:r>
        <w:t xml:space="preserve">; </w:t>
      </w:r>
      <w:r>
        <w:rPr>
          <w:i/>
        </w:rPr>
        <w:t>see also</w:t>
      </w:r>
      <w:r>
        <w:t xml:space="preserve"> 47 U.S.C. §§ 154(i), 154(j) (authority of FCC to make rules, regulations, and issue orders as necessary to execute its functions; authorization of FCC to conduct proceedings “</w:t>
      </w:r>
      <w:r w:rsidRPr="0043148D">
        <w:t>as will best conduce to the proper dispatch of business and to the ends of justice</w:t>
      </w:r>
      <w:r>
        <w:t>.”).</w:t>
      </w:r>
    </w:p>
  </w:footnote>
  <w:footnote w:id="24">
    <w:p w14:paraId="69496472" w14:textId="77777777" w:rsidR="00EE2AEE" w:rsidRDefault="00EE2AEE" w:rsidP="00EF115F">
      <w:pPr>
        <w:pStyle w:val="FootnoteText"/>
      </w:pPr>
      <w:r>
        <w:rPr>
          <w:rStyle w:val="FootnoteReference"/>
        </w:rPr>
        <w:footnoteRef/>
      </w:r>
      <w:r>
        <w:t xml:space="preserve"> </w:t>
      </w:r>
      <w:r w:rsidRPr="00800FB3">
        <w:rPr>
          <w:kern w:val="20"/>
        </w:rPr>
        <w:t>47 C.F.R. § 64.1200.</w:t>
      </w:r>
      <w:r>
        <w:rPr>
          <w:kern w:val="20"/>
        </w:rPr>
        <w:t xml:space="preserve">  Moreover, if First National Bank sent any telemarketing or advertising texts to consumers (1) after the FCC rules requiring prior express written consent went into effect (i.e., October 16, 2013), and </w:t>
      </w:r>
      <w:r>
        <w:rPr>
          <w:kern w:val="20"/>
        </w:rPr>
        <w:br/>
        <w:t xml:space="preserve">(2) without first having collected conforming prior express written consents of each recipient of the text(s), each such text message also constitutes a separate violation of Section 227 of the Act and Section 64.1200(a)(2) of the Rules.  </w:t>
      </w:r>
    </w:p>
  </w:footnote>
  <w:footnote w:id="25">
    <w:p w14:paraId="3F9F577C" w14:textId="77777777" w:rsidR="00EE2AEE" w:rsidRDefault="00EE2AEE">
      <w:pPr>
        <w:pStyle w:val="FootnoteText"/>
      </w:pPr>
      <w:r>
        <w:rPr>
          <w:rStyle w:val="FootnoteReference"/>
        </w:rPr>
        <w:footnoteRef/>
      </w:r>
      <w:r>
        <w:t xml:space="preserve"> </w:t>
      </w:r>
      <w:r w:rsidRPr="00BE70CC">
        <w:rPr>
          <w:szCs w:val="22"/>
        </w:rPr>
        <w:t>47 C.F.R. § 1.17</w:t>
      </w:r>
      <w:r>
        <w:rPr>
          <w:szCs w:val="22"/>
        </w:rPr>
        <w:t>.</w:t>
      </w:r>
    </w:p>
  </w:footnote>
  <w:footnote w:id="26">
    <w:p w14:paraId="5EEC035E" w14:textId="77777777" w:rsidR="00EE2AEE" w:rsidRDefault="00EE2AEE" w:rsidP="00AD2A83">
      <w:pPr>
        <w:pStyle w:val="FootnoteText"/>
      </w:pPr>
      <w:r>
        <w:rPr>
          <w:rStyle w:val="FootnoteReference"/>
        </w:rPr>
        <w:footnoteRef/>
      </w:r>
      <w:r>
        <w:t xml:space="preserve"> </w:t>
      </w:r>
      <w:r w:rsidRPr="00BE70CC">
        <w:rPr>
          <w:szCs w:val="22"/>
        </w:rPr>
        <w:t>47 C.F.R. § 1.17</w:t>
      </w:r>
      <w:r>
        <w:rPr>
          <w:szCs w:val="22"/>
        </w:rPr>
        <w:t>(a)(1)–(2).</w:t>
      </w:r>
    </w:p>
  </w:footnote>
  <w:footnote w:id="27">
    <w:p w14:paraId="1F4A0664" w14:textId="77777777" w:rsidR="00EE2AEE" w:rsidRDefault="00EE2AEE">
      <w:pPr>
        <w:pStyle w:val="FootnoteText"/>
      </w:pPr>
      <w:r>
        <w:rPr>
          <w:rStyle w:val="FootnoteReference"/>
        </w:rPr>
        <w:footnoteRef/>
      </w:r>
      <w:r>
        <w:t xml:space="preserve"> </w:t>
      </w:r>
      <w:r w:rsidRPr="00BE70CC">
        <w:rPr>
          <w:kern w:val="2"/>
          <w:szCs w:val="22"/>
        </w:rPr>
        <w:t>18 U.S.C. § 1001</w:t>
      </w:r>
      <w:r>
        <w:rPr>
          <w:kern w:val="2"/>
          <w:szCs w:val="22"/>
        </w:rPr>
        <w:t>.</w:t>
      </w:r>
    </w:p>
  </w:footnote>
  <w:footnote w:id="28">
    <w:p w14:paraId="75E3EA9D" w14:textId="77777777" w:rsidR="00EE2AEE" w:rsidRDefault="00EE2AEE">
      <w:pPr>
        <w:pStyle w:val="FootnoteText"/>
      </w:pPr>
      <w:r>
        <w:rPr>
          <w:rStyle w:val="FootnoteReference"/>
        </w:rPr>
        <w:footnoteRef/>
      </w:r>
      <w:r>
        <w:t xml:space="preserve"> </w:t>
      </w:r>
      <w:r w:rsidRPr="00BE70CC">
        <w:rPr>
          <w:kern w:val="2"/>
          <w:szCs w:val="22"/>
        </w:rPr>
        <w:t>5 U.S.C. § 552a(e)(3)</w:t>
      </w:r>
      <w:r>
        <w:rPr>
          <w:kern w:val="2"/>
          <w:szCs w:val="22"/>
        </w:rPr>
        <w:t>.</w:t>
      </w:r>
    </w:p>
  </w:footnote>
  <w:footnote w:id="29">
    <w:p w14:paraId="43AC8365" w14:textId="77777777" w:rsidR="00EE2AEE" w:rsidRPr="00A178B5" w:rsidRDefault="00EE2AEE">
      <w:pPr>
        <w:pStyle w:val="FootnoteText"/>
      </w:pPr>
      <w:r>
        <w:rPr>
          <w:rStyle w:val="FootnoteReference"/>
        </w:rPr>
        <w:footnoteRef/>
      </w:r>
      <w:r>
        <w:t xml:space="preserve"> </w:t>
      </w:r>
      <w:r>
        <w:rPr>
          <w:i/>
        </w:rPr>
        <w:t>See supra</w:t>
      </w:r>
      <w:r>
        <w:t xml:space="preserve"> n. </w:t>
      </w:r>
      <w:fldSimple w:instr=" NOTEREF _Ref425518963 ">
        <w:r w:rsidR="00D96F48">
          <w:t>23</w:t>
        </w:r>
      </w:fldSimple>
      <w:r>
        <w:t>.</w:t>
      </w:r>
    </w:p>
  </w:footnote>
  <w:footnote w:id="30">
    <w:p w14:paraId="4C3984FE" w14:textId="77777777" w:rsidR="00EE2AEE" w:rsidRPr="002D63C3" w:rsidRDefault="00EE2AEE" w:rsidP="00EF115F">
      <w:pPr>
        <w:pStyle w:val="FootnoteText"/>
      </w:pPr>
      <w:r w:rsidRPr="002D63C3">
        <w:rPr>
          <w:rStyle w:val="FootnoteReference"/>
        </w:rPr>
        <w:footnoteRef/>
      </w:r>
      <w:r w:rsidRPr="002D63C3">
        <w:t xml:space="preserve"> </w:t>
      </w:r>
      <w:r w:rsidRPr="002D63C3">
        <w:rPr>
          <w:i/>
        </w:rPr>
        <w:t xml:space="preserve">See </w:t>
      </w:r>
      <w:r w:rsidRPr="002D63C3">
        <w:t xml:space="preserve">47 U.S.C. § 503; 47 C.F.R. § 1.80(b).  This amount is subject to further adjustment for inflation.  </w:t>
      </w:r>
      <w:r w:rsidRPr="002D63C3">
        <w:rPr>
          <w:i/>
        </w:rPr>
        <w:t xml:space="preserve">See </w:t>
      </w:r>
      <w:r w:rsidRPr="002D63C3">
        <w:t xml:space="preserve">47 C.F.R. § 1.80(b)(9)).    </w:t>
      </w:r>
    </w:p>
  </w:footnote>
  <w:footnote w:id="31">
    <w:p w14:paraId="55AFF32B" w14:textId="77777777" w:rsidR="00EE2AEE" w:rsidRPr="002D63C3" w:rsidRDefault="00EE2AEE" w:rsidP="00EF115F">
      <w:pPr>
        <w:pStyle w:val="FootnoteText"/>
      </w:pPr>
      <w:r w:rsidRPr="002D63C3">
        <w:rPr>
          <w:rStyle w:val="FootnoteReference"/>
        </w:rPr>
        <w:footnoteRef/>
      </w:r>
      <w:r w:rsidRPr="002D63C3">
        <w:t xml:space="preserve"> </w:t>
      </w:r>
      <w:r w:rsidRPr="002D63C3">
        <w:rPr>
          <w:i/>
        </w:rPr>
        <w:t>See</w:t>
      </w:r>
      <w:r w:rsidRPr="002D63C3">
        <w:t xml:space="preserve"> 47 U.S.C. § 503(b)(2)(E); 47 C.F.R. § 1.80(b)(8).</w:t>
      </w:r>
    </w:p>
  </w:footnote>
  <w:footnote w:id="32">
    <w:p w14:paraId="5A108BDD" w14:textId="652C6C34" w:rsidR="00EE2AEE" w:rsidRPr="002D63C3" w:rsidRDefault="00EE2AEE" w:rsidP="00EF115F">
      <w:pPr>
        <w:pStyle w:val="FootnoteText"/>
      </w:pPr>
      <w:r w:rsidRPr="002D63C3">
        <w:rPr>
          <w:rStyle w:val="FootnoteReference"/>
        </w:rPr>
        <w:footnoteRef/>
      </w:r>
      <w:r w:rsidRPr="002D63C3">
        <w:t xml:space="preserve"> </w:t>
      </w:r>
      <w:r w:rsidRPr="002D63C3">
        <w:rPr>
          <w:i/>
        </w:rPr>
        <w:t>See</w:t>
      </w:r>
      <w:r w:rsidRPr="002D63C3">
        <w:t xml:space="preserve"> </w:t>
      </w:r>
      <w:r w:rsidRPr="002D63C3">
        <w:rPr>
          <w:i/>
        </w:rPr>
        <w:t xml:space="preserve">supra </w:t>
      </w:r>
      <w:r w:rsidRPr="002D63C3">
        <w:t xml:space="preserve">paragraph </w:t>
      </w:r>
      <w:fldSimple w:instr=" REF _Ref428193130 \r ">
        <w:r w:rsidR="00D96F48">
          <w:t>2</w:t>
        </w:r>
      </w:fldSimple>
      <w:r w:rsidR="004426AC">
        <w:fldChar w:fldCharType="begin"/>
      </w:r>
      <w:r w:rsidR="004426AC">
        <w:instrText xml:space="preserve"> REF _Ref415746727 \r </w:instrText>
      </w:r>
      <w:r w:rsidR="004426AC">
        <w:fldChar w:fldCharType="end"/>
      </w:r>
      <w:r w:rsidRPr="002D63C3">
        <w:t xml:space="preserve">.  </w:t>
      </w:r>
    </w:p>
  </w:footnote>
  <w:footnote w:id="33">
    <w:p w14:paraId="47D295EB" w14:textId="77777777" w:rsidR="00EE2AEE" w:rsidRPr="002D63C3" w:rsidRDefault="00EE2AEE">
      <w:pPr>
        <w:pStyle w:val="FootnoteText"/>
      </w:pPr>
      <w:r w:rsidRPr="002D63C3">
        <w:rPr>
          <w:rStyle w:val="FootnoteReference"/>
        </w:rPr>
        <w:footnoteRef/>
      </w:r>
      <w:r w:rsidRPr="002D63C3">
        <w:t xml:space="preserve"> 47 U.S.C. §§ 154(i), 154(j).</w:t>
      </w:r>
    </w:p>
  </w:footnote>
  <w:footnote w:id="34">
    <w:p w14:paraId="74CE4324" w14:textId="77777777" w:rsidR="00EE2AEE" w:rsidRDefault="00EE2AEE" w:rsidP="00EF115F">
      <w:pPr>
        <w:pStyle w:val="FootnoteText"/>
      </w:pPr>
      <w:r>
        <w:rPr>
          <w:rStyle w:val="FootnoteReference"/>
        </w:rPr>
        <w:footnoteRef/>
      </w:r>
      <w:r>
        <w:t xml:space="preserve"> </w:t>
      </w:r>
      <w:r w:rsidRPr="00800FB3">
        <w:rPr>
          <w:kern w:val="20"/>
        </w:rPr>
        <w:t>47 U.S.C. § 227; 47 C.F.R. § 64.1200.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C5B35" w14:textId="77777777" w:rsidR="00841042" w:rsidRDefault="00841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94B17" w14:textId="0523C638" w:rsidR="00EE2AEE" w:rsidRPr="001B048F" w:rsidRDefault="00EE2AEE" w:rsidP="004628B3">
    <w:pPr>
      <w:pStyle w:val="Header"/>
    </w:pPr>
    <w:r>
      <w:rPr>
        <w:noProof/>
      </w:rPr>
      <mc:AlternateContent>
        <mc:Choice Requires="wps">
          <w:drawing>
            <wp:anchor distT="0" distB="0" distL="114300" distR="114300" simplePos="0" relativeHeight="251658240" behindDoc="1" locked="0" layoutInCell="0" allowOverlap="1" wp14:anchorId="7DA1FB08" wp14:editId="4A28633C">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864E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El4/jJ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r>
    <w:r w:rsidRPr="00BE70CC">
      <w:rPr>
        <w:spacing w:val="-2"/>
      </w:rPr>
      <w:t xml:space="preserve">DA </w:t>
    </w:r>
    <w:r>
      <w:rPr>
        <w:spacing w:val="-2"/>
      </w:rPr>
      <w:t>15</w:t>
    </w:r>
    <w:r w:rsidR="00D11474">
      <w:rPr>
        <w:spacing w:val="-2"/>
      </w:rPr>
      <w:t>-</w:t>
    </w:r>
    <w:r w:rsidR="00D11474" w:rsidRPr="00D11474">
      <w:rPr>
        <w:spacing w:val="-2"/>
      </w:rPr>
      <w:t>996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15B6A" w14:textId="3FA8EA24" w:rsidR="00EE2AEE" w:rsidRPr="001B048F" w:rsidRDefault="00EE2AEE" w:rsidP="004628B3">
    <w:pPr>
      <w:pStyle w:val="Header"/>
    </w:pPr>
    <w:r w:rsidRPr="00EE36BE">
      <w:rPr>
        <w:noProof/>
      </w:rPr>
      <mc:AlternateContent>
        <mc:Choice Requires="wps">
          <w:drawing>
            <wp:anchor distT="0" distB="0" distL="114300" distR="114300" simplePos="0" relativeHeight="251657216" behindDoc="1" locked="0" layoutInCell="0" allowOverlap="1" wp14:anchorId="0A73C772" wp14:editId="16B7214E">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BCC8ED"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McVw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HHHUxx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rsidRPr="00EE36BE">
      <w:tab/>
      <w:t>Fed</w:t>
    </w:r>
    <w:r>
      <w:t>eral Communications Commission</w:t>
    </w:r>
    <w:r>
      <w:tab/>
    </w:r>
    <w:r w:rsidRPr="00F50F55">
      <w:rPr>
        <w:spacing w:val="-2"/>
      </w:rPr>
      <w:t xml:space="preserve">DA </w:t>
    </w:r>
    <w:r>
      <w:rPr>
        <w:spacing w:val="-2"/>
      </w:rPr>
      <w:t>15-</w:t>
    </w:r>
    <w:r w:rsidR="00D11474" w:rsidRPr="00D11474">
      <w:rPr>
        <w:spacing w:val="-2"/>
      </w:rPr>
      <w:t>996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3673889"/>
    <w:multiLevelType w:val="hybridMultilevel"/>
    <w:tmpl w:val="DBD4C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721AA"/>
    <w:multiLevelType w:val="hybridMultilevel"/>
    <w:tmpl w:val="3EF82A5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E057795"/>
    <w:multiLevelType w:val="hybridMultilevel"/>
    <w:tmpl w:val="C2E67BB0"/>
    <w:lvl w:ilvl="0" w:tplc="49640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C483DAF"/>
    <w:multiLevelType w:val="hybridMultilevel"/>
    <w:tmpl w:val="54B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BC34D4"/>
    <w:multiLevelType w:val="hybridMultilevel"/>
    <w:tmpl w:val="CA104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2">
    <w:nsid w:val="61182925"/>
    <w:multiLevelType w:val="singleLevel"/>
    <w:tmpl w:val="111C9D98"/>
    <w:lvl w:ilvl="0">
      <w:start w:val="1"/>
      <w:numFmt w:val="decimal"/>
      <w:pStyle w:val="ParaNum"/>
      <w:lvlText w:val="%1."/>
      <w:lvlJc w:val="left"/>
      <w:pPr>
        <w:tabs>
          <w:tab w:val="num" w:pos="1080"/>
        </w:tabs>
        <w:ind w:left="0" w:firstLine="720"/>
      </w:pPr>
      <w:rPr>
        <w:rFonts w:cs="Times New Roman" w:hint="default"/>
      </w:rPr>
    </w:lvl>
  </w:abstractNum>
  <w:abstractNum w:abstractNumId="13">
    <w:nsid w:val="6FB837BF"/>
    <w:multiLevelType w:val="hybridMultilevel"/>
    <w:tmpl w:val="57DE5A72"/>
    <w:lvl w:ilvl="0" w:tplc="53425E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5"/>
  </w:num>
  <w:num w:numId="3">
    <w:abstractNumId w:val="2"/>
  </w:num>
  <w:num w:numId="4">
    <w:abstractNumId w:val="8"/>
  </w:num>
  <w:num w:numId="5">
    <w:abstractNumId w:val="1"/>
  </w:num>
  <w:num w:numId="6">
    <w:abstractNumId w:val="6"/>
  </w:num>
  <w:num w:numId="7">
    <w:abstractNumId w:val="0"/>
    <w:lvlOverride w:ilvl="0">
      <w:lvl w:ilvl="0">
        <w:numFmt w:val="bullet"/>
        <w:pStyle w:val="par1"/>
        <w:lvlText w:val=""/>
        <w:legacy w:legacy="1" w:legacySpace="0" w:legacyIndent="360"/>
        <w:lvlJc w:val="left"/>
        <w:rPr>
          <w:rFonts w:ascii="Symbol" w:hAnsi="Symbol" w:hint="default"/>
        </w:rPr>
      </w:lvl>
    </w:lvlOverride>
  </w:num>
  <w:num w:numId="8">
    <w:abstractNumId w:val="11"/>
  </w:num>
  <w:num w:numId="9">
    <w:abstractNumId w:val="9"/>
  </w:num>
  <w:num w:numId="10">
    <w:abstractNumId w:val="7"/>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lvlOverride w:ilvl="0">
      <w:startOverride w:val="1"/>
    </w:lvlOverride>
  </w:num>
  <w:num w:numId="18">
    <w:abstractNumId w:val="12"/>
    <w:lvlOverride w:ilvl="0">
      <w:startOverride w:val="1"/>
    </w:lvlOverride>
  </w:num>
  <w:num w:numId="19">
    <w:abstractNumId w:val="12"/>
  </w:num>
  <w:num w:numId="20">
    <w:abstractNumId w:val="13"/>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lvlOverride w:ilvl="0">
      <w:startOverride w:val="14"/>
    </w:lvlOverride>
  </w:num>
  <w:num w:numId="30">
    <w:abstractNumId w:val="3"/>
  </w:num>
  <w:num w:numId="31">
    <w:abstractNumId w:val="10"/>
  </w:num>
  <w:num w:numId="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14462"/>
    <w:rsid w:val="000174F9"/>
    <w:rsid w:val="00017662"/>
    <w:rsid w:val="00022C58"/>
    <w:rsid w:val="000264B4"/>
    <w:rsid w:val="00031AE8"/>
    <w:rsid w:val="00036D58"/>
    <w:rsid w:val="00046E05"/>
    <w:rsid w:val="00052093"/>
    <w:rsid w:val="000604EB"/>
    <w:rsid w:val="000607E7"/>
    <w:rsid w:val="0006256A"/>
    <w:rsid w:val="0006278C"/>
    <w:rsid w:val="00062C44"/>
    <w:rsid w:val="000649FE"/>
    <w:rsid w:val="00071A40"/>
    <w:rsid w:val="00071E3F"/>
    <w:rsid w:val="00072D7D"/>
    <w:rsid w:val="00074717"/>
    <w:rsid w:val="00076A1F"/>
    <w:rsid w:val="00080535"/>
    <w:rsid w:val="000824AC"/>
    <w:rsid w:val="000853AD"/>
    <w:rsid w:val="00086824"/>
    <w:rsid w:val="00091AE4"/>
    <w:rsid w:val="00092506"/>
    <w:rsid w:val="000947A2"/>
    <w:rsid w:val="000962DF"/>
    <w:rsid w:val="00097330"/>
    <w:rsid w:val="00097F82"/>
    <w:rsid w:val="000A0447"/>
    <w:rsid w:val="000A3E68"/>
    <w:rsid w:val="000A4776"/>
    <w:rsid w:val="000B14C3"/>
    <w:rsid w:val="000B1C2B"/>
    <w:rsid w:val="000B29ED"/>
    <w:rsid w:val="000B7657"/>
    <w:rsid w:val="000C3352"/>
    <w:rsid w:val="000C6050"/>
    <w:rsid w:val="000D1391"/>
    <w:rsid w:val="000E1423"/>
    <w:rsid w:val="000E1951"/>
    <w:rsid w:val="000E2707"/>
    <w:rsid w:val="000E3600"/>
    <w:rsid w:val="000F1155"/>
    <w:rsid w:val="00100646"/>
    <w:rsid w:val="00105A35"/>
    <w:rsid w:val="00111822"/>
    <w:rsid w:val="0011337B"/>
    <w:rsid w:val="001164C6"/>
    <w:rsid w:val="0011687C"/>
    <w:rsid w:val="001205FE"/>
    <w:rsid w:val="00122BB3"/>
    <w:rsid w:val="0012427E"/>
    <w:rsid w:val="00126C88"/>
    <w:rsid w:val="00132729"/>
    <w:rsid w:val="001342E7"/>
    <w:rsid w:val="00135F7F"/>
    <w:rsid w:val="00136476"/>
    <w:rsid w:val="001426F0"/>
    <w:rsid w:val="00145E08"/>
    <w:rsid w:val="001532B1"/>
    <w:rsid w:val="00153904"/>
    <w:rsid w:val="00153CE0"/>
    <w:rsid w:val="00162161"/>
    <w:rsid w:val="00164D9B"/>
    <w:rsid w:val="001715BD"/>
    <w:rsid w:val="001740BB"/>
    <w:rsid w:val="00180026"/>
    <w:rsid w:val="001819AF"/>
    <w:rsid w:val="001829BE"/>
    <w:rsid w:val="00192DF0"/>
    <w:rsid w:val="00193330"/>
    <w:rsid w:val="00197ADC"/>
    <w:rsid w:val="001A29EF"/>
    <w:rsid w:val="001A2F40"/>
    <w:rsid w:val="001A38A4"/>
    <w:rsid w:val="001A69BA"/>
    <w:rsid w:val="001A79FB"/>
    <w:rsid w:val="001B048F"/>
    <w:rsid w:val="001C3156"/>
    <w:rsid w:val="001C3B35"/>
    <w:rsid w:val="001C42B3"/>
    <w:rsid w:val="001D1CEF"/>
    <w:rsid w:val="001E135C"/>
    <w:rsid w:val="001E1906"/>
    <w:rsid w:val="001E36EE"/>
    <w:rsid w:val="001E401B"/>
    <w:rsid w:val="001E49DC"/>
    <w:rsid w:val="001F2B76"/>
    <w:rsid w:val="001F5AA4"/>
    <w:rsid w:val="001F6449"/>
    <w:rsid w:val="001F7EE0"/>
    <w:rsid w:val="0021064A"/>
    <w:rsid w:val="0021315C"/>
    <w:rsid w:val="002146E2"/>
    <w:rsid w:val="00223173"/>
    <w:rsid w:val="00226191"/>
    <w:rsid w:val="0022665A"/>
    <w:rsid w:val="00236820"/>
    <w:rsid w:val="00246222"/>
    <w:rsid w:val="00250EDF"/>
    <w:rsid w:val="00252799"/>
    <w:rsid w:val="00256862"/>
    <w:rsid w:val="00256904"/>
    <w:rsid w:val="00256B42"/>
    <w:rsid w:val="002631A3"/>
    <w:rsid w:val="002659F3"/>
    <w:rsid w:val="00265FC9"/>
    <w:rsid w:val="00270CD1"/>
    <w:rsid w:val="002710C5"/>
    <w:rsid w:val="0027183B"/>
    <w:rsid w:val="002718D7"/>
    <w:rsid w:val="00283E59"/>
    <w:rsid w:val="00287564"/>
    <w:rsid w:val="00290198"/>
    <w:rsid w:val="002966A1"/>
    <w:rsid w:val="00297424"/>
    <w:rsid w:val="002A1963"/>
    <w:rsid w:val="002B1C8D"/>
    <w:rsid w:val="002B3E99"/>
    <w:rsid w:val="002B7493"/>
    <w:rsid w:val="002C12AD"/>
    <w:rsid w:val="002C2218"/>
    <w:rsid w:val="002C66A2"/>
    <w:rsid w:val="002D3A88"/>
    <w:rsid w:val="002D4CD9"/>
    <w:rsid w:val="002D63C3"/>
    <w:rsid w:val="002D6A81"/>
    <w:rsid w:val="002D74C4"/>
    <w:rsid w:val="002E046E"/>
    <w:rsid w:val="002E1671"/>
    <w:rsid w:val="002E3DE5"/>
    <w:rsid w:val="002E43B6"/>
    <w:rsid w:val="002E45A5"/>
    <w:rsid w:val="002E6027"/>
    <w:rsid w:val="002F2ACB"/>
    <w:rsid w:val="00306C34"/>
    <w:rsid w:val="00306C50"/>
    <w:rsid w:val="003163A9"/>
    <w:rsid w:val="0031689E"/>
    <w:rsid w:val="0032053D"/>
    <w:rsid w:val="0032244D"/>
    <w:rsid w:val="00325463"/>
    <w:rsid w:val="00327FD2"/>
    <w:rsid w:val="00331B47"/>
    <w:rsid w:val="00331D4E"/>
    <w:rsid w:val="003343CA"/>
    <w:rsid w:val="003368A3"/>
    <w:rsid w:val="003368E2"/>
    <w:rsid w:val="003400E9"/>
    <w:rsid w:val="00340246"/>
    <w:rsid w:val="00344871"/>
    <w:rsid w:val="00345F40"/>
    <w:rsid w:val="00346DCB"/>
    <w:rsid w:val="003472A7"/>
    <w:rsid w:val="00347397"/>
    <w:rsid w:val="00350389"/>
    <w:rsid w:val="003510C3"/>
    <w:rsid w:val="00353E9D"/>
    <w:rsid w:val="00361B43"/>
    <w:rsid w:val="003623B1"/>
    <w:rsid w:val="003665D6"/>
    <w:rsid w:val="00367723"/>
    <w:rsid w:val="003724EB"/>
    <w:rsid w:val="003764CE"/>
    <w:rsid w:val="00383C2B"/>
    <w:rsid w:val="00390DBC"/>
    <w:rsid w:val="0039768C"/>
    <w:rsid w:val="00397953"/>
    <w:rsid w:val="003A07BF"/>
    <w:rsid w:val="003A4346"/>
    <w:rsid w:val="003A4767"/>
    <w:rsid w:val="003A5530"/>
    <w:rsid w:val="003A6F0A"/>
    <w:rsid w:val="003B01C0"/>
    <w:rsid w:val="003B18EB"/>
    <w:rsid w:val="003B4544"/>
    <w:rsid w:val="003B5341"/>
    <w:rsid w:val="003B5EF6"/>
    <w:rsid w:val="003B6F75"/>
    <w:rsid w:val="003C0BCF"/>
    <w:rsid w:val="003C4AD3"/>
    <w:rsid w:val="003C6559"/>
    <w:rsid w:val="003D4DDD"/>
    <w:rsid w:val="003D5B63"/>
    <w:rsid w:val="003D5BD6"/>
    <w:rsid w:val="003E36EC"/>
    <w:rsid w:val="003E3782"/>
    <w:rsid w:val="003E4BA1"/>
    <w:rsid w:val="003E58AC"/>
    <w:rsid w:val="003E5CB1"/>
    <w:rsid w:val="003E7003"/>
    <w:rsid w:val="003F2F66"/>
    <w:rsid w:val="004016AD"/>
    <w:rsid w:val="00403B86"/>
    <w:rsid w:val="004048D9"/>
    <w:rsid w:val="004130B5"/>
    <w:rsid w:val="00415670"/>
    <w:rsid w:val="00416F51"/>
    <w:rsid w:val="004200CE"/>
    <w:rsid w:val="0042056B"/>
    <w:rsid w:val="00426316"/>
    <w:rsid w:val="0043148D"/>
    <w:rsid w:val="00431572"/>
    <w:rsid w:val="00436A9E"/>
    <w:rsid w:val="00436E88"/>
    <w:rsid w:val="00441DA8"/>
    <w:rsid w:val="004426AC"/>
    <w:rsid w:val="00452C14"/>
    <w:rsid w:val="004549F8"/>
    <w:rsid w:val="00457AE7"/>
    <w:rsid w:val="00461C47"/>
    <w:rsid w:val="004628B3"/>
    <w:rsid w:val="00466CC6"/>
    <w:rsid w:val="00467066"/>
    <w:rsid w:val="0047221C"/>
    <w:rsid w:val="004736A1"/>
    <w:rsid w:val="004806B5"/>
    <w:rsid w:val="00494E42"/>
    <w:rsid w:val="004C3EDB"/>
    <w:rsid w:val="004C4957"/>
    <w:rsid w:val="004D20DB"/>
    <w:rsid w:val="004D3233"/>
    <w:rsid w:val="004E218D"/>
    <w:rsid w:val="004E4FD9"/>
    <w:rsid w:val="004E5D01"/>
    <w:rsid w:val="004F0990"/>
    <w:rsid w:val="004F6A54"/>
    <w:rsid w:val="00500FF2"/>
    <w:rsid w:val="00501A74"/>
    <w:rsid w:val="00505616"/>
    <w:rsid w:val="00512A5C"/>
    <w:rsid w:val="00514466"/>
    <w:rsid w:val="00514B5F"/>
    <w:rsid w:val="005214C9"/>
    <w:rsid w:val="00522727"/>
    <w:rsid w:val="00523C0D"/>
    <w:rsid w:val="00525464"/>
    <w:rsid w:val="00525F9B"/>
    <w:rsid w:val="00526086"/>
    <w:rsid w:val="00526174"/>
    <w:rsid w:val="005321F0"/>
    <w:rsid w:val="0053478F"/>
    <w:rsid w:val="00535D18"/>
    <w:rsid w:val="00537EE6"/>
    <w:rsid w:val="005415C8"/>
    <w:rsid w:val="0054220C"/>
    <w:rsid w:val="005440C1"/>
    <w:rsid w:val="00545EF8"/>
    <w:rsid w:val="00547654"/>
    <w:rsid w:val="00547BA3"/>
    <w:rsid w:val="00552923"/>
    <w:rsid w:val="0055357B"/>
    <w:rsid w:val="00557BF1"/>
    <w:rsid w:val="00560703"/>
    <w:rsid w:val="0056704D"/>
    <w:rsid w:val="00567C95"/>
    <w:rsid w:val="00567D8D"/>
    <w:rsid w:val="005942FC"/>
    <w:rsid w:val="0059732E"/>
    <w:rsid w:val="005A72DD"/>
    <w:rsid w:val="005B1C29"/>
    <w:rsid w:val="005B3158"/>
    <w:rsid w:val="005B4CEA"/>
    <w:rsid w:val="005B4D91"/>
    <w:rsid w:val="005B67ED"/>
    <w:rsid w:val="005C2065"/>
    <w:rsid w:val="005C2A5A"/>
    <w:rsid w:val="005C30D4"/>
    <w:rsid w:val="005D1BA6"/>
    <w:rsid w:val="005D250F"/>
    <w:rsid w:val="005D364B"/>
    <w:rsid w:val="005D4F7D"/>
    <w:rsid w:val="005D7E13"/>
    <w:rsid w:val="005E0B17"/>
    <w:rsid w:val="005E3D9F"/>
    <w:rsid w:val="005E6F60"/>
    <w:rsid w:val="005F7995"/>
    <w:rsid w:val="00600EA1"/>
    <w:rsid w:val="006020E8"/>
    <w:rsid w:val="00603106"/>
    <w:rsid w:val="006115CB"/>
    <w:rsid w:val="00613F9E"/>
    <w:rsid w:val="006168A4"/>
    <w:rsid w:val="00622396"/>
    <w:rsid w:val="00624EEA"/>
    <w:rsid w:val="0063038A"/>
    <w:rsid w:val="0063084E"/>
    <w:rsid w:val="00634F84"/>
    <w:rsid w:val="00637D3F"/>
    <w:rsid w:val="00640EAA"/>
    <w:rsid w:val="00644983"/>
    <w:rsid w:val="0064498D"/>
    <w:rsid w:val="006472F4"/>
    <w:rsid w:val="00650C92"/>
    <w:rsid w:val="00653DFB"/>
    <w:rsid w:val="00654D13"/>
    <w:rsid w:val="006557D7"/>
    <w:rsid w:val="0065677C"/>
    <w:rsid w:val="00656D04"/>
    <w:rsid w:val="006606A3"/>
    <w:rsid w:val="00661931"/>
    <w:rsid w:val="00661DE5"/>
    <w:rsid w:val="0066537F"/>
    <w:rsid w:val="00671666"/>
    <w:rsid w:val="00672014"/>
    <w:rsid w:val="006733A8"/>
    <w:rsid w:val="00673674"/>
    <w:rsid w:val="0067496E"/>
    <w:rsid w:val="00674B18"/>
    <w:rsid w:val="00674D36"/>
    <w:rsid w:val="00674F58"/>
    <w:rsid w:val="00675972"/>
    <w:rsid w:val="00683E53"/>
    <w:rsid w:val="00686968"/>
    <w:rsid w:val="00687773"/>
    <w:rsid w:val="006877E7"/>
    <w:rsid w:val="00690D5C"/>
    <w:rsid w:val="006956FE"/>
    <w:rsid w:val="006A6FD0"/>
    <w:rsid w:val="006B080E"/>
    <w:rsid w:val="006B730D"/>
    <w:rsid w:val="006C1DED"/>
    <w:rsid w:val="006C2EE1"/>
    <w:rsid w:val="006C6D8F"/>
    <w:rsid w:val="006D2212"/>
    <w:rsid w:val="006D550A"/>
    <w:rsid w:val="006D7FF3"/>
    <w:rsid w:val="006E25DC"/>
    <w:rsid w:val="006E3B0D"/>
    <w:rsid w:val="006E6234"/>
    <w:rsid w:val="006E728E"/>
    <w:rsid w:val="006E76FD"/>
    <w:rsid w:val="0070290C"/>
    <w:rsid w:val="00704843"/>
    <w:rsid w:val="007115F7"/>
    <w:rsid w:val="00714FD7"/>
    <w:rsid w:val="00715666"/>
    <w:rsid w:val="00716E89"/>
    <w:rsid w:val="0072776E"/>
    <w:rsid w:val="00727F4F"/>
    <w:rsid w:val="00731211"/>
    <w:rsid w:val="0073326F"/>
    <w:rsid w:val="00743885"/>
    <w:rsid w:val="00743CDB"/>
    <w:rsid w:val="00745AB4"/>
    <w:rsid w:val="007470E1"/>
    <w:rsid w:val="007479D6"/>
    <w:rsid w:val="00752D0E"/>
    <w:rsid w:val="00753BD2"/>
    <w:rsid w:val="00755564"/>
    <w:rsid w:val="00757E63"/>
    <w:rsid w:val="00765619"/>
    <w:rsid w:val="0077073F"/>
    <w:rsid w:val="0077103F"/>
    <w:rsid w:val="0077224C"/>
    <w:rsid w:val="00782257"/>
    <w:rsid w:val="00784054"/>
    <w:rsid w:val="00785772"/>
    <w:rsid w:val="00787DBC"/>
    <w:rsid w:val="00791577"/>
    <w:rsid w:val="00796291"/>
    <w:rsid w:val="007A2AF2"/>
    <w:rsid w:val="007A4004"/>
    <w:rsid w:val="007A400F"/>
    <w:rsid w:val="007B1B20"/>
    <w:rsid w:val="007B1C3F"/>
    <w:rsid w:val="007B25BE"/>
    <w:rsid w:val="007B6A26"/>
    <w:rsid w:val="007C197B"/>
    <w:rsid w:val="007C3555"/>
    <w:rsid w:val="007C3802"/>
    <w:rsid w:val="007C3FB4"/>
    <w:rsid w:val="007C416C"/>
    <w:rsid w:val="007C4300"/>
    <w:rsid w:val="007D2BC1"/>
    <w:rsid w:val="007D5BA0"/>
    <w:rsid w:val="007D6F9D"/>
    <w:rsid w:val="007E39BB"/>
    <w:rsid w:val="007F3C22"/>
    <w:rsid w:val="0080144D"/>
    <w:rsid w:val="00804AA7"/>
    <w:rsid w:val="00806AEF"/>
    <w:rsid w:val="00817123"/>
    <w:rsid w:val="008218CC"/>
    <w:rsid w:val="00823395"/>
    <w:rsid w:val="0082369F"/>
    <w:rsid w:val="00835377"/>
    <w:rsid w:val="00836DF6"/>
    <w:rsid w:val="00841042"/>
    <w:rsid w:val="0084691E"/>
    <w:rsid w:val="00854197"/>
    <w:rsid w:val="0086293F"/>
    <w:rsid w:val="00862B6D"/>
    <w:rsid w:val="008635E6"/>
    <w:rsid w:val="008661A4"/>
    <w:rsid w:val="008666BC"/>
    <w:rsid w:val="00874CFC"/>
    <w:rsid w:val="00886C3A"/>
    <w:rsid w:val="00890DC3"/>
    <w:rsid w:val="00895AB0"/>
    <w:rsid w:val="008A1A2C"/>
    <w:rsid w:val="008B1964"/>
    <w:rsid w:val="008B27C1"/>
    <w:rsid w:val="008B3143"/>
    <w:rsid w:val="008B7FFE"/>
    <w:rsid w:val="008C0FB2"/>
    <w:rsid w:val="008D466B"/>
    <w:rsid w:val="008D6AFE"/>
    <w:rsid w:val="008E0D87"/>
    <w:rsid w:val="008E2010"/>
    <w:rsid w:val="008F0F79"/>
    <w:rsid w:val="008F21BF"/>
    <w:rsid w:val="008F3480"/>
    <w:rsid w:val="008F49A9"/>
    <w:rsid w:val="009012DC"/>
    <w:rsid w:val="00901EA9"/>
    <w:rsid w:val="0090510E"/>
    <w:rsid w:val="00913674"/>
    <w:rsid w:val="009150E9"/>
    <w:rsid w:val="00920FB9"/>
    <w:rsid w:val="00922BC7"/>
    <w:rsid w:val="00924198"/>
    <w:rsid w:val="009241DC"/>
    <w:rsid w:val="009244F0"/>
    <w:rsid w:val="0093638C"/>
    <w:rsid w:val="00937A4E"/>
    <w:rsid w:val="0094321E"/>
    <w:rsid w:val="00946035"/>
    <w:rsid w:val="00955661"/>
    <w:rsid w:val="0096675D"/>
    <w:rsid w:val="009714F0"/>
    <w:rsid w:val="0097633D"/>
    <w:rsid w:val="00980AA0"/>
    <w:rsid w:val="00981A39"/>
    <w:rsid w:val="00985084"/>
    <w:rsid w:val="009868EF"/>
    <w:rsid w:val="00992A29"/>
    <w:rsid w:val="009966D1"/>
    <w:rsid w:val="009A01CF"/>
    <w:rsid w:val="009A09C6"/>
    <w:rsid w:val="009A31E8"/>
    <w:rsid w:val="009A323D"/>
    <w:rsid w:val="009A3AE5"/>
    <w:rsid w:val="009A4C09"/>
    <w:rsid w:val="009B1061"/>
    <w:rsid w:val="009B2C59"/>
    <w:rsid w:val="009B3E58"/>
    <w:rsid w:val="009B6F55"/>
    <w:rsid w:val="009B78FB"/>
    <w:rsid w:val="009C2411"/>
    <w:rsid w:val="009C3321"/>
    <w:rsid w:val="009C46AB"/>
    <w:rsid w:val="009C6AD9"/>
    <w:rsid w:val="009D0C63"/>
    <w:rsid w:val="009D5355"/>
    <w:rsid w:val="009E44EE"/>
    <w:rsid w:val="009E53A5"/>
    <w:rsid w:val="009E5EA4"/>
    <w:rsid w:val="009E6325"/>
    <w:rsid w:val="009E708F"/>
    <w:rsid w:val="009E73FC"/>
    <w:rsid w:val="00A002F4"/>
    <w:rsid w:val="00A00AE0"/>
    <w:rsid w:val="00A01D1A"/>
    <w:rsid w:val="00A047AF"/>
    <w:rsid w:val="00A0567A"/>
    <w:rsid w:val="00A10460"/>
    <w:rsid w:val="00A14E35"/>
    <w:rsid w:val="00A174D4"/>
    <w:rsid w:val="00A178B5"/>
    <w:rsid w:val="00A204BA"/>
    <w:rsid w:val="00A20570"/>
    <w:rsid w:val="00A223C9"/>
    <w:rsid w:val="00A230E1"/>
    <w:rsid w:val="00A24CD1"/>
    <w:rsid w:val="00A26C54"/>
    <w:rsid w:val="00A339C9"/>
    <w:rsid w:val="00A35D97"/>
    <w:rsid w:val="00A3796D"/>
    <w:rsid w:val="00A41565"/>
    <w:rsid w:val="00A42341"/>
    <w:rsid w:val="00A45420"/>
    <w:rsid w:val="00A52CEE"/>
    <w:rsid w:val="00A534CC"/>
    <w:rsid w:val="00A72EFE"/>
    <w:rsid w:val="00A83EFC"/>
    <w:rsid w:val="00A8604A"/>
    <w:rsid w:val="00A92C53"/>
    <w:rsid w:val="00A95983"/>
    <w:rsid w:val="00AA19E7"/>
    <w:rsid w:val="00AA1C42"/>
    <w:rsid w:val="00AA614F"/>
    <w:rsid w:val="00AB2A81"/>
    <w:rsid w:val="00AB3FF0"/>
    <w:rsid w:val="00AC08EF"/>
    <w:rsid w:val="00AC0A30"/>
    <w:rsid w:val="00AC262E"/>
    <w:rsid w:val="00AC7682"/>
    <w:rsid w:val="00AC7905"/>
    <w:rsid w:val="00AD2A83"/>
    <w:rsid w:val="00AD35D3"/>
    <w:rsid w:val="00AD525D"/>
    <w:rsid w:val="00AE4E71"/>
    <w:rsid w:val="00AE6CDF"/>
    <w:rsid w:val="00AF2483"/>
    <w:rsid w:val="00AF2CC2"/>
    <w:rsid w:val="00AF6122"/>
    <w:rsid w:val="00AF6152"/>
    <w:rsid w:val="00B046DF"/>
    <w:rsid w:val="00B0601B"/>
    <w:rsid w:val="00B102D9"/>
    <w:rsid w:val="00B106C6"/>
    <w:rsid w:val="00B122C3"/>
    <w:rsid w:val="00B133EA"/>
    <w:rsid w:val="00B20811"/>
    <w:rsid w:val="00B21753"/>
    <w:rsid w:val="00B21FA1"/>
    <w:rsid w:val="00B246DD"/>
    <w:rsid w:val="00B26603"/>
    <w:rsid w:val="00B307A4"/>
    <w:rsid w:val="00B37CCD"/>
    <w:rsid w:val="00B52F5E"/>
    <w:rsid w:val="00B54435"/>
    <w:rsid w:val="00B57152"/>
    <w:rsid w:val="00B661C1"/>
    <w:rsid w:val="00B70A0B"/>
    <w:rsid w:val="00B7124E"/>
    <w:rsid w:val="00B72A6B"/>
    <w:rsid w:val="00B72F8F"/>
    <w:rsid w:val="00B7385F"/>
    <w:rsid w:val="00B8042F"/>
    <w:rsid w:val="00B84DAA"/>
    <w:rsid w:val="00B85F3E"/>
    <w:rsid w:val="00BA0DEA"/>
    <w:rsid w:val="00BB18C9"/>
    <w:rsid w:val="00BB2B10"/>
    <w:rsid w:val="00BB4888"/>
    <w:rsid w:val="00BB6AB1"/>
    <w:rsid w:val="00BB6D6F"/>
    <w:rsid w:val="00BC09DE"/>
    <w:rsid w:val="00BC3C88"/>
    <w:rsid w:val="00BC3FB6"/>
    <w:rsid w:val="00BD0B73"/>
    <w:rsid w:val="00BD31A9"/>
    <w:rsid w:val="00BD5C10"/>
    <w:rsid w:val="00BD747D"/>
    <w:rsid w:val="00BE70CC"/>
    <w:rsid w:val="00BF0CB5"/>
    <w:rsid w:val="00BF39AF"/>
    <w:rsid w:val="00BF790E"/>
    <w:rsid w:val="00C014DB"/>
    <w:rsid w:val="00C02572"/>
    <w:rsid w:val="00C063BE"/>
    <w:rsid w:val="00C07DC3"/>
    <w:rsid w:val="00C11CF4"/>
    <w:rsid w:val="00C128B3"/>
    <w:rsid w:val="00C135FF"/>
    <w:rsid w:val="00C14EBB"/>
    <w:rsid w:val="00C211BD"/>
    <w:rsid w:val="00C22E21"/>
    <w:rsid w:val="00C2400C"/>
    <w:rsid w:val="00C26770"/>
    <w:rsid w:val="00C26850"/>
    <w:rsid w:val="00C30219"/>
    <w:rsid w:val="00C30B5C"/>
    <w:rsid w:val="00C32B5E"/>
    <w:rsid w:val="00C331CA"/>
    <w:rsid w:val="00C42D39"/>
    <w:rsid w:val="00C507CC"/>
    <w:rsid w:val="00C5575E"/>
    <w:rsid w:val="00C56DF8"/>
    <w:rsid w:val="00C710A4"/>
    <w:rsid w:val="00C7583B"/>
    <w:rsid w:val="00C8027D"/>
    <w:rsid w:val="00C80AB7"/>
    <w:rsid w:val="00C81248"/>
    <w:rsid w:val="00C81DFC"/>
    <w:rsid w:val="00C82A24"/>
    <w:rsid w:val="00C835A2"/>
    <w:rsid w:val="00C855E5"/>
    <w:rsid w:val="00C93DFC"/>
    <w:rsid w:val="00C9559E"/>
    <w:rsid w:val="00C9673A"/>
    <w:rsid w:val="00C97F25"/>
    <w:rsid w:val="00CA74A0"/>
    <w:rsid w:val="00CB3051"/>
    <w:rsid w:val="00CB6E37"/>
    <w:rsid w:val="00CC5002"/>
    <w:rsid w:val="00CC660D"/>
    <w:rsid w:val="00CC6B2D"/>
    <w:rsid w:val="00CC7667"/>
    <w:rsid w:val="00CD7A1B"/>
    <w:rsid w:val="00CE3004"/>
    <w:rsid w:val="00CF0BCD"/>
    <w:rsid w:val="00CF2340"/>
    <w:rsid w:val="00CF537E"/>
    <w:rsid w:val="00CF6B67"/>
    <w:rsid w:val="00D00D1D"/>
    <w:rsid w:val="00D05B66"/>
    <w:rsid w:val="00D05BD2"/>
    <w:rsid w:val="00D10C7B"/>
    <w:rsid w:val="00D10D1C"/>
    <w:rsid w:val="00D11474"/>
    <w:rsid w:val="00D137D5"/>
    <w:rsid w:val="00D15C2F"/>
    <w:rsid w:val="00D1677C"/>
    <w:rsid w:val="00D23943"/>
    <w:rsid w:val="00D249F3"/>
    <w:rsid w:val="00D417DA"/>
    <w:rsid w:val="00D41A59"/>
    <w:rsid w:val="00D470EF"/>
    <w:rsid w:val="00D51005"/>
    <w:rsid w:val="00D55192"/>
    <w:rsid w:val="00D60323"/>
    <w:rsid w:val="00D603A8"/>
    <w:rsid w:val="00D61DBB"/>
    <w:rsid w:val="00D65B08"/>
    <w:rsid w:val="00D70675"/>
    <w:rsid w:val="00D708C9"/>
    <w:rsid w:val="00D70FC6"/>
    <w:rsid w:val="00D75D1C"/>
    <w:rsid w:val="00D77881"/>
    <w:rsid w:val="00D812B1"/>
    <w:rsid w:val="00D81538"/>
    <w:rsid w:val="00D82A8B"/>
    <w:rsid w:val="00D96F48"/>
    <w:rsid w:val="00DB04B0"/>
    <w:rsid w:val="00DB110F"/>
    <w:rsid w:val="00DB209B"/>
    <w:rsid w:val="00DB3B8A"/>
    <w:rsid w:val="00DC68F5"/>
    <w:rsid w:val="00DD066D"/>
    <w:rsid w:val="00DD17B4"/>
    <w:rsid w:val="00DD355E"/>
    <w:rsid w:val="00DE45C6"/>
    <w:rsid w:val="00DF2FC3"/>
    <w:rsid w:val="00DF461A"/>
    <w:rsid w:val="00DF49C5"/>
    <w:rsid w:val="00E01DF0"/>
    <w:rsid w:val="00E03C5E"/>
    <w:rsid w:val="00E0401A"/>
    <w:rsid w:val="00E136B4"/>
    <w:rsid w:val="00E1460E"/>
    <w:rsid w:val="00E20614"/>
    <w:rsid w:val="00E216B3"/>
    <w:rsid w:val="00E273E3"/>
    <w:rsid w:val="00E32B89"/>
    <w:rsid w:val="00E35FB5"/>
    <w:rsid w:val="00E37301"/>
    <w:rsid w:val="00E40344"/>
    <w:rsid w:val="00E409B7"/>
    <w:rsid w:val="00E41348"/>
    <w:rsid w:val="00E44BA5"/>
    <w:rsid w:val="00E463D4"/>
    <w:rsid w:val="00E51553"/>
    <w:rsid w:val="00E51F9F"/>
    <w:rsid w:val="00E57ED1"/>
    <w:rsid w:val="00E61780"/>
    <w:rsid w:val="00E650AE"/>
    <w:rsid w:val="00E6792A"/>
    <w:rsid w:val="00E73B35"/>
    <w:rsid w:val="00E74600"/>
    <w:rsid w:val="00E87690"/>
    <w:rsid w:val="00E9402D"/>
    <w:rsid w:val="00E95342"/>
    <w:rsid w:val="00EA7BC5"/>
    <w:rsid w:val="00EB5C8E"/>
    <w:rsid w:val="00EB73B3"/>
    <w:rsid w:val="00EC01C8"/>
    <w:rsid w:val="00EC389E"/>
    <w:rsid w:val="00EC43A5"/>
    <w:rsid w:val="00EC59F7"/>
    <w:rsid w:val="00EC6192"/>
    <w:rsid w:val="00ED001A"/>
    <w:rsid w:val="00ED5A07"/>
    <w:rsid w:val="00ED6970"/>
    <w:rsid w:val="00ED7F11"/>
    <w:rsid w:val="00EE05DB"/>
    <w:rsid w:val="00EE194C"/>
    <w:rsid w:val="00EE2AEE"/>
    <w:rsid w:val="00EE36BE"/>
    <w:rsid w:val="00EE6E00"/>
    <w:rsid w:val="00EF115F"/>
    <w:rsid w:val="00EF1FDD"/>
    <w:rsid w:val="00EF23E9"/>
    <w:rsid w:val="00EF2D22"/>
    <w:rsid w:val="00EF3412"/>
    <w:rsid w:val="00EF49F0"/>
    <w:rsid w:val="00EF5B91"/>
    <w:rsid w:val="00EF7A32"/>
    <w:rsid w:val="00F0262C"/>
    <w:rsid w:val="00F03C2F"/>
    <w:rsid w:val="00F03DF9"/>
    <w:rsid w:val="00F122FD"/>
    <w:rsid w:val="00F156C3"/>
    <w:rsid w:val="00F15E74"/>
    <w:rsid w:val="00F16485"/>
    <w:rsid w:val="00F210F9"/>
    <w:rsid w:val="00F22E6D"/>
    <w:rsid w:val="00F32322"/>
    <w:rsid w:val="00F3376C"/>
    <w:rsid w:val="00F35991"/>
    <w:rsid w:val="00F50F55"/>
    <w:rsid w:val="00F51AF3"/>
    <w:rsid w:val="00F60448"/>
    <w:rsid w:val="00F6754D"/>
    <w:rsid w:val="00F80BCB"/>
    <w:rsid w:val="00F83951"/>
    <w:rsid w:val="00F84343"/>
    <w:rsid w:val="00F85D8D"/>
    <w:rsid w:val="00F8613C"/>
    <w:rsid w:val="00F87DC1"/>
    <w:rsid w:val="00F90362"/>
    <w:rsid w:val="00F93126"/>
    <w:rsid w:val="00F9326A"/>
    <w:rsid w:val="00FA2BC9"/>
    <w:rsid w:val="00FA3463"/>
    <w:rsid w:val="00FA5385"/>
    <w:rsid w:val="00FA581C"/>
    <w:rsid w:val="00FB450C"/>
    <w:rsid w:val="00FC1C58"/>
    <w:rsid w:val="00FC7FFE"/>
    <w:rsid w:val="00FD0A5B"/>
    <w:rsid w:val="00FD2585"/>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94F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uiPriority w:val="99"/>
    <w:rsid w:val="00CC6B2D"/>
    <w:pPr>
      <w:numPr>
        <w:numId w:val="16"/>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rFonts w:cs="Times New Roman"/>
      <w:lang w:val="en-US" w:eastAsia="en-US"/>
    </w:rPr>
  </w:style>
  <w:style w:type="character" w:styleId="FootnoteReference">
    <w:name w:val="footnote reference"/>
    <w:aliases w:val="Style 4,Appel note de bas de p,Style 12,(NECG) Footnote Reference,Style 124,Style 13,o,fr,Style 3,FR,Style 17,Style 6,Footnote Reference/,Footnote Reference1"/>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4628B3"/>
    <w:pPr>
      <w:tabs>
        <w:tab w:val="center" w:pos="4680"/>
        <w:tab w:val="right" w:pos="9360"/>
      </w:tabs>
      <w:spacing w:after="240"/>
    </w:pPr>
    <w:rPr>
      <w:b/>
    </w:rPr>
  </w:style>
  <w:style w:type="character" w:customStyle="1" w:styleId="HeaderChar">
    <w:name w:val="Header Char"/>
    <w:basedOn w:val="DefaultParagraphFont"/>
    <w:link w:val="Header"/>
    <w:locked/>
    <w:rsid w:val="004628B3"/>
    <w:rPr>
      <w:b/>
      <w:kern w:val="28"/>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uiPriority w:val="99"/>
    <w:locked/>
    <w:rsid w:val="00226191"/>
    <w:rPr>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rsid w:val="008E2010"/>
    <w:rPr>
      <w:lang w:val="en-US" w:eastAsia="en-US" w:bidi="ar-SA"/>
    </w:rPr>
  </w:style>
  <w:style w:type="table" w:styleId="TableGrid">
    <w:name w:val="Table Grid"/>
    <w:basedOn w:val="TableNormal"/>
    <w:uiPriority w:val="59"/>
    <w:locked/>
    <w:rsid w:val="0019333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409B7"/>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uiPriority w:val="99"/>
    <w:rsid w:val="00CC6B2D"/>
    <w:pPr>
      <w:numPr>
        <w:numId w:val="16"/>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rFonts w:cs="Times New Roman"/>
      <w:lang w:val="en-US" w:eastAsia="en-US"/>
    </w:rPr>
  </w:style>
  <w:style w:type="character" w:styleId="FootnoteReference">
    <w:name w:val="footnote reference"/>
    <w:aliases w:val="Style 4,Appel note de bas de p,Style 12,(NECG) Footnote Reference,Style 124,Style 13,o,fr,Style 3,FR,Style 17,Style 6,Footnote Reference/,Footnote Reference1"/>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4628B3"/>
    <w:pPr>
      <w:tabs>
        <w:tab w:val="center" w:pos="4680"/>
        <w:tab w:val="right" w:pos="9360"/>
      </w:tabs>
      <w:spacing w:after="240"/>
    </w:pPr>
    <w:rPr>
      <w:b/>
    </w:rPr>
  </w:style>
  <w:style w:type="character" w:customStyle="1" w:styleId="HeaderChar">
    <w:name w:val="Header Char"/>
    <w:basedOn w:val="DefaultParagraphFont"/>
    <w:link w:val="Header"/>
    <w:locked/>
    <w:rsid w:val="004628B3"/>
    <w:rPr>
      <w:b/>
      <w:kern w:val="28"/>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uiPriority w:val="99"/>
    <w:locked/>
    <w:rsid w:val="00226191"/>
    <w:rPr>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rsid w:val="008E2010"/>
    <w:rPr>
      <w:lang w:val="en-US" w:eastAsia="en-US" w:bidi="ar-SA"/>
    </w:rPr>
  </w:style>
  <w:style w:type="table" w:styleId="TableGrid">
    <w:name w:val="Table Grid"/>
    <w:basedOn w:val="TableNormal"/>
    <w:uiPriority w:val="59"/>
    <w:locked/>
    <w:rsid w:val="0019333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409B7"/>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nb-online.com/bank/electronic-banking/mobile-banking" TargetMode="External"/><Relationship Id="rId7" Type="http://schemas.openxmlformats.org/officeDocument/2006/relationships/hyperlink" Target="https://www.fnb-online.com/bank/electronic-banking/mobile-banking/apple-pay-terms-conditions" TargetMode="External"/><Relationship Id="rId2" Type="http://schemas.openxmlformats.org/officeDocument/2006/relationships/hyperlink" Target="https://www.apple.com/apple-pay/" TargetMode="External"/><Relationship Id="rId1" Type="http://schemas.openxmlformats.org/officeDocument/2006/relationships/hyperlink" Target="https://www.fnb-online.com/~/media/website%20documents/about%20us/05182015_10840115_fast%20facts_quarter%202.ashx" TargetMode="External"/><Relationship Id="rId6" Type="http://schemas.openxmlformats.org/officeDocument/2006/relationships/hyperlink" Target="https://www.fnb-online.com/~/media/website%20documents/privacy%20policy/privacypolicy2014.ashx" TargetMode="External"/><Relationship Id="rId5" Type="http://schemas.openxmlformats.org/officeDocument/2006/relationships/hyperlink" Target="https://www.fnb-online.com/bank/electronic-banking/mobile-banking/apple-pay-terms-conditions" TargetMode="External"/><Relationship Id="rId4" Type="http://schemas.openxmlformats.org/officeDocument/2006/relationships/hyperlink" Target="https://fnb-onlinebankingcenter.com/FNBPA/Enrollment/Enroll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2486</Words>
  <Characters>13797</Characters>
  <Application>Microsoft Office Word</Application>
  <DocSecurity>0</DocSecurity>
  <Lines>229</Lines>
  <Paragraphs>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16298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2015-09-11T17:43:00Z</dcterms:created>
  <dcterms:modified xsi:type="dcterms:W3CDTF">2015-09-11T17:43:00Z</dcterms:modified>
  <cp:category> </cp:category>
  <cp:contentStatus> </cp:contentStatus>
</cp:coreProperties>
</file>