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3C1" w:rsidRDefault="00DC23C1">
      <w:pPr>
        <w:jc w:val="right"/>
        <w:rPr>
          <w:b/>
          <w:szCs w:val="22"/>
        </w:rPr>
        <w:sectPr w:rsidR="00DC23C1" w:rsidSect="00DC23C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docGrid w:linePitch="299"/>
        </w:sectPr>
      </w:pPr>
      <w:bookmarkStart w:id="1" w:name="_GoBack"/>
      <w:bookmarkEnd w:id="1"/>
    </w:p>
    <w:p w:rsidR="00602577" w:rsidRPr="001602A4" w:rsidRDefault="002975B0">
      <w:pPr>
        <w:jc w:val="right"/>
        <w:rPr>
          <w:b/>
          <w:szCs w:val="22"/>
        </w:rPr>
      </w:pPr>
      <w:r>
        <w:rPr>
          <w:b/>
          <w:szCs w:val="22"/>
        </w:rPr>
        <w:lastRenderedPageBreak/>
        <w:t>DA 15</w:t>
      </w:r>
      <w:r w:rsidR="008F4794" w:rsidRPr="001602A4">
        <w:rPr>
          <w:b/>
          <w:szCs w:val="22"/>
        </w:rPr>
        <w:t>-</w:t>
      </w:r>
      <w:r w:rsidR="00291756">
        <w:rPr>
          <w:b/>
          <w:szCs w:val="22"/>
        </w:rPr>
        <w:t>99</w:t>
      </w:r>
    </w:p>
    <w:p w:rsidR="00602577" w:rsidRPr="001602A4" w:rsidRDefault="00AB0DE7">
      <w:pPr>
        <w:spacing w:before="60"/>
        <w:jc w:val="right"/>
        <w:rPr>
          <w:b/>
          <w:szCs w:val="22"/>
        </w:rPr>
      </w:pPr>
      <w:r w:rsidRPr="001602A4">
        <w:rPr>
          <w:b/>
          <w:szCs w:val="22"/>
        </w:rPr>
        <w:t xml:space="preserve">Released: </w:t>
      </w:r>
      <w:r w:rsidR="004A3A66">
        <w:rPr>
          <w:b/>
          <w:szCs w:val="22"/>
        </w:rPr>
        <w:t>January 23</w:t>
      </w:r>
      <w:r w:rsidR="002975B0">
        <w:rPr>
          <w:b/>
          <w:szCs w:val="22"/>
        </w:rPr>
        <w:t>, 2015</w:t>
      </w:r>
    </w:p>
    <w:p w:rsidR="00602577" w:rsidRPr="001602A4" w:rsidRDefault="00602577">
      <w:pPr>
        <w:jc w:val="right"/>
        <w:rPr>
          <w:szCs w:val="22"/>
        </w:rPr>
      </w:pPr>
    </w:p>
    <w:p w:rsidR="002F5771" w:rsidRDefault="008F4794" w:rsidP="002F5771">
      <w:pPr>
        <w:jc w:val="center"/>
        <w:rPr>
          <w:b/>
          <w:szCs w:val="22"/>
        </w:rPr>
      </w:pPr>
      <w:r w:rsidRPr="001602A4">
        <w:rPr>
          <w:b/>
          <w:szCs w:val="22"/>
        </w:rPr>
        <w:t>WIRELINE COMPETITION BUREAU</w:t>
      </w:r>
      <w:r w:rsidR="007A347E">
        <w:rPr>
          <w:b/>
          <w:szCs w:val="22"/>
        </w:rPr>
        <w:t xml:space="preserve"> </w:t>
      </w:r>
      <w:r w:rsidR="002F5771">
        <w:rPr>
          <w:b/>
          <w:szCs w:val="22"/>
        </w:rPr>
        <w:t xml:space="preserve">REMINDS </w:t>
      </w:r>
      <w:r w:rsidR="002975B0" w:rsidRPr="001602A4">
        <w:rPr>
          <w:b/>
          <w:szCs w:val="22"/>
        </w:rPr>
        <w:t xml:space="preserve">PROVISIONALLY </w:t>
      </w:r>
    </w:p>
    <w:p w:rsidR="002F5771" w:rsidRDefault="002975B0" w:rsidP="002F5771">
      <w:pPr>
        <w:jc w:val="center"/>
        <w:rPr>
          <w:b/>
          <w:szCs w:val="22"/>
        </w:rPr>
      </w:pPr>
      <w:r w:rsidRPr="001602A4">
        <w:rPr>
          <w:b/>
          <w:szCs w:val="22"/>
        </w:rPr>
        <w:t xml:space="preserve">SELECTED </w:t>
      </w:r>
      <w:r w:rsidR="006B6606">
        <w:rPr>
          <w:b/>
          <w:szCs w:val="22"/>
        </w:rPr>
        <w:t>RURAL BROADBAND EXPERIMENT</w:t>
      </w:r>
      <w:r w:rsidR="000469C9">
        <w:rPr>
          <w:b/>
          <w:szCs w:val="22"/>
        </w:rPr>
        <w:t>S</w:t>
      </w:r>
      <w:r w:rsidRPr="002975B0">
        <w:rPr>
          <w:b/>
          <w:szCs w:val="22"/>
        </w:rPr>
        <w:t xml:space="preserve"> </w:t>
      </w:r>
      <w:r w:rsidRPr="001602A4">
        <w:rPr>
          <w:b/>
          <w:szCs w:val="22"/>
        </w:rPr>
        <w:t>BIDDERS</w:t>
      </w:r>
      <w:r w:rsidR="002F5771">
        <w:rPr>
          <w:b/>
          <w:szCs w:val="22"/>
        </w:rPr>
        <w:t xml:space="preserve"> OF </w:t>
      </w:r>
    </w:p>
    <w:p w:rsidR="00602577" w:rsidRPr="001602A4" w:rsidRDefault="002F5771" w:rsidP="002F5771">
      <w:pPr>
        <w:spacing w:after="200"/>
        <w:jc w:val="center"/>
        <w:rPr>
          <w:b/>
          <w:szCs w:val="22"/>
        </w:rPr>
      </w:pPr>
      <w:r>
        <w:rPr>
          <w:b/>
          <w:szCs w:val="22"/>
        </w:rPr>
        <w:t>LETTER OF CREDIT REQUIREMENTS</w:t>
      </w:r>
      <w:r w:rsidR="001602A4" w:rsidRPr="001602A4">
        <w:rPr>
          <w:b/>
          <w:szCs w:val="22"/>
        </w:rPr>
        <w:t xml:space="preserve"> </w:t>
      </w:r>
    </w:p>
    <w:p w:rsidR="006B37D8" w:rsidRPr="001602A4" w:rsidRDefault="008F4794" w:rsidP="006B37D8">
      <w:pPr>
        <w:jc w:val="center"/>
        <w:rPr>
          <w:b/>
          <w:szCs w:val="22"/>
        </w:rPr>
      </w:pPr>
      <w:r w:rsidRPr="001602A4">
        <w:rPr>
          <w:b/>
          <w:szCs w:val="22"/>
        </w:rPr>
        <w:t>WC Docket No. 10-90</w:t>
      </w:r>
      <w:r w:rsidR="009D3A93" w:rsidRPr="001602A4">
        <w:rPr>
          <w:b/>
          <w:szCs w:val="22"/>
        </w:rPr>
        <w:t xml:space="preserve"> </w:t>
      </w:r>
    </w:p>
    <w:p w:rsidR="00602577" w:rsidRPr="001602A4" w:rsidRDefault="006B37D8" w:rsidP="004E0D23">
      <w:pPr>
        <w:spacing w:after="240"/>
        <w:jc w:val="center"/>
        <w:rPr>
          <w:b/>
          <w:szCs w:val="22"/>
        </w:rPr>
      </w:pPr>
      <w:r w:rsidRPr="001602A4">
        <w:rPr>
          <w:b/>
          <w:szCs w:val="22"/>
        </w:rPr>
        <w:t xml:space="preserve">WC Docket No. </w:t>
      </w:r>
      <w:r w:rsidR="009D3A93" w:rsidRPr="001602A4">
        <w:rPr>
          <w:b/>
          <w:szCs w:val="22"/>
        </w:rPr>
        <w:t>14-259</w:t>
      </w:r>
    </w:p>
    <w:p w:rsidR="001602A4" w:rsidRDefault="008F4794" w:rsidP="001602A4">
      <w:pPr>
        <w:spacing w:after="120"/>
        <w:rPr>
          <w:szCs w:val="22"/>
        </w:rPr>
      </w:pPr>
      <w:r>
        <w:rPr>
          <w:sz w:val="24"/>
        </w:rPr>
        <w:tab/>
      </w:r>
      <w:r w:rsidR="001602A4" w:rsidRPr="001602A4">
        <w:rPr>
          <w:szCs w:val="22"/>
        </w:rPr>
        <w:t>On December 5, 2014, the Wireline Competition Bureau (Bureau) released a list of 37 entities provisionally selected as winning bidders for rural broadband experiments support.</w:t>
      </w:r>
      <w:r w:rsidR="001602A4" w:rsidRPr="001602A4">
        <w:rPr>
          <w:rStyle w:val="FootnoteReference"/>
          <w:szCs w:val="22"/>
        </w:rPr>
        <w:footnoteReference w:id="1"/>
      </w:r>
      <w:r w:rsidR="001602A4" w:rsidRPr="001602A4">
        <w:rPr>
          <w:szCs w:val="22"/>
        </w:rPr>
        <w:t xml:space="preserve">  As part of the</w:t>
      </w:r>
      <w:r w:rsidR="00593120">
        <w:rPr>
          <w:szCs w:val="22"/>
        </w:rPr>
        <w:t xml:space="preserve"> continuing process to </w:t>
      </w:r>
      <w:r w:rsidR="001602A4" w:rsidRPr="001602A4">
        <w:rPr>
          <w:szCs w:val="22"/>
        </w:rPr>
        <w:t xml:space="preserve">be authorized to receive such </w:t>
      </w:r>
      <w:r w:rsidR="00590501">
        <w:rPr>
          <w:szCs w:val="22"/>
        </w:rPr>
        <w:t xml:space="preserve">Connect America Fund </w:t>
      </w:r>
      <w:r w:rsidR="00C9124F">
        <w:rPr>
          <w:szCs w:val="22"/>
        </w:rPr>
        <w:t xml:space="preserve">support, </w:t>
      </w:r>
      <w:r w:rsidR="00593120">
        <w:rPr>
          <w:szCs w:val="22"/>
        </w:rPr>
        <w:t>provisionally selected bidders a</w:t>
      </w:r>
      <w:r w:rsidR="001602A4" w:rsidRPr="001602A4">
        <w:rPr>
          <w:szCs w:val="22"/>
        </w:rPr>
        <w:t xml:space="preserve">re required to submit </w:t>
      </w:r>
      <w:r w:rsidR="00593120">
        <w:rPr>
          <w:szCs w:val="22"/>
        </w:rPr>
        <w:t>a letter</w:t>
      </w:r>
      <w:r w:rsidR="00C9124F">
        <w:rPr>
          <w:szCs w:val="22"/>
        </w:rPr>
        <w:t xml:space="preserve"> from an acceptable bank committing to issue an irrevocable stand-by original letter of credit (LOC) to that entity.</w:t>
      </w:r>
      <w:r w:rsidR="00C9124F">
        <w:rPr>
          <w:rStyle w:val="FootnoteReference"/>
          <w:szCs w:val="22"/>
        </w:rPr>
        <w:footnoteReference w:id="2"/>
      </w:r>
      <w:r w:rsidR="00C9124F">
        <w:rPr>
          <w:szCs w:val="22"/>
        </w:rPr>
        <w:t xml:space="preserve">  </w:t>
      </w:r>
      <w:r w:rsidR="00A65669">
        <w:rPr>
          <w:szCs w:val="22"/>
        </w:rPr>
        <w:t>These entities</w:t>
      </w:r>
      <w:r w:rsidR="00C9124F">
        <w:rPr>
          <w:szCs w:val="22"/>
        </w:rPr>
        <w:t xml:space="preserve"> must </w:t>
      </w:r>
      <w:r w:rsidR="00FB6CBD">
        <w:rPr>
          <w:szCs w:val="22"/>
        </w:rPr>
        <w:t>submit</w:t>
      </w:r>
      <w:r w:rsidR="00C9124F">
        <w:rPr>
          <w:szCs w:val="22"/>
        </w:rPr>
        <w:t xml:space="preserve"> their LOC commitment letters to the FCC </w:t>
      </w:r>
      <w:r w:rsidR="00CB698E">
        <w:rPr>
          <w:szCs w:val="22"/>
        </w:rPr>
        <w:t xml:space="preserve">through </w:t>
      </w:r>
      <w:r w:rsidR="00C9124F">
        <w:rPr>
          <w:szCs w:val="22"/>
        </w:rPr>
        <w:t xml:space="preserve">Form 5620 </w:t>
      </w:r>
      <w:r w:rsidR="00593120">
        <w:rPr>
          <w:szCs w:val="22"/>
        </w:rPr>
        <w:t>by Tuesd</w:t>
      </w:r>
      <w:r w:rsidR="001602A4">
        <w:rPr>
          <w:szCs w:val="22"/>
        </w:rPr>
        <w:t xml:space="preserve">ay, </w:t>
      </w:r>
      <w:r w:rsidR="00593120">
        <w:rPr>
          <w:szCs w:val="22"/>
        </w:rPr>
        <w:t>February 3</w:t>
      </w:r>
      <w:r w:rsidR="00D8356A">
        <w:rPr>
          <w:szCs w:val="22"/>
        </w:rPr>
        <w:t>.</w:t>
      </w:r>
      <w:r w:rsidR="00D1323C">
        <w:rPr>
          <w:rStyle w:val="FootnoteReference"/>
          <w:szCs w:val="22"/>
        </w:rPr>
        <w:footnoteReference w:id="3"/>
      </w:r>
      <w:r w:rsidR="00D1323C">
        <w:rPr>
          <w:szCs w:val="22"/>
        </w:rPr>
        <w:t xml:space="preserve">  </w:t>
      </w:r>
      <w:r w:rsidR="00A65669">
        <w:rPr>
          <w:szCs w:val="22"/>
        </w:rPr>
        <w:t>Today, i</w:t>
      </w:r>
      <w:r w:rsidR="00321B8A">
        <w:rPr>
          <w:szCs w:val="22"/>
        </w:rPr>
        <w:t>n response to informal discussions with a number of the p</w:t>
      </w:r>
      <w:r w:rsidR="00A65669">
        <w:rPr>
          <w:szCs w:val="22"/>
        </w:rPr>
        <w:t xml:space="preserve">rovisionally selected bidders, </w:t>
      </w:r>
      <w:r w:rsidR="00321B8A">
        <w:rPr>
          <w:szCs w:val="22"/>
        </w:rPr>
        <w:t xml:space="preserve">the Bureau </w:t>
      </w:r>
      <w:r w:rsidR="009C6769">
        <w:rPr>
          <w:szCs w:val="22"/>
        </w:rPr>
        <w:t xml:space="preserve">summarizes for </w:t>
      </w:r>
      <w:r w:rsidR="00FB6CBD">
        <w:rPr>
          <w:szCs w:val="22"/>
        </w:rPr>
        <w:t xml:space="preserve">provisionally selected </w:t>
      </w:r>
      <w:r w:rsidR="00321B8A">
        <w:rPr>
          <w:szCs w:val="22"/>
        </w:rPr>
        <w:t xml:space="preserve">entities </w:t>
      </w:r>
      <w:r w:rsidR="00090186">
        <w:rPr>
          <w:szCs w:val="22"/>
        </w:rPr>
        <w:t xml:space="preserve">several aspects of the </w:t>
      </w:r>
      <w:r w:rsidR="001B782B">
        <w:rPr>
          <w:szCs w:val="22"/>
        </w:rPr>
        <w:t>LOC</w:t>
      </w:r>
      <w:r w:rsidR="00090186">
        <w:rPr>
          <w:szCs w:val="22"/>
        </w:rPr>
        <w:t xml:space="preserve"> requirements.  </w:t>
      </w:r>
    </w:p>
    <w:p w:rsidR="0006288C" w:rsidRDefault="001602A4" w:rsidP="003A29DE">
      <w:pPr>
        <w:spacing w:before="120" w:after="120"/>
        <w:rPr>
          <w:szCs w:val="22"/>
        </w:rPr>
      </w:pPr>
      <w:r>
        <w:rPr>
          <w:szCs w:val="22"/>
        </w:rPr>
        <w:tab/>
      </w:r>
      <w:r w:rsidR="00A65669">
        <w:rPr>
          <w:szCs w:val="22"/>
        </w:rPr>
        <w:t xml:space="preserve">In the </w:t>
      </w:r>
      <w:r w:rsidR="00A65669">
        <w:rPr>
          <w:i/>
          <w:szCs w:val="22"/>
        </w:rPr>
        <w:t xml:space="preserve">Rural Broadband Experiments </w:t>
      </w:r>
      <w:r w:rsidR="00A65669" w:rsidRPr="00A65669">
        <w:rPr>
          <w:i/>
          <w:szCs w:val="22"/>
        </w:rPr>
        <w:t>Order</w:t>
      </w:r>
      <w:r w:rsidR="00A65669">
        <w:rPr>
          <w:szCs w:val="22"/>
        </w:rPr>
        <w:t xml:space="preserve">, the Commission </w:t>
      </w:r>
      <w:r w:rsidR="005D6303">
        <w:rPr>
          <w:szCs w:val="22"/>
        </w:rPr>
        <w:t>explained</w:t>
      </w:r>
      <w:r w:rsidR="003C222E">
        <w:rPr>
          <w:szCs w:val="22"/>
        </w:rPr>
        <w:t xml:space="preserve"> that </w:t>
      </w:r>
      <w:r w:rsidR="005D6303">
        <w:rPr>
          <w:szCs w:val="22"/>
        </w:rPr>
        <w:t>requiring entities to</w:t>
      </w:r>
      <w:r w:rsidR="004A7287">
        <w:rPr>
          <w:szCs w:val="22"/>
        </w:rPr>
        <w:t xml:space="preserve"> obtain</w:t>
      </w:r>
      <w:r w:rsidR="005D6303">
        <w:rPr>
          <w:szCs w:val="22"/>
        </w:rPr>
        <w:t xml:space="preserve"> </w:t>
      </w:r>
      <w:r w:rsidR="003C222E">
        <w:rPr>
          <w:szCs w:val="22"/>
        </w:rPr>
        <w:t>LOC</w:t>
      </w:r>
      <w:r w:rsidR="005D6303">
        <w:rPr>
          <w:szCs w:val="22"/>
        </w:rPr>
        <w:t>s</w:t>
      </w:r>
      <w:r w:rsidR="003C222E">
        <w:rPr>
          <w:szCs w:val="22"/>
        </w:rPr>
        <w:t xml:space="preserve"> would </w:t>
      </w:r>
      <w:r w:rsidR="005D6303">
        <w:rPr>
          <w:szCs w:val="22"/>
        </w:rPr>
        <w:t xml:space="preserve">enable it to immediately reclaim disbursed funds in the event </w:t>
      </w:r>
      <w:r w:rsidR="00D011F4">
        <w:rPr>
          <w:szCs w:val="22"/>
        </w:rPr>
        <w:t xml:space="preserve">a </w:t>
      </w:r>
      <w:r w:rsidR="005D6303">
        <w:rPr>
          <w:szCs w:val="22"/>
        </w:rPr>
        <w:t xml:space="preserve">recipient was not using such support to further </w:t>
      </w:r>
      <w:r w:rsidR="003C222E" w:rsidRPr="003C222E">
        <w:rPr>
          <w:szCs w:val="22"/>
        </w:rPr>
        <w:t>the objectives of universal service.</w:t>
      </w:r>
      <w:r w:rsidR="005D6303">
        <w:rPr>
          <w:rStyle w:val="FootnoteReference"/>
          <w:szCs w:val="22"/>
        </w:rPr>
        <w:footnoteReference w:id="4"/>
      </w:r>
      <w:r w:rsidR="005D6303">
        <w:rPr>
          <w:szCs w:val="22"/>
        </w:rPr>
        <w:t xml:space="preserve">  The Commission</w:t>
      </w:r>
      <w:r w:rsidR="003A29DE">
        <w:rPr>
          <w:szCs w:val="22"/>
        </w:rPr>
        <w:t>’s intent</w:t>
      </w:r>
      <w:r w:rsidR="005D6303">
        <w:rPr>
          <w:szCs w:val="22"/>
        </w:rPr>
        <w:t xml:space="preserve"> </w:t>
      </w:r>
      <w:r w:rsidR="004549F8">
        <w:rPr>
          <w:szCs w:val="22"/>
        </w:rPr>
        <w:t xml:space="preserve">was to ensure that the public funds disbursed </w:t>
      </w:r>
      <w:r w:rsidR="00D41E8A">
        <w:rPr>
          <w:szCs w:val="22"/>
        </w:rPr>
        <w:t>over the course of</w:t>
      </w:r>
      <w:r w:rsidR="004549F8">
        <w:rPr>
          <w:szCs w:val="22"/>
        </w:rPr>
        <w:t xml:space="preserve"> the 10-year support term of the rural broadband experiments </w:t>
      </w:r>
      <w:r w:rsidR="00CB698E">
        <w:rPr>
          <w:szCs w:val="22"/>
        </w:rPr>
        <w:t xml:space="preserve">are </w:t>
      </w:r>
      <w:r w:rsidR="003A29DE">
        <w:rPr>
          <w:szCs w:val="22"/>
        </w:rPr>
        <w:t>used to</w:t>
      </w:r>
      <w:r w:rsidR="004549F8">
        <w:rPr>
          <w:szCs w:val="22"/>
        </w:rPr>
        <w:t xml:space="preserve"> build and</w:t>
      </w:r>
      <w:r w:rsidR="00D41E8A">
        <w:rPr>
          <w:szCs w:val="22"/>
        </w:rPr>
        <w:t xml:space="preserve"> </w:t>
      </w:r>
      <w:r w:rsidR="003A29DE">
        <w:rPr>
          <w:szCs w:val="22"/>
        </w:rPr>
        <w:t>maintai</w:t>
      </w:r>
      <w:r w:rsidR="00D41E8A">
        <w:rPr>
          <w:szCs w:val="22"/>
        </w:rPr>
        <w:t>n</w:t>
      </w:r>
      <w:r w:rsidR="004549F8">
        <w:rPr>
          <w:szCs w:val="22"/>
        </w:rPr>
        <w:t xml:space="preserve"> robust</w:t>
      </w:r>
      <w:r w:rsidR="003A29DE">
        <w:rPr>
          <w:szCs w:val="22"/>
        </w:rPr>
        <w:t xml:space="preserve"> </w:t>
      </w:r>
      <w:r w:rsidR="004549F8">
        <w:rPr>
          <w:szCs w:val="22"/>
        </w:rPr>
        <w:t>voice and broadband capable networks.</w:t>
      </w:r>
      <w:r w:rsidR="00D41E8A">
        <w:rPr>
          <w:szCs w:val="22"/>
        </w:rPr>
        <w:t xml:space="preserve">  </w:t>
      </w:r>
    </w:p>
    <w:p w:rsidR="003A29DE" w:rsidRDefault="00CB698E" w:rsidP="0006288C">
      <w:pPr>
        <w:spacing w:before="120" w:after="120"/>
        <w:ind w:firstLine="720"/>
        <w:rPr>
          <w:szCs w:val="22"/>
        </w:rPr>
      </w:pPr>
      <w:r>
        <w:rPr>
          <w:szCs w:val="22"/>
        </w:rPr>
        <w:t>T</w:t>
      </w:r>
      <w:r w:rsidR="004A7287">
        <w:rPr>
          <w:szCs w:val="22"/>
        </w:rPr>
        <w:t xml:space="preserve">he Commission </w:t>
      </w:r>
      <w:r>
        <w:rPr>
          <w:szCs w:val="22"/>
        </w:rPr>
        <w:t>expressly contemplated that participants in the experiments might meet the LOC requirement in a variety of ways.  T</w:t>
      </w:r>
      <w:r w:rsidR="008A5E4C">
        <w:rPr>
          <w:szCs w:val="22"/>
        </w:rPr>
        <w:t>he Commission’</w:t>
      </w:r>
      <w:r w:rsidR="003A29DE">
        <w:rPr>
          <w:szCs w:val="22"/>
        </w:rPr>
        <w:t>s i</w:t>
      </w:r>
      <w:r w:rsidR="008A5E4C">
        <w:rPr>
          <w:szCs w:val="22"/>
        </w:rPr>
        <w:t xml:space="preserve">llustrative </w:t>
      </w:r>
      <w:r w:rsidR="00D06900">
        <w:rPr>
          <w:szCs w:val="22"/>
        </w:rPr>
        <w:t>LOC</w:t>
      </w:r>
      <w:r w:rsidR="003A29DE">
        <w:rPr>
          <w:szCs w:val="22"/>
        </w:rPr>
        <w:t xml:space="preserve"> notes that</w:t>
      </w:r>
      <w:r w:rsidR="008A5E4C" w:rsidRPr="008A5E4C">
        <w:rPr>
          <w:szCs w:val="22"/>
        </w:rPr>
        <w:t xml:space="preserve"> “the amount of the Letter of Credit shall increase/additional letter(s) of credit shall be issued as additional funds are </w:t>
      </w:r>
      <w:r w:rsidR="008A5E4C" w:rsidRPr="008A5E4C">
        <w:rPr>
          <w:szCs w:val="22"/>
        </w:rPr>
        <w:lastRenderedPageBreak/>
        <w:t>disbursed pursuant to the terms of the Order.”</w:t>
      </w:r>
      <w:r w:rsidR="008A5E4C">
        <w:rPr>
          <w:rStyle w:val="FootnoteReference"/>
          <w:szCs w:val="22"/>
        </w:rPr>
        <w:footnoteReference w:id="5"/>
      </w:r>
      <w:r w:rsidR="008A5E4C">
        <w:rPr>
          <w:szCs w:val="22"/>
        </w:rPr>
        <w:t xml:space="preserve">  </w:t>
      </w:r>
      <w:r w:rsidR="00D06900">
        <w:rPr>
          <w:szCs w:val="22"/>
        </w:rPr>
        <w:t xml:space="preserve">Thus, </w:t>
      </w:r>
      <w:r w:rsidR="003A29DE">
        <w:rPr>
          <w:szCs w:val="22"/>
        </w:rPr>
        <w:t xml:space="preserve">the Commission </w:t>
      </w:r>
      <w:r w:rsidR="004A7287">
        <w:rPr>
          <w:szCs w:val="22"/>
        </w:rPr>
        <w:t xml:space="preserve">contemplated that selected entities </w:t>
      </w:r>
      <w:r>
        <w:rPr>
          <w:szCs w:val="22"/>
        </w:rPr>
        <w:t>would have flexibility in how they structure these arrangements and might choose to</w:t>
      </w:r>
      <w:r w:rsidR="0006288C">
        <w:rPr>
          <w:szCs w:val="22"/>
        </w:rPr>
        <w:t xml:space="preserve"> </w:t>
      </w:r>
      <w:r w:rsidR="004A7287">
        <w:rPr>
          <w:szCs w:val="22"/>
        </w:rPr>
        <w:t xml:space="preserve">obtain multiple </w:t>
      </w:r>
      <w:r w:rsidR="003A29DE">
        <w:rPr>
          <w:szCs w:val="22"/>
        </w:rPr>
        <w:t>LOCs over the support term.</w:t>
      </w:r>
      <w:r w:rsidR="004A7287">
        <w:rPr>
          <w:szCs w:val="22"/>
        </w:rPr>
        <w:t xml:space="preserve">  </w:t>
      </w:r>
    </w:p>
    <w:p w:rsidR="002F5771" w:rsidRDefault="003A29DE" w:rsidP="003A29DE">
      <w:pPr>
        <w:spacing w:before="120" w:after="120"/>
        <w:rPr>
          <w:szCs w:val="22"/>
        </w:rPr>
      </w:pPr>
      <w:r>
        <w:rPr>
          <w:szCs w:val="22"/>
        </w:rPr>
        <w:tab/>
      </w:r>
      <w:r w:rsidR="00CB698E">
        <w:rPr>
          <w:szCs w:val="22"/>
        </w:rPr>
        <w:t>E</w:t>
      </w:r>
      <w:r w:rsidR="00D011F4">
        <w:rPr>
          <w:szCs w:val="22"/>
        </w:rPr>
        <w:t>ntities</w:t>
      </w:r>
      <w:r>
        <w:rPr>
          <w:szCs w:val="22"/>
        </w:rPr>
        <w:t xml:space="preserve"> </w:t>
      </w:r>
      <w:r w:rsidR="008A5E4C">
        <w:rPr>
          <w:szCs w:val="22"/>
        </w:rPr>
        <w:t xml:space="preserve">may negotiate all the terms of their LOC with the issuing bank, including the length of the LOC, so long as </w:t>
      </w:r>
      <w:r>
        <w:rPr>
          <w:szCs w:val="22"/>
        </w:rPr>
        <w:t>they hold</w:t>
      </w:r>
      <w:r w:rsidR="008A5E4C">
        <w:rPr>
          <w:szCs w:val="22"/>
        </w:rPr>
        <w:t xml:space="preserve"> a LOC</w:t>
      </w:r>
      <w:r>
        <w:rPr>
          <w:szCs w:val="22"/>
        </w:rPr>
        <w:t xml:space="preserve"> in each of the 10 years that they</w:t>
      </w:r>
      <w:r w:rsidR="008A5E4C">
        <w:rPr>
          <w:szCs w:val="22"/>
        </w:rPr>
        <w:t xml:space="preserve"> receive support.  For example, a</w:t>
      </w:r>
      <w:r w:rsidR="009C6769">
        <w:rPr>
          <w:szCs w:val="22"/>
        </w:rPr>
        <w:t xml:space="preserve"> recipient of funding </w:t>
      </w:r>
      <w:r w:rsidR="001B782B">
        <w:rPr>
          <w:szCs w:val="22"/>
        </w:rPr>
        <w:t>c</w:t>
      </w:r>
      <w:r w:rsidR="008A5E4C">
        <w:rPr>
          <w:szCs w:val="22"/>
        </w:rPr>
        <w:t>ould obtain a LOC that remains open until it complete</w:t>
      </w:r>
      <w:r w:rsidR="00925BD1">
        <w:rPr>
          <w:szCs w:val="22"/>
        </w:rPr>
        <w:t>s</w:t>
      </w:r>
      <w:r w:rsidR="00D8274E">
        <w:rPr>
          <w:szCs w:val="22"/>
        </w:rPr>
        <w:t xml:space="preserve"> the build-</w:t>
      </w:r>
      <w:r w:rsidR="008A5E4C">
        <w:rPr>
          <w:szCs w:val="22"/>
        </w:rPr>
        <w:t>out of its network</w:t>
      </w:r>
      <w:r>
        <w:rPr>
          <w:szCs w:val="22"/>
        </w:rPr>
        <w:t xml:space="preserve"> and covers</w:t>
      </w:r>
      <w:r w:rsidR="00925BD1">
        <w:rPr>
          <w:szCs w:val="22"/>
        </w:rPr>
        <w:t xml:space="preserve"> the</w:t>
      </w:r>
      <w:r w:rsidR="008A5E4C">
        <w:rPr>
          <w:szCs w:val="22"/>
        </w:rPr>
        <w:t xml:space="preserve"> first five years of support</w:t>
      </w:r>
      <w:r>
        <w:rPr>
          <w:szCs w:val="22"/>
        </w:rPr>
        <w:t xml:space="preserve"> it receives</w:t>
      </w:r>
      <w:r w:rsidR="008A5E4C">
        <w:rPr>
          <w:szCs w:val="22"/>
        </w:rPr>
        <w:t>.</w:t>
      </w:r>
      <w:r w:rsidR="00925BD1">
        <w:rPr>
          <w:rStyle w:val="FootnoteReference"/>
          <w:szCs w:val="22"/>
        </w:rPr>
        <w:footnoteReference w:id="6"/>
      </w:r>
      <w:r w:rsidR="00D8274E">
        <w:rPr>
          <w:szCs w:val="22"/>
        </w:rPr>
        <w:t xml:space="preserve">  Once the build-</w:t>
      </w:r>
      <w:r w:rsidR="00925BD1">
        <w:rPr>
          <w:szCs w:val="22"/>
        </w:rPr>
        <w:t xml:space="preserve">out is complete, the </w:t>
      </w:r>
      <w:r w:rsidR="009C6769">
        <w:rPr>
          <w:szCs w:val="22"/>
        </w:rPr>
        <w:t xml:space="preserve">recipient of funding </w:t>
      </w:r>
      <w:r>
        <w:rPr>
          <w:szCs w:val="22"/>
        </w:rPr>
        <w:t>could close its</w:t>
      </w:r>
      <w:r w:rsidR="00925BD1">
        <w:rPr>
          <w:szCs w:val="22"/>
        </w:rPr>
        <w:t xml:space="preserve"> original LOC </w:t>
      </w:r>
      <w:r>
        <w:rPr>
          <w:szCs w:val="22"/>
        </w:rPr>
        <w:t xml:space="preserve">and </w:t>
      </w:r>
      <w:r w:rsidR="00925BD1">
        <w:rPr>
          <w:szCs w:val="22"/>
        </w:rPr>
        <w:t>obtain another LOC</w:t>
      </w:r>
      <w:r w:rsidR="002F5771">
        <w:rPr>
          <w:szCs w:val="22"/>
        </w:rPr>
        <w:t xml:space="preserve"> from the same or different institution</w:t>
      </w:r>
      <w:r w:rsidR="007F3EF6">
        <w:rPr>
          <w:szCs w:val="22"/>
        </w:rPr>
        <w:t>.</w:t>
      </w:r>
      <w:r w:rsidR="0006288C">
        <w:rPr>
          <w:szCs w:val="22"/>
        </w:rPr>
        <w:t xml:space="preserve">  We </w:t>
      </w:r>
      <w:r w:rsidR="00D011F4">
        <w:rPr>
          <w:szCs w:val="22"/>
        </w:rPr>
        <w:t xml:space="preserve">conclude </w:t>
      </w:r>
      <w:r w:rsidR="0006288C">
        <w:rPr>
          <w:szCs w:val="22"/>
        </w:rPr>
        <w:t>that this arrangement, as well as similar arrangements, w</w:t>
      </w:r>
      <w:r w:rsidR="00D011F4">
        <w:rPr>
          <w:szCs w:val="22"/>
        </w:rPr>
        <w:t xml:space="preserve">ould be </w:t>
      </w:r>
      <w:r w:rsidR="0006288C">
        <w:rPr>
          <w:szCs w:val="22"/>
        </w:rPr>
        <w:t>consistent with the Commission’s requir</w:t>
      </w:r>
      <w:r w:rsidR="009C6769">
        <w:rPr>
          <w:szCs w:val="22"/>
        </w:rPr>
        <w:t xml:space="preserve">ement that </w:t>
      </w:r>
      <w:r w:rsidR="0006288C">
        <w:rPr>
          <w:szCs w:val="22"/>
        </w:rPr>
        <w:t>entities obtain LOCs for their selected projects</w:t>
      </w:r>
      <w:r w:rsidR="00CB698E">
        <w:rPr>
          <w:szCs w:val="22"/>
        </w:rPr>
        <w:t xml:space="preserve"> for the ten-year term of support</w:t>
      </w:r>
      <w:r w:rsidR="0006288C">
        <w:rPr>
          <w:szCs w:val="22"/>
        </w:rPr>
        <w:t>.</w:t>
      </w:r>
      <w:r w:rsidR="0006288C">
        <w:rPr>
          <w:rStyle w:val="FootnoteReference"/>
          <w:szCs w:val="22"/>
        </w:rPr>
        <w:footnoteReference w:id="7"/>
      </w:r>
      <w:r w:rsidR="00925BD1">
        <w:rPr>
          <w:szCs w:val="22"/>
        </w:rPr>
        <w:t xml:space="preserve"> </w:t>
      </w:r>
      <w:r w:rsidR="008A5E4C">
        <w:rPr>
          <w:szCs w:val="22"/>
        </w:rPr>
        <w:t xml:space="preserve">   </w:t>
      </w:r>
      <w:r w:rsidR="00D41E8A">
        <w:rPr>
          <w:szCs w:val="22"/>
        </w:rPr>
        <w:t xml:space="preserve"> </w:t>
      </w:r>
      <w:r w:rsidR="004549F8">
        <w:rPr>
          <w:szCs w:val="22"/>
        </w:rPr>
        <w:t xml:space="preserve"> </w:t>
      </w:r>
    </w:p>
    <w:p w:rsidR="00090186" w:rsidRDefault="002F5771" w:rsidP="003A29DE">
      <w:pPr>
        <w:spacing w:before="120" w:after="120"/>
        <w:rPr>
          <w:szCs w:val="22"/>
        </w:rPr>
      </w:pPr>
      <w:r>
        <w:rPr>
          <w:szCs w:val="22"/>
        </w:rPr>
        <w:tab/>
        <w:t xml:space="preserve">Entities also are </w:t>
      </w:r>
      <w:r w:rsidR="00565076">
        <w:rPr>
          <w:szCs w:val="22"/>
        </w:rPr>
        <w:t>reminded that the</w:t>
      </w:r>
      <w:r>
        <w:rPr>
          <w:szCs w:val="22"/>
        </w:rPr>
        <w:t xml:space="preserve"> commitment letter </w:t>
      </w:r>
      <w:r w:rsidR="009C6769">
        <w:rPr>
          <w:szCs w:val="22"/>
        </w:rPr>
        <w:t>that must be submitted by February 3</w:t>
      </w:r>
      <w:r w:rsidR="001B782B" w:rsidRPr="001B782B">
        <w:rPr>
          <w:szCs w:val="22"/>
          <w:vertAlign w:val="superscript"/>
        </w:rPr>
        <w:t>rd</w:t>
      </w:r>
      <w:r w:rsidR="009C6769">
        <w:rPr>
          <w:szCs w:val="22"/>
        </w:rPr>
        <w:t xml:space="preserve"> only </w:t>
      </w:r>
      <w:r w:rsidR="00090186">
        <w:rPr>
          <w:szCs w:val="22"/>
        </w:rPr>
        <w:t xml:space="preserve">is required to </w:t>
      </w:r>
      <w:r>
        <w:rPr>
          <w:szCs w:val="22"/>
        </w:rPr>
        <w:t>commit to providing the provi</w:t>
      </w:r>
      <w:r w:rsidR="00C75296">
        <w:rPr>
          <w:szCs w:val="22"/>
        </w:rPr>
        <w:t>sionally selected bidder with a</w:t>
      </w:r>
      <w:r>
        <w:rPr>
          <w:szCs w:val="22"/>
        </w:rPr>
        <w:t xml:space="preserve"> LOC in the amount of</w:t>
      </w:r>
      <w:r w:rsidR="001B782B">
        <w:rPr>
          <w:szCs w:val="22"/>
        </w:rPr>
        <w:t xml:space="preserve"> </w:t>
      </w:r>
      <w:r>
        <w:rPr>
          <w:szCs w:val="22"/>
        </w:rPr>
        <w:t>the first year of distributed support</w:t>
      </w:r>
      <w:r w:rsidR="00241276">
        <w:rPr>
          <w:szCs w:val="22"/>
        </w:rPr>
        <w:t>.</w:t>
      </w:r>
      <w:r w:rsidR="009C6769">
        <w:rPr>
          <w:rStyle w:val="FootnoteReference"/>
          <w:szCs w:val="22"/>
        </w:rPr>
        <w:footnoteReference w:id="8"/>
      </w:r>
      <w:r w:rsidR="00241276">
        <w:rPr>
          <w:szCs w:val="22"/>
        </w:rPr>
        <w:t xml:space="preserve">  </w:t>
      </w:r>
      <w:r w:rsidR="009C6769">
        <w:rPr>
          <w:szCs w:val="22"/>
        </w:rPr>
        <w:t>The issuing bank is not required to make a commitmen</w:t>
      </w:r>
      <w:r w:rsidR="00090186">
        <w:rPr>
          <w:szCs w:val="22"/>
        </w:rPr>
        <w:t>t for t</w:t>
      </w:r>
      <w:r w:rsidR="00407A9B">
        <w:rPr>
          <w:szCs w:val="22"/>
        </w:rPr>
        <w:t>he full ten-</w:t>
      </w:r>
      <w:r w:rsidR="00090186">
        <w:rPr>
          <w:szCs w:val="22"/>
        </w:rPr>
        <w:t xml:space="preserve">year period.  </w:t>
      </w:r>
      <w:r w:rsidR="00241276">
        <w:rPr>
          <w:szCs w:val="22"/>
        </w:rPr>
        <w:t>For example, if an entity is scheduled to receive a total of $10 million over the ten-year term of suppo</w:t>
      </w:r>
      <w:r w:rsidR="00C75296">
        <w:rPr>
          <w:szCs w:val="22"/>
        </w:rPr>
        <w:t>rt, the LOC commitment letter w</w:t>
      </w:r>
      <w:r w:rsidR="00241276">
        <w:rPr>
          <w:szCs w:val="22"/>
        </w:rPr>
        <w:t>ould</w:t>
      </w:r>
      <w:r>
        <w:rPr>
          <w:szCs w:val="22"/>
        </w:rPr>
        <w:t xml:space="preserve"> </w:t>
      </w:r>
      <w:r w:rsidR="00090186">
        <w:rPr>
          <w:szCs w:val="22"/>
        </w:rPr>
        <w:t xml:space="preserve">indicate an intent to issue </w:t>
      </w:r>
      <w:r w:rsidR="00565076">
        <w:rPr>
          <w:szCs w:val="22"/>
        </w:rPr>
        <w:t xml:space="preserve">a LOC in the amount of $1 million; </w:t>
      </w:r>
      <w:r w:rsidR="00614D08">
        <w:rPr>
          <w:szCs w:val="22"/>
        </w:rPr>
        <w:t>if the entity chose the accelerated disbursement option to receive 30 percent of its funding upfront</w:t>
      </w:r>
      <w:r w:rsidR="00C75296">
        <w:rPr>
          <w:szCs w:val="22"/>
        </w:rPr>
        <w:t>, the LOC commitment letter w</w:t>
      </w:r>
      <w:r w:rsidR="00614D08">
        <w:rPr>
          <w:szCs w:val="22"/>
        </w:rPr>
        <w:t xml:space="preserve">ould </w:t>
      </w:r>
      <w:r w:rsidR="00090186">
        <w:rPr>
          <w:szCs w:val="22"/>
        </w:rPr>
        <w:t xml:space="preserve">indicate an intent to issue </w:t>
      </w:r>
      <w:r w:rsidR="00614D08">
        <w:rPr>
          <w:szCs w:val="22"/>
        </w:rPr>
        <w:t xml:space="preserve">a LOC in the amount of </w:t>
      </w:r>
      <w:r w:rsidR="00C75296">
        <w:rPr>
          <w:szCs w:val="22"/>
        </w:rPr>
        <w:t>$3.7 million.</w:t>
      </w:r>
      <w:r w:rsidR="00C75296">
        <w:rPr>
          <w:rStyle w:val="FootnoteReference"/>
          <w:szCs w:val="22"/>
        </w:rPr>
        <w:footnoteReference w:id="9"/>
      </w:r>
      <w:r w:rsidR="00614D08">
        <w:rPr>
          <w:szCs w:val="22"/>
        </w:rPr>
        <w:t xml:space="preserve"> </w:t>
      </w:r>
      <w:r w:rsidR="00565076">
        <w:rPr>
          <w:szCs w:val="22"/>
        </w:rPr>
        <w:t xml:space="preserve">  </w:t>
      </w:r>
      <w:r w:rsidR="00241276">
        <w:rPr>
          <w:szCs w:val="22"/>
        </w:rPr>
        <w:t xml:space="preserve"> </w:t>
      </w:r>
      <w:r w:rsidR="004549F8">
        <w:rPr>
          <w:szCs w:val="22"/>
        </w:rPr>
        <w:t xml:space="preserve"> </w:t>
      </w:r>
    </w:p>
    <w:p w:rsidR="003C222E" w:rsidRDefault="00090186" w:rsidP="003A29DE">
      <w:pPr>
        <w:spacing w:before="120" w:after="120"/>
        <w:rPr>
          <w:szCs w:val="22"/>
        </w:rPr>
      </w:pPr>
      <w:r>
        <w:rPr>
          <w:szCs w:val="22"/>
        </w:rPr>
        <w:tab/>
        <w:t>Finally, we note that provisionally selected bidders are free under the Commission’s rules to submit a commitment letter by the February 3</w:t>
      </w:r>
      <w:r w:rsidRPr="001B782B">
        <w:rPr>
          <w:szCs w:val="22"/>
          <w:vertAlign w:val="superscript"/>
        </w:rPr>
        <w:t>rd</w:t>
      </w:r>
      <w:r>
        <w:rPr>
          <w:szCs w:val="22"/>
        </w:rPr>
        <w:t xml:space="preserve"> deadline from one bank, and subsequently submit an LOC from a different issuing bank when the </w:t>
      </w:r>
      <w:r w:rsidR="00F17D68">
        <w:rPr>
          <w:szCs w:val="22"/>
        </w:rPr>
        <w:t xml:space="preserve">Bureau ultimately issues a Public Notice that the entity is ready to be authorized to receive support, </w:t>
      </w:r>
      <w:r>
        <w:rPr>
          <w:szCs w:val="22"/>
        </w:rPr>
        <w:t xml:space="preserve">after satisfaction of all of the requirements to be authorized to receive support.  There is no Commission requirement that the same bank issue the commitment letter and the ultimate LOC.   </w:t>
      </w:r>
      <w:r w:rsidR="004549F8">
        <w:rPr>
          <w:szCs w:val="22"/>
        </w:rPr>
        <w:t xml:space="preserve"> </w:t>
      </w:r>
    </w:p>
    <w:p w:rsidR="00962449" w:rsidRPr="006B37D8" w:rsidRDefault="00962449" w:rsidP="001602A4">
      <w:pPr>
        <w:spacing w:before="120" w:after="240"/>
        <w:ind w:firstLine="720"/>
        <w:rPr>
          <w:szCs w:val="22"/>
        </w:rPr>
      </w:pPr>
      <w:r w:rsidRPr="006B37D8">
        <w:rPr>
          <w:szCs w:val="22"/>
        </w:rPr>
        <w:t>For additional information on this proceeding, contact Ian Forbes (</w:t>
      </w:r>
      <w:hyperlink r:id="rId14" w:history="1">
        <w:r w:rsidRPr="006B37D8">
          <w:rPr>
            <w:rStyle w:val="Hyperlink"/>
            <w:szCs w:val="22"/>
          </w:rPr>
          <w:t>Ian.Forbes@fcc.gov</w:t>
        </w:r>
      </w:hyperlink>
      <w:r w:rsidR="005C5EEC" w:rsidRPr="006B37D8">
        <w:rPr>
          <w:szCs w:val="22"/>
        </w:rPr>
        <w:t>)</w:t>
      </w:r>
      <w:r w:rsidRPr="006B37D8">
        <w:rPr>
          <w:szCs w:val="22"/>
        </w:rPr>
        <w:t xml:space="preserve"> of the Wireline Competition Bureau, Telecommunications Access Policy Division, (202) 418-7400.</w:t>
      </w:r>
    </w:p>
    <w:p w:rsidR="00602577" w:rsidRPr="00B1195A" w:rsidRDefault="00962449" w:rsidP="00962449">
      <w:pPr>
        <w:spacing w:before="120" w:after="240"/>
        <w:jc w:val="center"/>
        <w:rPr>
          <w:b/>
          <w:szCs w:val="22"/>
        </w:rPr>
      </w:pPr>
      <w:r w:rsidRPr="00B1195A">
        <w:rPr>
          <w:b/>
          <w:szCs w:val="22"/>
        </w:rPr>
        <w:t>– FCC –</w:t>
      </w:r>
    </w:p>
    <w:sectPr w:rsidR="00602577" w:rsidRPr="00B1195A" w:rsidSect="00DC23C1">
      <w:headerReference w:type="default" r:id="rId15"/>
      <w:type w:val="continuous"/>
      <w:pgSz w:w="12240" w:h="15840"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F2B" w:rsidRDefault="00853F2B">
      <w:r>
        <w:separator/>
      </w:r>
    </w:p>
  </w:endnote>
  <w:endnote w:type="continuationSeparator" w:id="0">
    <w:p w:rsidR="00853F2B" w:rsidRDefault="00853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D57" w:rsidRDefault="00C22D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223636"/>
      <w:docPartObj>
        <w:docPartGallery w:val="Page Numbers (Bottom of Page)"/>
        <w:docPartUnique/>
      </w:docPartObj>
    </w:sdtPr>
    <w:sdtEndPr>
      <w:rPr>
        <w:noProof/>
      </w:rPr>
    </w:sdtEndPr>
    <w:sdtContent>
      <w:p w:rsidR="00DC23C1" w:rsidRDefault="00DC23C1" w:rsidP="00291756">
        <w:pPr>
          <w:pStyle w:val="Footer"/>
          <w:jc w:val="center"/>
        </w:pPr>
        <w:r>
          <w:fldChar w:fldCharType="begin"/>
        </w:r>
        <w:r>
          <w:instrText xml:space="preserve"> PAGE   \* MERGEFORMAT </w:instrText>
        </w:r>
        <w:r>
          <w:fldChar w:fldCharType="separate"/>
        </w:r>
        <w:r w:rsidR="00C22D57">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D57" w:rsidRDefault="00C22D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F2B" w:rsidRDefault="00853F2B">
      <w:r>
        <w:separator/>
      </w:r>
    </w:p>
  </w:footnote>
  <w:footnote w:type="continuationSeparator" w:id="0">
    <w:p w:rsidR="00853F2B" w:rsidRDefault="00853F2B">
      <w:r>
        <w:continuationSeparator/>
      </w:r>
    </w:p>
  </w:footnote>
  <w:footnote w:id="1">
    <w:p w:rsidR="001602A4" w:rsidRPr="008A5E4C" w:rsidRDefault="001602A4" w:rsidP="00FA1FB7">
      <w:pPr>
        <w:pStyle w:val="FootnoteText"/>
        <w:spacing w:after="120"/>
        <w:rPr>
          <w:sz w:val="20"/>
        </w:rPr>
      </w:pPr>
      <w:r w:rsidRPr="008A5E4C">
        <w:rPr>
          <w:rStyle w:val="FootnoteReference"/>
          <w:sz w:val="20"/>
        </w:rPr>
        <w:footnoteRef/>
      </w:r>
      <w:r w:rsidRPr="008A5E4C">
        <w:rPr>
          <w:sz w:val="20"/>
        </w:rPr>
        <w:t xml:space="preserve"> </w:t>
      </w:r>
      <w:r w:rsidRPr="008A5E4C">
        <w:rPr>
          <w:i/>
          <w:sz w:val="20"/>
        </w:rPr>
        <w:t>See Wireline Competition Bureau Announces Entities Provisionally Selected for Rural Broadband Experiments; Sets Deadlines for Submission of Additional Information</w:t>
      </w:r>
      <w:r w:rsidRPr="008A5E4C">
        <w:rPr>
          <w:sz w:val="20"/>
        </w:rPr>
        <w:t>, WC Docket No. 10-90, Public Notice, DA 14-1772 (Wireline Comp. Bur. rel. Dec. 5, 2014)</w:t>
      </w:r>
      <w:r w:rsidR="00593120" w:rsidRPr="008A5E4C">
        <w:rPr>
          <w:sz w:val="20"/>
        </w:rPr>
        <w:t xml:space="preserve"> (</w:t>
      </w:r>
      <w:r w:rsidR="00593120" w:rsidRPr="008A5E4C">
        <w:rPr>
          <w:i/>
          <w:sz w:val="20"/>
        </w:rPr>
        <w:t>Provisionally Selected Bidders PN</w:t>
      </w:r>
      <w:r w:rsidR="00593120" w:rsidRPr="008A5E4C">
        <w:rPr>
          <w:sz w:val="20"/>
        </w:rPr>
        <w:t>)</w:t>
      </w:r>
      <w:r w:rsidRPr="008A5E4C">
        <w:rPr>
          <w:sz w:val="20"/>
        </w:rPr>
        <w:t>.</w:t>
      </w:r>
      <w:r w:rsidR="00593120" w:rsidRPr="008A5E4C">
        <w:rPr>
          <w:sz w:val="20"/>
        </w:rPr>
        <w:t xml:space="preserve">  Six of these provisionally selected bidders have defaulted or withdrawn from consideration for funding.  </w:t>
      </w:r>
      <w:r w:rsidR="00593120" w:rsidRPr="008A5E4C">
        <w:rPr>
          <w:i/>
          <w:sz w:val="20"/>
        </w:rPr>
        <w:t xml:space="preserve">See Wireline Competition Bureau Announces Availability of Additional Funding for Rural Broadband Experiments; Seeks </w:t>
      </w:r>
      <w:r w:rsidR="00D41E8A" w:rsidRPr="008A5E4C">
        <w:rPr>
          <w:i/>
          <w:sz w:val="20"/>
        </w:rPr>
        <w:t>C</w:t>
      </w:r>
      <w:r w:rsidR="00593120" w:rsidRPr="008A5E4C">
        <w:rPr>
          <w:i/>
          <w:sz w:val="20"/>
        </w:rPr>
        <w:t>omment on Waiver Petitions of Provisionally Selected Bidders</w:t>
      </w:r>
      <w:r w:rsidR="00593120" w:rsidRPr="008A5E4C">
        <w:rPr>
          <w:sz w:val="20"/>
        </w:rPr>
        <w:t xml:space="preserve">, </w:t>
      </w:r>
      <w:r w:rsidR="00D41E8A" w:rsidRPr="008A5E4C">
        <w:rPr>
          <w:sz w:val="20"/>
        </w:rPr>
        <w:t>WC Docket Nos. 10-90, 14-259, Public Notice, DA 14-1889 (Wireline Comp. Bur. rel. Dec. 23, 2014).</w:t>
      </w:r>
    </w:p>
  </w:footnote>
  <w:footnote w:id="2">
    <w:p w:rsidR="00C9124F" w:rsidRPr="008A5E4C" w:rsidRDefault="00C9124F" w:rsidP="00C9124F">
      <w:pPr>
        <w:autoSpaceDE w:val="0"/>
        <w:autoSpaceDN w:val="0"/>
        <w:adjustRightInd w:val="0"/>
        <w:spacing w:after="120"/>
        <w:rPr>
          <w:sz w:val="20"/>
        </w:rPr>
      </w:pPr>
      <w:r w:rsidRPr="008A5E4C">
        <w:rPr>
          <w:rStyle w:val="FootnoteReference"/>
          <w:sz w:val="20"/>
        </w:rPr>
        <w:footnoteRef/>
      </w:r>
      <w:r w:rsidRPr="008A5E4C">
        <w:rPr>
          <w:sz w:val="20"/>
        </w:rPr>
        <w:t xml:space="preserve"> </w:t>
      </w:r>
      <w:r w:rsidRPr="008A5E4C">
        <w:rPr>
          <w:i/>
          <w:sz w:val="20"/>
        </w:rPr>
        <w:t>See Connect America Fund; ETC Annual Reports and Certifications</w:t>
      </w:r>
      <w:r w:rsidRPr="008A5E4C">
        <w:rPr>
          <w:sz w:val="20"/>
        </w:rPr>
        <w:t>,</w:t>
      </w:r>
      <w:r w:rsidRPr="008A5E4C">
        <w:rPr>
          <w:i/>
          <w:sz w:val="20"/>
        </w:rPr>
        <w:t xml:space="preserve"> </w:t>
      </w:r>
      <w:r w:rsidRPr="008A5E4C">
        <w:rPr>
          <w:sz w:val="20"/>
        </w:rPr>
        <w:t>WC Docket Nos. 10-90, 14-58, Report and Order and Further Notice of Proposed Rulemaking, 29 FCC Rcd 8769, 8787-88, para. 54 (2014) (</w:t>
      </w:r>
      <w:r w:rsidRPr="008A5E4C">
        <w:rPr>
          <w:i/>
          <w:sz w:val="20"/>
        </w:rPr>
        <w:t>Rural Broadband Experiments Order</w:t>
      </w:r>
      <w:r w:rsidRPr="008A5E4C">
        <w:rPr>
          <w:sz w:val="20"/>
        </w:rPr>
        <w:t xml:space="preserve">).  The commitment letter must at a minimum provide the dollar amount of the LOC and the issuing bank’s agreement to follow the terms and conditions of the Commission’s model LOC. </w:t>
      </w:r>
      <w:r w:rsidR="009A2870">
        <w:rPr>
          <w:sz w:val="20"/>
        </w:rPr>
        <w:t xml:space="preserve"> </w:t>
      </w:r>
      <w:r w:rsidRPr="008A5E4C">
        <w:rPr>
          <w:i/>
          <w:sz w:val="20"/>
        </w:rPr>
        <w:t xml:space="preserve">See id. </w:t>
      </w:r>
      <w:r w:rsidRPr="008A5E4C">
        <w:rPr>
          <w:sz w:val="20"/>
        </w:rPr>
        <w:t>at 8788, para. 54, n.94.</w:t>
      </w:r>
    </w:p>
  </w:footnote>
  <w:footnote w:id="3">
    <w:p w:rsidR="00D1323C" w:rsidRPr="008A5E4C" w:rsidRDefault="00D1323C" w:rsidP="00FA1FB7">
      <w:pPr>
        <w:pStyle w:val="FootnoteText"/>
        <w:spacing w:after="120"/>
        <w:rPr>
          <w:sz w:val="20"/>
        </w:rPr>
      </w:pPr>
      <w:r w:rsidRPr="008A5E4C">
        <w:rPr>
          <w:rStyle w:val="FootnoteReference"/>
          <w:sz w:val="20"/>
        </w:rPr>
        <w:footnoteRef/>
      </w:r>
      <w:r w:rsidRPr="008A5E4C">
        <w:rPr>
          <w:sz w:val="20"/>
        </w:rPr>
        <w:t xml:space="preserve"> </w:t>
      </w:r>
      <w:r w:rsidRPr="008A5E4C">
        <w:rPr>
          <w:i/>
          <w:sz w:val="20"/>
        </w:rPr>
        <w:t>See</w:t>
      </w:r>
      <w:r w:rsidR="00593120" w:rsidRPr="008A5E4C">
        <w:rPr>
          <w:i/>
          <w:sz w:val="20"/>
        </w:rPr>
        <w:t xml:space="preserve"> Provisionally Selected Bidders PN</w:t>
      </w:r>
      <w:r w:rsidR="00550E32">
        <w:rPr>
          <w:sz w:val="20"/>
        </w:rPr>
        <w:t>,</w:t>
      </w:r>
      <w:r w:rsidR="00593120" w:rsidRPr="008A5E4C">
        <w:rPr>
          <w:sz w:val="20"/>
        </w:rPr>
        <w:t xml:space="preserve"> Att</w:t>
      </w:r>
      <w:r w:rsidR="00550E32">
        <w:rPr>
          <w:sz w:val="20"/>
        </w:rPr>
        <w:t>ach</w:t>
      </w:r>
      <w:r w:rsidR="00593120" w:rsidRPr="008A5E4C">
        <w:rPr>
          <w:sz w:val="20"/>
        </w:rPr>
        <w:t>. B.</w:t>
      </w:r>
    </w:p>
  </w:footnote>
  <w:footnote w:id="4">
    <w:p w:rsidR="005D6303" w:rsidRPr="005D6303" w:rsidRDefault="005D6303">
      <w:pPr>
        <w:pStyle w:val="FootnoteText"/>
      </w:pPr>
      <w:r w:rsidRPr="008A5E4C">
        <w:rPr>
          <w:rStyle w:val="FootnoteReference"/>
          <w:sz w:val="20"/>
        </w:rPr>
        <w:footnoteRef/>
      </w:r>
      <w:r w:rsidRPr="008A5E4C">
        <w:rPr>
          <w:sz w:val="20"/>
        </w:rPr>
        <w:t xml:space="preserve"> </w:t>
      </w:r>
      <w:r w:rsidRPr="008A5E4C">
        <w:rPr>
          <w:i/>
          <w:sz w:val="20"/>
        </w:rPr>
        <w:t>See Rural Broadband Experiments Order</w:t>
      </w:r>
      <w:r w:rsidRPr="008A5E4C">
        <w:rPr>
          <w:sz w:val="20"/>
        </w:rPr>
        <w:t>, 29 FCC Rcd at 8788-89, para. 56.</w:t>
      </w:r>
    </w:p>
  </w:footnote>
  <w:footnote w:id="5">
    <w:p w:rsidR="008A5E4C" w:rsidRPr="0006288C" w:rsidRDefault="008A5E4C">
      <w:pPr>
        <w:pStyle w:val="FootnoteText"/>
        <w:rPr>
          <w:sz w:val="20"/>
        </w:rPr>
      </w:pPr>
      <w:r w:rsidRPr="00925BD1">
        <w:rPr>
          <w:rStyle w:val="FootnoteReference"/>
          <w:sz w:val="20"/>
        </w:rPr>
        <w:footnoteRef/>
      </w:r>
      <w:r w:rsidRPr="00925BD1">
        <w:rPr>
          <w:sz w:val="20"/>
        </w:rPr>
        <w:t xml:space="preserve"> </w:t>
      </w:r>
      <w:r w:rsidRPr="00925BD1">
        <w:rPr>
          <w:i/>
          <w:sz w:val="20"/>
        </w:rPr>
        <w:t>See id</w:t>
      </w:r>
      <w:r w:rsidRPr="0006288C">
        <w:rPr>
          <w:i/>
          <w:sz w:val="20"/>
        </w:rPr>
        <w:t xml:space="preserve">. </w:t>
      </w:r>
      <w:r w:rsidRPr="0006288C">
        <w:rPr>
          <w:sz w:val="20"/>
        </w:rPr>
        <w:t>at 8805, App. A.</w:t>
      </w:r>
      <w:r w:rsidR="00130E6F">
        <w:rPr>
          <w:sz w:val="20"/>
        </w:rPr>
        <w:t xml:space="preserve">  </w:t>
      </w:r>
      <w:r w:rsidR="00130E6F" w:rsidRPr="007F3EF6">
        <w:rPr>
          <w:i/>
          <w:sz w:val="20"/>
        </w:rPr>
        <w:t>See also id.</w:t>
      </w:r>
      <w:r w:rsidR="00130E6F">
        <w:rPr>
          <w:sz w:val="20"/>
        </w:rPr>
        <w:t xml:space="preserve"> at </w:t>
      </w:r>
      <w:r w:rsidR="007F3EF6">
        <w:rPr>
          <w:sz w:val="20"/>
        </w:rPr>
        <w:t>8793</w:t>
      </w:r>
      <w:r w:rsidR="00130E6F">
        <w:rPr>
          <w:sz w:val="20"/>
        </w:rPr>
        <w:t>, para. 69 (“By virtue of entering into a LOC, the recipient has not</w:t>
      </w:r>
      <w:r w:rsidR="0048334E">
        <w:rPr>
          <w:sz w:val="20"/>
        </w:rPr>
        <w:t>i</w:t>
      </w:r>
      <w:r w:rsidR="00130E6F">
        <w:rPr>
          <w:sz w:val="20"/>
        </w:rPr>
        <w:t>ce that</w:t>
      </w:r>
      <w:r w:rsidR="001B782B">
        <w:rPr>
          <w:sz w:val="20"/>
        </w:rPr>
        <w:t xml:space="preserve"> the</w:t>
      </w:r>
      <w:r w:rsidR="00130E6F">
        <w:rPr>
          <w:sz w:val="20"/>
        </w:rPr>
        <w:t xml:space="preserve"> Bureau may choose to draw on the LOC if . . . </w:t>
      </w:r>
      <w:r w:rsidR="00130E6F" w:rsidRPr="007F3EF6">
        <w:rPr>
          <w:i/>
          <w:sz w:val="20"/>
        </w:rPr>
        <w:t>it fails to timely replace an expiring LOC</w:t>
      </w:r>
      <w:r w:rsidR="00130E6F">
        <w:rPr>
          <w:sz w:val="20"/>
        </w:rPr>
        <w:t>.”) (emphasis added).</w:t>
      </w:r>
    </w:p>
  </w:footnote>
  <w:footnote w:id="6">
    <w:p w:rsidR="00925BD1" w:rsidRPr="001B782B" w:rsidRDefault="00925BD1">
      <w:pPr>
        <w:pStyle w:val="FootnoteText"/>
        <w:rPr>
          <w:sz w:val="20"/>
        </w:rPr>
      </w:pPr>
      <w:r w:rsidRPr="0006288C">
        <w:rPr>
          <w:rStyle w:val="FootnoteReference"/>
          <w:sz w:val="20"/>
        </w:rPr>
        <w:footnoteRef/>
      </w:r>
      <w:r w:rsidRPr="0006288C">
        <w:rPr>
          <w:sz w:val="20"/>
        </w:rPr>
        <w:t xml:space="preserve"> In this instance, </w:t>
      </w:r>
      <w:r w:rsidRPr="00C75296">
        <w:rPr>
          <w:sz w:val="20"/>
        </w:rPr>
        <w:t>the LOC would escalate for the five years, i.e., the first year would be equal to the amount of support distributed in the first year, the second year would be equal to the amount of support distributed in the first and second years, and so on.</w:t>
      </w:r>
      <w:r w:rsidR="002F5771" w:rsidRPr="00C75296">
        <w:rPr>
          <w:sz w:val="20"/>
        </w:rPr>
        <w:t xml:space="preserve">  Depending on the terms negotiated with the issuing bank, the LOC could, on its face, terminate after five years.   </w:t>
      </w:r>
      <w:r w:rsidR="00B21577" w:rsidRPr="001B782B">
        <w:rPr>
          <w:sz w:val="20"/>
        </w:rPr>
        <w:t>In such situations, it would be the obligation of the recipient of funding to obtain another letter of credit from another institution</w:t>
      </w:r>
      <w:r w:rsidR="00F17D68" w:rsidRPr="001B782B">
        <w:rPr>
          <w:sz w:val="20"/>
        </w:rPr>
        <w:t xml:space="preserve"> within 60 days, as specified by the Commission</w:t>
      </w:r>
      <w:r w:rsidR="00B21577" w:rsidRPr="001B782B">
        <w:rPr>
          <w:sz w:val="20"/>
        </w:rPr>
        <w:t>.</w:t>
      </w:r>
      <w:r w:rsidRPr="001B782B">
        <w:rPr>
          <w:sz w:val="20"/>
        </w:rPr>
        <w:t xml:space="preserve"> </w:t>
      </w:r>
      <w:r w:rsidR="00B21577" w:rsidRPr="001B782B">
        <w:rPr>
          <w:sz w:val="20"/>
        </w:rPr>
        <w:t xml:space="preserve">  </w:t>
      </w:r>
      <w:r w:rsidR="00B21577" w:rsidRPr="001B782B">
        <w:rPr>
          <w:i/>
          <w:sz w:val="20"/>
        </w:rPr>
        <w:t>See id</w:t>
      </w:r>
      <w:r w:rsidR="001B782B">
        <w:rPr>
          <w:sz w:val="20"/>
        </w:rPr>
        <w:t>. at 8790-91</w:t>
      </w:r>
      <w:r w:rsidR="00B21577" w:rsidRPr="001B782B">
        <w:rPr>
          <w:sz w:val="20"/>
        </w:rPr>
        <w:t>, para. 61 and 8805, App</w:t>
      </w:r>
      <w:r w:rsidR="00550E32">
        <w:rPr>
          <w:sz w:val="20"/>
        </w:rPr>
        <w:t>x</w:t>
      </w:r>
      <w:r w:rsidR="00B21577" w:rsidRPr="001B782B">
        <w:rPr>
          <w:sz w:val="20"/>
        </w:rPr>
        <w:t>. A.</w:t>
      </w:r>
    </w:p>
  </w:footnote>
  <w:footnote w:id="7">
    <w:p w:rsidR="0006288C" w:rsidRPr="001B782B" w:rsidRDefault="0006288C">
      <w:pPr>
        <w:pStyle w:val="FootnoteText"/>
        <w:rPr>
          <w:sz w:val="20"/>
        </w:rPr>
      </w:pPr>
      <w:r w:rsidRPr="001B782B">
        <w:rPr>
          <w:rStyle w:val="FootnoteReference"/>
          <w:sz w:val="20"/>
        </w:rPr>
        <w:footnoteRef/>
      </w:r>
      <w:r w:rsidRPr="001B782B">
        <w:rPr>
          <w:sz w:val="20"/>
        </w:rPr>
        <w:t xml:space="preserve"> We note that</w:t>
      </w:r>
      <w:r w:rsidR="001D4E07" w:rsidRPr="001B782B">
        <w:rPr>
          <w:sz w:val="20"/>
        </w:rPr>
        <w:t xml:space="preserve"> all</w:t>
      </w:r>
      <w:r w:rsidRPr="001B782B">
        <w:rPr>
          <w:sz w:val="20"/>
        </w:rPr>
        <w:t xml:space="preserve"> LOC</w:t>
      </w:r>
      <w:r w:rsidR="001D4E07" w:rsidRPr="001B782B">
        <w:rPr>
          <w:sz w:val="20"/>
        </w:rPr>
        <w:t xml:space="preserve">s remain </w:t>
      </w:r>
      <w:r w:rsidRPr="001B782B">
        <w:rPr>
          <w:sz w:val="20"/>
        </w:rPr>
        <w:t xml:space="preserve">subject to review and verification by the Universal Service Administrative Company.  </w:t>
      </w:r>
      <w:r w:rsidRPr="001B782B">
        <w:rPr>
          <w:i/>
          <w:sz w:val="20"/>
        </w:rPr>
        <w:t>See id.</w:t>
      </w:r>
      <w:r w:rsidR="001D4E07" w:rsidRPr="001B782B">
        <w:rPr>
          <w:i/>
          <w:sz w:val="20"/>
        </w:rPr>
        <w:t xml:space="preserve"> </w:t>
      </w:r>
      <w:r w:rsidRPr="001B782B">
        <w:rPr>
          <w:sz w:val="20"/>
        </w:rPr>
        <w:t>at 8787-88, para. 54.</w:t>
      </w:r>
    </w:p>
  </w:footnote>
  <w:footnote w:id="8">
    <w:p w:rsidR="009C6769" w:rsidRDefault="009C6769">
      <w:pPr>
        <w:pStyle w:val="FootnoteText"/>
      </w:pPr>
      <w:r w:rsidRPr="001B782B">
        <w:rPr>
          <w:rStyle w:val="FootnoteReference"/>
          <w:sz w:val="20"/>
        </w:rPr>
        <w:footnoteRef/>
      </w:r>
      <w:r w:rsidRPr="001B782B">
        <w:rPr>
          <w:sz w:val="20"/>
        </w:rPr>
        <w:t xml:space="preserve"> </w:t>
      </w:r>
      <w:r w:rsidRPr="001B782B">
        <w:rPr>
          <w:i/>
          <w:sz w:val="20"/>
        </w:rPr>
        <w:t>See id</w:t>
      </w:r>
      <w:r w:rsidR="001B782B">
        <w:rPr>
          <w:sz w:val="20"/>
        </w:rPr>
        <w:t>. at 8791</w:t>
      </w:r>
      <w:r w:rsidRPr="001B782B">
        <w:rPr>
          <w:sz w:val="20"/>
        </w:rPr>
        <w:t xml:space="preserve">, para. 62 (“when a winning bidder first obtains a LOC, it </w:t>
      </w:r>
      <w:r w:rsidR="00090186" w:rsidRPr="001B782B">
        <w:rPr>
          <w:sz w:val="20"/>
        </w:rPr>
        <w:t xml:space="preserve">must </w:t>
      </w:r>
      <w:r w:rsidRPr="001B782B">
        <w:rPr>
          <w:sz w:val="20"/>
        </w:rPr>
        <w:t>be equal to the amount of the first disbursement.”)</w:t>
      </w:r>
    </w:p>
  </w:footnote>
  <w:footnote w:id="9">
    <w:p w:rsidR="00C75296" w:rsidRPr="00C75296" w:rsidRDefault="00C75296">
      <w:pPr>
        <w:pStyle w:val="FootnoteText"/>
      </w:pPr>
      <w:r w:rsidRPr="00C75296">
        <w:rPr>
          <w:rStyle w:val="FootnoteReference"/>
          <w:sz w:val="20"/>
        </w:rPr>
        <w:footnoteRef/>
      </w:r>
      <w:r w:rsidRPr="00C75296">
        <w:rPr>
          <w:sz w:val="20"/>
        </w:rPr>
        <w:t xml:space="preserve"> </w:t>
      </w:r>
      <w:r w:rsidRPr="00C75296">
        <w:rPr>
          <w:i/>
          <w:sz w:val="20"/>
        </w:rPr>
        <w:t>See id.</w:t>
      </w:r>
      <w:r>
        <w:rPr>
          <w:sz w:val="20"/>
        </w:rPr>
        <w:t xml:space="preserve"> at 8794</w:t>
      </w:r>
      <w:r w:rsidRPr="00C75296">
        <w:rPr>
          <w:sz w:val="20"/>
        </w:rPr>
        <w:t xml:space="preserve">, para. 75. </w:t>
      </w:r>
      <w:r>
        <w:rPr>
          <w:sz w:val="20"/>
        </w:rPr>
        <w:t xml:space="preserve"> </w:t>
      </w:r>
      <w:r w:rsidRPr="00C75296">
        <w:rPr>
          <w:sz w:val="20"/>
        </w:rPr>
        <w:t>The LOC</w:t>
      </w:r>
      <w:r>
        <w:rPr>
          <w:sz w:val="20"/>
        </w:rPr>
        <w:t xml:space="preserve"> commitment letter</w:t>
      </w:r>
      <w:r w:rsidRPr="00C75296">
        <w:rPr>
          <w:sz w:val="20"/>
        </w:rPr>
        <w:t xml:space="preserve"> would </w:t>
      </w:r>
      <w:r w:rsidR="00090186">
        <w:rPr>
          <w:sz w:val="20"/>
        </w:rPr>
        <w:t xml:space="preserve">address </w:t>
      </w:r>
      <w:r w:rsidRPr="00C75296">
        <w:rPr>
          <w:sz w:val="20"/>
        </w:rPr>
        <w:t xml:space="preserve">the 30 percent upfront payment ($3 million) plus the first year’s disbursement of the remaining 70 percent </w:t>
      </w:r>
      <w:r w:rsidR="004A3A66">
        <w:rPr>
          <w:sz w:val="20"/>
        </w:rPr>
        <w:t xml:space="preserve">of support </w:t>
      </w:r>
      <w:r w:rsidRPr="00C75296">
        <w:rPr>
          <w:sz w:val="20"/>
        </w:rPr>
        <w:t>($700,000).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D57" w:rsidRDefault="00C22D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3C1" w:rsidRDefault="00DC23C1" w:rsidP="00DC23C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62336" behindDoc="0" locked="0" layoutInCell="0" allowOverlap="1" wp14:anchorId="26F8112B" wp14:editId="15B75BC4">
          <wp:simplePos x="0" y="0"/>
          <wp:positionH relativeFrom="column">
            <wp:posOffset>8890</wp:posOffset>
          </wp:positionH>
          <wp:positionV relativeFrom="paragraph">
            <wp:posOffset>114935</wp:posOffset>
          </wp:positionV>
          <wp:extent cx="530225" cy="530225"/>
          <wp:effectExtent l="0" t="0" r="3175" b="3175"/>
          <wp:wrapTopAndBottom/>
          <wp:docPr id="9" name="Picture 9"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rsidR="00DC23C1" w:rsidRPr="00DC23C1" w:rsidRDefault="00DC23C1" w:rsidP="00DC23C1">
    <w:pPr>
      <w:pStyle w:val="Header"/>
      <w:tabs>
        <w:tab w:val="clear" w:pos="4320"/>
        <w:tab w:val="clear" w:pos="8640"/>
        <w:tab w:val="center" w:pos="5760"/>
      </w:tabs>
      <w:spacing w:line="1120" w:lineRule="exact"/>
      <w:ind w:left="720"/>
      <w:rPr>
        <w:rFonts w:ascii="Arial" w:hAnsi="Arial"/>
        <w:sz w:val="28"/>
      </w:rPr>
    </w:pPr>
    <w:r w:rsidRPr="00DC23C1">
      <w:rPr>
        <w:rFonts w:ascii="News Gothic MT" w:hAnsi="News Gothic MT"/>
        <w:noProof/>
        <w:sz w:val="24"/>
      </w:rPr>
      <mc:AlternateContent>
        <mc:Choice Requires="wps">
          <w:drawing>
            <wp:anchor distT="0" distB="0" distL="114300" distR="114300" simplePos="0" relativeHeight="251661312" behindDoc="0" locked="0" layoutInCell="0" allowOverlap="1" wp14:anchorId="36482A12" wp14:editId="0982D367">
              <wp:simplePos x="0" y="0"/>
              <wp:positionH relativeFrom="column">
                <wp:posOffset>3251429</wp:posOffset>
              </wp:positionH>
              <wp:positionV relativeFrom="paragraph">
                <wp:posOffset>125095</wp:posOffset>
              </wp:positionV>
              <wp:extent cx="2640965" cy="548640"/>
              <wp:effectExtent l="0" t="0" r="698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23C1" w:rsidRDefault="00DC23C1" w:rsidP="00DC23C1">
                          <w:pPr>
                            <w:spacing w:before="40"/>
                            <w:jc w:val="right"/>
                            <w:rPr>
                              <w:rFonts w:ascii="Arial" w:hAnsi="Arial"/>
                              <w:b/>
                              <w:sz w:val="16"/>
                            </w:rPr>
                          </w:pPr>
                          <w:r>
                            <w:rPr>
                              <w:rFonts w:ascii="Arial" w:hAnsi="Arial"/>
                              <w:b/>
                              <w:sz w:val="16"/>
                            </w:rPr>
                            <w:t>News Media Information 202 / 418-0500</w:t>
                          </w:r>
                        </w:p>
                        <w:p w:rsidR="00DC23C1" w:rsidRDefault="00DC23C1" w:rsidP="00DC23C1">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DC23C1" w:rsidRDefault="00DC23C1" w:rsidP="00DC23C1">
                          <w:pPr>
                            <w:jc w:val="right"/>
                            <w:rPr>
                              <w:rFonts w:ascii="Arial" w:hAnsi="Arial"/>
                              <w:b/>
                              <w:sz w:val="16"/>
                            </w:rPr>
                          </w:pPr>
                          <w:r>
                            <w:rPr>
                              <w:rFonts w:ascii="Arial" w:hAnsi="Arial"/>
                              <w:b/>
                              <w:sz w:val="16"/>
                            </w:rPr>
                            <w:t>TTY: 1-888-835-5322</w:t>
                          </w:r>
                        </w:p>
                        <w:p w:rsidR="00DC23C1" w:rsidRDefault="00DC23C1" w:rsidP="00DC23C1">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56pt;margin-top:9.85pt;width:207.95pt;height:4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RI9fwIAAAc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" o:allowincell="f" stroked="f">
              <v:textbox inset=",0,,0">
                <w:txbxContent>
                  <w:p w:rsidR="00DC23C1" w:rsidRDefault="00DC23C1" w:rsidP="00DC23C1">
                    <w:pPr>
                      <w:spacing w:before="40"/>
                      <w:jc w:val="right"/>
                      <w:rPr>
                        <w:rFonts w:ascii="Arial" w:hAnsi="Arial"/>
                        <w:b/>
                        <w:sz w:val="16"/>
                      </w:rPr>
                    </w:pPr>
                    <w:r>
                      <w:rPr>
                        <w:rFonts w:ascii="Arial" w:hAnsi="Arial"/>
                        <w:b/>
                        <w:sz w:val="16"/>
                      </w:rPr>
                      <w:t>News Media Information 202 / 418-0500</w:t>
                    </w:r>
                  </w:p>
                  <w:p w:rsidR="00DC23C1" w:rsidRDefault="00DC23C1" w:rsidP="00DC23C1">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DC23C1" w:rsidRDefault="00DC23C1" w:rsidP="00DC23C1">
                    <w:pPr>
                      <w:jc w:val="right"/>
                      <w:rPr>
                        <w:rFonts w:ascii="Arial" w:hAnsi="Arial"/>
                        <w:b/>
                        <w:sz w:val="16"/>
                      </w:rPr>
                    </w:pPr>
                    <w:r>
                      <w:rPr>
                        <w:rFonts w:ascii="Arial" w:hAnsi="Arial"/>
                        <w:b/>
                        <w:sz w:val="16"/>
                      </w:rPr>
                      <w:t>TTY: 1-888-835-5322</w:t>
                    </w:r>
                  </w:p>
                  <w:p w:rsidR="00DC23C1" w:rsidRDefault="00DC23C1" w:rsidP="00DC23C1">
                    <w:pPr>
                      <w:jc w:val="right"/>
                    </w:pPr>
                  </w:p>
                </w:txbxContent>
              </v:textbox>
            </v:shape>
          </w:pict>
        </mc:Fallback>
      </mc:AlternateContent>
    </w:r>
    <w:r w:rsidRPr="00DC23C1">
      <w:rPr>
        <w:rFonts w:ascii="News Gothic MT" w:hAnsi="News Gothic MT"/>
        <w:noProof/>
        <w:sz w:val="24"/>
      </w:rPr>
      <mc:AlternateContent>
        <mc:Choice Requires="wps">
          <w:drawing>
            <wp:anchor distT="0" distB="0" distL="114300" distR="114300" simplePos="0" relativeHeight="251659264" behindDoc="0" locked="0" layoutInCell="0" allowOverlap="1" wp14:anchorId="7AF4C83E" wp14:editId="1BB2EAB6">
              <wp:simplePos x="0" y="0"/>
              <wp:positionH relativeFrom="column">
                <wp:posOffset>5705</wp:posOffset>
              </wp:positionH>
              <wp:positionV relativeFrom="paragraph">
                <wp:posOffset>33020</wp:posOffset>
              </wp:positionV>
              <wp:extent cx="3108960" cy="640080"/>
              <wp:effectExtent l="0" t="0" r="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23C1" w:rsidRDefault="00DC23C1" w:rsidP="00DC23C1">
                          <w:pPr>
                            <w:rPr>
                              <w:rFonts w:ascii="Arial" w:hAnsi="Arial"/>
                              <w:b/>
                            </w:rPr>
                          </w:pPr>
                          <w:r>
                            <w:rPr>
                              <w:rFonts w:ascii="Arial" w:hAnsi="Arial"/>
                              <w:b/>
                            </w:rPr>
                            <w:t>Federal Communications Commission</w:t>
                          </w:r>
                        </w:p>
                        <w:p w:rsidR="00DC23C1" w:rsidRDefault="00DC23C1" w:rsidP="00DC23C1">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C23C1" w:rsidRDefault="00DC23C1" w:rsidP="00DC23C1">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45pt;margin-top:2.6pt;width:244.8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djkhAIAABY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" o:allowincell="f" stroked="f">
              <v:textbox>
                <w:txbxContent>
                  <w:p w:rsidR="00DC23C1" w:rsidRDefault="00DC23C1" w:rsidP="00DC23C1">
                    <w:pPr>
                      <w:rPr>
                        <w:rFonts w:ascii="Arial" w:hAnsi="Arial"/>
                        <w:b/>
                      </w:rPr>
                    </w:pPr>
                    <w:r>
                      <w:rPr>
                        <w:rFonts w:ascii="Arial" w:hAnsi="Arial"/>
                        <w:b/>
                      </w:rPr>
                      <w:t>Federal Communications Commission</w:t>
                    </w:r>
                  </w:p>
                  <w:p w:rsidR="00DC23C1" w:rsidRDefault="00DC23C1" w:rsidP="00DC23C1">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C23C1" w:rsidRDefault="00DC23C1" w:rsidP="00DC23C1">
                    <w:pPr>
                      <w:rPr>
                        <w:rFonts w:ascii="Arial" w:hAnsi="Arial"/>
                        <w:sz w:val="24"/>
                      </w:rPr>
                    </w:pPr>
                    <w:r>
                      <w:rPr>
                        <w:rFonts w:ascii="Arial" w:hAnsi="Arial"/>
                        <w:b/>
                      </w:rPr>
                      <w:t>Washington, D.C. 20554</w:t>
                    </w:r>
                  </w:p>
                </w:txbxContent>
              </v:textbox>
            </v:shape>
          </w:pict>
        </mc:Fallback>
      </mc:AlternateContent>
    </w:r>
    <w:r w:rsidRPr="00DC23C1">
      <w:rPr>
        <w:rFonts w:ascii="Arial" w:hAnsi="Arial"/>
        <w:noProof/>
      </w:rPr>
      <mc:AlternateContent>
        <mc:Choice Requires="wps">
          <w:drawing>
            <wp:anchor distT="0" distB="0" distL="114300" distR="114300" simplePos="0" relativeHeight="251660288" behindDoc="0" locked="0" layoutInCell="0" allowOverlap="1" wp14:anchorId="39E30915" wp14:editId="55E0309C">
              <wp:simplePos x="0" y="0"/>
              <wp:positionH relativeFrom="column">
                <wp:posOffset>5330</wp:posOffset>
              </wp:positionH>
              <wp:positionV relativeFrom="paragraph">
                <wp:posOffset>700405</wp:posOffset>
              </wp:positionV>
              <wp:extent cx="5886450" cy="2540"/>
              <wp:effectExtent l="0" t="0" r="19050" b="3556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55.15pt" to="463.9pt,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" o:allowincell="f"/>
          </w:pict>
        </mc:Fallback>
      </mc:AlternateContent>
    </w:r>
    <w:r w:rsidRPr="00DC23C1">
      <w:rPr>
        <w:rFonts w:ascii="Arial" w:hAnsi="Arial"/>
        <w:sz w:val="2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3C1" w:rsidRDefault="00DC23C1" w:rsidP="00DC23C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67456" behindDoc="0" locked="0" layoutInCell="0" allowOverlap="1" wp14:anchorId="14B5C38A" wp14:editId="1C1B4A12">
          <wp:simplePos x="0" y="0"/>
          <wp:positionH relativeFrom="column">
            <wp:posOffset>8890</wp:posOffset>
          </wp:positionH>
          <wp:positionV relativeFrom="paragraph">
            <wp:posOffset>114935</wp:posOffset>
          </wp:positionV>
          <wp:extent cx="530225" cy="530225"/>
          <wp:effectExtent l="0" t="0" r="3175" b="3175"/>
          <wp:wrapTopAndBottom/>
          <wp:docPr id="14" name="Picture 1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rsidR="00DC23C1" w:rsidRPr="00DC23C1" w:rsidRDefault="00DC23C1" w:rsidP="00DC23C1">
    <w:pPr>
      <w:pStyle w:val="Header"/>
      <w:tabs>
        <w:tab w:val="clear" w:pos="4320"/>
        <w:tab w:val="clear" w:pos="8640"/>
        <w:tab w:val="center" w:pos="5760"/>
      </w:tabs>
      <w:spacing w:line="1120" w:lineRule="exact"/>
      <w:ind w:left="720"/>
      <w:rPr>
        <w:rFonts w:ascii="Arial" w:hAnsi="Arial"/>
        <w:sz w:val="28"/>
      </w:rPr>
    </w:pPr>
    <w:r w:rsidRPr="00DC23C1">
      <w:rPr>
        <w:rFonts w:ascii="News Gothic MT" w:hAnsi="News Gothic MT"/>
        <w:noProof/>
        <w:sz w:val="24"/>
      </w:rPr>
      <mc:AlternateContent>
        <mc:Choice Requires="wps">
          <w:drawing>
            <wp:anchor distT="0" distB="0" distL="114300" distR="114300" simplePos="0" relativeHeight="251666432" behindDoc="0" locked="0" layoutInCell="0" allowOverlap="1" wp14:anchorId="5DF54C36" wp14:editId="26798BE2">
              <wp:simplePos x="0" y="0"/>
              <wp:positionH relativeFrom="column">
                <wp:posOffset>3251429</wp:posOffset>
              </wp:positionH>
              <wp:positionV relativeFrom="paragraph">
                <wp:posOffset>125095</wp:posOffset>
              </wp:positionV>
              <wp:extent cx="2640965" cy="548640"/>
              <wp:effectExtent l="0" t="0" r="6985" b="381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23C1" w:rsidRDefault="00DC23C1" w:rsidP="00DC23C1">
                          <w:pPr>
                            <w:spacing w:before="40"/>
                            <w:jc w:val="right"/>
                            <w:rPr>
                              <w:rFonts w:ascii="Arial" w:hAnsi="Arial"/>
                              <w:b/>
                              <w:sz w:val="16"/>
                            </w:rPr>
                          </w:pPr>
                          <w:r>
                            <w:rPr>
                              <w:rFonts w:ascii="Arial" w:hAnsi="Arial"/>
                              <w:b/>
                              <w:sz w:val="16"/>
                            </w:rPr>
                            <w:t>News Media Information 202 / 418-0500</w:t>
                          </w:r>
                        </w:p>
                        <w:p w:rsidR="00DC23C1" w:rsidRDefault="00DC23C1" w:rsidP="00DC23C1">
                          <w:pPr>
                            <w:jc w:val="right"/>
                            <w:rPr>
                              <w:rFonts w:ascii="Arial" w:hAnsi="Arial"/>
                              <w:b/>
                              <w:sz w:val="16"/>
                            </w:rPr>
                          </w:pPr>
                          <w:r>
                            <w:rPr>
                              <w:rFonts w:ascii="Arial" w:hAnsi="Arial"/>
                              <w:b/>
                              <w:sz w:val="16"/>
                            </w:rPr>
                            <w:tab/>
                            <w:t>Internet: http://www.fcc.gov</w:t>
                          </w:r>
                        </w:p>
                        <w:p w:rsidR="00DC23C1" w:rsidRDefault="00DC23C1" w:rsidP="00DC23C1">
                          <w:pPr>
                            <w:jc w:val="right"/>
                            <w:rPr>
                              <w:rFonts w:ascii="Arial" w:hAnsi="Arial"/>
                              <w:b/>
                              <w:sz w:val="16"/>
                            </w:rPr>
                          </w:pPr>
                          <w:r>
                            <w:rPr>
                              <w:rFonts w:ascii="Arial" w:hAnsi="Arial"/>
                              <w:b/>
                              <w:sz w:val="16"/>
                            </w:rPr>
                            <w:t>TTY: 1-888-835-5322</w:t>
                          </w:r>
                        </w:p>
                        <w:p w:rsidR="00DC23C1" w:rsidRDefault="00DC23C1" w:rsidP="00DC23C1">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256pt;margin-top:9.85pt;width:207.95pt;height:4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" o:allowincell="f" stroked="f">
              <v:textbox inset=",0,,0">
                <w:txbxContent>
                  <w:p w:rsidR="00DC23C1" w:rsidRDefault="00DC23C1" w:rsidP="00DC23C1">
                    <w:pPr>
                      <w:spacing w:before="40"/>
                      <w:jc w:val="right"/>
                      <w:rPr>
                        <w:rFonts w:ascii="Arial" w:hAnsi="Arial"/>
                        <w:b/>
                        <w:sz w:val="16"/>
                      </w:rPr>
                    </w:pPr>
                    <w:r>
                      <w:rPr>
                        <w:rFonts w:ascii="Arial" w:hAnsi="Arial"/>
                        <w:b/>
                        <w:sz w:val="16"/>
                      </w:rPr>
                      <w:t>News Media Information 202 / 418-0500</w:t>
                    </w:r>
                  </w:p>
                  <w:p w:rsidR="00DC23C1" w:rsidRDefault="00DC23C1" w:rsidP="00DC23C1">
                    <w:pPr>
                      <w:jc w:val="right"/>
                      <w:rPr>
                        <w:rFonts w:ascii="Arial" w:hAnsi="Arial"/>
                        <w:b/>
                        <w:sz w:val="16"/>
                      </w:rPr>
                    </w:pPr>
                    <w:r>
                      <w:rPr>
                        <w:rFonts w:ascii="Arial" w:hAnsi="Arial"/>
                        <w:b/>
                        <w:sz w:val="16"/>
                      </w:rPr>
                      <w:tab/>
                      <w:t>Internet: http://www.fcc.gov</w:t>
                    </w:r>
                  </w:p>
                  <w:p w:rsidR="00DC23C1" w:rsidRDefault="00DC23C1" w:rsidP="00DC23C1">
                    <w:pPr>
                      <w:jc w:val="right"/>
                      <w:rPr>
                        <w:rFonts w:ascii="Arial" w:hAnsi="Arial"/>
                        <w:b/>
                        <w:sz w:val="16"/>
                      </w:rPr>
                    </w:pPr>
                    <w:r>
                      <w:rPr>
                        <w:rFonts w:ascii="Arial" w:hAnsi="Arial"/>
                        <w:b/>
                        <w:sz w:val="16"/>
                      </w:rPr>
                      <w:t>TTY: 1-888-835-5322</w:t>
                    </w:r>
                  </w:p>
                  <w:p w:rsidR="00DC23C1" w:rsidRDefault="00DC23C1" w:rsidP="00DC23C1">
                    <w:pPr>
                      <w:jc w:val="right"/>
                    </w:pPr>
                  </w:p>
                </w:txbxContent>
              </v:textbox>
            </v:shape>
          </w:pict>
        </mc:Fallback>
      </mc:AlternateContent>
    </w:r>
    <w:r w:rsidRPr="00DC23C1">
      <w:rPr>
        <w:rFonts w:ascii="News Gothic MT" w:hAnsi="News Gothic MT"/>
        <w:noProof/>
        <w:sz w:val="24"/>
      </w:rPr>
      <mc:AlternateContent>
        <mc:Choice Requires="wps">
          <w:drawing>
            <wp:anchor distT="0" distB="0" distL="114300" distR="114300" simplePos="0" relativeHeight="251664384" behindDoc="0" locked="0" layoutInCell="0" allowOverlap="1" wp14:anchorId="1FF835E5" wp14:editId="10384F09">
              <wp:simplePos x="0" y="0"/>
              <wp:positionH relativeFrom="column">
                <wp:posOffset>5705</wp:posOffset>
              </wp:positionH>
              <wp:positionV relativeFrom="paragraph">
                <wp:posOffset>33020</wp:posOffset>
              </wp:positionV>
              <wp:extent cx="3108960" cy="640080"/>
              <wp:effectExtent l="0" t="0" r="0" b="762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23C1" w:rsidRDefault="00DC23C1" w:rsidP="00DC23C1">
                          <w:pPr>
                            <w:rPr>
                              <w:rFonts w:ascii="Arial" w:hAnsi="Arial"/>
                              <w:b/>
                            </w:rPr>
                          </w:pPr>
                          <w:r>
                            <w:rPr>
                              <w:rFonts w:ascii="Arial" w:hAnsi="Arial"/>
                              <w:b/>
                            </w:rPr>
                            <w:t>Federal Communications Commission</w:t>
                          </w:r>
                        </w:p>
                        <w:p w:rsidR="00DC23C1" w:rsidRDefault="00DC23C1" w:rsidP="00DC23C1">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C23C1" w:rsidRDefault="00DC23C1" w:rsidP="00DC23C1">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45pt;margin-top:2.6pt;width:244.8pt;height:5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" o:allowincell="f" stroked="f">
              <v:textbox>
                <w:txbxContent>
                  <w:p w:rsidR="00DC23C1" w:rsidRDefault="00DC23C1" w:rsidP="00DC23C1">
                    <w:pPr>
                      <w:rPr>
                        <w:rFonts w:ascii="Arial" w:hAnsi="Arial"/>
                        <w:b/>
                      </w:rPr>
                    </w:pPr>
                    <w:r>
                      <w:rPr>
                        <w:rFonts w:ascii="Arial" w:hAnsi="Arial"/>
                        <w:b/>
                      </w:rPr>
                      <w:t>Federal Communications Commission</w:t>
                    </w:r>
                  </w:p>
                  <w:p w:rsidR="00DC23C1" w:rsidRDefault="00DC23C1" w:rsidP="00DC23C1">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C23C1" w:rsidRDefault="00DC23C1" w:rsidP="00DC23C1">
                    <w:pPr>
                      <w:rPr>
                        <w:rFonts w:ascii="Arial" w:hAnsi="Arial"/>
                        <w:sz w:val="24"/>
                      </w:rPr>
                    </w:pPr>
                    <w:r>
                      <w:rPr>
                        <w:rFonts w:ascii="Arial" w:hAnsi="Arial"/>
                        <w:b/>
                      </w:rPr>
                      <w:t>Washington, D.C. 20554</w:t>
                    </w:r>
                  </w:p>
                </w:txbxContent>
              </v:textbox>
            </v:shape>
          </w:pict>
        </mc:Fallback>
      </mc:AlternateContent>
    </w:r>
    <w:r w:rsidRPr="00DC23C1">
      <w:rPr>
        <w:rFonts w:ascii="Arial" w:hAnsi="Arial"/>
        <w:noProof/>
      </w:rPr>
      <mc:AlternateContent>
        <mc:Choice Requires="wps">
          <w:drawing>
            <wp:anchor distT="0" distB="0" distL="114300" distR="114300" simplePos="0" relativeHeight="251665408" behindDoc="0" locked="0" layoutInCell="0" allowOverlap="1" wp14:anchorId="5B3CD2A0" wp14:editId="47693378">
              <wp:simplePos x="0" y="0"/>
              <wp:positionH relativeFrom="column">
                <wp:posOffset>5330</wp:posOffset>
              </wp:positionH>
              <wp:positionV relativeFrom="paragraph">
                <wp:posOffset>700405</wp:posOffset>
              </wp:positionV>
              <wp:extent cx="5886450" cy="2540"/>
              <wp:effectExtent l="0" t="0" r="19050" b="35560"/>
              <wp:wrapNone/>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55.15pt" to="463.9pt,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FpHFwIAACw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" o:allowincell="f"/>
          </w:pict>
        </mc:Fallback>
      </mc:AlternateContent>
    </w:r>
    <w:r w:rsidRPr="00DC23C1">
      <w:rPr>
        <w:rFonts w:ascii="Arial" w:hAnsi="Arial"/>
        <w:sz w:val="2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3C1" w:rsidRPr="00DC23C1" w:rsidRDefault="00DC23C1" w:rsidP="00DC23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57E67F50"/>
    <w:name w:val="WW8Num1"/>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8">
    <w:nsid w:val="7F0406EE"/>
    <w:multiLevelType w:val="hybridMultilevel"/>
    <w:tmpl w:val="B428F4C0"/>
    <w:lvl w:ilvl="0" w:tplc="04090005">
      <w:start w:val="1"/>
      <w:numFmt w:val="bullet"/>
      <w:lvlText w:val=""/>
      <w:lvlJc w:val="left"/>
      <w:pPr>
        <w:tabs>
          <w:tab w:val="num" w:pos="1440"/>
        </w:tabs>
        <w:ind w:left="1440" w:hanging="360"/>
      </w:pPr>
      <w:rPr>
        <w:rFonts w:ascii="Wingdings" w:hAnsi="Wingdings" w:hint="default"/>
      </w:rPr>
    </w:lvl>
    <w:lvl w:ilvl="1" w:tplc="0409000F">
      <w:start w:val="1"/>
      <w:numFmt w:val="decimal"/>
      <w:lvlText w:val="(%2)"/>
      <w:lvlJc w:val="left"/>
      <w:pPr>
        <w:tabs>
          <w:tab w:val="num" w:pos="2160"/>
        </w:tabs>
        <w:ind w:left="2160" w:hanging="360"/>
      </w:pPr>
      <w:rPr>
        <w:rFonts w:cs="Times New Roman" w:hint="default"/>
      </w:rPr>
    </w:lvl>
    <w:lvl w:ilvl="2" w:tplc="04090005">
      <w:start w:val="1"/>
      <w:numFmt w:val="lowerRoman"/>
      <w:lvlText w:val="%3."/>
      <w:lvlJc w:val="right"/>
      <w:pPr>
        <w:tabs>
          <w:tab w:val="num" w:pos="2880"/>
        </w:tabs>
        <w:ind w:left="2880" w:hanging="180"/>
      </w:pPr>
      <w:rPr>
        <w:rFonts w:cs="Times New Roman"/>
      </w:rPr>
    </w:lvl>
    <w:lvl w:ilvl="3" w:tplc="04090001">
      <w:numFmt w:val="bullet"/>
      <w:lvlText w:val="-"/>
      <w:lvlJc w:val="left"/>
      <w:pPr>
        <w:tabs>
          <w:tab w:val="num" w:pos="1440"/>
        </w:tabs>
        <w:ind w:left="1440" w:hanging="360"/>
      </w:pPr>
      <w:rPr>
        <w:rFonts w:ascii="Times New Roman" w:eastAsia="Times New Roman" w:hAnsi="Times New Roman" w:hint="default"/>
      </w:rPr>
    </w:lvl>
    <w:lvl w:ilvl="4" w:tplc="04090003">
      <w:start w:val="1"/>
      <w:numFmt w:val="lowerLetter"/>
      <w:lvlText w:val="%5."/>
      <w:lvlJc w:val="left"/>
      <w:pPr>
        <w:tabs>
          <w:tab w:val="num" w:pos="4320"/>
        </w:tabs>
        <w:ind w:left="4320" w:hanging="360"/>
      </w:pPr>
      <w:rPr>
        <w:rFonts w:cs="Times New Roman"/>
      </w:rPr>
    </w:lvl>
    <w:lvl w:ilvl="5" w:tplc="04090005" w:tentative="1">
      <w:start w:val="1"/>
      <w:numFmt w:val="lowerRoman"/>
      <w:lvlText w:val="%6."/>
      <w:lvlJc w:val="right"/>
      <w:pPr>
        <w:tabs>
          <w:tab w:val="num" w:pos="5040"/>
        </w:tabs>
        <w:ind w:left="5040" w:hanging="180"/>
      </w:pPr>
      <w:rPr>
        <w:rFonts w:cs="Times New Roman"/>
      </w:rPr>
    </w:lvl>
    <w:lvl w:ilvl="6" w:tplc="04090001" w:tentative="1">
      <w:start w:val="1"/>
      <w:numFmt w:val="decimal"/>
      <w:lvlText w:val="%7."/>
      <w:lvlJc w:val="left"/>
      <w:pPr>
        <w:tabs>
          <w:tab w:val="num" w:pos="5760"/>
        </w:tabs>
        <w:ind w:left="5760" w:hanging="360"/>
      </w:pPr>
      <w:rPr>
        <w:rFonts w:cs="Times New Roman"/>
      </w:rPr>
    </w:lvl>
    <w:lvl w:ilvl="7" w:tplc="04090003" w:tentative="1">
      <w:start w:val="1"/>
      <w:numFmt w:val="lowerLetter"/>
      <w:lvlText w:val="%8."/>
      <w:lvlJc w:val="left"/>
      <w:pPr>
        <w:tabs>
          <w:tab w:val="num" w:pos="6480"/>
        </w:tabs>
        <w:ind w:left="6480" w:hanging="360"/>
      </w:pPr>
      <w:rPr>
        <w:rFonts w:cs="Times New Roman"/>
      </w:rPr>
    </w:lvl>
    <w:lvl w:ilvl="8" w:tplc="04090005" w:tentative="1">
      <w:start w:val="1"/>
      <w:numFmt w:val="lowerRoman"/>
      <w:lvlText w:val="%9."/>
      <w:lvlJc w:val="right"/>
      <w:pPr>
        <w:tabs>
          <w:tab w:val="num" w:pos="7200"/>
        </w:tabs>
        <w:ind w:left="7200" w:hanging="180"/>
      </w:pPr>
      <w:rPr>
        <w:rFonts w:cs="Times New Roman"/>
      </w:rPr>
    </w:lvl>
  </w:abstractNum>
  <w:num w:numId="1">
    <w:abstractNumId w:val="6"/>
  </w:num>
  <w:num w:numId="2">
    <w:abstractNumId w:val="5"/>
  </w:num>
  <w:num w:numId="3">
    <w:abstractNumId w:val="7"/>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4"/>
  </w:num>
  <w:num w:numId="12">
    <w:abstractNumId w:val="3"/>
  </w:num>
  <w:num w:numId="13">
    <w:abstractNumId w:val="0"/>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794"/>
    <w:rsid w:val="00015659"/>
    <w:rsid w:val="000224BC"/>
    <w:rsid w:val="000265AE"/>
    <w:rsid w:val="00041AD8"/>
    <w:rsid w:val="000469C9"/>
    <w:rsid w:val="0006288C"/>
    <w:rsid w:val="0006310A"/>
    <w:rsid w:val="00071A32"/>
    <w:rsid w:val="000876A1"/>
    <w:rsid w:val="00090186"/>
    <w:rsid w:val="000B6F66"/>
    <w:rsid w:val="000B797C"/>
    <w:rsid w:val="00116D15"/>
    <w:rsid w:val="00130E6F"/>
    <w:rsid w:val="00143160"/>
    <w:rsid w:val="001602A4"/>
    <w:rsid w:val="00164CD1"/>
    <w:rsid w:val="00174E78"/>
    <w:rsid w:val="00196A8C"/>
    <w:rsid w:val="001A2A27"/>
    <w:rsid w:val="001B5E4A"/>
    <w:rsid w:val="001B782B"/>
    <w:rsid w:val="001D36E9"/>
    <w:rsid w:val="001D3D5B"/>
    <w:rsid w:val="001D4E07"/>
    <w:rsid w:val="001E0B86"/>
    <w:rsid w:val="001F1E17"/>
    <w:rsid w:val="00211AD5"/>
    <w:rsid w:val="00211B19"/>
    <w:rsid w:val="00241276"/>
    <w:rsid w:val="00260DDB"/>
    <w:rsid w:val="00291756"/>
    <w:rsid w:val="002975B0"/>
    <w:rsid w:val="002F5771"/>
    <w:rsid w:val="00302583"/>
    <w:rsid w:val="00305264"/>
    <w:rsid w:val="00321B8A"/>
    <w:rsid w:val="003513F3"/>
    <w:rsid w:val="0036485D"/>
    <w:rsid w:val="0037220C"/>
    <w:rsid w:val="00374326"/>
    <w:rsid w:val="003A29DE"/>
    <w:rsid w:val="003A642D"/>
    <w:rsid w:val="003C222E"/>
    <w:rsid w:val="003D5203"/>
    <w:rsid w:val="003E57A6"/>
    <w:rsid w:val="00407A9B"/>
    <w:rsid w:val="004339B0"/>
    <w:rsid w:val="004549F8"/>
    <w:rsid w:val="00473682"/>
    <w:rsid w:val="0048334E"/>
    <w:rsid w:val="00485F7D"/>
    <w:rsid w:val="00490158"/>
    <w:rsid w:val="004931EE"/>
    <w:rsid w:val="004A3A66"/>
    <w:rsid w:val="004A7287"/>
    <w:rsid w:val="004B172D"/>
    <w:rsid w:val="004B45C4"/>
    <w:rsid w:val="004D04A9"/>
    <w:rsid w:val="004D32C0"/>
    <w:rsid w:val="004E0D23"/>
    <w:rsid w:val="004E6174"/>
    <w:rsid w:val="004E6E5D"/>
    <w:rsid w:val="004F0CF2"/>
    <w:rsid w:val="00550E32"/>
    <w:rsid w:val="0055688D"/>
    <w:rsid w:val="00565076"/>
    <w:rsid w:val="005816F0"/>
    <w:rsid w:val="00585E66"/>
    <w:rsid w:val="00590501"/>
    <w:rsid w:val="00593120"/>
    <w:rsid w:val="005C5EEC"/>
    <w:rsid w:val="005D6303"/>
    <w:rsid w:val="005F6A75"/>
    <w:rsid w:val="0060076D"/>
    <w:rsid w:val="00602577"/>
    <w:rsid w:val="00614D08"/>
    <w:rsid w:val="006612CE"/>
    <w:rsid w:val="0067177E"/>
    <w:rsid w:val="00673EEB"/>
    <w:rsid w:val="00690310"/>
    <w:rsid w:val="00692118"/>
    <w:rsid w:val="006B37D8"/>
    <w:rsid w:val="006B6606"/>
    <w:rsid w:val="00706947"/>
    <w:rsid w:val="00726261"/>
    <w:rsid w:val="007365EC"/>
    <w:rsid w:val="00776286"/>
    <w:rsid w:val="00784CDE"/>
    <w:rsid w:val="00792B63"/>
    <w:rsid w:val="007A347E"/>
    <w:rsid w:val="007B58AD"/>
    <w:rsid w:val="007D232E"/>
    <w:rsid w:val="007F3EF6"/>
    <w:rsid w:val="00806E8C"/>
    <w:rsid w:val="0082111E"/>
    <w:rsid w:val="00853F2B"/>
    <w:rsid w:val="008821C4"/>
    <w:rsid w:val="00884C6C"/>
    <w:rsid w:val="008A17D3"/>
    <w:rsid w:val="008A5E4C"/>
    <w:rsid w:val="008B2FCC"/>
    <w:rsid w:val="008C49B4"/>
    <w:rsid w:val="008D2F71"/>
    <w:rsid w:val="008E6AC6"/>
    <w:rsid w:val="008F4794"/>
    <w:rsid w:val="008F7E54"/>
    <w:rsid w:val="00913292"/>
    <w:rsid w:val="00925BD1"/>
    <w:rsid w:val="00931543"/>
    <w:rsid w:val="00934A82"/>
    <w:rsid w:val="00945EF6"/>
    <w:rsid w:val="00962449"/>
    <w:rsid w:val="00967C95"/>
    <w:rsid w:val="009A2870"/>
    <w:rsid w:val="009C6769"/>
    <w:rsid w:val="009C712F"/>
    <w:rsid w:val="009D3A93"/>
    <w:rsid w:val="009E4B75"/>
    <w:rsid w:val="00A27DB2"/>
    <w:rsid w:val="00A65669"/>
    <w:rsid w:val="00AA059D"/>
    <w:rsid w:val="00AA47A5"/>
    <w:rsid w:val="00AB0DE7"/>
    <w:rsid w:val="00AB16C9"/>
    <w:rsid w:val="00AE08DF"/>
    <w:rsid w:val="00AE1332"/>
    <w:rsid w:val="00AE569A"/>
    <w:rsid w:val="00B1195A"/>
    <w:rsid w:val="00B21577"/>
    <w:rsid w:val="00B412A6"/>
    <w:rsid w:val="00BA5599"/>
    <w:rsid w:val="00BC7A28"/>
    <w:rsid w:val="00BD38BF"/>
    <w:rsid w:val="00C20A0D"/>
    <w:rsid w:val="00C22D57"/>
    <w:rsid w:val="00C75296"/>
    <w:rsid w:val="00C9124F"/>
    <w:rsid w:val="00CB698E"/>
    <w:rsid w:val="00CE4CAA"/>
    <w:rsid w:val="00CE6A44"/>
    <w:rsid w:val="00CE707A"/>
    <w:rsid w:val="00D004D9"/>
    <w:rsid w:val="00D011F4"/>
    <w:rsid w:val="00D06900"/>
    <w:rsid w:val="00D1323C"/>
    <w:rsid w:val="00D17DC0"/>
    <w:rsid w:val="00D41E8A"/>
    <w:rsid w:val="00D55E4B"/>
    <w:rsid w:val="00D60EFF"/>
    <w:rsid w:val="00D63841"/>
    <w:rsid w:val="00D8274E"/>
    <w:rsid w:val="00D83249"/>
    <w:rsid w:val="00D8356A"/>
    <w:rsid w:val="00DC23C1"/>
    <w:rsid w:val="00DD7710"/>
    <w:rsid w:val="00DE345B"/>
    <w:rsid w:val="00E1365A"/>
    <w:rsid w:val="00E14C02"/>
    <w:rsid w:val="00E248D2"/>
    <w:rsid w:val="00E52110"/>
    <w:rsid w:val="00E57F72"/>
    <w:rsid w:val="00E821B1"/>
    <w:rsid w:val="00E941BF"/>
    <w:rsid w:val="00EB6B89"/>
    <w:rsid w:val="00ED4278"/>
    <w:rsid w:val="00EF3820"/>
    <w:rsid w:val="00F17D68"/>
    <w:rsid w:val="00F279AB"/>
    <w:rsid w:val="00F31595"/>
    <w:rsid w:val="00F41A6C"/>
    <w:rsid w:val="00F434AA"/>
    <w:rsid w:val="00F465E6"/>
    <w:rsid w:val="00F54301"/>
    <w:rsid w:val="00FA1FB7"/>
    <w:rsid w:val="00FB0A88"/>
    <w:rsid w:val="00FB6CBD"/>
    <w:rsid w:val="00FC7F83"/>
    <w:rsid w:val="00FD2119"/>
    <w:rsid w:val="00FF7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link w:val="Heading2Char"/>
    <w:uiPriority w:val="9"/>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Style 7,Style 4,Footnote Reference1"/>
    <w:rPr>
      <w:vertAlign w:val="superscript"/>
    </w:rPr>
  </w:style>
  <w:style w:type="paragraph" w:styleId="FootnoteText">
    <w:name w:val="footnote text"/>
    <w:aliases w:val="ALTS FOOTNOTE,ALTS FOOTNOTE Char,fn Char,Footnote Text Char2 Char,Footnote Text Char3 Char1 Char,Footnote Text Char2 Char1 Char1 Char,Footnote Text Char3 Char1 Char Char Char,Footnote Text Char2 Char1 Char1 Char Char Char,fn,fn Char1,f"/>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
    <w:name w:val="Footnote Text Char"/>
    <w:aliases w:val="ALTS FOOTNOTE Char1,ALTS FOOTNOTE Char Char,fn Char Char,Footnote Text Char2 Char Char,Footnote Text Char3 Char1 Char Char,Footnote Text Char2 Char1 Char1 Char Char,Footnote Text Char3 Char1 Char Char Char Char,fn Char2,fn Char1 Char"/>
    <w:link w:val="FootnoteText"/>
    <w:rsid w:val="004339B0"/>
    <w:rPr>
      <w:sz w:val="22"/>
    </w:rPr>
  </w:style>
  <w:style w:type="paragraph" w:styleId="BalloonText">
    <w:name w:val="Balloon Text"/>
    <w:basedOn w:val="Normal"/>
    <w:link w:val="BalloonTextChar"/>
    <w:uiPriority w:val="99"/>
    <w:semiHidden/>
    <w:unhideWhenUsed/>
    <w:rsid w:val="004931EE"/>
    <w:rPr>
      <w:rFonts w:ascii="Tahoma" w:hAnsi="Tahoma" w:cs="Tahoma"/>
      <w:sz w:val="16"/>
      <w:szCs w:val="16"/>
    </w:rPr>
  </w:style>
  <w:style w:type="character" w:customStyle="1" w:styleId="BalloonTextChar">
    <w:name w:val="Balloon Text Char"/>
    <w:basedOn w:val="DefaultParagraphFont"/>
    <w:link w:val="BalloonText"/>
    <w:uiPriority w:val="99"/>
    <w:semiHidden/>
    <w:rsid w:val="004931EE"/>
    <w:rPr>
      <w:rFonts w:ascii="Tahoma" w:hAnsi="Tahoma" w:cs="Tahoma"/>
      <w:sz w:val="16"/>
      <w:szCs w:val="16"/>
    </w:rPr>
  </w:style>
  <w:style w:type="paragraph" w:styleId="ListParagraph">
    <w:name w:val="List Paragraph"/>
    <w:basedOn w:val="Normal"/>
    <w:uiPriority w:val="34"/>
    <w:qFormat/>
    <w:rsid w:val="004E6174"/>
    <w:pPr>
      <w:ind w:left="720"/>
      <w:contextualSpacing/>
    </w:pPr>
  </w:style>
  <w:style w:type="character" w:styleId="CommentReference">
    <w:name w:val="annotation reference"/>
    <w:basedOn w:val="DefaultParagraphFont"/>
    <w:uiPriority w:val="99"/>
    <w:semiHidden/>
    <w:unhideWhenUsed/>
    <w:rsid w:val="0036485D"/>
    <w:rPr>
      <w:sz w:val="16"/>
      <w:szCs w:val="16"/>
    </w:rPr>
  </w:style>
  <w:style w:type="paragraph" w:styleId="CommentText">
    <w:name w:val="annotation text"/>
    <w:basedOn w:val="Normal"/>
    <w:link w:val="CommentTextChar"/>
    <w:uiPriority w:val="99"/>
    <w:semiHidden/>
    <w:unhideWhenUsed/>
    <w:rsid w:val="0036485D"/>
    <w:rPr>
      <w:sz w:val="20"/>
    </w:rPr>
  </w:style>
  <w:style w:type="character" w:customStyle="1" w:styleId="CommentTextChar">
    <w:name w:val="Comment Text Char"/>
    <w:basedOn w:val="DefaultParagraphFont"/>
    <w:link w:val="CommentText"/>
    <w:uiPriority w:val="99"/>
    <w:semiHidden/>
    <w:rsid w:val="0036485D"/>
  </w:style>
  <w:style w:type="paragraph" w:styleId="CommentSubject">
    <w:name w:val="annotation subject"/>
    <w:basedOn w:val="CommentText"/>
    <w:next w:val="CommentText"/>
    <w:link w:val="CommentSubjectChar"/>
    <w:uiPriority w:val="99"/>
    <w:semiHidden/>
    <w:unhideWhenUsed/>
    <w:rsid w:val="0036485D"/>
    <w:rPr>
      <w:b/>
      <w:bCs/>
    </w:rPr>
  </w:style>
  <w:style w:type="character" w:customStyle="1" w:styleId="CommentSubjectChar">
    <w:name w:val="Comment Subject Char"/>
    <w:basedOn w:val="CommentTextChar"/>
    <w:link w:val="CommentSubject"/>
    <w:uiPriority w:val="99"/>
    <w:semiHidden/>
    <w:rsid w:val="0036485D"/>
    <w:rPr>
      <w:b/>
      <w:bCs/>
    </w:rPr>
  </w:style>
  <w:style w:type="character" w:customStyle="1" w:styleId="FooterChar">
    <w:name w:val="Footer Char"/>
    <w:basedOn w:val="DefaultParagraphFont"/>
    <w:link w:val="Footer"/>
    <w:uiPriority w:val="99"/>
    <w:rsid w:val="00AB0DE7"/>
    <w:rPr>
      <w:sz w:val="22"/>
    </w:rPr>
  </w:style>
  <w:style w:type="table" w:styleId="TableGrid">
    <w:name w:val="Table Grid"/>
    <w:basedOn w:val="TableNormal"/>
    <w:uiPriority w:val="59"/>
    <w:rsid w:val="00DE34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0224BC"/>
    <w:rPr>
      <w:b/>
      <w:sz w:val="22"/>
    </w:rPr>
  </w:style>
  <w:style w:type="character" w:customStyle="1" w:styleId="apple-converted-space">
    <w:name w:val="apple-converted-space"/>
    <w:basedOn w:val="DefaultParagraphFont"/>
    <w:rsid w:val="000224BC"/>
  </w:style>
  <w:style w:type="paragraph" w:styleId="Revision">
    <w:name w:val="Revision"/>
    <w:hidden/>
    <w:uiPriority w:val="99"/>
    <w:semiHidden/>
    <w:rsid w:val="00590501"/>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link w:val="Heading2Char"/>
    <w:uiPriority w:val="9"/>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Style 7,Style 4,Footnote Reference1"/>
    <w:rPr>
      <w:vertAlign w:val="superscript"/>
    </w:rPr>
  </w:style>
  <w:style w:type="paragraph" w:styleId="FootnoteText">
    <w:name w:val="footnote text"/>
    <w:aliases w:val="ALTS FOOTNOTE,ALTS FOOTNOTE Char,fn Char,Footnote Text Char2 Char,Footnote Text Char3 Char1 Char,Footnote Text Char2 Char1 Char1 Char,Footnote Text Char3 Char1 Char Char Char,Footnote Text Char2 Char1 Char1 Char Char Char,fn,fn Char1,f"/>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
    <w:name w:val="Footnote Text Char"/>
    <w:aliases w:val="ALTS FOOTNOTE Char1,ALTS FOOTNOTE Char Char,fn Char Char,Footnote Text Char2 Char Char,Footnote Text Char3 Char1 Char Char,Footnote Text Char2 Char1 Char1 Char Char,Footnote Text Char3 Char1 Char Char Char Char,fn Char2,fn Char1 Char"/>
    <w:link w:val="FootnoteText"/>
    <w:rsid w:val="004339B0"/>
    <w:rPr>
      <w:sz w:val="22"/>
    </w:rPr>
  </w:style>
  <w:style w:type="paragraph" w:styleId="BalloonText">
    <w:name w:val="Balloon Text"/>
    <w:basedOn w:val="Normal"/>
    <w:link w:val="BalloonTextChar"/>
    <w:uiPriority w:val="99"/>
    <w:semiHidden/>
    <w:unhideWhenUsed/>
    <w:rsid w:val="004931EE"/>
    <w:rPr>
      <w:rFonts w:ascii="Tahoma" w:hAnsi="Tahoma" w:cs="Tahoma"/>
      <w:sz w:val="16"/>
      <w:szCs w:val="16"/>
    </w:rPr>
  </w:style>
  <w:style w:type="character" w:customStyle="1" w:styleId="BalloonTextChar">
    <w:name w:val="Balloon Text Char"/>
    <w:basedOn w:val="DefaultParagraphFont"/>
    <w:link w:val="BalloonText"/>
    <w:uiPriority w:val="99"/>
    <w:semiHidden/>
    <w:rsid w:val="004931EE"/>
    <w:rPr>
      <w:rFonts w:ascii="Tahoma" w:hAnsi="Tahoma" w:cs="Tahoma"/>
      <w:sz w:val="16"/>
      <w:szCs w:val="16"/>
    </w:rPr>
  </w:style>
  <w:style w:type="paragraph" w:styleId="ListParagraph">
    <w:name w:val="List Paragraph"/>
    <w:basedOn w:val="Normal"/>
    <w:uiPriority w:val="34"/>
    <w:qFormat/>
    <w:rsid w:val="004E6174"/>
    <w:pPr>
      <w:ind w:left="720"/>
      <w:contextualSpacing/>
    </w:pPr>
  </w:style>
  <w:style w:type="character" w:styleId="CommentReference">
    <w:name w:val="annotation reference"/>
    <w:basedOn w:val="DefaultParagraphFont"/>
    <w:uiPriority w:val="99"/>
    <w:semiHidden/>
    <w:unhideWhenUsed/>
    <w:rsid w:val="0036485D"/>
    <w:rPr>
      <w:sz w:val="16"/>
      <w:szCs w:val="16"/>
    </w:rPr>
  </w:style>
  <w:style w:type="paragraph" w:styleId="CommentText">
    <w:name w:val="annotation text"/>
    <w:basedOn w:val="Normal"/>
    <w:link w:val="CommentTextChar"/>
    <w:uiPriority w:val="99"/>
    <w:semiHidden/>
    <w:unhideWhenUsed/>
    <w:rsid w:val="0036485D"/>
    <w:rPr>
      <w:sz w:val="20"/>
    </w:rPr>
  </w:style>
  <w:style w:type="character" w:customStyle="1" w:styleId="CommentTextChar">
    <w:name w:val="Comment Text Char"/>
    <w:basedOn w:val="DefaultParagraphFont"/>
    <w:link w:val="CommentText"/>
    <w:uiPriority w:val="99"/>
    <w:semiHidden/>
    <w:rsid w:val="0036485D"/>
  </w:style>
  <w:style w:type="paragraph" w:styleId="CommentSubject">
    <w:name w:val="annotation subject"/>
    <w:basedOn w:val="CommentText"/>
    <w:next w:val="CommentText"/>
    <w:link w:val="CommentSubjectChar"/>
    <w:uiPriority w:val="99"/>
    <w:semiHidden/>
    <w:unhideWhenUsed/>
    <w:rsid w:val="0036485D"/>
    <w:rPr>
      <w:b/>
      <w:bCs/>
    </w:rPr>
  </w:style>
  <w:style w:type="character" w:customStyle="1" w:styleId="CommentSubjectChar">
    <w:name w:val="Comment Subject Char"/>
    <w:basedOn w:val="CommentTextChar"/>
    <w:link w:val="CommentSubject"/>
    <w:uiPriority w:val="99"/>
    <w:semiHidden/>
    <w:rsid w:val="0036485D"/>
    <w:rPr>
      <w:b/>
      <w:bCs/>
    </w:rPr>
  </w:style>
  <w:style w:type="character" w:customStyle="1" w:styleId="FooterChar">
    <w:name w:val="Footer Char"/>
    <w:basedOn w:val="DefaultParagraphFont"/>
    <w:link w:val="Footer"/>
    <w:uiPriority w:val="99"/>
    <w:rsid w:val="00AB0DE7"/>
    <w:rPr>
      <w:sz w:val="22"/>
    </w:rPr>
  </w:style>
  <w:style w:type="table" w:styleId="TableGrid">
    <w:name w:val="Table Grid"/>
    <w:basedOn w:val="TableNormal"/>
    <w:uiPriority w:val="59"/>
    <w:rsid w:val="00DE34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0224BC"/>
    <w:rPr>
      <w:b/>
      <w:sz w:val="22"/>
    </w:rPr>
  </w:style>
  <w:style w:type="character" w:customStyle="1" w:styleId="apple-converted-space">
    <w:name w:val="apple-converted-space"/>
    <w:basedOn w:val="DefaultParagraphFont"/>
    <w:rsid w:val="000224BC"/>
  </w:style>
  <w:style w:type="paragraph" w:styleId="Revision">
    <w:name w:val="Revision"/>
    <w:hidden/>
    <w:uiPriority w:val="99"/>
    <w:semiHidden/>
    <w:rsid w:val="0059050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583783">
      <w:bodyDiv w:val="1"/>
      <w:marLeft w:val="0"/>
      <w:marRight w:val="0"/>
      <w:marTop w:val="0"/>
      <w:marBottom w:val="0"/>
      <w:divBdr>
        <w:top w:val="none" w:sz="0" w:space="0" w:color="auto"/>
        <w:left w:val="none" w:sz="0" w:space="0" w:color="auto"/>
        <w:bottom w:val="none" w:sz="0" w:space="0" w:color="auto"/>
        <w:right w:val="none" w:sz="0" w:space="0" w:color="auto"/>
      </w:divBdr>
    </w:div>
    <w:div w:id="204351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Ian.Forbes@fcc.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2</Pages>
  <Words>652</Words>
  <Characters>3484</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4164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2015-01-23T14:29:00Z</cp:lastPrinted>
  <dcterms:created xsi:type="dcterms:W3CDTF">2015-01-23T16:07:00Z</dcterms:created>
  <dcterms:modified xsi:type="dcterms:W3CDTF">2015-01-23T16:07:00Z</dcterms:modified>
  <cp:category> </cp:category>
  <cp:contentStatus> </cp:contentStatus>
</cp:coreProperties>
</file>