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BB63"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72678673" w14:textId="16D0C9A2"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533580">
        <w:rPr>
          <w:b/>
          <w:szCs w:val="22"/>
        </w:rPr>
        <w:t>1008</w:t>
      </w:r>
    </w:p>
    <w:p w14:paraId="089DE08B" w14:textId="15176B7D" w:rsidR="00F80FFB" w:rsidRPr="00D27120" w:rsidRDefault="00847982" w:rsidP="00F80FFB">
      <w:pPr>
        <w:spacing w:before="60"/>
        <w:jc w:val="right"/>
        <w:rPr>
          <w:b/>
          <w:szCs w:val="22"/>
        </w:rPr>
      </w:pPr>
      <w:r>
        <w:rPr>
          <w:b/>
          <w:szCs w:val="22"/>
        </w:rPr>
        <w:t>September 2</w:t>
      </w:r>
      <w:r w:rsidR="00B03BB5">
        <w:rPr>
          <w:b/>
          <w:szCs w:val="22"/>
        </w:rPr>
        <w:t>,</w:t>
      </w:r>
      <w:r w:rsidR="00F80FFB" w:rsidRPr="00D27120">
        <w:rPr>
          <w:b/>
          <w:szCs w:val="22"/>
        </w:rPr>
        <w:t xml:space="preserve"> 201</w:t>
      </w:r>
      <w:r w:rsidR="0062123A">
        <w:rPr>
          <w:b/>
          <w:szCs w:val="22"/>
        </w:rPr>
        <w:t>6</w:t>
      </w:r>
    </w:p>
    <w:p w14:paraId="2BBBE43A" w14:textId="77777777" w:rsidR="00F80FFB" w:rsidRPr="00D27120" w:rsidRDefault="00F80FFB" w:rsidP="00F80FFB">
      <w:pPr>
        <w:tabs>
          <w:tab w:val="left" w:pos="5900"/>
        </w:tabs>
        <w:rPr>
          <w:szCs w:val="22"/>
        </w:rPr>
      </w:pPr>
      <w:r w:rsidRPr="00D27120">
        <w:rPr>
          <w:szCs w:val="22"/>
        </w:rPr>
        <w:tab/>
      </w:r>
    </w:p>
    <w:p w14:paraId="622F5398" w14:textId="77777777" w:rsidR="005A487E" w:rsidRDefault="2BCB800D" w:rsidP="004A6E49">
      <w:pPr>
        <w:jc w:val="center"/>
        <w:rPr>
          <w:b/>
          <w:bCs/>
        </w:rPr>
      </w:pPr>
      <w:r w:rsidRPr="2BCB800D">
        <w:rPr>
          <w:b/>
          <w:bCs/>
        </w:rPr>
        <w:t xml:space="preserve">DOMESTIC SECTION 214 APPLICATION FILED FOR THE </w:t>
      </w:r>
      <w:r w:rsidR="00E05AC8">
        <w:rPr>
          <w:b/>
          <w:bCs/>
        </w:rPr>
        <w:t>TRANSFER OF CONTROL</w:t>
      </w:r>
      <w:r w:rsidR="00C7671E">
        <w:rPr>
          <w:b/>
          <w:bCs/>
        </w:rPr>
        <w:t xml:space="preserve"> OF UNITE PRIVATE NETWORKS, LLC AND</w:t>
      </w:r>
      <w:r w:rsidR="00E05AC8">
        <w:rPr>
          <w:b/>
          <w:bCs/>
        </w:rPr>
        <w:t xml:space="preserve"> UNITE PRIVATE NETWORKS-ILLINOIS, LLC TO COX COMMUNICATIONS, INC</w:t>
      </w:r>
      <w:r w:rsidR="00572DFC">
        <w:rPr>
          <w:b/>
          <w:bCs/>
        </w:rPr>
        <w:t>.</w:t>
      </w:r>
      <w:r w:rsidR="00D05F38">
        <w:rPr>
          <w:b/>
          <w:bCs/>
        </w:rPr>
        <w:t xml:space="preserve"> </w:t>
      </w:r>
    </w:p>
    <w:p w14:paraId="4CA6D5D8" w14:textId="77777777" w:rsidR="00DB3DCF" w:rsidRDefault="00DB3DCF" w:rsidP="005A487E">
      <w:pPr>
        <w:jc w:val="center"/>
        <w:rPr>
          <w:b/>
          <w:bCs/>
        </w:rPr>
      </w:pPr>
    </w:p>
    <w:p w14:paraId="3766A153" w14:textId="77777777" w:rsidR="004363ED" w:rsidRDefault="00257350" w:rsidP="005A487E">
      <w:pPr>
        <w:jc w:val="center"/>
        <w:rPr>
          <w:b/>
          <w:szCs w:val="22"/>
        </w:rPr>
      </w:pPr>
      <w:r>
        <w:rPr>
          <w:b/>
          <w:szCs w:val="22"/>
        </w:rPr>
        <w:t>NON-</w:t>
      </w:r>
      <w:r w:rsidR="004363ED" w:rsidRPr="00114699">
        <w:rPr>
          <w:b/>
          <w:szCs w:val="22"/>
        </w:rPr>
        <w:t>STREAMLINED PLEADING CYCLE ESTABLISHED</w:t>
      </w:r>
    </w:p>
    <w:p w14:paraId="7747CF88" w14:textId="77777777" w:rsidR="005A487E" w:rsidRPr="00114699" w:rsidRDefault="005A487E" w:rsidP="005A487E">
      <w:pPr>
        <w:jc w:val="center"/>
        <w:rPr>
          <w:b/>
          <w:szCs w:val="22"/>
        </w:rPr>
      </w:pPr>
    </w:p>
    <w:p w14:paraId="18F18134" w14:textId="77777777" w:rsidR="004363ED" w:rsidRPr="00F40BEC" w:rsidRDefault="00EB52D2" w:rsidP="00F40BEC">
      <w:pPr>
        <w:jc w:val="center"/>
        <w:rPr>
          <w:b/>
          <w:szCs w:val="22"/>
        </w:rPr>
      </w:pPr>
      <w:r w:rsidRPr="006F6A1D">
        <w:rPr>
          <w:b/>
          <w:szCs w:val="22"/>
        </w:rPr>
        <w:t>WC Docket No. 1</w:t>
      </w:r>
      <w:r w:rsidR="0062123A">
        <w:rPr>
          <w:b/>
          <w:szCs w:val="22"/>
        </w:rPr>
        <w:t>6-</w:t>
      </w:r>
      <w:r w:rsidR="00821093">
        <w:rPr>
          <w:b/>
          <w:szCs w:val="22"/>
        </w:rPr>
        <w:t>241</w:t>
      </w:r>
    </w:p>
    <w:p w14:paraId="03F677D8" w14:textId="4F106679" w:rsidR="004363ED" w:rsidRPr="006F6A1D" w:rsidRDefault="004363ED" w:rsidP="004363ED">
      <w:pPr>
        <w:pStyle w:val="NoSpacing"/>
        <w:rPr>
          <w:b/>
          <w:szCs w:val="22"/>
        </w:rPr>
      </w:pPr>
      <w:r w:rsidRPr="006F6A1D">
        <w:rPr>
          <w:b/>
          <w:szCs w:val="22"/>
        </w:rPr>
        <w:t xml:space="preserve">Comments Due:  </w:t>
      </w:r>
      <w:r w:rsidR="00165429">
        <w:rPr>
          <w:b/>
          <w:szCs w:val="22"/>
        </w:rPr>
        <w:t>September</w:t>
      </w:r>
      <w:r w:rsidR="00847982">
        <w:rPr>
          <w:b/>
          <w:szCs w:val="22"/>
        </w:rPr>
        <w:t xml:space="preserve"> 16</w:t>
      </w:r>
      <w:r w:rsidRPr="006F6A1D">
        <w:rPr>
          <w:b/>
          <w:szCs w:val="22"/>
        </w:rPr>
        <w:t>, 201</w:t>
      </w:r>
      <w:r w:rsidR="005437C5">
        <w:rPr>
          <w:b/>
          <w:szCs w:val="22"/>
        </w:rPr>
        <w:t>6</w:t>
      </w:r>
    </w:p>
    <w:p w14:paraId="216045AE" w14:textId="56A9169E" w:rsidR="00E05AC8" w:rsidRDefault="004363ED" w:rsidP="004363ED">
      <w:pPr>
        <w:pStyle w:val="NoSpacing"/>
        <w:rPr>
          <w:b/>
          <w:szCs w:val="22"/>
        </w:rPr>
      </w:pPr>
      <w:r w:rsidRPr="006F6A1D">
        <w:rPr>
          <w:b/>
          <w:szCs w:val="22"/>
        </w:rPr>
        <w:t xml:space="preserve">Reply Comments Due:  </w:t>
      </w:r>
      <w:r w:rsidR="00165429">
        <w:rPr>
          <w:b/>
          <w:szCs w:val="22"/>
        </w:rPr>
        <w:t>September</w:t>
      </w:r>
      <w:r w:rsidR="00847982">
        <w:rPr>
          <w:b/>
          <w:szCs w:val="22"/>
        </w:rPr>
        <w:t xml:space="preserve"> 23</w:t>
      </w:r>
      <w:r w:rsidR="00A1474A">
        <w:rPr>
          <w:b/>
          <w:szCs w:val="22"/>
        </w:rPr>
        <w:t>,</w:t>
      </w:r>
      <w:r w:rsidRPr="006F6A1D">
        <w:rPr>
          <w:b/>
          <w:szCs w:val="22"/>
        </w:rPr>
        <w:t xml:space="preserve"> 201</w:t>
      </w:r>
      <w:r w:rsidR="005437C5">
        <w:rPr>
          <w:b/>
          <w:szCs w:val="22"/>
        </w:rPr>
        <w:t>6</w:t>
      </w:r>
    </w:p>
    <w:p w14:paraId="055DDE22" w14:textId="77777777" w:rsidR="008A12E6" w:rsidRDefault="008A12E6" w:rsidP="004363ED">
      <w:pPr>
        <w:pStyle w:val="NoSpacing"/>
        <w:rPr>
          <w:b/>
          <w:szCs w:val="22"/>
        </w:rPr>
      </w:pPr>
    </w:p>
    <w:p w14:paraId="7D1F817C" w14:textId="25B2E56A" w:rsidR="00F40BEC" w:rsidRDefault="00E05AC8" w:rsidP="00996D9B">
      <w:pPr>
        <w:tabs>
          <w:tab w:val="left" w:pos="180"/>
        </w:tabs>
        <w:autoSpaceDE w:val="0"/>
        <w:autoSpaceDN w:val="0"/>
        <w:adjustRightInd w:val="0"/>
        <w:ind w:firstLine="720"/>
        <w:rPr>
          <w:szCs w:val="22"/>
        </w:rPr>
      </w:pPr>
      <w:r>
        <w:rPr>
          <w:szCs w:val="22"/>
        </w:rPr>
        <w:t>Unite Private Networks, LLC, United</w:t>
      </w:r>
      <w:r w:rsidR="00065221">
        <w:rPr>
          <w:szCs w:val="22"/>
        </w:rPr>
        <w:t xml:space="preserve"> Private Networks-Illinois, LLC</w:t>
      </w:r>
      <w:r>
        <w:rPr>
          <w:szCs w:val="22"/>
        </w:rPr>
        <w:t xml:space="preserve"> (</w:t>
      </w:r>
      <w:r w:rsidR="00217F6F">
        <w:rPr>
          <w:szCs w:val="22"/>
        </w:rPr>
        <w:t>together</w:t>
      </w:r>
      <w:r>
        <w:rPr>
          <w:szCs w:val="22"/>
        </w:rPr>
        <w:t xml:space="preserve">, UPN or the </w:t>
      </w:r>
      <w:r w:rsidR="00C7671E">
        <w:rPr>
          <w:szCs w:val="22"/>
        </w:rPr>
        <w:t>UPN Companies),</w:t>
      </w:r>
      <w:r>
        <w:rPr>
          <w:szCs w:val="22"/>
        </w:rPr>
        <w:t xml:space="preserve"> REP UP, L.P. (REP UP)</w:t>
      </w:r>
      <w:r w:rsidR="00E05ED3">
        <w:rPr>
          <w:szCs w:val="22"/>
        </w:rPr>
        <w:t>,</w:t>
      </w:r>
      <w:r>
        <w:rPr>
          <w:szCs w:val="22"/>
        </w:rPr>
        <w:t xml:space="preserve"> and Cox Communications, Inc. (Cox) </w:t>
      </w:r>
      <w:r w:rsidR="008A12E6" w:rsidRPr="008A12E6">
        <w:rPr>
          <w:szCs w:val="22"/>
        </w:rPr>
        <w:t>(</w:t>
      </w:r>
      <w:r w:rsidR="00217F6F">
        <w:rPr>
          <w:szCs w:val="22"/>
        </w:rPr>
        <w:t>collectively</w:t>
      </w:r>
      <w:r w:rsidR="00E56570">
        <w:rPr>
          <w:szCs w:val="22"/>
        </w:rPr>
        <w:t>,</w:t>
      </w:r>
      <w:r w:rsidR="008A12E6">
        <w:rPr>
          <w:szCs w:val="22"/>
        </w:rPr>
        <w:t xml:space="preserve"> </w:t>
      </w:r>
      <w:r w:rsidR="008A12E6" w:rsidRPr="008A12E6">
        <w:rPr>
          <w:szCs w:val="22"/>
        </w:rPr>
        <w:t>Applicants) fi</w:t>
      </w:r>
      <w:r w:rsidR="00CD6113">
        <w:rPr>
          <w:szCs w:val="22"/>
        </w:rPr>
        <w:t>led an application</w:t>
      </w:r>
      <w:r w:rsidR="00FF4C88">
        <w:rPr>
          <w:rStyle w:val="FootnoteReference"/>
          <w:szCs w:val="22"/>
        </w:rPr>
        <w:footnoteReference w:id="2"/>
      </w:r>
      <w:r w:rsidR="00CD6113">
        <w:rPr>
          <w:szCs w:val="22"/>
        </w:rPr>
        <w:t xml:space="preserve">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authorization </w:t>
      </w:r>
      <w:r w:rsidR="0081224A">
        <w:rPr>
          <w:szCs w:val="22"/>
        </w:rPr>
        <w:t xml:space="preserve">to transfer </w:t>
      </w:r>
      <w:r w:rsidR="00C7671E">
        <w:rPr>
          <w:szCs w:val="22"/>
        </w:rPr>
        <w:t>control of UPN</w:t>
      </w:r>
      <w:r w:rsidR="00CB3432">
        <w:rPr>
          <w:szCs w:val="22"/>
        </w:rPr>
        <w:t xml:space="preserve"> from REP UP</w:t>
      </w:r>
      <w:r>
        <w:rPr>
          <w:szCs w:val="22"/>
        </w:rPr>
        <w:t xml:space="preserve"> to Cox</w:t>
      </w:r>
      <w:r w:rsidR="00D05F38">
        <w:rPr>
          <w:szCs w:val="22"/>
        </w:rPr>
        <w:t>.</w:t>
      </w:r>
      <w:r w:rsidR="00B03BB5" w:rsidRPr="006F6A1D">
        <w:rPr>
          <w:rStyle w:val="FootnoteReference"/>
          <w:szCs w:val="22"/>
        </w:rPr>
        <w:footnoteReference w:id="3"/>
      </w:r>
    </w:p>
    <w:p w14:paraId="3CB768A9" w14:textId="77777777" w:rsidR="00996D9B" w:rsidRDefault="00996D9B" w:rsidP="00996D9B">
      <w:pPr>
        <w:tabs>
          <w:tab w:val="left" w:pos="180"/>
        </w:tabs>
        <w:autoSpaceDE w:val="0"/>
        <w:autoSpaceDN w:val="0"/>
        <w:adjustRightInd w:val="0"/>
        <w:rPr>
          <w:szCs w:val="22"/>
        </w:rPr>
      </w:pPr>
    </w:p>
    <w:p w14:paraId="6336E38C" w14:textId="2CDE16AB" w:rsidR="00CE0367" w:rsidRPr="008F5961" w:rsidRDefault="00F40BEC" w:rsidP="00814A84">
      <w:pPr>
        <w:tabs>
          <w:tab w:val="left" w:pos="180"/>
        </w:tabs>
        <w:autoSpaceDE w:val="0"/>
        <w:autoSpaceDN w:val="0"/>
        <w:adjustRightInd w:val="0"/>
        <w:ind w:firstLine="720"/>
        <w:rPr>
          <w:szCs w:val="22"/>
        </w:rPr>
      </w:pPr>
      <w:r w:rsidRPr="008F5961">
        <w:rPr>
          <w:szCs w:val="22"/>
        </w:rPr>
        <w:t>The UPN Companies</w:t>
      </w:r>
      <w:r w:rsidR="003D4273" w:rsidRPr="008F5961">
        <w:rPr>
          <w:szCs w:val="22"/>
        </w:rPr>
        <w:t xml:space="preserve">, </w:t>
      </w:r>
      <w:r w:rsidR="00C7671E" w:rsidRPr="008F5961">
        <w:rPr>
          <w:szCs w:val="22"/>
        </w:rPr>
        <w:t xml:space="preserve">both </w:t>
      </w:r>
      <w:r w:rsidR="003D4273" w:rsidRPr="008F5961">
        <w:rPr>
          <w:szCs w:val="22"/>
        </w:rPr>
        <w:t>Delaware limited liability companies,</w:t>
      </w:r>
      <w:r w:rsidRPr="008F5961">
        <w:rPr>
          <w:szCs w:val="22"/>
        </w:rPr>
        <w:t xml:space="preserve"> provide domestic telecommunications services over more than 6,200 fiber route miles to 3,750 on-net buildings for customers in Arizona, Arkansas, Colorado, Georgia, Idaho, Illinois, Indiana, Iowa, Kansas, Missouri, Montana, Nebraska, New Mexico, Ohio, Oklahoma, Texas, Virginia, Washington, Wisconsin, and Wyoming.</w:t>
      </w:r>
      <w:r w:rsidR="00FE7022" w:rsidRPr="008F5961">
        <w:rPr>
          <w:rStyle w:val="FootnoteReference"/>
          <w:szCs w:val="22"/>
        </w:rPr>
        <w:footnoteReference w:id="4"/>
      </w:r>
      <w:r w:rsidRPr="008F5961">
        <w:rPr>
          <w:szCs w:val="22"/>
        </w:rPr>
        <w:t xml:space="preserve"> </w:t>
      </w:r>
      <w:r w:rsidR="00B97190" w:rsidRPr="008F5961">
        <w:rPr>
          <w:szCs w:val="22"/>
        </w:rPr>
        <w:t xml:space="preserve"> </w:t>
      </w:r>
      <w:r w:rsidRPr="008F5961">
        <w:rPr>
          <w:szCs w:val="22"/>
        </w:rPr>
        <w:t>UPN offers telecommunications services to schools, local and state governments, carriers, data centers, hospitals, and enterprise customers in the areas it serves within those states.</w:t>
      </w:r>
      <w:r w:rsidR="00967C87">
        <w:rPr>
          <w:rStyle w:val="FootnoteReference"/>
          <w:szCs w:val="22"/>
        </w:rPr>
        <w:footnoteReference w:id="5"/>
      </w:r>
      <w:r w:rsidRPr="008F5961">
        <w:rPr>
          <w:szCs w:val="22"/>
        </w:rPr>
        <w:t xml:space="preserve"> </w:t>
      </w:r>
      <w:r w:rsidR="00814A84" w:rsidRPr="008F5961">
        <w:rPr>
          <w:szCs w:val="22"/>
        </w:rPr>
        <w:t xml:space="preserve"> </w:t>
      </w:r>
      <w:r w:rsidRPr="008F5961">
        <w:rPr>
          <w:szCs w:val="22"/>
        </w:rPr>
        <w:t>UPN does not offer residential services.</w:t>
      </w:r>
      <w:r w:rsidR="00CE0367" w:rsidRPr="008F5961">
        <w:rPr>
          <w:szCs w:val="22"/>
        </w:rPr>
        <w:t xml:space="preserve"> </w:t>
      </w:r>
      <w:r w:rsidR="00814A84" w:rsidRPr="008F5961">
        <w:rPr>
          <w:szCs w:val="22"/>
        </w:rPr>
        <w:t xml:space="preserve"> </w:t>
      </w:r>
      <w:r w:rsidR="00996D9B" w:rsidRPr="008F5961">
        <w:rPr>
          <w:szCs w:val="22"/>
        </w:rPr>
        <w:t>REP UP is a Delaware limited partnership</w:t>
      </w:r>
      <w:r w:rsidR="008F5961">
        <w:rPr>
          <w:szCs w:val="22"/>
        </w:rPr>
        <w:t xml:space="preserve"> that holds 84.9 percent</w:t>
      </w:r>
      <w:r w:rsidR="00CE0367" w:rsidRPr="008F5961">
        <w:rPr>
          <w:szCs w:val="22"/>
        </w:rPr>
        <w:t xml:space="preserve"> of the equity interest in UPN Holdings, LLC, a Delaware limited liability company.</w:t>
      </w:r>
      <w:r w:rsidR="00967C87">
        <w:rPr>
          <w:rStyle w:val="FootnoteReference"/>
          <w:szCs w:val="22"/>
        </w:rPr>
        <w:footnoteReference w:id="6"/>
      </w:r>
      <w:r w:rsidR="00814A84" w:rsidRPr="008F5961">
        <w:rPr>
          <w:szCs w:val="22"/>
        </w:rPr>
        <w:t xml:space="preserve"> </w:t>
      </w:r>
      <w:r w:rsidR="008F5961">
        <w:rPr>
          <w:szCs w:val="22"/>
        </w:rPr>
        <w:t xml:space="preserve"> UPN Holdings, LLC owns 100 </w:t>
      </w:r>
      <w:r w:rsidR="008F5961">
        <w:rPr>
          <w:szCs w:val="22"/>
        </w:rPr>
        <w:lastRenderedPageBreak/>
        <w:t>percent</w:t>
      </w:r>
      <w:r w:rsidR="00CE0367" w:rsidRPr="008F5961">
        <w:rPr>
          <w:szCs w:val="22"/>
        </w:rPr>
        <w:t xml:space="preserve"> of UPN Intermediate Holdings, LLC</w:t>
      </w:r>
      <w:r w:rsidR="006B6CA6">
        <w:rPr>
          <w:szCs w:val="22"/>
        </w:rPr>
        <w:t xml:space="preserve"> (UPN-I)</w:t>
      </w:r>
      <w:r w:rsidR="00E3185D">
        <w:rPr>
          <w:szCs w:val="22"/>
        </w:rPr>
        <w:t xml:space="preserve">, </w:t>
      </w:r>
      <w:r w:rsidR="00854AFD">
        <w:rPr>
          <w:szCs w:val="22"/>
        </w:rPr>
        <w:t xml:space="preserve">a Delaware </w:t>
      </w:r>
      <w:r w:rsidR="00E3185D">
        <w:rPr>
          <w:szCs w:val="22"/>
        </w:rPr>
        <w:t>entity, which owns 100 percent of the UPN Companies</w:t>
      </w:r>
      <w:r w:rsidR="00CE0367" w:rsidRPr="008F5961">
        <w:rPr>
          <w:szCs w:val="22"/>
        </w:rPr>
        <w:t>.</w:t>
      </w:r>
      <w:r w:rsidR="004E0812" w:rsidRPr="008F5961">
        <w:rPr>
          <w:rStyle w:val="FootnoteReference"/>
          <w:szCs w:val="22"/>
        </w:rPr>
        <w:footnoteReference w:id="7"/>
      </w:r>
    </w:p>
    <w:p w14:paraId="4BC46EFD" w14:textId="77777777" w:rsidR="008F49C6" w:rsidRDefault="008F49C6" w:rsidP="00CE0367">
      <w:pPr>
        <w:tabs>
          <w:tab w:val="left" w:pos="180"/>
        </w:tabs>
        <w:autoSpaceDE w:val="0"/>
        <w:autoSpaceDN w:val="0"/>
        <w:adjustRightInd w:val="0"/>
        <w:rPr>
          <w:szCs w:val="22"/>
        </w:rPr>
      </w:pPr>
    </w:p>
    <w:p w14:paraId="49E2C6C9" w14:textId="6E876510" w:rsidR="00F40BEC" w:rsidRDefault="00814A84" w:rsidP="008F49C6">
      <w:pPr>
        <w:tabs>
          <w:tab w:val="left" w:pos="180"/>
        </w:tabs>
        <w:autoSpaceDE w:val="0"/>
        <w:autoSpaceDN w:val="0"/>
        <w:adjustRightInd w:val="0"/>
        <w:ind w:firstLine="720"/>
        <w:rPr>
          <w:szCs w:val="22"/>
        </w:rPr>
      </w:pPr>
      <w:r>
        <w:rPr>
          <w:szCs w:val="22"/>
        </w:rPr>
        <w:t>Cox, a Delaware corporation,</w:t>
      </w:r>
      <w:r w:rsidR="00EE294F">
        <w:rPr>
          <w:szCs w:val="22"/>
        </w:rPr>
        <w:t xml:space="preserve"> and its affiliates provide domestic and international telecommunication services</w:t>
      </w:r>
      <w:r w:rsidR="00C7671E">
        <w:rPr>
          <w:szCs w:val="22"/>
        </w:rPr>
        <w:t>,</w:t>
      </w:r>
      <w:r w:rsidR="00EE294F">
        <w:rPr>
          <w:szCs w:val="22"/>
        </w:rPr>
        <w:t xml:space="preserve"> broadband service, and video service in </w:t>
      </w:r>
      <w:r w:rsidR="00E3185D">
        <w:rPr>
          <w:szCs w:val="22"/>
        </w:rPr>
        <w:t>18</w:t>
      </w:r>
      <w:r w:rsidR="00EE294F">
        <w:rPr>
          <w:szCs w:val="22"/>
        </w:rPr>
        <w:t xml:space="preserve"> states, serving more than six million customers in the residential, small and medium </w:t>
      </w:r>
      <w:r w:rsidR="00E3185D">
        <w:rPr>
          <w:szCs w:val="22"/>
        </w:rPr>
        <w:t xml:space="preserve">business, </w:t>
      </w:r>
      <w:r w:rsidR="00EE294F">
        <w:rPr>
          <w:szCs w:val="22"/>
        </w:rPr>
        <w:t>and enterprise markets.</w:t>
      </w:r>
      <w:r w:rsidR="008C6FA8">
        <w:rPr>
          <w:rStyle w:val="FootnoteReference"/>
          <w:szCs w:val="22"/>
        </w:rPr>
        <w:footnoteReference w:id="8"/>
      </w:r>
      <w:r>
        <w:rPr>
          <w:szCs w:val="22"/>
        </w:rPr>
        <w:t xml:space="preserve"> </w:t>
      </w:r>
      <w:r w:rsidR="00EE294F">
        <w:rPr>
          <w:szCs w:val="22"/>
        </w:rPr>
        <w:t xml:space="preserve"> </w:t>
      </w:r>
      <w:r w:rsidR="00D87409" w:rsidRPr="00D87409">
        <w:rPr>
          <w:szCs w:val="22"/>
        </w:rPr>
        <w:t>Cox has service areas in Arizona, Arkansas, California, Connecticut, Florida, Georgia, Idaho, Iowa, Kansas, Louisiana, Massachusetts, Missouri, Nebraska, Nevada, Ohio, Oklahoma, Rhode Island</w:t>
      </w:r>
      <w:r w:rsidR="00E3185D">
        <w:rPr>
          <w:szCs w:val="22"/>
        </w:rPr>
        <w:t>,</w:t>
      </w:r>
      <w:r w:rsidR="00D87409" w:rsidRPr="00D87409">
        <w:rPr>
          <w:szCs w:val="22"/>
        </w:rPr>
        <w:t xml:space="preserve"> and Virginia</w:t>
      </w:r>
      <w:r w:rsidR="00433822">
        <w:rPr>
          <w:szCs w:val="22"/>
        </w:rPr>
        <w:t xml:space="preserve"> with more than 30,000 route miles of fiber in place</w:t>
      </w:r>
      <w:r w:rsidR="00F27AD2">
        <w:rPr>
          <w:szCs w:val="22"/>
        </w:rPr>
        <w:t xml:space="preserve"> today</w:t>
      </w:r>
      <w:r w:rsidR="00D87409" w:rsidRPr="00D87409">
        <w:rPr>
          <w:szCs w:val="22"/>
        </w:rPr>
        <w:t>.</w:t>
      </w:r>
      <w:r w:rsidR="008C6FA8">
        <w:rPr>
          <w:rStyle w:val="FootnoteReference"/>
          <w:szCs w:val="22"/>
        </w:rPr>
        <w:footnoteReference w:id="9"/>
      </w:r>
      <w:r w:rsidR="00D87409" w:rsidRPr="00D87409">
        <w:rPr>
          <w:szCs w:val="22"/>
        </w:rPr>
        <w:t xml:space="preserve">  Cox provides video service, but not telecommunicatio</w:t>
      </w:r>
      <w:r w:rsidR="00433822">
        <w:rPr>
          <w:szCs w:val="22"/>
        </w:rPr>
        <w:t>ns service, in North Carolina.</w:t>
      </w:r>
      <w:r w:rsidR="00F61B0E">
        <w:rPr>
          <w:rStyle w:val="FootnoteReference"/>
          <w:szCs w:val="22"/>
        </w:rPr>
        <w:footnoteReference w:id="10"/>
      </w:r>
      <w:r w:rsidR="00433822">
        <w:rPr>
          <w:szCs w:val="22"/>
        </w:rPr>
        <w:t xml:space="preserve">  </w:t>
      </w:r>
      <w:r w:rsidR="00854AFD">
        <w:rPr>
          <w:szCs w:val="22"/>
        </w:rPr>
        <w:t>Cox is wholly</w:t>
      </w:r>
      <w:r w:rsidR="00266D22">
        <w:rPr>
          <w:szCs w:val="22"/>
        </w:rPr>
        <w:t xml:space="preserve"> </w:t>
      </w:r>
      <w:r w:rsidR="00854AFD">
        <w:rPr>
          <w:szCs w:val="22"/>
        </w:rPr>
        <w:t>owned by Cox Enterprises, Inc.</w:t>
      </w:r>
      <w:r w:rsidR="00572DFC">
        <w:rPr>
          <w:szCs w:val="22"/>
        </w:rPr>
        <w:t xml:space="preserve"> (CEI)</w:t>
      </w:r>
      <w:r w:rsidR="00854AFD">
        <w:rPr>
          <w:szCs w:val="22"/>
        </w:rPr>
        <w:t xml:space="preserve"> via a 95.4 percent direct interest and a 4.6 percent indirect interest by vi</w:t>
      </w:r>
      <w:r w:rsidR="00572DFC">
        <w:rPr>
          <w:szCs w:val="22"/>
        </w:rPr>
        <w:t>r</w:t>
      </w:r>
      <w:r w:rsidR="00854AFD">
        <w:rPr>
          <w:szCs w:val="22"/>
        </w:rPr>
        <w:t xml:space="preserve">tue of </w:t>
      </w:r>
      <w:r w:rsidR="005B5012">
        <w:rPr>
          <w:szCs w:val="22"/>
        </w:rPr>
        <w:t xml:space="preserve">CEI’s </w:t>
      </w:r>
      <w:r w:rsidR="00854AFD">
        <w:rPr>
          <w:szCs w:val="22"/>
        </w:rPr>
        <w:t>100 percent ownership o</w:t>
      </w:r>
      <w:r w:rsidR="00572DFC">
        <w:rPr>
          <w:szCs w:val="22"/>
        </w:rPr>
        <w:t xml:space="preserve">f </w:t>
      </w:r>
      <w:r w:rsidR="005B5012">
        <w:rPr>
          <w:szCs w:val="22"/>
        </w:rPr>
        <w:t xml:space="preserve">Cox </w:t>
      </w:r>
      <w:r w:rsidR="00854AFD">
        <w:rPr>
          <w:szCs w:val="22"/>
        </w:rPr>
        <w:t>minority owner Cox DNS, Inc.</w:t>
      </w:r>
      <w:r w:rsidR="00E336EC">
        <w:rPr>
          <w:rStyle w:val="FootnoteReference"/>
          <w:szCs w:val="22"/>
        </w:rPr>
        <w:footnoteReference w:id="11"/>
      </w:r>
      <w:r w:rsidR="00572DFC">
        <w:rPr>
          <w:szCs w:val="22"/>
        </w:rPr>
        <w:t xml:space="preserve">  Applicants state that voting control of CEI is vested in the Cox Family Voting Trust, which holds 100 percent of the voting stock of CEI.</w:t>
      </w:r>
      <w:r w:rsidR="009514A1">
        <w:rPr>
          <w:rStyle w:val="FootnoteReference"/>
          <w:szCs w:val="22"/>
        </w:rPr>
        <w:footnoteReference w:id="12"/>
      </w:r>
      <w:r w:rsidR="00572DFC">
        <w:rPr>
          <w:szCs w:val="22"/>
        </w:rPr>
        <w:t xml:space="preserve">  </w:t>
      </w:r>
    </w:p>
    <w:p w14:paraId="1BF0F5EC" w14:textId="77777777" w:rsidR="000311D9" w:rsidRDefault="000311D9" w:rsidP="000311D9">
      <w:pPr>
        <w:autoSpaceDE w:val="0"/>
        <w:autoSpaceDN w:val="0"/>
        <w:adjustRightInd w:val="0"/>
        <w:rPr>
          <w:szCs w:val="22"/>
        </w:rPr>
      </w:pPr>
    </w:p>
    <w:p w14:paraId="06171D9A" w14:textId="7C7058F3" w:rsidR="00814A84" w:rsidRDefault="00894F3B" w:rsidP="00EE294F">
      <w:pPr>
        <w:autoSpaceDE w:val="0"/>
        <w:autoSpaceDN w:val="0"/>
        <w:adjustRightInd w:val="0"/>
        <w:ind w:firstLine="720"/>
        <w:rPr>
          <w:szCs w:val="22"/>
        </w:rPr>
      </w:pPr>
      <w:r>
        <w:rPr>
          <w:szCs w:val="22"/>
        </w:rPr>
        <w:t>Purs</w:t>
      </w:r>
      <w:r w:rsidR="000311D9">
        <w:rPr>
          <w:szCs w:val="22"/>
        </w:rPr>
        <w:t>uant to the terms of the membership interest and stock purchase</w:t>
      </w:r>
      <w:r>
        <w:rPr>
          <w:szCs w:val="22"/>
        </w:rPr>
        <w:t xml:space="preserve"> transaction, </w:t>
      </w:r>
      <w:r w:rsidR="000311D9">
        <w:rPr>
          <w:szCs w:val="22"/>
        </w:rPr>
        <w:t>Cox will acquire an indirect majority int</w:t>
      </w:r>
      <w:r w:rsidR="006B6CA6">
        <w:rPr>
          <w:szCs w:val="22"/>
        </w:rPr>
        <w:t>erest in UPN-I</w:t>
      </w:r>
      <w:r w:rsidR="000311D9">
        <w:rPr>
          <w:szCs w:val="22"/>
        </w:rPr>
        <w:t>.</w:t>
      </w:r>
      <w:r w:rsidR="008A765C">
        <w:rPr>
          <w:rStyle w:val="FootnoteReference"/>
          <w:szCs w:val="22"/>
        </w:rPr>
        <w:footnoteReference w:id="13"/>
      </w:r>
      <w:r w:rsidR="000311D9">
        <w:rPr>
          <w:szCs w:val="22"/>
        </w:rPr>
        <w:t xml:space="preserve">  Applicants state</w:t>
      </w:r>
      <w:r w:rsidR="00E3185D">
        <w:rPr>
          <w:szCs w:val="22"/>
        </w:rPr>
        <w:t xml:space="preserve"> that</w:t>
      </w:r>
      <w:r w:rsidR="000311D9">
        <w:rPr>
          <w:szCs w:val="22"/>
        </w:rPr>
        <w:t xml:space="preserve"> following completion of the proposed transaction</w:t>
      </w:r>
      <w:r w:rsidR="00E3185D">
        <w:rPr>
          <w:szCs w:val="22"/>
        </w:rPr>
        <w:t>,</w:t>
      </w:r>
      <w:r w:rsidR="000311D9">
        <w:rPr>
          <w:szCs w:val="22"/>
        </w:rPr>
        <w:t xml:space="preserve"> </w:t>
      </w:r>
      <w:r w:rsidR="005B5012">
        <w:rPr>
          <w:szCs w:val="22"/>
        </w:rPr>
        <w:t xml:space="preserve">if approved, </w:t>
      </w:r>
      <w:r w:rsidR="00D53922">
        <w:rPr>
          <w:szCs w:val="22"/>
        </w:rPr>
        <w:t>Cox will hold a combined 66 percent equity interest in Fiber Platform, LLC (Fiber Platform),</w:t>
      </w:r>
      <w:r w:rsidR="00531DDC">
        <w:rPr>
          <w:szCs w:val="22"/>
        </w:rPr>
        <w:t xml:space="preserve"> </w:t>
      </w:r>
      <w:r w:rsidR="00854AFD">
        <w:rPr>
          <w:szCs w:val="22"/>
        </w:rPr>
        <w:t>a Delaware limited liability company,</w:t>
      </w:r>
      <w:r w:rsidR="00D53922">
        <w:rPr>
          <w:szCs w:val="22"/>
        </w:rPr>
        <w:t xml:space="preserve"> through Cox’s wholly-owned subsidiaries</w:t>
      </w:r>
      <w:r w:rsidR="005B5012">
        <w:rPr>
          <w:szCs w:val="22"/>
        </w:rPr>
        <w:t>.</w:t>
      </w:r>
      <w:r w:rsidR="005B5012">
        <w:rPr>
          <w:rStyle w:val="FootnoteReference"/>
          <w:szCs w:val="22"/>
        </w:rPr>
        <w:footnoteReference w:id="14"/>
      </w:r>
      <w:r w:rsidR="00D53922">
        <w:rPr>
          <w:szCs w:val="22"/>
        </w:rPr>
        <w:t xml:space="preserve"> </w:t>
      </w:r>
      <w:r w:rsidR="00854AFD">
        <w:rPr>
          <w:szCs w:val="22"/>
        </w:rPr>
        <w:t xml:space="preserve"> </w:t>
      </w:r>
      <w:r w:rsidR="00D53922">
        <w:rPr>
          <w:szCs w:val="22"/>
        </w:rPr>
        <w:t xml:space="preserve">Ridgemont, which </w:t>
      </w:r>
      <w:r w:rsidR="00C7671E">
        <w:rPr>
          <w:szCs w:val="22"/>
        </w:rPr>
        <w:t xml:space="preserve">currently </w:t>
      </w:r>
      <w:r w:rsidR="00D53922">
        <w:rPr>
          <w:szCs w:val="22"/>
        </w:rPr>
        <w:t>controls REP UP, will hold approximately a 28 percent equity interest in Fiber Platform through three of its investment funds.</w:t>
      </w:r>
      <w:r w:rsidR="00B373C5">
        <w:rPr>
          <w:rStyle w:val="FootnoteReference"/>
          <w:szCs w:val="22"/>
        </w:rPr>
        <w:footnoteReference w:id="15"/>
      </w:r>
      <w:r w:rsidR="00D53922">
        <w:rPr>
          <w:szCs w:val="22"/>
        </w:rPr>
        <w:t xml:space="preserve"> </w:t>
      </w:r>
      <w:r w:rsidR="007C5317">
        <w:rPr>
          <w:szCs w:val="22"/>
        </w:rPr>
        <w:t xml:space="preserve"> </w:t>
      </w:r>
      <w:r w:rsidR="00D53922">
        <w:rPr>
          <w:szCs w:val="22"/>
        </w:rPr>
        <w:t xml:space="preserve">The remainder of the equity of Fiber Platform will </w:t>
      </w:r>
      <w:r w:rsidR="00D53922">
        <w:rPr>
          <w:szCs w:val="22"/>
        </w:rPr>
        <w:lastRenderedPageBreak/>
        <w:t>be</w:t>
      </w:r>
      <w:r w:rsidR="004D1C01">
        <w:rPr>
          <w:szCs w:val="22"/>
        </w:rPr>
        <w:t xml:space="preserve"> owned by members of the management of UPN, none of whom will hold a ten percent or greater equity interest.</w:t>
      </w:r>
      <w:r w:rsidR="00046A8B">
        <w:rPr>
          <w:rStyle w:val="FootnoteReference"/>
          <w:szCs w:val="22"/>
        </w:rPr>
        <w:footnoteReference w:id="16"/>
      </w:r>
      <w:r w:rsidR="004D1C01">
        <w:rPr>
          <w:szCs w:val="22"/>
        </w:rPr>
        <w:t xml:space="preserve"> </w:t>
      </w:r>
      <w:r w:rsidR="00046A8B">
        <w:rPr>
          <w:szCs w:val="22"/>
        </w:rPr>
        <w:t xml:space="preserve"> </w:t>
      </w:r>
      <w:r w:rsidR="004D1C01">
        <w:rPr>
          <w:szCs w:val="22"/>
        </w:rPr>
        <w:t xml:space="preserve">Fiber </w:t>
      </w:r>
      <w:r w:rsidR="00814A84">
        <w:rPr>
          <w:szCs w:val="22"/>
        </w:rPr>
        <w:t>Platform, in turn, will own 100 percent</w:t>
      </w:r>
      <w:r w:rsidR="004D1C01">
        <w:rPr>
          <w:szCs w:val="22"/>
        </w:rPr>
        <w:t xml:space="preserve"> of UPN-I.</w:t>
      </w:r>
      <w:r w:rsidR="00046A8B">
        <w:rPr>
          <w:rStyle w:val="FootnoteReference"/>
          <w:szCs w:val="22"/>
        </w:rPr>
        <w:footnoteReference w:id="17"/>
      </w:r>
      <w:r w:rsidR="004D1C01">
        <w:rPr>
          <w:szCs w:val="22"/>
        </w:rPr>
        <w:t xml:space="preserve">  </w:t>
      </w:r>
      <w:r w:rsidR="00854AFD">
        <w:rPr>
          <w:szCs w:val="22"/>
        </w:rPr>
        <w:t xml:space="preserve">Applicants state that </w:t>
      </w:r>
      <w:r w:rsidR="004D1C01">
        <w:rPr>
          <w:szCs w:val="22"/>
        </w:rPr>
        <w:t>UPN-I will continue to operate as a stand-alone business as a direct subsidiary of Fiber Platform, which will be governed by a Board of Managers that consists of Managers appointed by Cox, Ridgemont</w:t>
      </w:r>
      <w:r w:rsidR="00854AFD">
        <w:rPr>
          <w:szCs w:val="22"/>
        </w:rPr>
        <w:t>,</w:t>
      </w:r>
      <w:r w:rsidR="004D1C01">
        <w:rPr>
          <w:szCs w:val="22"/>
        </w:rPr>
        <w:t xml:space="preserve"> and the management of UPN.</w:t>
      </w:r>
      <w:r w:rsidR="00046A8B">
        <w:rPr>
          <w:rStyle w:val="FootnoteReference"/>
          <w:szCs w:val="22"/>
        </w:rPr>
        <w:footnoteReference w:id="18"/>
      </w:r>
      <w:r w:rsidR="004D1C01">
        <w:rPr>
          <w:szCs w:val="22"/>
        </w:rPr>
        <w:t xml:space="preserve"> </w:t>
      </w:r>
    </w:p>
    <w:p w14:paraId="3FD75FA2" w14:textId="77777777" w:rsidR="00213FF8" w:rsidRDefault="00213FF8" w:rsidP="00EE294F">
      <w:pPr>
        <w:autoSpaceDE w:val="0"/>
        <w:autoSpaceDN w:val="0"/>
        <w:adjustRightInd w:val="0"/>
        <w:ind w:firstLine="720"/>
        <w:rPr>
          <w:szCs w:val="22"/>
        </w:rPr>
      </w:pPr>
    </w:p>
    <w:p w14:paraId="447C96A7" w14:textId="617C24B0" w:rsidR="004D1C01" w:rsidRPr="00EE294F" w:rsidRDefault="00676F48" w:rsidP="00EE294F">
      <w:pPr>
        <w:autoSpaceDE w:val="0"/>
        <w:autoSpaceDN w:val="0"/>
        <w:adjustRightInd w:val="0"/>
        <w:ind w:firstLine="720"/>
        <w:rPr>
          <w:color w:val="000000"/>
          <w:szCs w:val="22"/>
        </w:rPr>
      </w:pPr>
      <w:r>
        <w:t xml:space="preserve">Applicants </w:t>
      </w:r>
      <w:r w:rsidR="006F7106">
        <w:t>assert</w:t>
      </w:r>
      <w:r w:rsidR="009514A1">
        <w:t xml:space="preserve"> </w:t>
      </w:r>
      <w:r>
        <w:t xml:space="preserve">that the transaction </w:t>
      </w:r>
      <w:r w:rsidR="009D57A9">
        <w:t>is in the public interest</w:t>
      </w:r>
      <w:r w:rsidR="009514A1">
        <w:t>.  Applicants state that</w:t>
      </w:r>
      <w:r>
        <w:t xml:space="preserve"> UPN </w:t>
      </w:r>
      <w:r w:rsidR="009514A1">
        <w:t xml:space="preserve">will have </w:t>
      </w:r>
      <w:r>
        <w:t xml:space="preserve">access to </w:t>
      </w:r>
      <w:r w:rsidR="009C4187">
        <w:t xml:space="preserve">an </w:t>
      </w:r>
      <w:r w:rsidR="009514A1">
        <w:t xml:space="preserve">increased </w:t>
      </w:r>
      <w:r w:rsidR="00D13BA0">
        <w:t>credit facility for capital projects, including expanding UPN’s fiber footprint within and outside of its current markets.</w:t>
      </w:r>
      <w:r w:rsidR="00CC54A0">
        <w:rPr>
          <w:rStyle w:val="FootnoteReference"/>
        </w:rPr>
        <w:footnoteReference w:id="19"/>
      </w:r>
      <w:r w:rsidR="00587DEB">
        <w:t xml:space="preserve">  Applicants contend that the transaction will “enable Cox and UPN to serve customers with regional fiber network needs that neither party can serve on its own today, thereby increasing competition.”</w:t>
      </w:r>
      <w:r w:rsidR="00587DEB">
        <w:rPr>
          <w:rStyle w:val="FootnoteReference"/>
        </w:rPr>
        <w:footnoteReference w:id="20"/>
      </w:r>
      <w:r w:rsidR="00587DEB">
        <w:t xml:space="preserve">  Applicants further state that the proposed transaction will:</w:t>
      </w:r>
      <w:r>
        <w:t xml:space="preserve"> expand the service areas of both companies; result in the combined company </w:t>
      </w:r>
      <w:r w:rsidR="00433822">
        <w:t>being a stronger competitor to incumbent local exchange carrier</w:t>
      </w:r>
      <w:r>
        <w:t xml:space="preserve">s in local markets and regionally; </w:t>
      </w:r>
      <w:r w:rsidR="00433822">
        <w:t xml:space="preserve">and </w:t>
      </w:r>
      <w:r>
        <w:t>enable the combined company to provide customers with access to metro and regional fiber infrastructure that will connect all major markets in the Midwest.</w:t>
      </w:r>
      <w:r w:rsidR="00927067">
        <w:rPr>
          <w:rStyle w:val="FootnoteReference"/>
        </w:rPr>
        <w:footnoteReference w:id="21"/>
      </w:r>
      <w:r>
        <w:t xml:space="preserve">  </w:t>
      </w:r>
      <w:r w:rsidR="00A72693">
        <w:t xml:space="preserve">Applicants </w:t>
      </w:r>
      <w:r w:rsidR="00BD3A01">
        <w:t xml:space="preserve">maintain </w:t>
      </w:r>
      <w:r w:rsidR="00A72693">
        <w:t>that “UPN’s service area overlaps with the Cox service are</w:t>
      </w:r>
      <w:r w:rsidR="00CB3432">
        <w:t>a</w:t>
      </w:r>
      <w:r w:rsidR="00A72693">
        <w:t xml:space="preserve"> only in the Fayetteville, Arkansas; Macon/Warner Robins, Georgia; Manhattan, Barton County</w:t>
      </w:r>
      <w:r w:rsidR="009C4187">
        <w:t>,</w:t>
      </w:r>
      <w:r w:rsidR="00A72693">
        <w:t xml:space="preserve"> and Geary County, Kansas; Omaha, Nebraska/Iowa; and Oklahoma City, Oklahoma markets.”</w:t>
      </w:r>
      <w:r w:rsidR="00927067">
        <w:rPr>
          <w:rStyle w:val="FootnoteReference"/>
        </w:rPr>
        <w:footnoteReference w:id="22"/>
      </w:r>
      <w:r w:rsidR="00A72693">
        <w:t xml:space="preserve"> </w:t>
      </w:r>
      <w:r w:rsidR="00062778">
        <w:t xml:space="preserve"> </w:t>
      </w:r>
      <w:r w:rsidR="00A72693">
        <w:t xml:space="preserve">Applicants contend that there </w:t>
      </w:r>
      <w:r w:rsidR="00246468">
        <w:t>are “only minimal overlaps in those states” and that there are “a wide range of competitors” for the companies’ services</w:t>
      </w:r>
      <w:r w:rsidR="00062778">
        <w:t>.</w:t>
      </w:r>
      <w:r w:rsidR="00927067">
        <w:rPr>
          <w:rStyle w:val="FootnoteReference"/>
        </w:rPr>
        <w:footnoteReference w:id="23"/>
      </w:r>
      <w:r w:rsidR="00062778">
        <w:rPr>
          <w:color w:val="000000"/>
          <w:szCs w:val="22"/>
        </w:rPr>
        <w:t xml:space="preserve"> </w:t>
      </w:r>
      <w:r w:rsidR="00433822">
        <w:rPr>
          <w:color w:val="000000"/>
          <w:szCs w:val="22"/>
        </w:rPr>
        <w:t xml:space="preserve"> </w:t>
      </w:r>
      <w:r w:rsidR="00F27AD2" w:rsidRPr="009D57A9">
        <w:rPr>
          <w:color w:val="000000"/>
          <w:szCs w:val="22"/>
        </w:rPr>
        <w:t>Because this transaction is more complex</w:t>
      </w:r>
      <w:r w:rsidR="009D57A9" w:rsidRPr="0069799A">
        <w:rPr>
          <w:color w:val="212121"/>
          <w:szCs w:val="22"/>
        </w:rPr>
        <w:t xml:space="preserve"> than usual, in order to analyze whether the proposed</w:t>
      </w:r>
      <w:r w:rsidR="009D57A9" w:rsidRPr="0069799A">
        <w:rPr>
          <w:rStyle w:val="apple-converted-space"/>
          <w:color w:val="212121"/>
          <w:szCs w:val="22"/>
        </w:rPr>
        <w:t> </w:t>
      </w:r>
      <w:r w:rsidR="009D57A9" w:rsidRPr="0069799A">
        <w:rPr>
          <w:rStyle w:val="cosearchterm"/>
          <w:bCs/>
          <w:color w:val="252525"/>
          <w:szCs w:val="22"/>
        </w:rPr>
        <w:t>transaction</w:t>
      </w:r>
      <w:r w:rsidR="009D57A9" w:rsidRPr="0069799A">
        <w:rPr>
          <w:rStyle w:val="apple-converted-space"/>
          <w:color w:val="212121"/>
          <w:szCs w:val="22"/>
        </w:rPr>
        <w:t> </w:t>
      </w:r>
      <w:r w:rsidR="009D57A9" w:rsidRPr="0069799A">
        <w:rPr>
          <w:color w:val="212121"/>
          <w:szCs w:val="22"/>
        </w:rPr>
        <w:t>would serve the public interest, this application will not be streamlined</w:t>
      </w:r>
      <w:r w:rsidR="00F27AD2">
        <w:rPr>
          <w:color w:val="000000"/>
          <w:szCs w:val="22"/>
        </w:rPr>
        <w:t>.</w:t>
      </w:r>
      <w:r w:rsidR="00251C1C">
        <w:rPr>
          <w:rStyle w:val="FootnoteReference"/>
          <w:color w:val="000000"/>
          <w:szCs w:val="22"/>
        </w:rPr>
        <w:footnoteReference w:id="24"/>
      </w:r>
      <w:r w:rsidR="00F27AD2">
        <w:rPr>
          <w:color w:val="000000"/>
          <w:szCs w:val="22"/>
        </w:rPr>
        <w:t xml:space="preserve">  </w:t>
      </w:r>
    </w:p>
    <w:p w14:paraId="7AAC6579" w14:textId="77777777" w:rsidR="00BF1C1F" w:rsidRPr="00EE294F" w:rsidRDefault="00BF1C1F" w:rsidP="00EE294F">
      <w:pPr>
        <w:autoSpaceDE w:val="0"/>
        <w:autoSpaceDN w:val="0"/>
        <w:adjustRightInd w:val="0"/>
        <w:rPr>
          <w:color w:val="000000"/>
          <w:szCs w:val="22"/>
        </w:rPr>
      </w:pPr>
    </w:p>
    <w:p w14:paraId="42BDC6DF" w14:textId="218AE6EB" w:rsidR="007A01B0" w:rsidRDefault="00BF1C1F" w:rsidP="007A01B0">
      <w:pPr>
        <w:autoSpaceDE w:val="0"/>
        <w:autoSpaceDN w:val="0"/>
        <w:adjustRightInd w:val="0"/>
        <w:ind w:left="720" w:right="144"/>
        <w:rPr>
          <w:szCs w:val="22"/>
        </w:rPr>
      </w:pPr>
      <w:r w:rsidRPr="00456680">
        <w:rPr>
          <w:szCs w:val="22"/>
        </w:rPr>
        <w:t xml:space="preserve">Domestic Section 214 Application Filed for the </w:t>
      </w:r>
      <w:r w:rsidR="00213544">
        <w:rPr>
          <w:szCs w:val="22"/>
        </w:rPr>
        <w:t>Tra</w:t>
      </w:r>
      <w:r w:rsidR="00593C8C">
        <w:rPr>
          <w:szCs w:val="22"/>
        </w:rPr>
        <w:t>ns</w:t>
      </w:r>
      <w:r w:rsidR="00213544">
        <w:rPr>
          <w:szCs w:val="22"/>
        </w:rPr>
        <w:t>fer of Control of Unite Private Networks, LLC</w:t>
      </w:r>
      <w:r w:rsidR="00CB3432">
        <w:rPr>
          <w:szCs w:val="22"/>
        </w:rPr>
        <w:t xml:space="preserve"> and</w:t>
      </w:r>
      <w:r w:rsidR="00593C8C">
        <w:rPr>
          <w:szCs w:val="22"/>
        </w:rPr>
        <w:t xml:space="preserve"> Unite Private Networks-Illino</w:t>
      </w:r>
      <w:r w:rsidR="00213544">
        <w:rPr>
          <w:szCs w:val="22"/>
        </w:rPr>
        <w:t xml:space="preserve">is, LLC to Cox Communications, Inc., </w:t>
      </w:r>
      <w:r w:rsidRPr="00456680">
        <w:rPr>
          <w:szCs w:val="22"/>
        </w:rPr>
        <w:t>WC Docket No. 1</w:t>
      </w:r>
      <w:r w:rsidR="00AA723D">
        <w:rPr>
          <w:szCs w:val="22"/>
        </w:rPr>
        <w:t>6</w:t>
      </w:r>
      <w:r w:rsidRPr="00456680">
        <w:rPr>
          <w:szCs w:val="22"/>
        </w:rPr>
        <w:t>-</w:t>
      </w:r>
      <w:r w:rsidR="00821093">
        <w:rPr>
          <w:szCs w:val="22"/>
        </w:rPr>
        <w:t>241</w:t>
      </w:r>
      <w:r w:rsidR="00B633D1">
        <w:rPr>
          <w:szCs w:val="22"/>
        </w:rPr>
        <w:t xml:space="preserve"> </w:t>
      </w:r>
      <w:r w:rsidRPr="00456680">
        <w:rPr>
          <w:szCs w:val="22"/>
        </w:rPr>
        <w:t xml:space="preserve">(filed </w:t>
      </w:r>
      <w:r w:rsidR="00C92025">
        <w:rPr>
          <w:szCs w:val="22"/>
        </w:rPr>
        <w:t>July</w:t>
      </w:r>
      <w:r w:rsidR="004A6E49">
        <w:rPr>
          <w:szCs w:val="22"/>
        </w:rPr>
        <w:t xml:space="preserve"> 2</w:t>
      </w:r>
      <w:r w:rsidR="00E05AC8">
        <w:rPr>
          <w:szCs w:val="22"/>
        </w:rPr>
        <w:t>7</w:t>
      </w:r>
      <w:r w:rsidR="00AA723D">
        <w:rPr>
          <w:szCs w:val="22"/>
        </w:rPr>
        <w:t>, 2016</w:t>
      </w:r>
      <w:r w:rsidRPr="00456680">
        <w:rPr>
          <w:szCs w:val="22"/>
        </w:rPr>
        <w:t>).</w:t>
      </w:r>
    </w:p>
    <w:p w14:paraId="058332DB" w14:textId="4090C90C" w:rsidR="007A01B0" w:rsidRDefault="007A01B0" w:rsidP="004A6E49">
      <w:pPr>
        <w:autoSpaceDE w:val="0"/>
        <w:autoSpaceDN w:val="0"/>
        <w:adjustRightInd w:val="0"/>
        <w:rPr>
          <w:szCs w:val="22"/>
        </w:rPr>
      </w:pPr>
    </w:p>
    <w:p w14:paraId="0D7DB47E" w14:textId="77777777" w:rsidR="007C6218" w:rsidRPr="006F6A1D" w:rsidRDefault="007C6218" w:rsidP="004A6E49">
      <w:pPr>
        <w:autoSpaceDE w:val="0"/>
        <w:autoSpaceDN w:val="0"/>
        <w:adjustRightInd w:val="0"/>
        <w:rPr>
          <w:szCs w:val="22"/>
        </w:rPr>
      </w:pPr>
    </w:p>
    <w:p w14:paraId="1542A6DF" w14:textId="77777777" w:rsidR="00F80FFB" w:rsidRPr="006F6A1D" w:rsidRDefault="00F80FFB" w:rsidP="00F80FFB">
      <w:pPr>
        <w:ind w:right="720"/>
        <w:rPr>
          <w:szCs w:val="22"/>
        </w:rPr>
      </w:pPr>
      <w:r w:rsidRPr="006F6A1D">
        <w:rPr>
          <w:b/>
          <w:szCs w:val="22"/>
          <w:u w:val="single"/>
        </w:rPr>
        <w:t>GENERAL INFORMATION</w:t>
      </w:r>
    </w:p>
    <w:p w14:paraId="39086C0A" w14:textId="77777777" w:rsidR="00F80FFB" w:rsidRPr="006F6A1D" w:rsidRDefault="00F80FFB" w:rsidP="00F80FFB">
      <w:pPr>
        <w:ind w:right="720"/>
        <w:rPr>
          <w:szCs w:val="22"/>
        </w:rPr>
      </w:pPr>
    </w:p>
    <w:p w14:paraId="132589DC" w14:textId="79916CA3" w:rsidR="00F80FFB" w:rsidRPr="006F6A1D" w:rsidRDefault="00F6366B" w:rsidP="00F80FFB">
      <w:pPr>
        <w:ind w:firstLine="720"/>
        <w:rPr>
          <w:szCs w:val="22"/>
        </w:rPr>
      </w:pPr>
      <w:r>
        <w:rPr>
          <w:szCs w:val="22"/>
        </w:rPr>
        <w:t xml:space="preserve">The transfer of </w:t>
      </w:r>
      <w:r w:rsidR="00C7671E">
        <w:rPr>
          <w:szCs w:val="22"/>
        </w:rPr>
        <w:t xml:space="preserve">control </w:t>
      </w:r>
      <w:r w:rsidR="00F80FFB" w:rsidRPr="006F6A1D">
        <w:rPr>
          <w:szCs w:val="22"/>
        </w:rPr>
        <w:t xml:space="preserve">identified herein has been found, upon initial review, to be acceptable for filing as a </w:t>
      </w:r>
      <w:r w:rsidR="00CB3432">
        <w:rPr>
          <w:szCs w:val="22"/>
        </w:rPr>
        <w:t>non-</w:t>
      </w:r>
      <w:r w:rsidR="00F80FFB" w:rsidRPr="006F6A1D">
        <w:rPr>
          <w:szCs w:val="22"/>
        </w:rPr>
        <w:t>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165429">
        <w:rPr>
          <w:b/>
          <w:szCs w:val="22"/>
        </w:rPr>
        <w:t>September</w:t>
      </w:r>
      <w:r w:rsidR="00847982">
        <w:rPr>
          <w:b/>
          <w:szCs w:val="22"/>
        </w:rPr>
        <w:t xml:space="preserve"> 16</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165429">
        <w:rPr>
          <w:b/>
          <w:szCs w:val="22"/>
        </w:rPr>
        <w:t>September</w:t>
      </w:r>
      <w:r w:rsidR="00847982">
        <w:rPr>
          <w:b/>
          <w:szCs w:val="22"/>
        </w:rPr>
        <w:t xml:space="preserve"> 23</w:t>
      </w:r>
      <w:r w:rsidR="00F80FFB" w:rsidRPr="006F6A1D">
        <w:rPr>
          <w:b/>
          <w:szCs w:val="22"/>
        </w:rPr>
        <w:t>, 201</w:t>
      </w:r>
      <w:r w:rsidR="005437C5">
        <w:rPr>
          <w:b/>
          <w:szCs w:val="22"/>
        </w:rPr>
        <w:t>6</w:t>
      </w:r>
      <w:r w:rsidR="008C4993">
        <w:rPr>
          <w:szCs w:val="22"/>
        </w:rPr>
        <w:t>.  Pursuant to</w:t>
      </w:r>
      <w:r w:rsidR="00644D9F">
        <w:rPr>
          <w:szCs w:val="22"/>
        </w:rPr>
        <w:t xml:space="preserve"> s</w:t>
      </w:r>
      <w:r w:rsidR="00F80FFB" w:rsidRPr="006F6A1D">
        <w:rPr>
          <w:szCs w:val="22"/>
        </w:rPr>
        <w:t xml:space="preserve">ection 63.52 of the Commission’s rules, 47 C.F.R. § 63.52, commenters must serve a copy of comments on the Applicants no later than the above comment filing date.     </w:t>
      </w:r>
    </w:p>
    <w:p w14:paraId="222688AD" w14:textId="77777777" w:rsidR="00F80FFB" w:rsidRPr="006F6A1D" w:rsidRDefault="00F80FFB" w:rsidP="00F80FFB">
      <w:pPr>
        <w:rPr>
          <w:szCs w:val="22"/>
        </w:rPr>
      </w:pPr>
    </w:p>
    <w:p w14:paraId="3B5620D3" w14:textId="77777777" w:rsidR="00B373C5" w:rsidRDefault="00384993" w:rsidP="00B373C5">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14:paraId="72361F88" w14:textId="77777777" w:rsidR="00B373C5" w:rsidRPr="006F6A1D" w:rsidRDefault="00B373C5" w:rsidP="00F80FFB">
      <w:pPr>
        <w:rPr>
          <w:szCs w:val="22"/>
        </w:rPr>
      </w:pPr>
    </w:p>
    <w:p w14:paraId="21649F4A" w14:textId="77777777" w:rsidR="00F80FFB" w:rsidRPr="006F6A1D" w:rsidRDefault="00F80FFB" w:rsidP="00F80FFB">
      <w:pPr>
        <w:rPr>
          <w:b/>
          <w:szCs w:val="22"/>
        </w:rPr>
      </w:pPr>
      <w:r w:rsidRPr="006F6A1D">
        <w:rPr>
          <w:b/>
          <w:szCs w:val="22"/>
        </w:rPr>
        <w:t>In addition, e-mail one copy of each pleading to each of the following:</w:t>
      </w:r>
    </w:p>
    <w:p w14:paraId="2C3FAF87" w14:textId="77777777" w:rsidR="00F80FFB" w:rsidRPr="006F6A1D" w:rsidRDefault="00F80FFB" w:rsidP="00F80FFB">
      <w:pPr>
        <w:rPr>
          <w:szCs w:val="22"/>
        </w:rPr>
      </w:pPr>
    </w:p>
    <w:p w14:paraId="223D9920" w14:textId="1B3EDE0A" w:rsidR="00F80FFB" w:rsidRPr="006F6A1D" w:rsidRDefault="00E05AC8"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A754DD">
          <w:rPr>
            <w:rStyle w:val="Hyperlink"/>
            <w:szCs w:val="22"/>
          </w:rPr>
          <w:t>tracey.wilson@fcc.gov</w:t>
        </w:r>
      </w:hyperlink>
      <w:r w:rsidR="00717C73" w:rsidRPr="006F6A1D">
        <w:rPr>
          <w:szCs w:val="22"/>
        </w:rPr>
        <w:t>;</w:t>
      </w:r>
    </w:p>
    <w:p w14:paraId="30281440" w14:textId="77777777" w:rsidR="00F80FFB" w:rsidRPr="006F6A1D" w:rsidRDefault="00F80FFB" w:rsidP="00F80FFB">
      <w:pPr>
        <w:rPr>
          <w:szCs w:val="22"/>
        </w:rPr>
      </w:pPr>
    </w:p>
    <w:p w14:paraId="0C9DBADD" w14:textId="319AB268" w:rsidR="00F80FFB" w:rsidRPr="005B1E67" w:rsidRDefault="00257350" w:rsidP="005B1E67">
      <w:pPr>
        <w:numPr>
          <w:ilvl w:val="0"/>
          <w:numId w:val="18"/>
        </w:numPr>
        <w:rPr>
          <w:szCs w:val="22"/>
        </w:rPr>
      </w:pPr>
      <w:r>
        <w:rPr>
          <w:szCs w:val="22"/>
        </w:rPr>
        <w:t>Dennis Johnson</w:t>
      </w:r>
      <w:r w:rsidR="00F80FFB" w:rsidRPr="006F6A1D">
        <w:rPr>
          <w:szCs w:val="22"/>
        </w:rPr>
        <w:t xml:space="preserve">, Competition Policy Division, Wireline Competition Bureau, </w:t>
      </w:r>
      <w:hyperlink r:id="rId15" w:history="1">
        <w:r w:rsidRPr="005B6EBA">
          <w:rPr>
            <w:rStyle w:val="Hyperlink"/>
            <w:szCs w:val="22"/>
          </w:rPr>
          <w:t>dennis.johnson@fcc.gov</w:t>
        </w:r>
      </w:hyperlink>
      <w:r w:rsidR="00DA51F9">
        <w:rPr>
          <w:szCs w:val="22"/>
        </w:rPr>
        <w:t>;</w:t>
      </w:r>
    </w:p>
    <w:p w14:paraId="1A165B12" w14:textId="77777777" w:rsidR="00F80FFB" w:rsidRPr="006F6A1D" w:rsidRDefault="00F80FFB" w:rsidP="00F80FFB">
      <w:pPr>
        <w:rPr>
          <w:szCs w:val="22"/>
        </w:rPr>
      </w:pPr>
    </w:p>
    <w:p w14:paraId="66B09083" w14:textId="1C899557"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14:paraId="5BF9245F" w14:textId="77777777" w:rsidR="00F80FFB" w:rsidRPr="006F6A1D" w:rsidRDefault="00F80FFB" w:rsidP="00F80FFB">
      <w:pPr>
        <w:rPr>
          <w:szCs w:val="22"/>
        </w:rPr>
      </w:pPr>
    </w:p>
    <w:p w14:paraId="7FF52E65" w14:textId="77777777"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14:paraId="7C01C961" w14:textId="77777777" w:rsidR="00F80FFB" w:rsidRPr="006F6A1D" w:rsidRDefault="00F80FFB" w:rsidP="00F80FFB">
      <w:pPr>
        <w:rPr>
          <w:szCs w:val="22"/>
        </w:rPr>
      </w:pPr>
    </w:p>
    <w:p w14:paraId="09B6660D" w14:textId="4AEA440D" w:rsidR="00F80FFB" w:rsidRPr="006F6A1D" w:rsidRDefault="00F80FFB" w:rsidP="0085106C">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r w:rsidR="0085106C">
        <w:rPr>
          <w:szCs w:val="22"/>
        </w:rPr>
        <w:t xml:space="preserve">  </w:t>
      </w:r>
      <w:r w:rsidRPr="006F6A1D">
        <w:rPr>
          <w:szCs w:val="22"/>
        </w:rPr>
        <w:t xml:space="preserve">For further information, please contact </w:t>
      </w:r>
      <w:r w:rsidR="00E05AC8">
        <w:rPr>
          <w:szCs w:val="22"/>
        </w:rPr>
        <w:t xml:space="preserve">Tracey Wilson at (202) 418-1394 or </w:t>
      </w:r>
      <w:r w:rsidR="00257350">
        <w:rPr>
          <w:szCs w:val="22"/>
        </w:rPr>
        <w:t>Dennis Johnson</w:t>
      </w:r>
      <w:r w:rsidR="005B1E67">
        <w:rPr>
          <w:szCs w:val="22"/>
        </w:rPr>
        <w:t xml:space="preserve"> </w:t>
      </w:r>
      <w:r w:rsidR="00664E23">
        <w:rPr>
          <w:szCs w:val="22"/>
        </w:rPr>
        <w:t>at (202) 418-</w:t>
      </w:r>
      <w:r w:rsidR="00257350">
        <w:rPr>
          <w:szCs w:val="22"/>
        </w:rPr>
        <w:t>0809</w:t>
      </w:r>
      <w:r w:rsidRPr="006F6A1D">
        <w:rPr>
          <w:szCs w:val="22"/>
        </w:rPr>
        <w:t>.</w:t>
      </w:r>
    </w:p>
    <w:p w14:paraId="3575A909" w14:textId="77777777" w:rsidR="00F80FFB" w:rsidRPr="006F6A1D" w:rsidRDefault="00F80FFB" w:rsidP="00F80FFB">
      <w:pPr>
        <w:ind w:left="720" w:right="720"/>
        <w:rPr>
          <w:szCs w:val="22"/>
        </w:rPr>
      </w:pPr>
    </w:p>
    <w:p w14:paraId="775A0E34" w14:textId="2A82052A" w:rsidR="0046747F" w:rsidRPr="007C6218" w:rsidRDefault="00F80FFB" w:rsidP="007C6218">
      <w:pPr>
        <w:jc w:val="center"/>
        <w:rPr>
          <w:szCs w:val="22"/>
        </w:rPr>
      </w:pPr>
      <w:r w:rsidRPr="006F6A1D">
        <w:rPr>
          <w:b/>
          <w:szCs w:val="22"/>
        </w:rPr>
        <w:t>- FCC -</w:t>
      </w:r>
    </w:p>
    <w:sectPr w:rsidR="0046747F" w:rsidRPr="007C6218"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A8DE" w14:textId="77777777" w:rsidR="00A97C01" w:rsidRDefault="00A97C01">
      <w:r>
        <w:separator/>
      </w:r>
    </w:p>
  </w:endnote>
  <w:endnote w:type="continuationSeparator" w:id="0">
    <w:p w14:paraId="559FC4B9" w14:textId="77777777" w:rsidR="00A97C01" w:rsidRDefault="00A97C01">
      <w:r>
        <w:continuationSeparator/>
      </w:r>
    </w:p>
  </w:endnote>
  <w:endnote w:type="continuationNotice" w:id="1">
    <w:p w14:paraId="6C15C2C0" w14:textId="77777777" w:rsidR="00A97C01" w:rsidRDefault="00A97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AFAAB" w14:textId="77777777"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F5C5E" w14:textId="77777777"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6526" w14:textId="77777777"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0F63C2" w14:textId="77777777"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45D9" w14:textId="77777777" w:rsidR="00EA4831" w:rsidRDefault="00EA48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81EF" w14:textId="77777777"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F122DF">
      <w:rPr>
        <w:rStyle w:val="PageNumber"/>
        <w:noProof/>
      </w:rPr>
      <w:t>2</w:t>
    </w:r>
    <w:r>
      <w:rPr>
        <w:rStyle w:val="PageNumber"/>
      </w:rPr>
      <w:fldChar w:fldCharType="end"/>
    </w:r>
  </w:p>
  <w:p w14:paraId="72C47BE6" w14:textId="77777777"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AE2C1" w14:textId="77777777" w:rsidR="00A97C01" w:rsidRDefault="00A97C01">
      <w:r>
        <w:separator/>
      </w:r>
    </w:p>
  </w:footnote>
  <w:footnote w:type="continuationSeparator" w:id="0">
    <w:p w14:paraId="45257A01" w14:textId="77777777" w:rsidR="00A97C01" w:rsidRDefault="00A97C01">
      <w:r>
        <w:continuationSeparator/>
      </w:r>
    </w:p>
  </w:footnote>
  <w:footnote w:type="continuationNotice" w:id="1">
    <w:p w14:paraId="594F1AEC" w14:textId="77777777" w:rsidR="00A97C01" w:rsidRDefault="00A97C01"/>
  </w:footnote>
  <w:footnote w:id="2">
    <w:p w14:paraId="7D82B578" w14:textId="0615861D" w:rsidR="00FF4C88" w:rsidRDefault="00FF4C88">
      <w:pPr>
        <w:pStyle w:val="FootnoteText"/>
      </w:pPr>
      <w:r>
        <w:rPr>
          <w:rStyle w:val="FootnoteReference"/>
        </w:rPr>
        <w:footnoteRef/>
      </w:r>
      <w:r>
        <w:t xml:space="preserve"> </w:t>
      </w:r>
      <w:r w:rsidRPr="007C5317">
        <w:rPr>
          <w:sz w:val="20"/>
        </w:rPr>
        <w:t xml:space="preserve">Application of Unite </w:t>
      </w:r>
      <w:r w:rsidR="007C5317" w:rsidRPr="007C5317">
        <w:rPr>
          <w:sz w:val="20"/>
        </w:rPr>
        <w:t>Private</w:t>
      </w:r>
      <w:r w:rsidR="007C5317">
        <w:rPr>
          <w:sz w:val="20"/>
        </w:rPr>
        <w:t xml:space="preserve"> N</w:t>
      </w:r>
      <w:r w:rsidRPr="007C5317">
        <w:rPr>
          <w:sz w:val="20"/>
        </w:rPr>
        <w:t xml:space="preserve">etworks, LLC and Unite </w:t>
      </w:r>
      <w:r w:rsidR="007C5317" w:rsidRPr="007C5317">
        <w:rPr>
          <w:sz w:val="20"/>
        </w:rPr>
        <w:t>Private</w:t>
      </w:r>
      <w:r w:rsidRPr="007C5317">
        <w:rPr>
          <w:sz w:val="20"/>
        </w:rPr>
        <w:t xml:space="preserve"> Networks-</w:t>
      </w:r>
      <w:r w:rsidR="007C5317" w:rsidRPr="007C5317">
        <w:rPr>
          <w:sz w:val="20"/>
        </w:rPr>
        <w:t>Illinois</w:t>
      </w:r>
      <w:r w:rsidRPr="007C5317">
        <w:rPr>
          <w:sz w:val="20"/>
        </w:rPr>
        <w:t>, LLC, REP UP, L.P. and Cox Communications, Inc.</w:t>
      </w:r>
      <w:r w:rsidR="007C5317" w:rsidRPr="007C5317">
        <w:rPr>
          <w:sz w:val="20"/>
        </w:rPr>
        <w:t xml:space="preserve"> for Consent to Transfer Control of Domestic Au</w:t>
      </w:r>
      <w:r w:rsidR="007C5317">
        <w:rPr>
          <w:sz w:val="20"/>
        </w:rPr>
        <w:t>thority Pursuant to Section 214, WC Docket No. 16-241 (filed July 27, 2016) (Application).</w:t>
      </w:r>
      <w:r w:rsidR="00E05ED3">
        <w:rPr>
          <w:sz w:val="20"/>
        </w:rPr>
        <w:t xml:space="preserve">  Applicants filed a supplement to the Application on</w:t>
      </w:r>
      <w:r w:rsidR="006839D2">
        <w:rPr>
          <w:sz w:val="20"/>
        </w:rPr>
        <w:t xml:space="preserve"> August 24</w:t>
      </w:r>
      <w:r w:rsidR="00E05ED3">
        <w:rPr>
          <w:sz w:val="20"/>
        </w:rPr>
        <w:t>, 2016.</w:t>
      </w:r>
      <w:r w:rsidR="00026049">
        <w:rPr>
          <w:sz w:val="20"/>
        </w:rPr>
        <w:t xml:space="preserve">  </w:t>
      </w:r>
      <w:r w:rsidR="00026049" w:rsidRPr="00026049">
        <w:rPr>
          <w:i/>
          <w:sz w:val="20"/>
        </w:rPr>
        <w:t>See</w:t>
      </w:r>
      <w:r w:rsidR="00026049">
        <w:rPr>
          <w:sz w:val="20"/>
        </w:rPr>
        <w:t xml:space="preserve"> Letter from J.G. Harrington, Counsel for Cox Communications, Inc., to Marlene H. Dortch, </w:t>
      </w:r>
      <w:r w:rsidR="006F7106">
        <w:rPr>
          <w:sz w:val="20"/>
        </w:rPr>
        <w:t xml:space="preserve">Secretary, FCC, </w:t>
      </w:r>
      <w:r w:rsidR="00026049">
        <w:rPr>
          <w:sz w:val="20"/>
        </w:rPr>
        <w:t>WC Docket No. 16-241 (filed Aug</w:t>
      </w:r>
      <w:r w:rsidR="006F7106">
        <w:rPr>
          <w:sz w:val="20"/>
        </w:rPr>
        <w:t>.</w:t>
      </w:r>
      <w:r w:rsidR="00026049">
        <w:rPr>
          <w:sz w:val="20"/>
        </w:rPr>
        <w:t xml:space="preserve"> 24, 2016) (Supplement).  </w:t>
      </w:r>
    </w:p>
  </w:footnote>
  <w:footnote w:id="3">
    <w:p w14:paraId="1A78C018" w14:textId="77777777" w:rsidR="009074E9" w:rsidRPr="0081224A"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D87E3D">
        <w:rPr>
          <w:sz w:val="20"/>
        </w:rPr>
        <w:t>F</w:t>
      </w:r>
      <w:r w:rsidR="006F5A57" w:rsidRPr="006B3019">
        <w:rPr>
          <w:sz w:val="20"/>
        </w:rPr>
        <w:t>R § 63.03</w:t>
      </w:r>
      <w:r w:rsidR="00BF422B" w:rsidRPr="006B3019">
        <w:rPr>
          <w:sz w:val="20"/>
        </w:rPr>
        <w:t>.</w:t>
      </w:r>
      <w:r w:rsidRPr="006B3019">
        <w:rPr>
          <w:sz w:val="20"/>
        </w:rPr>
        <w:t xml:space="preserve">  </w:t>
      </w:r>
      <w:r w:rsidR="00DC3323" w:rsidRPr="0081224A">
        <w:rPr>
          <w:sz w:val="20"/>
        </w:rPr>
        <w:t xml:space="preserve">  </w:t>
      </w:r>
    </w:p>
  </w:footnote>
  <w:footnote w:id="4">
    <w:p w14:paraId="256E2A2B" w14:textId="53D60A08" w:rsidR="00FE7022" w:rsidRPr="00FE7022" w:rsidRDefault="00FE7022">
      <w:pPr>
        <w:pStyle w:val="FootnoteText"/>
        <w:rPr>
          <w:sz w:val="20"/>
        </w:rPr>
      </w:pPr>
      <w:r w:rsidRPr="00FE7022">
        <w:rPr>
          <w:rStyle w:val="FootnoteReference"/>
          <w:sz w:val="20"/>
        </w:rPr>
        <w:footnoteRef/>
      </w:r>
      <w:r w:rsidRPr="00FE7022">
        <w:rPr>
          <w:sz w:val="20"/>
        </w:rPr>
        <w:t xml:space="preserve"> </w:t>
      </w:r>
      <w:r w:rsidR="00967C87">
        <w:rPr>
          <w:sz w:val="20"/>
        </w:rPr>
        <w:t xml:space="preserve">Application at 4.  </w:t>
      </w:r>
      <w:r w:rsidR="00266D22">
        <w:rPr>
          <w:sz w:val="20"/>
        </w:rPr>
        <w:t xml:space="preserve">Applicants state that </w:t>
      </w:r>
      <w:r w:rsidRPr="00FE7022">
        <w:rPr>
          <w:sz w:val="20"/>
        </w:rPr>
        <w:t xml:space="preserve">UPN also provides interstate services in California to one customer with a small number of leased facilities. </w:t>
      </w:r>
      <w:r w:rsidR="00967C87">
        <w:rPr>
          <w:sz w:val="20"/>
        </w:rPr>
        <w:t xml:space="preserve"> </w:t>
      </w:r>
      <w:r w:rsidR="00967C87" w:rsidRPr="00967C87">
        <w:rPr>
          <w:i/>
          <w:sz w:val="20"/>
        </w:rPr>
        <w:t>Id</w:t>
      </w:r>
      <w:r w:rsidR="00967C87">
        <w:rPr>
          <w:sz w:val="20"/>
        </w:rPr>
        <w:t>. at n.6</w:t>
      </w:r>
    </w:p>
  </w:footnote>
  <w:footnote w:id="5">
    <w:p w14:paraId="549DF9FF" w14:textId="7341C9E6" w:rsidR="00967C87" w:rsidRPr="00DB3CBD" w:rsidRDefault="00967C87">
      <w:pPr>
        <w:pStyle w:val="FootnoteText"/>
        <w:rPr>
          <w:sz w:val="20"/>
        </w:rPr>
      </w:pPr>
      <w:r>
        <w:rPr>
          <w:rStyle w:val="FootnoteReference"/>
        </w:rPr>
        <w:footnoteRef/>
      </w:r>
      <w:r>
        <w:t xml:space="preserve"> </w:t>
      </w:r>
      <w:r w:rsidRPr="00DB3CBD">
        <w:rPr>
          <w:i/>
          <w:sz w:val="20"/>
        </w:rPr>
        <w:t>Id</w:t>
      </w:r>
      <w:r w:rsidRPr="00DB3CBD">
        <w:rPr>
          <w:sz w:val="20"/>
        </w:rPr>
        <w:t>. at 4.</w:t>
      </w:r>
    </w:p>
  </w:footnote>
  <w:footnote w:id="6">
    <w:p w14:paraId="0A9D1894" w14:textId="054D0C29" w:rsidR="00967C87" w:rsidRPr="00DB3CBD" w:rsidRDefault="00967C87">
      <w:pPr>
        <w:pStyle w:val="FootnoteText"/>
        <w:rPr>
          <w:sz w:val="20"/>
        </w:rPr>
      </w:pPr>
      <w:r w:rsidRPr="00DB3CBD">
        <w:rPr>
          <w:rStyle w:val="FootnoteReference"/>
          <w:sz w:val="20"/>
        </w:rPr>
        <w:footnoteRef/>
      </w:r>
      <w:r w:rsidRPr="00DB3CBD">
        <w:rPr>
          <w:sz w:val="20"/>
        </w:rPr>
        <w:t xml:space="preserve"> </w:t>
      </w:r>
      <w:r w:rsidRPr="00DB3CBD">
        <w:rPr>
          <w:i/>
          <w:sz w:val="20"/>
        </w:rPr>
        <w:t>Id</w:t>
      </w:r>
      <w:r w:rsidRPr="00DB3CBD">
        <w:rPr>
          <w:sz w:val="20"/>
        </w:rPr>
        <w:t xml:space="preserve">. at 10. </w:t>
      </w:r>
    </w:p>
  </w:footnote>
  <w:footnote w:id="7">
    <w:p w14:paraId="0E54781C" w14:textId="5F682CA7" w:rsidR="004E0812" w:rsidRPr="00DB3CBD" w:rsidRDefault="004E0812">
      <w:pPr>
        <w:pStyle w:val="FootnoteText"/>
        <w:rPr>
          <w:sz w:val="20"/>
        </w:rPr>
      </w:pPr>
      <w:r>
        <w:rPr>
          <w:rStyle w:val="FootnoteReference"/>
        </w:rPr>
        <w:footnoteRef/>
      </w:r>
      <w:r>
        <w:t xml:space="preserve"> </w:t>
      </w:r>
      <w:r w:rsidR="00CB4E51" w:rsidRPr="00DB3CBD">
        <w:rPr>
          <w:i/>
          <w:sz w:val="20"/>
        </w:rPr>
        <w:t>Id</w:t>
      </w:r>
      <w:r w:rsidR="00CB4E51" w:rsidRPr="00DB3CBD">
        <w:rPr>
          <w:sz w:val="20"/>
        </w:rPr>
        <w:t xml:space="preserve">. at 10.  </w:t>
      </w:r>
      <w:r w:rsidRPr="006F7106">
        <w:rPr>
          <w:sz w:val="20"/>
        </w:rPr>
        <w:t xml:space="preserve">Applicants state that </w:t>
      </w:r>
      <w:r w:rsidR="006B6CA6" w:rsidRPr="006F7106">
        <w:rPr>
          <w:sz w:val="20"/>
        </w:rPr>
        <w:t xml:space="preserve">two of UPN’s current interest holders, </w:t>
      </w:r>
      <w:r w:rsidRPr="006F7106">
        <w:rPr>
          <w:sz w:val="20"/>
        </w:rPr>
        <w:t>Ridgemont</w:t>
      </w:r>
      <w:r w:rsidR="006B6CA6" w:rsidRPr="006F7106">
        <w:rPr>
          <w:sz w:val="20"/>
        </w:rPr>
        <w:t xml:space="preserve"> Equity Partners (Ridgemont)</w:t>
      </w:r>
      <w:r w:rsidR="001971A3">
        <w:rPr>
          <w:sz w:val="20"/>
        </w:rPr>
        <w:t>, a U.S.-based equity investor,</w:t>
      </w:r>
      <w:r w:rsidRPr="006F7106">
        <w:rPr>
          <w:sz w:val="20"/>
        </w:rPr>
        <w:t xml:space="preserve"> and </w:t>
      </w:r>
      <w:r w:rsidR="006B6CA6" w:rsidRPr="001971A3">
        <w:rPr>
          <w:sz w:val="20"/>
        </w:rPr>
        <w:t>J. Travis</w:t>
      </w:r>
      <w:r w:rsidRPr="001971A3">
        <w:rPr>
          <w:sz w:val="20"/>
        </w:rPr>
        <w:t xml:space="preserve"> Hain</w:t>
      </w:r>
      <w:r w:rsidR="00266D22" w:rsidRPr="001971A3">
        <w:rPr>
          <w:sz w:val="20"/>
        </w:rPr>
        <w:t>,</w:t>
      </w:r>
      <w:r w:rsidRPr="001971A3">
        <w:rPr>
          <w:sz w:val="20"/>
        </w:rPr>
        <w:t xml:space="preserve"> </w:t>
      </w:r>
      <w:r w:rsidR="001971A3">
        <w:rPr>
          <w:sz w:val="20"/>
        </w:rPr>
        <w:t>a U.S. citizen,</w:t>
      </w:r>
      <w:r w:rsidR="007C6218">
        <w:rPr>
          <w:sz w:val="20"/>
        </w:rPr>
        <w:t xml:space="preserve"> </w:t>
      </w:r>
      <w:r w:rsidRPr="001971A3">
        <w:rPr>
          <w:sz w:val="20"/>
        </w:rPr>
        <w:t xml:space="preserve">hold a greater than ten percent indirect equity interest in Cross River Fiber, LLC, which provides competitive access provider services in New Jersey and New York.  Applicants further state that </w:t>
      </w:r>
      <w:r w:rsidR="006B6CA6" w:rsidRPr="001971A3">
        <w:rPr>
          <w:sz w:val="20"/>
        </w:rPr>
        <w:t xml:space="preserve">another UPN interest holder, </w:t>
      </w:r>
      <w:r w:rsidRPr="001971A3">
        <w:rPr>
          <w:sz w:val="20"/>
        </w:rPr>
        <w:t>Goldman, Sachs &amp; Co.</w:t>
      </w:r>
      <w:r w:rsidR="00217F6F" w:rsidRPr="001971A3">
        <w:rPr>
          <w:sz w:val="20"/>
        </w:rPr>
        <w:t>,</w:t>
      </w:r>
      <w:r w:rsidRPr="001971A3">
        <w:rPr>
          <w:sz w:val="20"/>
        </w:rPr>
        <w:t xml:space="preserve"> </w:t>
      </w:r>
      <w:r w:rsidR="006B6CA6" w:rsidRPr="001971A3">
        <w:rPr>
          <w:sz w:val="20"/>
        </w:rPr>
        <w:t xml:space="preserve">also </w:t>
      </w:r>
      <w:r w:rsidRPr="001971A3">
        <w:rPr>
          <w:sz w:val="20"/>
        </w:rPr>
        <w:t>holds an indirect 17.5 percent interest in Perseus Telecom Limited, a non-dominant carrier authorized to provide domestic and international services.</w:t>
      </w:r>
      <w:r w:rsidRPr="00DB3CBD">
        <w:rPr>
          <w:sz w:val="20"/>
        </w:rPr>
        <w:t xml:space="preserve">  </w:t>
      </w:r>
      <w:r w:rsidR="00CB4E51" w:rsidRPr="00DB3CBD">
        <w:rPr>
          <w:i/>
          <w:sz w:val="20"/>
        </w:rPr>
        <w:t>Id</w:t>
      </w:r>
      <w:r w:rsidR="00CB4E51" w:rsidRPr="00DB3CBD">
        <w:rPr>
          <w:sz w:val="20"/>
        </w:rPr>
        <w:t>. at 10-11.</w:t>
      </w:r>
    </w:p>
  </w:footnote>
  <w:footnote w:id="8">
    <w:p w14:paraId="4D923B81" w14:textId="02C6A9C1" w:rsidR="008C6FA8" w:rsidRPr="00DB3CBD" w:rsidRDefault="008C6FA8">
      <w:pPr>
        <w:pStyle w:val="FootnoteText"/>
        <w:rPr>
          <w:sz w:val="20"/>
        </w:rPr>
      </w:pPr>
      <w:r w:rsidRPr="00DB3CBD">
        <w:rPr>
          <w:rStyle w:val="FootnoteReference"/>
          <w:sz w:val="20"/>
        </w:rPr>
        <w:footnoteRef/>
      </w:r>
      <w:r w:rsidRPr="00DB3CBD">
        <w:rPr>
          <w:sz w:val="20"/>
        </w:rPr>
        <w:t xml:space="preserve"> </w:t>
      </w:r>
      <w:r w:rsidR="006F7106" w:rsidRPr="006F7106">
        <w:rPr>
          <w:i/>
          <w:sz w:val="20"/>
        </w:rPr>
        <w:t>Id</w:t>
      </w:r>
      <w:r w:rsidR="006F7106">
        <w:rPr>
          <w:sz w:val="20"/>
        </w:rPr>
        <w:t>.</w:t>
      </w:r>
      <w:r w:rsidRPr="00DB3CBD">
        <w:rPr>
          <w:sz w:val="20"/>
        </w:rPr>
        <w:t xml:space="preserve"> at 2.</w:t>
      </w:r>
    </w:p>
  </w:footnote>
  <w:footnote w:id="9">
    <w:p w14:paraId="21E41169" w14:textId="41C4F7C6" w:rsidR="008C6FA8" w:rsidRPr="00DB3CBD" w:rsidRDefault="008C6FA8">
      <w:pPr>
        <w:pStyle w:val="FootnoteText"/>
        <w:rPr>
          <w:sz w:val="20"/>
        </w:rPr>
      </w:pPr>
      <w:r w:rsidRPr="00DB3CBD">
        <w:rPr>
          <w:rStyle w:val="FootnoteReference"/>
          <w:sz w:val="20"/>
        </w:rPr>
        <w:footnoteRef/>
      </w:r>
      <w:r w:rsidRPr="00DB3CBD">
        <w:rPr>
          <w:sz w:val="20"/>
        </w:rPr>
        <w:t xml:space="preserve"> </w:t>
      </w:r>
      <w:r w:rsidRPr="00DB3CBD">
        <w:rPr>
          <w:i/>
          <w:sz w:val="20"/>
        </w:rPr>
        <w:t>Id</w:t>
      </w:r>
      <w:r w:rsidRPr="00DB3CBD">
        <w:rPr>
          <w:sz w:val="20"/>
        </w:rPr>
        <w:t>. at 2, n.2.</w:t>
      </w:r>
    </w:p>
  </w:footnote>
  <w:footnote w:id="10">
    <w:p w14:paraId="6B691A4B" w14:textId="174C3EF9" w:rsidR="00F61B0E" w:rsidRPr="00DB3CBD" w:rsidRDefault="00F61B0E">
      <w:pPr>
        <w:pStyle w:val="FootnoteText"/>
        <w:rPr>
          <w:sz w:val="20"/>
        </w:rPr>
      </w:pPr>
      <w:r w:rsidRPr="00DB3CBD">
        <w:rPr>
          <w:rStyle w:val="FootnoteReference"/>
          <w:sz w:val="20"/>
        </w:rPr>
        <w:footnoteRef/>
      </w:r>
      <w:r w:rsidRPr="00DB3CBD">
        <w:rPr>
          <w:sz w:val="20"/>
        </w:rPr>
        <w:t xml:space="preserve"> </w:t>
      </w:r>
      <w:r w:rsidRPr="00DB3CBD">
        <w:rPr>
          <w:i/>
          <w:sz w:val="20"/>
        </w:rPr>
        <w:t>Id</w:t>
      </w:r>
      <w:r w:rsidRPr="00DB3CBD">
        <w:rPr>
          <w:sz w:val="20"/>
        </w:rPr>
        <w:t xml:space="preserve">. </w:t>
      </w:r>
    </w:p>
  </w:footnote>
  <w:footnote w:id="11">
    <w:p w14:paraId="63E3B334" w14:textId="666A04A3" w:rsidR="00E336EC" w:rsidRPr="00DB3CBD" w:rsidRDefault="00E336EC">
      <w:pPr>
        <w:pStyle w:val="FootnoteText"/>
        <w:rPr>
          <w:sz w:val="20"/>
        </w:rPr>
      </w:pPr>
      <w:r w:rsidRPr="00DB3CBD">
        <w:rPr>
          <w:rStyle w:val="FootnoteReference"/>
          <w:sz w:val="20"/>
        </w:rPr>
        <w:footnoteRef/>
      </w:r>
      <w:r w:rsidRPr="00DB3CBD">
        <w:rPr>
          <w:sz w:val="20"/>
        </w:rPr>
        <w:t xml:space="preserve"> </w:t>
      </w:r>
      <w:r w:rsidR="00A22E9B" w:rsidRPr="00DB3CBD">
        <w:rPr>
          <w:i/>
          <w:sz w:val="20"/>
        </w:rPr>
        <w:t>Id</w:t>
      </w:r>
      <w:r w:rsidR="00A22E9B" w:rsidRPr="00DB3CBD">
        <w:rPr>
          <w:sz w:val="20"/>
        </w:rPr>
        <w:t>. at 12.</w:t>
      </w:r>
    </w:p>
  </w:footnote>
  <w:footnote w:id="12">
    <w:p w14:paraId="02AFE27F" w14:textId="0578E701" w:rsidR="009514A1" w:rsidRPr="006F7106" w:rsidRDefault="009514A1">
      <w:pPr>
        <w:pStyle w:val="FootnoteText"/>
        <w:rPr>
          <w:sz w:val="20"/>
        </w:rPr>
      </w:pPr>
      <w:r w:rsidRPr="006F7106">
        <w:rPr>
          <w:rStyle w:val="FootnoteReference"/>
          <w:sz w:val="20"/>
        </w:rPr>
        <w:footnoteRef/>
      </w:r>
      <w:r w:rsidRPr="006F7106">
        <w:rPr>
          <w:sz w:val="20"/>
        </w:rPr>
        <w:t xml:space="preserve"> </w:t>
      </w:r>
      <w:r w:rsidR="00305A48" w:rsidRPr="006F7106">
        <w:rPr>
          <w:sz w:val="20"/>
        </w:rPr>
        <w:t xml:space="preserve">The following U.S Citizens are the trustees of the Cox Family Trust: James C. Kennedy, Alexander Taylor, and John M. Dyer.  </w:t>
      </w:r>
      <w:r w:rsidR="00543FB0" w:rsidRPr="001971A3">
        <w:rPr>
          <w:sz w:val="20"/>
        </w:rPr>
        <w:t xml:space="preserve">Application at 12.  </w:t>
      </w:r>
      <w:r w:rsidR="00065221" w:rsidRPr="001971A3">
        <w:rPr>
          <w:sz w:val="20"/>
        </w:rPr>
        <w:t xml:space="preserve">Applicants further state that Trailsend Ventures, LLC owns 29.49 percent of the equity of CEI, and JKR Ventures, L.P. owns 23.28 percent of the equity of CEI, both of which are Delaware entities.  </w:t>
      </w:r>
      <w:r w:rsidR="00065221" w:rsidRPr="00DB3CBD">
        <w:rPr>
          <w:i/>
          <w:sz w:val="20"/>
        </w:rPr>
        <w:t>Id</w:t>
      </w:r>
      <w:r w:rsidR="00065221" w:rsidRPr="00DB3CBD">
        <w:rPr>
          <w:sz w:val="20"/>
        </w:rPr>
        <w:t xml:space="preserve">. at 13.  The 10 percent or greater owners of Trailsend Ventures, LLC and JKR Ventures, L.P. are U.S.-based trusts.  </w:t>
      </w:r>
      <w:r w:rsidR="00065221" w:rsidRPr="00DB3CBD">
        <w:rPr>
          <w:i/>
          <w:sz w:val="20"/>
        </w:rPr>
        <w:t>Id</w:t>
      </w:r>
      <w:r w:rsidR="00065221" w:rsidRPr="00DB3CBD">
        <w:rPr>
          <w:sz w:val="20"/>
        </w:rPr>
        <w:t>. at 13-15.</w:t>
      </w:r>
    </w:p>
  </w:footnote>
  <w:footnote w:id="13">
    <w:p w14:paraId="000AEFB2" w14:textId="5DD74DA2" w:rsidR="008A765C" w:rsidRPr="00DB3CBD" w:rsidRDefault="008A765C">
      <w:pPr>
        <w:pStyle w:val="FootnoteText"/>
        <w:rPr>
          <w:sz w:val="20"/>
        </w:rPr>
      </w:pPr>
      <w:r w:rsidRPr="00DB3CBD">
        <w:rPr>
          <w:rStyle w:val="FootnoteReference"/>
          <w:sz w:val="20"/>
        </w:rPr>
        <w:footnoteRef/>
      </w:r>
      <w:r w:rsidRPr="00DB3CBD">
        <w:rPr>
          <w:sz w:val="20"/>
        </w:rPr>
        <w:t xml:space="preserve"> </w:t>
      </w:r>
      <w:r w:rsidRPr="00DB3CBD">
        <w:rPr>
          <w:i/>
          <w:sz w:val="20"/>
        </w:rPr>
        <w:t>Id</w:t>
      </w:r>
      <w:r w:rsidRPr="00DB3CBD">
        <w:rPr>
          <w:sz w:val="20"/>
        </w:rPr>
        <w:t xml:space="preserve">. at 2. </w:t>
      </w:r>
    </w:p>
  </w:footnote>
  <w:footnote w:id="14">
    <w:p w14:paraId="699FC3EF" w14:textId="29379802" w:rsidR="005B5012" w:rsidRPr="00DB3CBD" w:rsidRDefault="005B5012" w:rsidP="005B5012">
      <w:pPr>
        <w:pStyle w:val="FootnoteText"/>
        <w:rPr>
          <w:sz w:val="20"/>
        </w:rPr>
      </w:pPr>
      <w:r w:rsidRPr="00DB3CBD">
        <w:rPr>
          <w:rStyle w:val="FootnoteReference"/>
          <w:sz w:val="20"/>
        </w:rPr>
        <w:footnoteRef/>
      </w:r>
      <w:r w:rsidRPr="00DB3CBD">
        <w:rPr>
          <w:sz w:val="20"/>
        </w:rPr>
        <w:t xml:space="preserve"> </w:t>
      </w:r>
      <w:r>
        <w:rPr>
          <w:sz w:val="20"/>
        </w:rPr>
        <w:t xml:space="preserve">These subsidiaries are </w:t>
      </w:r>
      <w:r w:rsidRPr="005B5012">
        <w:rPr>
          <w:sz w:val="20"/>
        </w:rPr>
        <w:t>Fiber Platform Holdings, LLC, a Delaware limited liability company (which will have approximately a 34 percent interest in Fiber Platform) and Fiber Platform Blocker, Inc. (Fiber Platform Blocker), also a Delaware limited liability company (which will have approximately a 32 percent interest in Fiber Platform)</w:t>
      </w:r>
      <w:r>
        <w:rPr>
          <w:sz w:val="20"/>
        </w:rPr>
        <w:t xml:space="preserve">. </w:t>
      </w:r>
      <w:r w:rsidRPr="00DB3CBD">
        <w:rPr>
          <w:sz w:val="20"/>
        </w:rPr>
        <w:t xml:space="preserve"> </w:t>
      </w:r>
    </w:p>
  </w:footnote>
  <w:footnote w:id="15">
    <w:p w14:paraId="59907E65" w14:textId="5E83ABEB" w:rsidR="00B373C5" w:rsidRPr="008F49C6" w:rsidRDefault="00B373C5">
      <w:pPr>
        <w:pStyle w:val="FootnoteText"/>
        <w:rPr>
          <w:sz w:val="20"/>
        </w:rPr>
      </w:pPr>
      <w:r w:rsidRPr="008F49C6">
        <w:rPr>
          <w:rStyle w:val="FootnoteReference"/>
          <w:sz w:val="20"/>
        </w:rPr>
        <w:footnoteRef/>
      </w:r>
      <w:r w:rsidRPr="008F49C6">
        <w:rPr>
          <w:sz w:val="20"/>
        </w:rPr>
        <w:t xml:space="preserve"> </w:t>
      </w:r>
      <w:r w:rsidRPr="00213FF8">
        <w:rPr>
          <w:sz w:val="20"/>
        </w:rPr>
        <w:t>The Applicants state</w:t>
      </w:r>
      <w:r w:rsidR="00D9573B">
        <w:rPr>
          <w:sz w:val="20"/>
        </w:rPr>
        <w:t xml:space="preserve"> that</w:t>
      </w:r>
      <w:r w:rsidRPr="00213FF8">
        <w:rPr>
          <w:sz w:val="20"/>
        </w:rPr>
        <w:t>, under the proposed agreement, the interests reported may vary depending on what interests UPN management retains following the proposed transaction.  Cox, through Fiber Platform Holdings and Fiber Platform Blocker, will have an interest of approximately 66 to 69 percent</w:t>
      </w:r>
      <w:r w:rsidR="008B01C3">
        <w:rPr>
          <w:sz w:val="20"/>
        </w:rPr>
        <w:t xml:space="preserve"> interest in UPN</w:t>
      </w:r>
      <w:r w:rsidR="00C21DAE">
        <w:rPr>
          <w:sz w:val="20"/>
        </w:rPr>
        <w:t xml:space="preserve">.  Ridgemont, </w:t>
      </w:r>
      <w:r w:rsidR="00213FF8" w:rsidRPr="00213FF8">
        <w:rPr>
          <w:sz w:val="20"/>
        </w:rPr>
        <w:t xml:space="preserve">collectively through REP UPN, L.P., REP UPN II, L.P., and Ridgemont Equity Partners Affiliates II-B, L.P., all three of which are Delaware limited partnerships, will hold approximately </w:t>
      </w:r>
      <w:r w:rsidR="00266D22">
        <w:rPr>
          <w:sz w:val="20"/>
        </w:rPr>
        <w:t xml:space="preserve">a </w:t>
      </w:r>
      <w:r w:rsidR="00213FF8" w:rsidRPr="00213FF8">
        <w:rPr>
          <w:sz w:val="20"/>
        </w:rPr>
        <w:t>27-30 percent equity interest in UPN post-transaction.  J. Travis Hain will also own an indirect interest of approximately 12 percent in UPN post-transaction through a combination of ownership interests</w:t>
      </w:r>
      <w:r w:rsidR="008B14B5">
        <w:rPr>
          <w:sz w:val="20"/>
        </w:rPr>
        <w:t xml:space="preserve">.  </w:t>
      </w:r>
      <w:r w:rsidR="008B14B5" w:rsidRPr="008B14B5">
        <w:rPr>
          <w:i/>
          <w:sz w:val="20"/>
        </w:rPr>
        <w:t>See</w:t>
      </w:r>
      <w:r w:rsidR="008B14B5">
        <w:rPr>
          <w:sz w:val="20"/>
        </w:rPr>
        <w:t xml:space="preserve"> Application </w:t>
      </w:r>
      <w:r w:rsidR="008B01C3">
        <w:rPr>
          <w:sz w:val="20"/>
        </w:rPr>
        <w:t xml:space="preserve">at 2-4; 10-16 </w:t>
      </w:r>
      <w:r w:rsidR="002A761F">
        <w:rPr>
          <w:sz w:val="20"/>
        </w:rPr>
        <w:t>f</w:t>
      </w:r>
      <w:r w:rsidR="008B14B5">
        <w:rPr>
          <w:sz w:val="20"/>
        </w:rPr>
        <w:t>or a complete description of UPN’s ownership pre</w:t>
      </w:r>
      <w:r w:rsidR="00266D22">
        <w:rPr>
          <w:sz w:val="20"/>
        </w:rPr>
        <w:t>-</w:t>
      </w:r>
      <w:r w:rsidR="008B14B5">
        <w:rPr>
          <w:sz w:val="20"/>
        </w:rPr>
        <w:t xml:space="preserve"> and post-transaction.  </w:t>
      </w:r>
      <w:r w:rsidR="00213FF8">
        <w:rPr>
          <w:sz w:val="20"/>
        </w:rPr>
        <w:t xml:space="preserve"> </w:t>
      </w:r>
    </w:p>
  </w:footnote>
  <w:footnote w:id="16">
    <w:p w14:paraId="4B5C6834" w14:textId="128051D8" w:rsidR="00046A8B" w:rsidRPr="00DB3CBD" w:rsidRDefault="00046A8B">
      <w:pPr>
        <w:pStyle w:val="FootnoteText"/>
        <w:rPr>
          <w:sz w:val="20"/>
        </w:rPr>
      </w:pPr>
      <w:r>
        <w:rPr>
          <w:rStyle w:val="FootnoteReference"/>
        </w:rPr>
        <w:footnoteRef/>
      </w:r>
      <w:r>
        <w:t xml:space="preserve"> </w:t>
      </w:r>
      <w:r w:rsidR="00D9573B" w:rsidRPr="00DB3CBD">
        <w:rPr>
          <w:i/>
          <w:sz w:val="20"/>
        </w:rPr>
        <w:t>Id</w:t>
      </w:r>
      <w:r w:rsidR="00D9573B" w:rsidRPr="00DB3CBD">
        <w:rPr>
          <w:sz w:val="20"/>
        </w:rPr>
        <w:t xml:space="preserve">. at 2. </w:t>
      </w:r>
    </w:p>
  </w:footnote>
  <w:footnote w:id="17">
    <w:p w14:paraId="1899B3B6" w14:textId="5FD0974B" w:rsidR="00046A8B" w:rsidRPr="00DB3CBD" w:rsidRDefault="00046A8B">
      <w:pPr>
        <w:pStyle w:val="FootnoteText"/>
        <w:rPr>
          <w:sz w:val="20"/>
        </w:rPr>
      </w:pPr>
      <w:r w:rsidRPr="00DB3CBD">
        <w:rPr>
          <w:rStyle w:val="FootnoteReference"/>
          <w:sz w:val="20"/>
        </w:rPr>
        <w:footnoteRef/>
      </w:r>
      <w:r w:rsidRPr="00DB3CBD">
        <w:rPr>
          <w:sz w:val="20"/>
        </w:rPr>
        <w:t xml:space="preserve"> </w:t>
      </w:r>
      <w:r w:rsidR="00D9573B" w:rsidRPr="00DB3CBD">
        <w:rPr>
          <w:i/>
          <w:sz w:val="20"/>
        </w:rPr>
        <w:t>Id</w:t>
      </w:r>
      <w:r w:rsidR="00D9573B" w:rsidRPr="00DB3CBD">
        <w:rPr>
          <w:sz w:val="20"/>
        </w:rPr>
        <w:t>.</w:t>
      </w:r>
    </w:p>
  </w:footnote>
  <w:footnote w:id="18">
    <w:p w14:paraId="0AAC6A63" w14:textId="6049118E" w:rsidR="00046A8B" w:rsidRPr="00DB3CBD" w:rsidRDefault="00046A8B">
      <w:pPr>
        <w:pStyle w:val="FootnoteText"/>
        <w:rPr>
          <w:sz w:val="20"/>
        </w:rPr>
      </w:pPr>
      <w:r w:rsidRPr="00DB3CBD">
        <w:rPr>
          <w:rStyle w:val="FootnoteReference"/>
          <w:sz w:val="20"/>
        </w:rPr>
        <w:footnoteRef/>
      </w:r>
      <w:r w:rsidRPr="00DB3CBD">
        <w:rPr>
          <w:sz w:val="20"/>
        </w:rPr>
        <w:t xml:space="preserve"> </w:t>
      </w:r>
      <w:r w:rsidR="00D9573B" w:rsidRPr="00DB3CBD">
        <w:rPr>
          <w:i/>
          <w:sz w:val="20"/>
        </w:rPr>
        <w:t>Id</w:t>
      </w:r>
      <w:r w:rsidR="00D9573B" w:rsidRPr="00DB3CBD">
        <w:rPr>
          <w:sz w:val="20"/>
        </w:rPr>
        <w:t>.</w:t>
      </w:r>
    </w:p>
  </w:footnote>
  <w:footnote w:id="19">
    <w:p w14:paraId="4395C6E3" w14:textId="4A804404" w:rsidR="00CC54A0" w:rsidRPr="00DB3CBD" w:rsidRDefault="00CC54A0">
      <w:pPr>
        <w:pStyle w:val="FootnoteText"/>
        <w:rPr>
          <w:sz w:val="20"/>
        </w:rPr>
      </w:pPr>
      <w:r w:rsidRPr="00DB3CBD">
        <w:rPr>
          <w:rStyle w:val="FootnoteReference"/>
          <w:sz w:val="20"/>
        </w:rPr>
        <w:footnoteRef/>
      </w:r>
      <w:r w:rsidRPr="00DB3CBD">
        <w:rPr>
          <w:sz w:val="20"/>
        </w:rPr>
        <w:t xml:space="preserve"> </w:t>
      </w:r>
      <w:r w:rsidRPr="00F341A2">
        <w:rPr>
          <w:sz w:val="20"/>
        </w:rPr>
        <w:t>Supplement at 4.</w:t>
      </w:r>
      <w:r w:rsidRPr="00DB3CBD">
        <w:rPr>
          <w:sz w:val="20"/>
        </w:rPr>
        <w:t xml:space="preserve">  </w:t>
      </w:r>
    </w:p>
  </w:footnote>
  <w:footnote w:id="20">
    <w:p w14:paraId="779229BA" w14:textId="462DA037" w:rsidR="00587DEB" w:rsidRPr="00DB3CBD" w:rsidRDefault="00587DEB">
      <w:pPr>
        <w:pStyle w:val="FootnoteText"/>
        <w:rPr>
          <w:sz w:val="20"/>
        </w:rPr>
      </w:pPr>
      <w:r w:rsidRPr="00DB3CBD">
        <w:rPr>
          <w:rStyle w:val="FootnoteReference"/>
          <w:sz w:val="20"/>
        </w:rPr>
        <w:footnoteRef/>
      </w:r>
      <w:r w:rsidRPr="00DB3CBD">
        <w:rPr>
          <w:sz w:val="20"/>
        </w:rPr>
        <w:t xml:space="preserve"> </w:t>
      </w:r>
      <w:r w:rsidR="00362D4A" w:rsidRPr="00DB3CBD">
        <w:rPr>
          <w:i/>
          <w:sz w:val="20"/>
        </w:rPr>
        <w:t>Id</w:t>
      </w:r>
      <w:r w:rsidR="00362D4A" w:rsidRPr="00DB3CBD">
        <w:rPr>
          <w:sz w:val="20"/>
        </w:rPr>
        <w:t>.</w:t>
      </w:r>
    </w:p>
  </w:footnote>
  <w:footnote w:id="21">
    <w:p w14:paraId="174DD9B0" w14:textId="77777777" w:rsidR="00927067" w:rsidRPr="00F341A2" w:rsidRDefault="00927067">
      <w:pPr>
        <w:pStyle w:val="FootnoteText"/>
        <w:rPr>
          <w:sz w:val="20"/>
        </w:rPr>
      </w:pPr>
      <w:r w:rsidRPr="00DB3CBD">
        <w:rPr>
          <w:rStyle w:val="FootnoteReference"/>
          <w:sz w:val="20"/>
        </w:rPr>
        <w:footnoteRef/>
      </w:r>
      <w:r w:rsidRPr="00DB3CBD">
        <w:rPr>
          <w:sz w:val="20"/>
        </w:rPr>
        <w:t xml:space="preserve"> </w:t>
      </w:r>
      <w:r w:rsidRPr="00F341A2">
        <w:rPr>
          <w:sz w:val="20"/>
        </w:rPr>
        <w:t>Application at 4-7.</w:t>
      </w:r>
    </w:p>
  </w:footnote>
  <w:footnote w:id="22">
    <w:p w14:paraId="20A4E51E" w14:textId="52A28A41" w:rsidR="00927067" w:rsidRPr="001971A3" w:rsidRDefault="00927067">
      <w:pPr>
        <w:pStyle w:val="FootnoteText"/>
        <w:rPr>
          <w:sz w:val="20"/>
        </w:rPr>
      </w:pPr>
      <w:r w:rsidRPr="001971A3">
        <w:rPr>
          <w:rStyle w:val="FootnoteReference"/>
          <w:sz w:val="20"/>
        </w:rPr>
        <w:footnoteRef/>
      </w:r>
      <w:r w:rsidRPr="001971A3">
        <w:rPr>
          <w:sz w:val="20"/>
        </w:rPr>
        <w:t xml:space="preserve"> </w:t>
      </w:r>
      <w:r w:rsidR="00362D4A" w:rsidRPr="001971A3">
        <w:rPr>
          <w:i/>
          <w:sz w:val="20"/>
        </w:rPr>
        <w:t>Id</w:t>
      </w:r>
      <w:r w:rsidR="00362D4A" w:rsidRPr="001971A3">
        <w:rPr>
          <w:sz w:val="20"/>
        </w:rPr>
        <w:t xml:space="preserve">. </w:t>
      </w:r>
      <w:r w:rsidRPr="001971A3">
        <w:rPr>
          <w:sz w:val="20"/>
        </w:rPr>
        <w:t>at 7, 8.</w:t>
      </w:r>
    </w:p>
  </w:footnote>
  <w:footnote w:id="23">
    <w:p w14:paraId="70F681DE" w14:textId="76AD885D" w:rsidR="00927067" w:rsidRPr="0069799A" w:rsidRDefault="00927067">
      <w:pPr>
        <w:pStyle w:val="FootnoteText"/>
        <w:rPr>
          <w:sz w:val="20"/>
        </w:rPr>
      </w:pPr>
      <w:r w:rsidRPr="00DB3CBD">
        <w:rPr>
          <w:rStyle w:val="FootnoteReference"/>
          <w:sz w:val="20"/>
        </w:rPr>
        <w:footnoteRef/>
      </w:r>
      <w:r w:rsidRPr="00DB3CBD">
        <w:rPr>
          <w:sz w:val="20"/>
        </w:rPr>
        <w:t xml:space="preserve"> </w:t>
      </w:r>
      <w:r w:rsidR="00362D4A" w:rsidRPr="00DB3CBD">
        <w:rPr>
          <w:i/>
          <w:sz w:val="20"/>
        </w:rPr>
        <w:t>Id</w:t>
      </w:r>
      <w:r w:rsidR="00362D4A" w:rsidRPr="00DB3CBD">
        <w:rPr>
          <w:sz w:val="20"/>
        </w:rPr>
        <w:t xml:space="preserve">. </w:t>
      </w:r>
      <w:r w:rsidRPr="00F341A2">
        <w:rPr>
          <w:sz w:val="20"/>
        </w:rPr>
        <w:t>at 7.</w:t>
      </w:r>
      <w:r w:rsidR="009C4187" w:rsidRPr="00F341A2">
        <w:rPr>
          <w:sz w:val="20"/>
        </w:rPr>
        <w:t xml:space="preserve">  Applicants</w:t>
      </w:r>
      <w:r w:rsidR="009C4187">
        <w:rPr>
          <w:sz w:val="20"/>
        </w:rPr>
        <w:t xml:space="preserve"> state that </w:t>
      </w:r>
      <w:r w:rsidR="006F7106">
        <w:rPr>
          <w:sz w:val="20"/>
        </w:rPr>
        <w:t>the total number of buildings where both Cox and UPN provide service is 167.  Supplement at Attach. 3.</w:t>
      </w:r>
    </w:p>
  </w:footnote>
  <w:footnote w:id="24">
    <w:p w14:paraId="3BE116E9" w14:textId="77777777" w:rsidR="00251C1C" w:rsidRPr="0069799A" w:rsidRDefault="00251C1C">
      <w:pPr>
        <w:pStyle w:val="FootnoteText"/>
        <w:rPr>
          <w:sz w:val="20"/>
        </w:rPr>
      </w:pPr>
      <w:r w:rsidRPr="0069799A">
        <w:rPr>
          <w:rStyle w:val="FootnoteReference"/>
          <w:sz w:val="20"/>
        </w:rPr>
        <w:footnoteRef/>
      </w:r>
      <w:r w:rsidRPr="0069799A">
        <w:rPr>
          <w:sz w:val="20"/>
        </w:rPr>
        <w:t xml:space="preserve"> 47 CFR 63.03(c)(1)(v).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09D8" w14:textId="77777777" w:rsidR="00EA4831" w:rsidRDefault="00EA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B7D32" w14:textId="77777777" w:rsidR="00EA4831" w:rsidRDefault="00EA4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C638" w14:textId="77777777" w:rsidR="009074E9" w:rsidRDefault="00F122DF">
    <w:pPr>
      <w:pStyle w:val="Header"/>
      <w:tabs>
        <w:tab w:val="clear" w:pos="4320"/>
        <w:tab w:val="clear" w:pos="8640"/>
      </w:tabs>
      <w:spacing w:before="40"/>
      <w:ind w:firstLine="1080"/>
      <w:rPr>
        <w:rFonts w:ascii="News Gothic MT" w:hAnsi="News Gothic MT"/>
        <w:b/>
        <w:kern w:val="28"/>
        <w:sz w:val="96"/>
      </w:rPr>
    </w:pPr>
    <w:r>
      <w:rPr>
        <w:noProof/>
      </w:rPr>
      <w:pict w14:anchorId="42A32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075872AA">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14:paraId="2F168EE0" w14:textId="77777777" w:rsidR="009074E9" w:rsidRDefault="009074E9">
                <w:pPr>
                  <w:rPr>
                    <w:rFonts w:ascii="Arial" w:hAnsi="Arial"/>
                    <w:b/>
                  </w:rPr>
                </w:pPr>
                <w:r>
                  <w:rPr>
                    <w:rFonts w:ascii="Arial" w:hAnsi="Arial"/>
                    <w:b/>
                  </w:rPr>
                  <w:t>Federal Communications Commission</w:t>
                </w:r>
              </w:p>
              <w:p w14:paraId="0F73E126" w14:textId="77777777"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912400" w14:textId="77777777"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14:paraId="35BB468F" w14:textId="77777777" w:rsidR="009074E9" w:rsidRDefault="00F122DF">
    <w:pPr>
      <w:pStyle w:val="Header"/>
      <w:tabs>
        <w:tab w:val="clear" w:pos="4320"/>
        <w:tab w:val="clear" w:pos="8640"/>
        <w:tab w:val="left" w:pos="1080"/>
      </w:tabs>
      <w:spacing w:line="1120" w:lineRule="exact"/>
      <w:ind w:left="720"/>
      <w:rPr>
        <w:rFonts w:ascii="Arial" w:hAnsi="Arial"/>
        <w:b/>
        <w:sz w:val="28"/>
      </w:rPr>
    </w:pPr>
    <w:r>
      <w:rPr>
        <w:noProof/>
      </w:rPr>
      <w:pict w14:anchorId="67338BC4">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3F85DE42">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14:paraId="552322F7" w14:textId="77777777" w:rsidR="009074E9" w:rsidRDefault="009074E9">
                <w:pPr>
                  <w:spacing w:before="40"/>
                  <w:jc w:val="right"/>
                  <w:rPr>
                    <w:rFonts w:ascii="Arial" w:hAnsi="Arial"/>
                    <w:b/>
                    <w:sz w:val="16"/>
                  </w:rPr>
                </w:pPr>
                <w:r>
                  <w:rPr>
                    <w:rFonts w:ascii="Arial" w:hAnsi="Arial"/>
                    <w:b/>
                    <w:sz w:val="16"/>
                  </w:rPr>
                  <w:t>News Media Information 202 / 418-0500</w:t>
                </w:r>
              </w:p>
              <w:p w14:paraId="40013B8A" w14:textId="77777777"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0A5606DC" w14:textId="77777777" w:rsidR="009074E9" w:rsidRDefault="009074E9">
                <w:pPr>
                  <w:jc w:val="right"/>
                  <w:rPr>
                    <w:rFonts w:ascii="Arial" w:hAnsi="Arial"/>
                    <w:b/>
                    <w:sz w:val="16"/>
                  </w:rPr>
                </w:pPr>
                <w:r>
                  <w:rPr>
                    <w:rFonts w:ascii="Arial" w:hAnsi="Arial"/>
                    <w:b/>
                    <w:sz w:val="16"/>
                  </w:rPr>
                  <w:t>TTY: 1-888-835-5322</w:t>
                </w:r>
              </w:p>
              <w:p w14:paraId="2151E4B7" w14:textId="77777777" w:rsidR="009074E9" w:rsidRDefault="009074E9">
                <w:pPr>
                  <w:jc w:val="right"/>
                </w:pPr>
              </w:p>
            </w:txbxContent>
          </v:textbox>
        </v:shape>
      </w:pict>
    </w:r>
  </w:p>
  <w:p w14:paraId="6C8EAB4C" w14:textId="77777777"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A297" w14:textId="77777777" w:rsidR="009074E9" w:rsidRDefault="00F122DF">
    <w:pPr>
      <w:pStyle w:val="Header"/>
      <w:tabs>
        <w:tab w:val="clear" w:pos="4320"/>
        <w:tab w:val="clear" w:pos="8640"/>
      </w:tabs>
      <w:spacing w:before="40"/>
      <w:ind w:firstLine="1080"/>
      <w:rPr>
        <w:rFonts w:ascii="Copperplate32bc" w:hAnsi="Copperplate32bc"/>
        <w:b/>
        <w:kern w:val="28"/>
        <w:sz w:val="96"/>
      </w:rPr>
    </w:pPr>
    <w:r>
      <w:rPr>
        <w:noProof/>
      </w:rPr>
      <w:pict w14:anchorId="0DAC4DB7">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293B0174" w14:textId="77777777" w:rsidR="009074E9" w:rsidRDefault="009074E9">
                <w:pPr>
                  <w:rPr>
                    <w:rFonts w:ascii="Arial" w:hAnsi="Arial"/>
                    <w:b/>
                  </w:rPr>
                </w:pPr>
                <w:r>
                  <w:rPr>
                    <w:rFonts w:ascii="Arial" w:hAnsi="Arial"/>
                    <w:b/>
                  </w:rPr>
                  <w:t>Federal Communications Commission</w:t>
                </w:r>
              </w:p>
              <w:p w14:paraId="57B37935" w14:textId="77777777"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B3DDDB1" w14:textId="77777777" w:rsidR="009074E9" w:rsidRDefault="009074E9">
                <w:pPr>
                  <w:rPr>
                    <w:rFonts w:ascii="Arial" w:hAnsi="Arial"/>
                    <w:sz w:val="24"/>
                  </w:rPr>
                </w:pPr>
                <w:r>
                  <w:rPr>
                    <w:rFonts w:ascii="Arial" w:hAnsi="Arial"/>
                    <w:b/>
                  </w:rPr>
                  <w:t>Washington, D.C. 20554</w:t>
                </w:r>
              </w:p>
            </w:txbxContent>
          </v:textbox>
        </v:shape>
      </w:pict>
    </w:r>
    <w:r>
      <w:rPr>
        <w:noProof/>
      </w:rPr>
      <w:pict w14:anchorId="262E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14:paraId="61546208" w14:textId="77777777" w:rsidR="009074E9" w:rsidRDefault="00F122DF">
    <w:pPr>
      <w:pStyle w:val="Header"/>
      <w:tabs>
        <w:tab w:val="clear" w:pos="4320"/>
        <w:tab w:val="clear" w:pos="8640"/>
        <w:tab w:val="left" w:pos="1080"/>
      </w:tabs>
      <w:spacing w:line="1120" w:lineRule="exact"/>
      <w:ind w:left="720"/>
      <w:rPr>
        <w:rFonts w:ascii="Arial" w:hAnsi="Arial"/>
        <w:b/>
        <w:sz w:val="28"/>
      </w:rPr>
    </w:pPr>
    <w:r>
      <w:rPr>
        <w:noProof/>
      </w:rPr>
      <w:pict w14:anchorId="52AB333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CD90ADF">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0AF7A88" w14:textId="77777777" w:rsidR="009074E9" w:rsidRDefault="009074E9">
                <w:pPr>
                  <w:spacing w:before="40"/>
                  <w:jc w:val="right"/>
                  <w:rPr>
                    <w:rFonts w:ascii="Arial" w:hAnsi="Arial"/>
                    <w:b/>
                    <w:sz w:val="16"/>
                  </w:rPr>
                </w:pPr>
                <w:r>
                  <w:rPr>
                    <w:rFonts w:ascii="Arial" w:hAnsi="Arial"/>
                    <w:b/>
                    <w:sz w:val="16"/>
                  </w:rPr>
                  <w:t>News Media Information 202 / 418-0500</w:t>
                </w:r>
              </w:p>
              <w:p w14:paraId="26FC7C2A" w14:textId="77777777" w:rsidR="009074E9" w:rsidRDefault="009074E9">
                <w:pPr>
                  <w:jc w:val="right"/>
                  <w:rPr>
                    <w:rFonts w:ascii="Arial" w:hAnsi="Arial"/>
                    <w:b/>
                    <w:sz w:val="16"/>
                  </w:rPr>
                </w:pPr>
                <w:r>
                  <w:rPr>
                    <w:rFonts w:ascii="Arial" w:hAnsi="Arial"/>
                    <w:b/>
                    <w:sz w:val="16"/>
                  </w:rPr>
                  <w:tab/>
                  <w:t>Internet: http://www.fcc.gov</w:t>
                </w:r>
              </w:p>
              <w:p w14:paraId="3F34190C" w14:textId="77777777" w:rsidR="009074E9" w:rsidRDefault="009074E9">
                <w:pPr>
                  <w:jc w:val="right"/>
                  <w:rPr>
                    <w:rFonts w:ascii="Arial" w:hAnsi="Arial"/>
                    <w:b/>
                    <w:sz w:val="16"/>
                  </w:rPr>
                </w:pPr>
                <w:r>
                  <w:rPr>
                    <w:rFonts w:ascii="Arial" w:hAnsi="Arial"/>
                    <w:b/>
                    <w:sz w:val="16"/>
                  </w:rPr>
                  <w:t>TTY: 1-888-835-5322</w:t>
                </w:r>
              </w:p>
              <w:p w14:paraId="4CB1A744" w14:textId="77777777" w:rsidR="009074E9" w:rsidRDefault="009074E9">
                <w:pPr>
                  <w:jc w:val="right"/>
                </w:pPr>
              </w:p>
            </w:txbxContent>
          </v:textbox>
        </v:shape>
      </w:pict>
    </w:r>
  </w:p>
  <w:p w14:paraId="7D41AB63" w14:textId="77777777"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20E3E"/>
    <w:rsid w:val="0002290F"/>
    <w:rsid w:val="0002448D"/>
    <w:rsid w:val="00026049"/>
    <w:rsid w:val="000264E1"/>
    <w:rsid w:val="000311D9"/>
    <w:rsid w:val="000319E4"/>
    <w:rsid w:val="00033791"/>
    <w:rsid w:val="00034463"/>
    <w:rsid w:val="000359CA"/>
    <w:rsid w:val="00037963"/>
    <w:rsid w:val="000401F2"/>
    <w:rsid w:val="000403C2"/>
    <w:rsid w:val="00042229"/>
    <w:rsid w:val="00044ACA"/>
    <w:rsid w:val="00046A8B"/>
    <w:rsid w:val="00047EBE"/>
    <w:rsid w:val="00051FB2"/>
    <w:rsid w:val="0005535C"/>
    <w:rsid w:val="000555F2"/>
    <w:rsid w:val="00062778"/>
    <w:rsid w:val="000627D1"/>
    <w:rsid w:val="00064E36"/>
    <w:rsid w:val="00065221"/>
    <w:rsid w:val="000669CD"/>
    <w:rsid w:val="0007252B"/>
    <w:rsid w:val="00074BF3"/>
    <w:rsid w:val="00076713"/>
    <w:rsid w:val="00077355"/>
    <w:rsid w:val="0008747A"/>
    <w:rsid w:val="0009126E"/>
    <w:rsid w:val="000925AB"/>
    <w:rsid w:val="00094CB0"/>
    <w:rsid w:val="000A2C47"/>
    <w:rsid w:val="000A4055"/>
    <w:rsid w:val="000A4520"/>
    <w:rsid w:val="000A6DA3"/>
    <w:rsid w:val="000A7685"/>
    <w:rsid w:val="000B1504"/>
    <w:rsid w:val="000B5D16"/>
    <w:rsid w:val="000B7246"/>
    <w:rsid w:val="000C0811"/>
    <w:rsid w:val="000C28B5"/>
    <w:rsid w:val="000C42A9"/>
    <w:rsid w:val="000C4780"/>
    <w:rsid w:val="000C4C46"/>
    <w:rsid w:val="000E157B"/>
    <w:rsid w:val="000E3155"/>
    <w:rsid w:val="000E5315"/>
    <w:rsid w:val="000E760D"/>
    <w:rsid w:val="000F6B18"/>
    <w:rsid w:val="001026C6"/>
    <w:rsid w:val="00110942"/>
    <w:rsid w:val="00112A9B"/>
    <w:rsid w:val="00113666"/>
    <w:rsid w:val="00116DB2"/>
    <w:rsid w:val="0013052A"/>
    <w:rsid w:val="001378A8"/>
    <w:rsid w:val="00142BA4"/>
    <w:rsid w:val="00142D36"/>
    <w:rsid w:val="00151B43"/>
    <w:rsid w:val="00151E72"/>
    <w:rsid w:val="00153E4E"/>
    <w:rsid w:val="00154DD3"/>
    <w:rsid w:val="00156895"/>
    <w:rsid w:val="0016148C"/>
    <w:rsid w:val="00165429"/>
    <w:rsid w:val="00165BD0"/>
    <w:rsid w:val="001727F8"/>
    <w:rsid w:val="001809F9"/>
    <w:rsid w:val="00187B28"/>
    <w:rsid w:val="00190FAB"/>
    <w:rsid w:val="00192F32"/>
    <w:rsid w:val="001971A3"/>
    <w:rsid w:val="001A207D"/>
    <w:rsid w:val="001A269E"/>
    <w:rsid w:val="001A3986"/>
    <w:rsid w:val="001A6B9B"/>
    <w:rsid w:val="001B2E39"/>
    <w:rsid w:val="001B314E"/>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2F2F"/>
    <w:rsid w:val="001E4E86"/>
    <w:rsid w:val="001F4668"/>
    <w:rsid w:val="001F4C36"/>
    <w:rsid w:val="0020536A"/>
    <w:rsid w:val="00205B87"/>
    <w:rsid w:val="0020629D"/>
    <w:rsid w:val="0020749C"/>
    <w:rsid w:val="002119BB"/>
    <w:rsid w:val="00212BAF"/>
    <w:rsid w:val="00213544"/>
    <w:rsid w:val="00213FF8"/>
    <w:rsid w:val="0021533F"/>
    <w:rsid w:val="00217F6F"/>
    <w:rsid w:val="002277E1"/>
    <w:rsid w:val="00227CC7"/>
    <w:rsid w:val="00234FF8"/>
    <w:rsid w:val="002374C2"/>
    <w:rsid w:val="002412EE"/>
    <w:rsid w:val="00241AB2"/>
    <w:rsid w:val="00243E25"/>
    <w:rsid w:val="002458B5"/>
    <w:rsid w:val="00246468"/>
    <w:rsid w:val="002479BC"/>
    <w:rsid w:val="00247BC5"/>
    <w:rsid w:val="002507AC"/>
    <w:rsid w:val="00251C1C"/>
    <w:rsid w:val="00257350"/>
    <w:rsid w:val="00261E94"/>
    <w:rsid w:val="00264B89"/>
    <w:rsid w:val="00266585"/>
    <w:rsid w:val="00266D22"/>
    <w:rsid w:val="002713A6"/>
    <w:rsid w:val="00272E9B"/>
    <w:rsid w:val="00274C2B"/>
    <w:rsid w:val="00295114"/>
    <w:rsid w:val="002A0D31"/>
    <w:rsid w:val="002A2546"/>
    <w:rsid w:val="002A4C8C"/>
    <w:rsid w:val="002A761F"/>
    <w:rsid w:val="002B110B"/>
    <w:rsid w:val="002B1C38"/>
    <w:rsid w:val="002B21FB"/>
    <w:rsid w:val="002B3987"/>
    <w:rsid w:val="002C00C6"/>
    <w:rsid w:val="002C013D"/>
    <w:rsid w:val="002C2AD8"/>
    <w:rsid w:val="002D152E"/>
    <w:rsid w:val="002D3C39"/>
    <w:rsid w:val="002D7782"/>
    <w:rsid w:val="002E0322"/>
    <w:rsid w:val="002E2641"/>
    <w:rsid w:val="002E7F1A"/>
    <w:rsid w:val="002F2AB4"/>
    <w:rsid w:val="003007C4"/>
    <w:rsid w:val="00304122"/>
    <w:rsid w:val="00305A48"/>
    <w:rsid w:val="00305EAF"/>
    <w:rsid w:val="00313386"/>
    <w:rsid w:val="00314909"/>
    <w:rsid w:val="00316DF5"/>
    <w:rsid w:val="00321B06"/>
    <w:rsid w:val="0032475C"/>
    <w:rsid w:val="00331394"/>
    <w:rsid w:val="00333620"/>
    <w:rsid w:val="003348EF"/>
    <w:rsid w:val="00336B43"/>
    <w:rsid w:val="00337D23"/>
    <w:rsid w:val="00345819"/>
    <w:rsid w:val="00352555"/>
    <w:rsid w:val="00353160"/>
    <w:rsid w:val="003558D9"/>
    <w:rsid w:val="00356B0F"/>
    <w:rsid w:val="00362BC7"/>
    <w:rsid w:val="00362D4A"/>
    <w:rsid w:val="003664FF"/>
    <w:rsid w:val="00367CFE"/>
    <w:rsid w:val="00372CF6"/>
    <w:rsid w:val="00383537"/>
    <w:rsid w:val="00384993"/>
    <w:rsid w:val="00393BD4"/>
    <w:rsid w:val="003956B5"/>
    <w:rsid w:val="00395E7C"/>
    <w:rsid w:val="003A1C84"/>
    <w:rsid w:val="003A47DB"/>
    <w:rsid w:val="003B0D5B"/>
    <w:rsid w:val="003B3262"/>
    <w:rsid w:val="003C0651"/>
    <w:rsid w:val="003C124D"/>
    <w:rsid w:val="003C3C08"/>
    <w:rsid w:val="003C57EE"/>
    <w:rsid w:val="003C74FF"/>
    <w:rsid w:val="003D4273"/>
    <w:rsid w:val="003D5E4D"/>
    <w:rsid w:val="003D62AA"/>
    <w:rsid w:val="003E13D5"/>
    <w:rsid w:val="003E65E9"/>
    <w:rsid w:val="003F08DD"/>
    <w:rsid w:val="004009F5"/>
    <w:rsid w:val="004009FF"/>
    <w:rsid w:val="00402BBF"/>
    <w:rsid w:val="00402F08"/>
    <w:rsid w:val="00406D42"/>
    <w:rsid w:val="00406EA7"/>
    <w:rsid w:val="00412D95"/>
    <w:rsid w:val="00413532"/>
    <w:rsid w:val="004272D7"/>
    <w:rsid w:val="004317A8"/>
    <w:rsid w:val="00433822"/>
    <w:rsid w:val="00433C43"/>
    <w:rsid w:val="004363ED"/>
    <w:rsid w:val="00437390"/>
    <w:rsid w:val="00437842"/>
    <w:rsid w:val="00440540"/>
    <w:rsid w:val="00440FDD"/>
    <w:rsid w:val="004471D4"/>
    <w:rsid w:val="00456F02"/>
    <w:rsid w:val="004634EA"/>
    <w:rsid w:val="00463DB6"/>
    <w:rsid w:val="00464B99"/>
    <w:rsid w:val="004668F2"/>
    <w:rsid w:val="0046747F"/>
    <w:rsid w:val="004704E5"/>
    <w:rsid w:val="00471557"/>
    <w:rsid w:val="00472304"/>
    <w:rsid w:val="0047389D"/>
    <w:rsid w:val="004754AC"/>
    <w:rsid w:val="00480CA3"/>
    <w:rsid w:val="00482D5D"/>
    <w:rsid w:val="00483ED8"/>
    <w:rsid w:val="004908CF"/>
    <w:rsid w:val="00492008"/>
    <w:rsid w:val="004A06AD"/>
    <w:rsid w:val="004A23A4"/>
    <w:rsid w:val="004A4296"/>
    <w:rsid w:val="004A52B7"/>
    <w:rsid w:val="004A6E49"/>
    <w:rsid w:val="004A767A"/>
    <w:rsid w:val="004B147E"/>
    <w:rsid w:val="004B2C3B"/>
    <w:rsid w:val="004B6EA1"/>
    <w:rsid w:val="004C5F29"/>
    <w:rsid w:val="004D1C01"/>
    <w:rsid w:val="004D396B"/>
    <w:rsid w:val="004D6475"/>
    <w:rsid w:val="004D67C3"/>
    <w:rsid w:val="004D74B9"/>
    <w:rsid w:val="004D75F8"/>
    <w:rsid w:val="004E0812"/>
    <w:rsid w:val="004E32BF"/>
    <w:rsid w:val="004F0BF1"/>
    <w:rsid w:val="004F75CD"/>
    <w:rsid w:val="005007B4"/>
    <w:rsid w:val="00514D74"/>
    <w:rsid w:val="00515F14"/>
    <w:rsid w:val="00515FB3"/>
    <w:rsid w:val="0051799E"/>
    <w:rsid w:val="00525252"/>
    <w:rsid w:val="00525CA0"/>
    <w:rsid w:val="00531DDC"/>
    <w:rsid w:val="00533580"/>
    <w:rsid w:val="00536E8B"/>
    <w:rsid w:val="00537386"/>
    <w:rsid w:val="0053796B"/>
    <w:rsid w:val="00541525"/>
    <w:rsid w:val="00542653"/>
    <w:rsid w:val="005437C5"/>
    <w:rsid w:val="00543FB0"/>
    <w:rsid w:val="00546040"/>
    <w:rsid w:val="00546786"/>
    <w:rsid w:val="005472BF"/>
    <w:rsid w:val="0054762C"/>
    <w:rsid w:val="00551579"/>
    <w:rsid w:val="00553445"/>
    <w:rsid w:val="0055473C"/>
    <w:rsid w:val="00556EA7"/>
    <w:rsid w:val="00565FBE"/>
    <w:rsid w:val="0056768B"/>
    <w:rsid w:val="00570B4C"/>
    <w:rsid w:val="00572DFC"/>
    <w:rsid w:val="005741D7"/>
    <w:rsid w:val="00575E76"/>
    <w:rsid w:val="0058289C"/>
    <w:rsid w:val="00587DEB"/>
    <w:rsid w:val="00587F5D"/>
    <w:rsid w:val="00592FE0"/>
    <w:rsid w:val="00593C8C"/>
    <w:rsid w:val="005A06DF"/>
    <w:rsid w:val="005A487E"/>
    <w:rsid w:val="005A5CC8"/>
    <w:rsid w:val="005B1E67"/>
    <w:rsid w:val="005B464F"/>
    <w:rsid w:val="005B5012"/>
    <w:rsid w:val="005C2131"/>
    <w:rsid w:val="005C26CE"/>
    <w:rsid w:val="005C3288"/>
    <w:rsid w:val="005C3917"/>
    <w:rsid w:val="005D5EB3"/>
    <w:rsid w:val="005E47DF"/>
    <w:rsid w:val="005E6A88"/>
    <w:rsid w:val="005F154C"/>
    <w:rsid w:val="005F1B83"/>
    <w:rsid w:val="005F7789"/>
    <w:rsid w:val="00600058"/>
    <w:rsid w:val="00612B09"/>
    <w:rsid w:val="00615A4E"/>
    <w:rsid w:val="00616866"/>
    <w:rsid w:val="0062123A"/>
    <w:rsid w:val="00622DC4"/>
    <w:rsid w:val="006252C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E23"/>
    <w:rsid w:val="00665B75"/>
    <w:rsid w:val="00666BE8"/>
    <w:rsid w:val="006704F9"/>
    <w:rsid w:val="0067277D"/>
    <w:rsid w:val="00675394"/>
    <w:rsid w:val="00676F48"/>
    <w:rsid w:val="00677248"/>
    <w:rsid w:val="006800B9"/>
    <w:rsid w:val="006839D2"/>
    <w:rsid w:val="00686E81"/>
    <w:rsid w:val="0068743C"/>
    <w:rsid w:val="00687A88"/>
    <w:rsid w:val="0069220A"/>
    <w:rsid w:val="00694E3C"/>
    <w:rsid w:val="0069541E"/>
    <w:rsid w:val="0069799A"/>
    <w:rsid w:val="006A554C"/>
    <w:rsid w:val="006A55EB"/>
    <w:rsid w:val="006A6B79"/>
    <w:rsid w:val="006B3019"/>
    <w:rsid w:val="006B33F3"/>
    <w:rsid w:val="006B6CA6"/>
    <w:rsid w:val="006C05E5"/>
    <w:rsid w:val="006C11FC"/>
    <w:rsid w:val="006C1223"/>
    <w:rsid w:val="006C2766"/>
    <w:rsid w:val="006C35E9"/>
    <w:rsid w:val="006C4EFF"/>
    <w:rsid w:val="006C5ADB"/>
    <w:rsid w:val="006C636E"/>
    <w:rsid w:val="006D1A21"/>
    <w:rsid w:val="006D1DCD"/>
    <w:rsid w:val="006D1FA6"/>
    <w:rsid w:val="006D25CE"/>
    <w:rsid w:val="006D3EF3"/>
    <w:rsid w:val="006E00D6"/>
    <w:rsid w:val="006E2CD3"/>
    <w:rsid w:val="006F20ED"/>
    <w:rsid w:val="006F3C80"/>
    <w:rsid w:val="006F5A57"/>
    <w:rsid w:val="006F6A1D"/>
    <w:rsid w:val="006F7106"/>
    <w:rsid w:val="00703EC6"/>
    <w:rsid w:val="00706AC9"/>
    <w:rsid w:val="0071025C"/>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1305"/>
    <w:rsid w:val="00773AA6"/>
    <w:rsid w:val="0077636A"/>
    <w:rsid w:val="007857C7"/>
    <w:rsid w:val="00792794"/>
    <w:rsid w:val="0079745F"/>
    <w:rsid w:val="007A01B0"/>
    <w:rsid w:val="007A3844"/>
    <w:rsid w:val="007B0E00"/>
    <w:rsid w:val="007B5F78"/>
    <w:rsid w:val="007C0877"/>
    <w:rsid w:val="007C0FD1"/>
    <w:rsid w:val="007C12B6"/>
    <w:rsid w:val="007C3A5F"/>
    <w:rsid w:val="007C3BD7"/>
    <w:rsid w:val="007C465B"/>
    <w:rsid w:val="007C5317"/>
    <w:rsid w:val="007C585E"/>
    <w:rsid w:val="007C6218"/>
    <w:rsid w:val="007C6DF4"/>
    <w:rsid w:val="007D2C85"/>
    <w:rsid w:val="007D5DC4"/>
    <w:rsid w:val="007E0595"/>
    <w:rsid w:val="007E0815"/>
    <w:rsid w:val="007F3CD7"/>
    <w:rsid w:val="00801697"/>
    <w:rsid w:val="00804FE6"/>
    <w:rsid w:val="00805979"/>
    <w:rsid w:val="00807C6E"/>
    <w:rsid w:val="0081224A"/>
    <w:rsid w:val="0081400F"/>
    <w:rsid w:val="00814A84"/>
    <w:rsid w:val="0081510C"/>
    <w:rsid w:val="0081552C"/>
    <w:rsid w:val="00816FBA"/>
    <w:rsid w:val="00817653"/>
    <w:rsid w:val="00817D67"/>
    <w:rsid w:val="00821093"/>
    <w:rsid w:val="008211E2"/>
    <w:rsid w:val="00830946"/>
    <w:rsid w:val="00832D56"/>
    <w:rsid w:val="00847982"/>
    <w:rsid w:val="0085106C"/>
    <w:rsid w:val="00854AFD"/>
    <w:rsid w:val="00856727"/>
    <w:rsid w:val="00856872"/>
    <w:rsid w:val="008656D9"/>
    <w:rsid w:val="008753EC"/>
    <w:rsid w:val="0088214B"/>
    <w:rsid w:val="00887198"/>
    <w:rsid w:val="008917E6"/>
    <w:rsid w:val="00891AD2"/>
    <w:rsid w:val="00894F3B"/>
    <w:rsid w:val="00894F4D"/>
    <w:rsid w:val="00895A11"/>
    <w:rsid w:val="00897BDD"/>
    <w:rsid w:val="008A00F5"/>
    <w:rsid w:val="008A1274"/>
    <w:rsid w:val="008A12E6"/>
    <w:rsid w:val="008A4DCF"/>
    <w:rsid w:val="008A6B6F"/>
    <w:rsid w:val="008A765C"/>
    <w:rsid w:val="008B01C3"/>
    <w:rsid w:val="008B06B4"/>
    <w:rsid w:val="008B14B5"/>
    <w:rsid w:val="008B2C64"/>
    <w:rsid w:val="008B3DCA"/>
    <w:rsid w:val="008B5497"/>
    <w:rsid w:val="008B7C7A"/>
    <w:rsid w:val="008C2B82"/>
    <w:rsid w:val="008C4993"/>
    <w:rsid w:val="008C4B79"/>
    <w:rsid w:val="008C6FA8"/>
    <w:rsid w:val="008C7660"/>
    <w:rsid w:val="008D3DB7"/>
    <w:rsid w:val="008D6423"/>
    <w:rsid w:val="008D6469"/>
    <w:rsid w:val="008E37AE"/>
    <w:rsid w:val="008E6716"/>
    <w:rsid w:val="008E78C2"/>
    <w:rsid w:val="008F2BD8"/>
    <w:rsid w:val="008F400F"/>
    <w:rsid w:val="008F49C6"/>
    <w:rsid w:val="008F5961"/>
    <w:rsid w:val="008F6A9B"/>
    <w:rsid w:val="0090088A"/>
    <w:rsid w:val="009036A1"/>
    <w:rsid w:val="0090733F"/>
    <w:rsid w:val="009074E9"/>
    <w:rsid w:val="00927067"/>
    <w:rsid w:val="009305A4"/>
    <w:rsid w:val="00930DEB"/>
    <w:rsid w:val="009322CC"/>
    <w:rsid w:val="0093341E"/>
    <w:rsid w:val="00933726"/>
    <w:rsid w:val="00933F7C"/>
    <w:rsid w:val="00934620"/>
    <w:rsid w:val="00940008"/>
    <w:rsid w:val="00941ED1"/>
    <w:rsid w:val="00942117"/>
    <w:rsid w:val="009514A1"/>
    <w:rsid w:val="00957B60"/>
    <w:rsid w:val="00960ED3"/>
    <w:rsid w:val="00967C87"/>
    <w:rsid w:val="00967F4A"/>
    <w:rsid w:val="00972567"/>
    <w:rsid w:val="00972AE9"/>
    <w:rsid w:val="00975232"/>
    <w:rsid w:val="00977C32"/>
    <w:rsid w:val="00996D9B"/>
    <w:rsid w:val="009A3AF2"/>
    <w:rsid w:val="009A3D3C"/>
    <w:rsid w:val="009A6CA9"/>
    <w:rsid w:val="009A6D5F"/>
    <w:rsid w:val="009A7FBD"/>
    <w:rsid w:val="009B1A42"/>
    <w:rsid w:val="009B1C8D"/>
    <w:rsid w:val="009C019F"/>
    <w:rsid w:val="009C2EED"/>
    <w:rsid w:val="009C4123"/>
    <w:rsid w:val="009C4187"/>
    <w:rsid w:val="009C49A3"/>
    <w:rsid w:val="009C51B3"/>
    <w:rsid w:val="009D12E7"/>
    <w:rsid w:val="009D2374"/>
    <w:rsid w:val="009D57A9"/>
    <w:rsid w:val="009D7779"/>
    <w:rsid w:val="009D77FE"/>
    <w:rsid w:val="009E1876"/>
    <w:rsid w:val="009E4540"/>
    <w:rsid w:val="009E5CFD"/>
    <w:rsid w:val="009E6450"/>
    <w:rsid w:val="009F313B"/>
    <w:rsid w:val="009F590D"/>
    <w:rsid w:val="009F764E"/>
    <w:rsid w:val="00A10A09"/>
    <w:rsid w:val="00A14541"/>
    <w:rsid w:val="00A1474A"/>
    <w:rsid w:val="00A149C4"/>
    <w:rsid w:val="00A15834"/>
    <w:rsid w:val="00A206CF"/>
    <w:rsid w:val="00A22E9B"/>
    <w:rsid w:val="00A2522A"/>
    <w:rsid w:val="00A31E0F"/>
    <w:rsid w:val="00A3235E"/>
    <w:rsid w:val="00A3589F"/>
    <w:rsid w:val="00A45A02"/>
    <w:rsid w:val="00A45E96"/>
    <w:rsid w:val="00A4650D"/>
    <w:rsid w:val="00A56D3D"/>
    <w:rsid w:val="00A60E6F"/>
    <w:rsid w:val="00A71476"/>
    <w:rsid w:val="00A72693"/>
    <w:rsid w:val="00A73758"/>
    <w:rsid w:val="00A75ACA"/>
    <w:rsid w:val="00A8048E"/>
    <w:rsid w:val="00A80AD8"/>
    <w:rsid w:val="00A82C60"/>
    <w:rsid w:val="00A878C7"/>
    <w:rsid w:val="00A93F47"/>
    <w:rsid w:val="00A97C01"/>
    <w:rsid w:val="00AA04D5"/>
    <w:rsid w:val="00AA0ED6"/>
    <w:rsid w:val="00AA5130"/>
    <w:rsid w:val="00AA723D"/>
    <w:rsid w:val="00AB2CBC"/>
    <w:rsid w:val="00AB4E00"/>
    <w:rsid w:val="00AB507C"/>
    <w:rsid w:val="00AB76F7"/>
    <w:rsid w:val="00AB781A"/>
    <w:rsid w:val="00AC3819"/>
    <w:rsid w:val="00AC631F"/>
    <w:rsid w:val="00AD5B8B"/>
    <w:rsid w:val="00AD765A"/>
    <w:rsid w:val="00AE039B"/>
    <w:rsid w:val="00AE2EB5"/>
    <w:rsid w:val="00AE3CBB"/>
    <w:rsid w:val="00AF3BBA"/>
    <w:rsid w:val="00B016A1"/>
    <w:rsid w:val="00B032A0"/>
    <w:rsid w:val="00B03BB5"/>
    <w:rsid w:val="00B1118C"/>
    <w:rsid w:val="00B139AE"/>
    <w:rsid w:val="00B17211"/>
    <w:rsid w:val="00B21A75"/>
    <w:rsid w:val="00B253BD"/>
    <w:rsid w:val="00B27DCF"/>
    <w:rsid w:val="00B316B9"/>
    <w:rsid w:val="00B373C5"/>
    <w:rsid w:val="00B418FA"/>
    <w:rsid w:val="00B427D3"/>
    <w:rsid w:val="00B4303D"/>
    <w:rsid w:val="00B53DE7"/>
    <w:rsid w:val="00B558E7"/>
    <w:rsid w:val="00B60477"/>
    <w:rsid w:val="00B633D1"/>
    <w:rsid w:val="00B63F31"/>
    <w:rsid w:val="00B6572A"/>
    <w:rsid w:val="00B72906"/>
    <w:rsid w:val="00B750D5"/>
    <w:rsid w:val="00B800AF"/>
    <w:rsid w:val="00B815D7"/>
    <w:rsid w:val="00B969C9"/>
    <w:rsid w:val="00B97190"/>
    <w:rsid w:val="00BA0BFE"/>
    <w:rsid w:val="00BA30A4"/>
    <w:rsid w:val="00BA3857"/>
    <w:rsid w:val="00BB2CF8"/>
    <w:rsid w:val="00BB7DC6"/>
    <w:rsid w:val="00BC4533"/>
    <w:rsid w:val="00BC5942"/>
    <w:rsid w:val="00BC717D"/>
    <w:rsid w:val="00BD27A0"/>
    <w:rsid w:val="00BD33A1"/>
    <w:rsid w:val="00BD3A01"/>
    <w:rsid w:val="00BD3DD4"/>
    <w:rsid w:val="00BE0887"/>
    <w:rsid w:val="00BE0BD9"/>
    <w:rsid w:val="00BE34E5"/>
    <w:rsid w:val="00BE4CFF"/>
    <w:rsid w:val="00BF1C1F"/>
    <w:rsid w:val="00BF422B"/>
    <w:rsid w:val="00BF508F"/>
    <w:rsid w:val="00C04F2B"/>
    <w:rsid w:val="00C2115F"/>
    <w:rsid w:val="00C21DAE"/>
    <w:rsid w:val="00C255BC"/>
    <w:rsid w:val="00C33615"/>
    <w:rsid w:val="00C35242"/>
    <w:rsid w:val="00C40FF3"/>
    <w:rsid w:val="00C419F7"/>
    <w:rsid w:val="00C41B9D"/>
    <w:rsid w:val="00C5086E"/>
    <w:rsid w:val="00C51228"/>
    <w:rsid w:val="00C527E5"/>
    <w:rsid w:val="00C54121"/>
    <w:rsid w:val="00C54524"/>
    <w:rsid w:val="00C56200"/>
    <w:rsid w:val="00C56F22"/>
    <w:rsid w:val="00C6038C"/>
    <w:rsid w:val="00C62628"/>
    <w:rsid w:val="00C6684C"/>
    <w:rsid w:val="00C727E8"/>
    <w:rsid w:val="00C74205"/>
    <w:rsid w:val="00C7671E"/>
    <w:rsid w:val="00C76EFA"/>
    <w:rsid w:val="00C81BA2"/>
    <w:rsid w:val="00C900AE"/>
    <w:rsid w:val="00C92025"/>
    <w:rsid w:val="00C923C2"/>
    <w:rsid w:val="00C94D78"/>
    <w:rsid w:val="00CA15C1"/>
    <w:rsid w:val="00CA2ABB"/>
    <w:rsid w:val="00CA5B0E"/>
    <w:rsid w:val="00CA5DD3"/>
    <w:rsid w:val="00CA7EAD"/>
    <w:rsid w:val="00CB19AC"/>
    <w:rsid w:val="00CB30CD"/>
    <w:rsid w:val="00CB3432"/>
    <w:rsid w:val="00CB4E51"/>
    <w:rsid w:val="00CB7F6D"/>
    <w:rsid w:val="00CC09A4"/>
    <w:rsid w:val="00CC54A0"/>
    <w:rsid w:val="00CC5D6E"/>
    <w:rsid w:val="00CD1AA9"/>
    <w:rsid w:val="00CD3B03"/>
    <w:rsid w:val="00CD6113"/>
    <w:rsid w:val="00CD7FD6"/>
    <w:rsid w:val="00CE0367"/>
    <w:rsid w:val="00CE40A4"/>
    <w:rsid w:val="00CE6AA5"/>
    <w:rsid w:val="00CF6A87"/>
    <w:rsid w:val="00D0013A"/>
    <w:rsid w:val="00D011DA"/>
    <w:rsid w:val="00D0400B"/>
    <w:rsid w:val="00D05F38"/>
    <w:rsid w:val="00D13BA0"/>
    <w:rsid w:val="00D166D1"/>
    <w:rsid w:val="00D240BB"/>
    <w:rsid w:val="00D24728"/>
    <w:rsid w:val="00D248A8"/>
    <w:rsid w:val="00D27120"/>
    <w:rsid w:val="00D305DE"/>
    <w:rsid w:val="00D3731D"/>
    <w:rsid w:val="00D401CC"/>
    <w:rsid w:val="00D44068"/>
    <w:rsid w:val="00D466B9"/>
    <w:rsid w:val="00D50D22"/>
    <w:rsid w:val="00D50D2B"/>
    <w:rsid w:val="00D516C5"/>
    <w:rsid w:val="00D53922"/>
    <w:rsid w:val="00D62953"/>
    <w:rsid w:val="00D65E12"/>
    <w:rsid w:val="00D70329"/>
    <w:rsid w:val="00D71F6B"/>
    <w:rsid w:val="00D72792"/>
    <w:rsid w:val="00D7450C"/>
    <w:rsid w:val="00D86239"/>
    <w:rsid w:val="00D86BFA"/>
    <w:rsid w:val="00D87409"/>
    <w:rsid w:val="00D87E3D"/>
    <w:rsid w:val="00D91896"/>
    <w:rsid w:val="00D9256B"/>
    <w:rsid w:val="00D927ED"/>
    <w:rsid w:val="00D9573B"/>
    <w:rsid w:val="00D97655"/>
    <w:rsid w:val="00D97B31"/>
    <w:rsid w:val="00DA50A3"/>
    <w:rsid w:val="00DA51F9"/>
    <w:rsid w:val="00DA57FA"/>
    <w:rsid w:val="00DB17A1"/>
    <w:rsid w:val="00DB3CBD"/>
    <w:rsid w:val="00DB3DCF"/>
    <w:rsid w:val="00DC3323"/>
    <w:rsid w:val="00DC3B85"/>
    <w:rsid w:val="00DC413F"/>
    <w:rsid w:val="00DC6056"/>
    <w:rsid w:val="00DC648C"/>
    <w:rsid w:val="00DC7382"/>
    <w:rsid w:val="00DD1600"/>
    <w:rsid w:val="00DD3F97"/>
    <w:rsid w:val="00DD6541"/>
    <w:rsid w:val="00DE1F42"/>
    <w:rsid w:val="00DE3B6B"/>
    <w:rsid w:val="00DE3B77"/>
    <w:rsid w:val="00DF5665"/>
    <w:rsid w:val="00E001CE"/>
    <w:rsid w:val="00E008AD"/>
    <w:rsid w:val="00E0104E"/>
    <w:rsid w:val="00E05AC8"/>
    <w:rsid w:val="00E05ED3"/>
    <w:rsid w:val="00E1161E"/>
    <w:rsid w:val="00E143C4"/>
    <w:rsid w:val="00E21EC9"/>
    <w:rsid w:val="00E236EB"/>
    <w:rsid w:val="00E264FC"/>
    <w:rsid w:val="00E3185D"/>
    <w:rsid w:val="00E32EA8"/>
    <w:rsid w:val="00E336EC"/>
    <w:rsid w:val="00E33A2C"/>
    <w:rsid w:val="00E40C8C"/>
    <w:rsid w:val="00E44159"/>
    <w:rsid w:val="00E4643A"/>
    <w:rsid w:val="00E540C5"/>
    <w:rsid w:val="00E5460E"/>
    <w:rsid w:val="00E562AE"/>
    <w:rsid w:val="00E56570"/>
    <w:rsid w:val="00E60FC9"/>
    <w:rsid w:val="00E655A8"/>
    <w:rsid w:val="00E65CD0"/>
    <w:rsid w:val="00E65D6E"/>
    <w:rsid w:val="00E66AB4"/>
    <w:rsid w:val="00E812F7"/>
    <w:rsid w:val="00E9196A"/>
    <w:rsid w:val="00E9677C"/>
    <w:rsid w:val="00EA472D"/>
    <w:rsid w:val="00EA4831"/>
    <w:rsid w:val="00EB2EE1"/>
    <w:rsid w:val="00EB3220"/>
    <w:rsid w:val="00EB52D2"/>
    <w:rsid w:val="00EC45B8"/>
    <w:rsid w:val="00EC69AB"/>
    <w:rsid w:val="00ED32CD"/>
    <w:rsid w:val="00ED7B69"/>
    <w:rsid w:val="00EE294F"/>
    <w:rsid w:val="00EE5616"/>
    <w:rsid w:val="00EF5A55"/>
    <w:rsid w:val="00EF7DA7"/>
    <w:rsid w:val="00F03304"/>
    <w:rsid w:val="00F038F7"/>
    <w:rsid w:val="00F11571"/>
    <w:rsid w:val="00F122DF"/>
    <w:rsid w:val="00F17A33"/>
    <w:rsid w:val="00F2097E"/>
    <w:rsid w:val="00F20B29"/>
    <w:rsid w:val="00F2332A"/>
    <w:rsid w:val="00F2380A"/>
    <w:rsid w:val="00F27AD2"/>
    <w:rsid w:val="00F33F22"/>
    <w:rsid w:val="00F341A2"/>
    <w:rsid w:val="00F341F1"/>
    <w:rsid w:val="00F36993"/>
    <w:rsid w:val="00F40BEC"/>
    <w:rsid w:val="00F43775"/>
    <w:rsid w:val="00F466A5"/>
    <w:rsid w:val="00F50B98"/>
    <w:rsid w:val="00F50F06"/>
    <w:rsid w:val="00F569A0"/>
    <w:rsid w:val="00F60F8D"/>
    <w:rsid w:val="00F61B0E"/>
    <w:rsid w:val="00F6346B"/>
    <w:rsid w:val="00F6366B"/>
    <w:rsid w:val="00F767E5"/>
    <w:rsid w:val="00F77D31"/>
    <w:rsid w:val="00F80FFB"/>
    <w:rsid w:val="00F81847"/>
    <w:rsid w:val="00F831DC"/>
    <w:rsid w:val="00F93F2A"/>
    <w:rsid w:val="00F9738D"/>
    <w:rsid w:val="00FA47AA"/>
    <w:rsid w:val="00FB0C7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1B2E"/>
    <w:rsid w:val="00FE502D"/>
    <w:rsid w:val="00FE6834"/>
    <w:rsid w:val="00FE6B78"/>
    <w:rsid w:val="00FE7022"/>
    <w:rsid w:val="00FE75F6"/>
    <w:rsid w:val="00FF4C8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247F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 w:type="character" w:customStyle="1" w:styleId="copinpointicon">
    <w:name w:val="co_pinpointicon"/>
    <w:rsid w:val="009D5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1246</Words>
  <Characters>7156</Characters>
  <Application>Microsoft Office Word</Application>
  <DocSecurity>0</DocSecurity>
  <Lines>122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8427</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2883662</vt:i4>
      </vt:variant>
      <vt:variant>
        <vt:i4>3</vt:i4>
      </vt:variant>
      <vt:variant>
        <vt:i4>0</vt:i4>
      </vt:variant>
      <vt:variant>
        <vt:i4>5</vt:i4>
      </vt:variant>
      <vt:variant>
        <vt:lpwstr>mailto:gregoy.kwan@fcc.gov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2016-09-02T13:03:00Z</dcterms:created>
  <dcterms:modified xsi:type="dcterms:W3CDTF">2016-09-02T13:03:00Z</dcterms:modified>
  <cp:category> </cp:category>
  <cp:contentStatus> </cp:contentStatus>
</cp:coreProperties>
</file>