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E789" w14:textId="77777777" w:rsidR="001A2EA6" w:rsidRDefault="001A2EA6" w:rsidP="001A2EA6">
      <w:pPr>
        <w:jc w:val="center"/>
        <w:rPr>
          <w:b/>
        </w:rPr>
      </w:pPr>
      <w:bookmarkStart w:id="0" w:name="_GoBack"/>
      <w:bookmarkEnd w:id="0"/>
      <w:r w:rsidRPr="0070224F">
        <w:rPr>
          <w:rFonts w:ascii="Times New Roman Bold" w:hAnsi="Times New Roman Bold"/>
          <w:b/>
        </w:rPr>
        <w:t>Before</w:t>
      </w:r>
      <w:r>
        <w:rPr>
          <w:b/>
        </w:rPr>
        <w:t xml:space="preserve"> the</w:t>
      </w:r>
    </w:p>
    <w:p w14:paraId="587F524D" w14:textId="77777777" w:rsidR="001A2EA6" w:rsidRDefault="001A2EA6" w:rsidP="001A2EA6">
      <w:pPr>
        <w:pStyle w:val="StyleBoldCentered"/>
      </w:pPr>
      <w:r>
        <w:t>F</w:t>
      </w:r>
      <w:r>
        <w:rPr>
          <w:caps w:val="0"/>
        </w:rPr>
        <w:t>ederal Communications Commission</w:t>
      </w:r>
    </w:p>
    <w:p w14:paraId="27854484" w14:textId="77777777" w:rsidR="001A2EA6" w:rsidRDefault="001A2EA6" w:rsidP="001A2EA6">
      <w:pPr>
        <w:pStyle w:val="StyleBoldCentered"/>
      </w:pPr>
      <w:r w:rsidRPr="000637CA">
        <w:rPr>
          <w:caps w:val="0"/>
        </w:rPr>
        <w:t>Washington</w:t>
      </w:r>
      <w:r>
        <w:t>, D.C. 20554</w:t>
      </w:r>
    </w:p>
    <w:p w14:paraId="3EA24F0D" w14:textId="77777777" w:rsidR="001A2EA6" w:rsidRDefault="001A2EA6" w:rsidP="001A2EA6"/>
    <w:p w14:paraId="73BF6A0E" w14:textId="77777777" w:rsidR="001A2EA6" w:rsidRDefault="001A2EA6" w:rsidP="001A2EA6"/>
    <w:tbl>
      <w:tblPr>
        <w:tblW w:w="9576" w:type="dxa"/>
        <w:tblLayout w:type="fixed"/>
        <w:tblLook w:val="0000" w:firstRow="0" w:lastRow="0" w:firstColumn="0" w:lastColumn="0" w:noHBand="0" w:noVBand="0"/>
      </w:tblPr>
      <w:tblGrid>
        <w:gridCol w:w="4698"/>
        <w:gridCol w:w="630"/>
        <w:gridCol w:w="4248"/>
      </w:tblGrid>
      <w:tr w:rsidR="00696AC4" w14:paraId="49B8245B" w14:textId="77777777" w:rsidTr="00DB1777">
        <w:tc>
          <w:tcPr>
            <w:tcW w:w="4698" w:type="dxa"/>
          </w:tcPr>
          <w:p w14:paraId="11548E1B" w14:textId="77777777" w:rsidR="00696AC4" w:rsidRPr="00CF5AE3" w:rsidRDefault="00696AC4" w:rsidP="00696AC4">
            <w:pPr>
              <w:tabs>
                <w:tab w:val="center" w:pos="4680"/>
              </w:tabs>
              <w:suppressAutoHyphens/>
              <w:rPr>
                <w:color w:val="000000"/>
                <w:spacing w:val="-2"/>
              </w:rPr>
            </w:pPr>
            <w:r w:rsidRPr="00CF5AE3">
              <w:rPr>
                <w:color w:val="000000"/>
                <w:spacing w:val="-2"/>
              </w:rPr>
              <w:t>In the Matter of</w:t>
            </w:r>
          </w:p>
          <w:p w14:paraId="73DC4E63" w14:textId="77777777" w:rsidR="00696AC4" w:rsidRPr="00CF5AE3" w:rsidRDefault="00696AC4" w:rsidP="00696AC4">
            <w:pPr>
              <w:tabs>
                <w:tab w:val="center" w:pos="4680"/>
              </w:tabs>
              <w:suppressAutoHyphens/>
              <w:rPr>
                <w:color w:val="000000"/>
                <w:spacing w:val="-2"/>
              </w:rPr>
            </w:pPr>
          </w:p>
          <w:p w14:paraId="65B82F16" w14:textId="77777777" w:rsidR="00696AC4" w:rsidRPr="00CF5AE3" w:rsidRDefault="00696AC4" w:rsidP="00696AC4">
            <w:pPr>
              <w:tabs>
                <w:tab w:val="center" w:pos="4680"/>
              </w:tabs>
              <w:suppressAutoHyphens/>
              <w:rPr>
                <w:color w:val="000000"/>
                <w:spacing w:val="-2"/>
              </w:rPr>
            </w:pPr>
            <w:r w:rsidRPr="00CF5AE3">
              <w:rPr>
                <w:color w:val="000000"/>
                <w:spacing w:val="-2"/>
              </w:rPr>
              <w:t>Amendments to Part 4 of the Commission’s Rules Concerning Disruptions to Communications</w:t>
            </w:r>
          </w:p>
          <w:p w14:paraId="65F35A66" w14:textId="77777777" w:rsidR="00696AC4" w:rsidRPr="00CF5AE3" w:rsidRDefault="00696AC4" w:rsidP="00696AC4">
            <w:pPr>
              <w:tabs>
                <w:tab w:val="center" w:pos="4680"/>
              </w:tabs>
              <w:suppressAutoHyphens/>
              <w:rPr>
                <w:color w:val="000000"/>
                <w:spacing w:val="-2"/>
              </w:rPr>
            </w:pPr>
          </w:p>
          <w:p w14:paraId="43DFDB1D" w14:textId="77777777" w:rsidR="00696AC4" w:rsidRPr="00CF5AE3" w:rsidRDefault="00696AC4" w:rsidP="00696AC4">
            <w:pPr>
              <w:tabs>
                <w:tab w:val="center" w:pos="4680"/>
              </w:tabs>
              <w:suppressAutoHyphens/>
              <w:rPr>
                <w:color w:val="000000"/>
                <w:spacing w:val="-2"/>
              </w:rPr>
            </w:pPr>
            <w:r w:rsidRPr="00CF5AE3">
              <w:rPr>
                <w:color w:val="000000"/>
                <w:spacing w:val="-2"/>
              </w:rPr>
              <w:t>New Part 4 of the Commission’s Rules Concerning Disruptions to Communications</w:t>
            </w:r>
          </w:p>
          <w:p w14:paraId="7DE5BC20" w14:textId="77777777" w:rsidR="00696AC4" w:rsidRPr="00CF5AE3" w:rsidRDefault="00696AC4" w:rsidP="00696AC4">
            <w:pPr>
              <w:tabs>
                <w:tab w:val="center" w:pos="4680"/>
              </w:tabs>
              <w:suppressAutoHyphens/>
              <w:rPr>
                <w:color w:val="000000"/>
                <w:spacing w:val="-2"/>
              </w:rPr>
            </w:pPr>
          </w:p>
          <w:p w14:paraId="716F1A99" w14:textId="77777777" w:rsidR="00696AC4" w:rsidRPr="00CF5AE3" w:rsidRDefault="00696AC4" w:rsidP="00696AC4">
            <w:pPr>
              <w:tabs>
                <w:tab w:val="center" w:pos="4680"/>
              </w:tabs>
              <w:suppressAutoHyphens/>
              <w:rPr>
                <w:color w:val="000000"/>
                <w:spacing w:val="-2"/>
              </w:rPr>
            </w:pPr>
            <w:r w:rsidRPr="00CF5AE3">
              <w:rPr>
                <w:color w:val="000000"/>
                <w:spacing w:val="-2"/>
              </w:rPr>
              <w:t>The Proposed Extension of Part 4 of the Commission’s Rules Regarding Outage Reporting  to Interconnected Voice Over Internet Protocol Service Providers and Broadband Internet Service Providers</w:t>
            </w:r>
          </w:p>
        </w:tc>
        <w:tc>
          <w:tcPr>
            <w:tcW w:w="630" w:type="dxa"/>
          </w:tcPr>
          <w:p w14:paraId="4E5C4CE7"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45FF145B"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65BCCA1D"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16A29953"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76E0B002"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24CD3909"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7011CEEE"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763C774B"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08B97BC0"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4ECD1FD5"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2E4B193A"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1213A0A9" w14:textId="77777777" w:rsidR="00696AC4" w:rsidRPr="00CF5AE3" w:rsidRDefault="00696AC4" w:rsidP="00696AC4">
            <w:pPr>
              <w:tabs>
                <w:tab w:val="center" w:pos="4680"/>
              </w:tabs>
              <w:suppressAutoHyphens/>
              <w:rPr>
                <w:b/>
                <w:color w:val="000000"/>
                <w:spacing w:val="-2"/>
              </w:rPr>
            </w:pPr>
            <w:r w:rsidRPr="00CF5AE3">
              <w:rPr>
                <w:b/>
                <w:color w:val="000000"/>
                <w:spacing w:val="-2"/>
              </w:rPr>
              <w:t>)</w:t>
            </w:r>
          </w:p>
          <w:p w14:paraId="16073E07" w14:textId="77777777" w:rsidR="00696AC4" w:rsidRPr="00CF5AE3" w:rsidRDefault="00696AC4" w:rsidP="00696AC4">
            <w:pPr>
              <w:tabs>
                <w:tab w:val="center" w:pos="4680"/>
              </w:tabs>
              <w:suppressAutoHyphens/>
              <w:rPr>
                <w:color w:val="000000"/>
                <w:spacing w:val="-2"/>
              </w:rPr>
            </w:pPr>
            <w:r w:rsidRPr="00CF5AE3">
              <w:rPr>
                <w:b/>
                <w:color w:val="000000"/>
                <w:spacing w:val="-2"/>
              </w:rPr>
              <w:t>)</w:t>
            </w:r>
          </w:p>
        </w:tc>
        <w:tc>
          <w:tcPr>
            <w:tcW w:w="4248" w:type="dxa"/>
          </w:tcPr>
          <w:p w14:paraId="2EE342B9" w14:textId="77777777" w:rsidR="00696AC4" w:rsidRPr="00CF5AE3" w:rsidRDefault="00696AC4" w:rsidP="00696AC4">
            <w:pPr>
              <w:tabs>
                <w:tab w:val="center" w:pos="4680"/>
              </w:tabs>
              <w:suppressAutoHyphens/>
              <w:rPr>
                <w:color w:val="000000"/>
                <w:spacing w:val="-2"/>
              </w:rPr>
            </w:pPr>
          </w:p>
          <w:p w14:paraId="5F83852D" w14:textId="77777777" w:rsidR="00696AC4" w:rsidRPr="00CF5AE3" w:rsidRDefault="00696AC4" w:rsidP="00696AC4">
            <w:pPr>
              <w:pStyle w:val="TOAHeading"/>
              <w:tabs>
                <w:tab w:val="clear" w:pos="9360"/>
                <w:tab w:val="center" w:pos="4680"/>
              </w:tabs>
              <w:rPr>
                <w:color w:val="000000"/>
                <w:spacing w:val="-2"/>
              </w:rPr>
            </w:pPr>
          </w:p>
          <w:p w14:paraId="5399049C" w14:textId="77777777" w:rsidR="00696AC4" w:rsidRPr="00CF5AE3" w:rsidRDefault="00696AC4" w:rsidP="00696AC4">
            <w:pPr>
              <w:tabs>
                <w:tab w:val="center" w:pos="4680"/>
              </w:tabs>
              <w:suppressAutoHyphens/>
              <w:rPr>
                <w:color w:val="000000"/>
                <w:spacing w:val="-2"/>
              </w:rPr>
            </w:pPr>
            <w:r w:rsidRPr="00CF5AE3">
              <w:rPr>
                <w:color w:val="000000"/>
                <w:spacing w:val="-2"/>
              </w:rPr>
              <w:t>PS Docket No. 15-80</w:t>
            </w:r>
          </w:p>
          <w:p w14:paraId="3052B8C7" w14:textId="77777777" w:rsidR="00696AC4" w:rsidRPr="00CF5AE3" w:rsidRDefault="00696AC4" w:rsidP="00696AC4">
            <w:pPr>
              <w:tabs>
                <w:tab w:val="center" w:pos="4680"/>
              </w:tabs>
              <w:suppressAutoHyphens/>
              <w:rPr>
                <w:color w:val="000000"/>
                <w:spacing w:val="-2"/>
              </w:rPr>
            </w:pPr>
          </w:p>
          <w:p w14:paraId="7087778B" w14:textId="77777777" w:rsidR="00696AC4" w:rsidRPr="00CF5AE3" w:rsidRDefault="00696AC4" w:rsidP="00696AC4">
            <w:pPr>
              <w:tabs>
                <w:tab w:val="center" w:pos="4680"/>
              </w:tabs>
              <w:suppressAutoHyphens/>
              <w:rPr>
                <w:color w:val="000000"/>
                <w:spacing w:val="-2"/>
              </w:rPr>
            </w:pPr>
          </w:p>
          <w:p w14:paraId="1801F3C1" w14:textId="77777777" w:rsidR="00696AC4" w:rsidRPr="00CF5AE3" w:rsidRDefault="00696AC4" w:rsidP="00696AC4">
            <w:pPr>
              <w:tabs>
                <w:tab w:val="center" w:pos="4680"/>
              </w:tabs>
              <w:suppressAutoHyphens/>
              <w:rPr>
                <w:color w:val="000000"/>
                <w:spacing w:val="-2"/>
              </w:rPr>
            </w:pPr>
            <w:r w:rsidRPr="00CF5AE3">
              <w:rPr>
                <w:color w:val="000000"/>
                <w:spacing w:val="-2"/>
              </w:rPr>
              <w:t>ET Docket No. 04-35</w:t>
            </w:r>
          </w:p>
          <w:p w14:paraId="1DF0E817" w14:textId="77777777" w:rsidR="00696AC4" w:rsidRPr="00CF5AE3" w:rsidRDefault="00696AC4" w:rsidP="00696AC4">
            <w:pPr>
              <w:tabs>
                <w:tab w:val="center" w:pos="4680"/>
              </w:tabs>
              <w:suppressAutoHyphens/>
              <w:rPr>
                <w:color w:val="000000"/>
                <w:spacing w:val="-2"/>
              </w:rPr>
            </w:pPr>
          </w:p>
          <w:p w14:paraId="3E047DF1" w14:textId="77777777" w:rsidR="00696AC4" w:rsidRPr="00CF5AE3" w:rsidRDefault="00696AC4" w:rsidP="00696AC4">
            <w:pPr>
              <w:tabs>
                <w:tab w:val="center" w:pos="4680"/>
              </w:tabs>
              <w:suppressAutoHyphens/>
              <w:rPr>
                <w:color w:val="000000"/>
                <w:spacing w:val="-2"/>
              </w:rPr>
            </w:pPr>
          </w:p>
          <w:p w14:paraId="4D605A3F" w14:textId="77777777" w:rsidR="00696AC4" w:rsidRPr="00CF5AE3" w:rsidRDefault="00696AC4" w:rsidP="00696AC4">
            <w:pPr>
              <w:tabs>
                <w:tab w:val="center" w:pos="4680"/>
              </w:tabs>
              <w:suppressAutoHyphens/>
              <w:rPr>
                <w:color w:val="000000"/>
                <w:spacing w:val="-2"/>
              </w:rPr>
            </w:pPr>
            <w:r w:rsidRPr="00CF5AE3">
              <w:rPr>
                <w:color w:val="000000"/>
                <w:spacing w:val="-2"/>
              </w:rPr>
              <w:t>PS Docket No. 11-82</w:t>
            </w:r>
          </w:p>
          <w:p w14:paraId="0472F89C" w14:textId="77777777" w:rsidR="00696AC4" w:rsidRPr="00CF5AE3" w:rsidRDefault="00696AC4" w:rsidP="00696AC4">
            <w:pPr>
              <w:tabs>
                <w:tab w:val="center" w:pos="4680"/>
              </w:tabs>
              <w:suppressAutoHyphens/>
              <w:rPr>
                <w:color w:val="000000"/>
                <w:spacing w:val="-2"/>
              </w:rPr>
            </w:pPr>
          </w:p>
        </w:tc>
      </w:tr>
    </w:tbl>
    <w:p w14:paraId="38578CED" w14:textId="77777777" w:rsidR="001A2EA6" w:rsidRDefault="001A2EA6" w:rsidP="001A2EA6"/>
    <w:p w14:paraId="11C64015" w14:textId="77777777" w:rsidR="001A2EA6" w:rsidRDefault="001A2EA6" w:rsidP="001A2EA6"/>
    <w:p w14:paraId="7D953340" w14:textId="77777777" w:rsidR="001A2EA6" w:rsidRDefault="001A2EA6" w:rsidP="001A2EA6">
      <w:pPr>
        <w:pStyle w:val="StyleBoldCentered"/>
      </w:pPr>
      <w:r>
        <w:t>Order</w:t>
      </w:r>
    </w:p>
    <w:p w14:paraId="5FDC2558" w14:textId="77777777" w:rsidR="001A2EA6" w:rsidRDefault="001A2EA6" w:rsidP="001A2EA6">
      <w:pPr>
        <w:tabs>
          <w:tab w:val="left" w:pos="-720"/>
        </w:tabs>
        <w:suppressAutoHyphens/>
        <w:spacing w:line="227" w:lineRule="auto"/>
        <w:rPr>
          <w:spacing w:val="-2"/>
        </w:rPr>
      </w:pPr>
    </w:p>
    <w:p w14:paraId="1B918DFE" w14:textId="5C936AB9" w:rsidR="001A2EA6" w:rsidRPr="00D3054E" w:rsidRDefault="001A2EA6" w:rsidP="001A2EA6">
      <w:pPr>
        <w:tabs>
          <w:tab w:val="left" w:pos="720"/>
          <w:tab w:val="right" w:pos="9360"/>
        </w:tabs>
        <w:suppressAutoHyphens/>
        <w:spacing w:line="227" w:lineRule="auto"/>
        <w:rPr>
          <w:spacing w:val="-2"/>
        </w:rPr>
      </w:pPr>
      <w:r w:rsidRPr="00D3054E">
        <w:rPr>
          <w:b/>
          <w:spacing w:val="-2"/>
        </w:rPr>
        <w:t xml:space="preserve">Adopted:  </w:t>
      </w:r>
      <w:r w:rsidR="00A6085E">
        <w:rPr>
          <w:b/>
          <w:spacing w:val="-2"/>
        </w:rPr>
        <w:t>September 8</w:t>
      </w:r>
      <w:r>
        <w:rPr>
          <w:b/>
          <w:spacing w:val="-2"/>
        </w:rPr>
        <w:t>, 2016</w:t>
      </w:r>
      <w:r w:rsidRPr="00D3054E">
        <w:rPr>
          <w:b/>
          <w:spacing w:val="-2"/>
        </w:rPr>
        <w:t xml:space="preserve">  </w:t>
      </w:r>
      <w:r w:rsidRPr="00D3054E">
        <w:rPr>
          <w:b/>
          <w:spacing w:val="-2"/>
        </w:rPr>
        <w:tab/>
        <w:t xml:space="preserve">Released:  </w:t>
      </w:r>
      <w:r w:rsidR="00A6085E">
        <w:rPr>
          <w:b/>
          <w:spacing w:val="-2"/>
        </w:rPr>
        <w:t>September 8</w:t>
      </w:r>
      <w:r>
        <w:rPr>
          <w:b/>
          <w:spacing w:val="-2"/>
        </w:rPr>
        <w:t>, 2016</w:t>
      </w:r>
      <w:r w:rsidRPr="00D3054E">
        <w:rPr>
          <w:b/>
          <w:spacing w:val="-2"/>
        </w:rPr>
        <w:t xml:space="preserve"> </w:t>
      </w:r>
    </w:p>
    <w:p w14:paraId="3A0107C4" w14:textId="77777777" w:rsidR="001A2EA6" w:rsidRPr="00D3054E" w:rsidRDefault="001A2EA6" w:rsidP="001A2EA6"/>
    <w:p w14:paraId="5493B069" w14:textId="77777777" w:rsidR="001A2EA6" w:rsidRPr="00D3054E" w:rsidRDefault="001A2EA6" w:rsidP="001A2EA6">
      <w:pPr>
        <w:rPr>
          <w:spacing w:val="-2"/>
        </w:rPr>
      </w:pPr>
      <w:r w:rsidRPr="00D3054E">
        <w:t xml:space="preserve">By the </w:t>
      </w:r>
      <w:r w:rsidR="00696AC4">
        <w:rPr>
          <w:spacing w:val="-2"/>
        </w:rPr>
        <w:t>Chief, Public Safety and Homeland Security</w:t>
      </w:r>
      <w:r w:rsidRPr="00D3054E">
        <w:rPr>
          <w:spacing w:val="-2"/>
        </w:rPr>
        <w:t xml:space="preserve"> Bureau:</w:t>
      </w:r>
    </w:p>
    <w:p w14:paraId="40E38D8D" w14:textId="77777777" w:rsidR="001A2EA6" w:rsidRDefault="001A2EA6" w:rsidP="001A2EA6">
      <w:pPr>
        <w:rPr>
          <w:spacing w:val="-2"/>
        </w:rPr>
      </w:pPr>
    </w:p>
    <w:p w14:paraId="74BA3927" w14:textId="77777777" w:rsidR="001A2EA6" w:rsidRDefault="001A2EA6" w:rsidP="001A2EA6">
      <w:pPr>
        <w:pStyle w:val="ParaNum"/>
        <w:tabs>
          <w:tab w:val="num" w:pos="720"/>
        </w:tabs>
      </w:pPr>
      <w:r w:rsidRPr="007B3607">
        <w:t xml:space="preserve">In this </w:t>
      </w:r>
      <w:r>
        <w:t xml:space="preserve">Order, the </w:t>
      </w:r>
      <w:r w:rsidR="00696AC4">
        <w:t>Public Safety and Homeland Security</w:t>
      </w:r>
      <w:r>
        <w:t xml:space="preserve"> Bureau (Bureau) denies a request filed by </w:t>
      </w:r>
      <w:r w:rsidR="00696AC4">
        <w:t>CTIA</w:t>
      </w:r>
      <w:r>
        <w:t xml:space="preserve"> seeking an extension of time to submit </w:t>
      </w:r>
      <w:r w:rsidRPr="00EF22DE">
        <w:t>reply comments</w:t>
      </w:r>
      <w:r>
        <w:t xml:space="preserve"> in response to the </w:t>
      </w:r>
      <w:r w:rsidRPr="00233D1C">
        <w:rPr>
          <w:i/>
        </w:rPr>
        <w:t>Further Notice</w:t>
      </w:r>
      <w:r w:rsidR="00E50C8E">
        <w:t xml:space="preserve"> in the </w:t>
      </w:r>
      <w:r w:rsidR="00194206">
        <w:t>2016 part 4</w:t>
      </w:r>
      <w:r w:rsidR="004D4B9B">
        <w:t xml:space="preserve"> proceeding</w:t>
      </w:r>
      <w:r>
        <w:t>.</w:t>
      </w:r>
      <w:r>
        <w:rPr>
          <w:rStyle w:val="FootnoteReference"/>
        </w:rPr>
        <w:footnoteReference w:id="2"/>
      </w:r>
      <w:r>
        <w:t xml:space="preserve">  </w:t>
      </w:r>
    </w:p>
    <w:p w14:paraId="272F92B1" w14:textId="77777777" w:rsidR="00E50C8E" w:rsidRDefault="004D4B9B" w:rsidP="001A2EA6">
      <w:pPr>
        <w:pStyle w:val="ParaNum"/>
        <w:tabs>
          <w:tab w:val="num" w:pos="720"/>
        </w:tabs>
      </w:pPr>
      <w:r>
        <w:t xml:space="preserve">On May 26, 2016 the Commission released the </w:t>
      </w:r>
      <w:r>
        <w:rPr>
          <w:i/>
        </w:rPr>
        <w:t>2016 Part 4 FNPRM</w:t>
      </w:r>
      <w:r>
        <w:t>.</w:t>
      </w:r>
      <w:r>
        <w:rPr>
          <w:rStyle w:val="FootnoteReference"/>
        </w:rPr>
        <w:footnoteReference w:id="3"/>
      </w:r>
      <w:r w:rsidR="003B4FFD">
        <w:t xml:space="preserve"> </w:t>
      </w:r>
      <w:r w:rsidR="00EF3116">
        <w:t xml:space="preserve"> In that </w:t>
      </w:r>
      <w:r w:rsidR="00122322">
        <w:t>FNPRM</w:t>
      </w:r>
      <w:r w:rsidR="00EF3116">
        <w:t>, the Commission proposed and sought comment</w:t>
      </w:r>
      <w:r w:rsidR="00122322">
        <w:t xml:space="preserve">, </w:t>
      </w:r>
      <w:r w:rsidR="00122322" w:rsidRPr="000C413E">
        <w:rPr>
          <w:i/>
        </w:rPr>
        <w:t>inter alia</w:t>
      </w:r>
      <w:r w:rsidR="00122322">
        <w:t>,</w:t>
      </w:r>
      <w:r w:rsidR="00EF3116">
        <w:t xml:space="preserve"> on expanding part 4 reporting obligations to </w:t>
      </w:r>
      <w:r w:rsidR="00122322">
        <w:t xml:space="preserve">include </w:t>
      </w:r>
      <w:r w:rsidR="00EF3116">
        <w:t xml:space="preserve">broadband internet access services (BIAS), and </w:t>
      </w:r>
      <w:r w:rsidR="00122322">
        <w:t xml:space="preserve">updating current reporting requirements for business </w:t>
      </w:r>
      <w:r w:rsidR="00EF3116">
        <w:t xml:space="preserve">dedicated services.  The </w:t>
      </w:r>
      <w:r w:rsidR="00EF3116">
        <w:rPr>
          <w:i/>
        </w:rPr>
        <w:t xml:space="preserve">2016 Part 4 FNRPM </w:t>
      </w:r>
      <w:r w:rsidR="00EF3116">
        <w:t>set dates for comments and reply comments as August 26 and September 12, 2016, respectively.</w:t>
      </w:r>
      <w:r w:rsidR="00EF3116">
        <w:rPr>
          <w:rStyle w:val="FootnoteReference"/>
        </w:rPr>
        <w:footnoteReference w:id="4"/>
      </w:r>
      <w:r w:rsidR="00EF3116">
        <w:t xml:space="preserve"> </w:t>
      </w:r>
      <w:r w:rsidR="003B4FFD">
        <w:t xml:space="preserve"> CTIA requested an extension of 30 days to file reply comments until October 12, 2016.</w:t>
      </w:r>
      <w:r w:rsidR="003B4FFD">
        <w:rPr>
          <w:rStyle w:val="FootnoteReference"/>
        </w:rPr>
        <w:footnoteReference w:id="5"/>
      </w:r>
    </w:p>
    <w:p w14:paraId="671B5E26" w14:textId="77777777" w:rsidR="003B4FFD" w:rsidRDefault="001A3DB8" w:rsidP="001A2EA6">
      <w:pPr>
        <w:pStyle w:val="ParaNum"/>
        <w:tabs>
          <w:tab w:val="num" w:pos="720"/>
        </w:tabs>
      </w:pPr>
      <w:r>
        <w:t xml:space="preserve">According to CTIA, the initial </w:t>
      </w:r>
      <w:r w:rsidR="002A59EA">
        <w:t xml:space="preserve">28 </w:t>
      </w:r>
      <w:r>
        <w:t xml:space="preserve">comments filed in the </w:t>
      </w:r>
      <w:r w:rsidR="004A0B61">
        <w:t>docket are</w:t>
      </w:r>
      <w:r>
        <w:t xml:space="preserve"> too numerous and contained too many varied proposals to allow commenters to develop robust reply comments</w:t>
      </w:r>
      <w:r w:rsidR="00B13C5D">
        <w:t xml:space="preserve"> in 15 days</w:t>
      </w:r>
      <w:r>
        <w:t>.</w:t>
      </w:r>
      <w:r>
        <w:rPr>
          <w:rStyle w:val="FootnoteReference"/>
        </w:rPr>
        <w:footnoteReference w:id="6"/>
      </w:r>
      <w:r w:rsidR="00B13C5D">
        <w:t xml:space="preserve">  CTIA additionally notes that the 15 day reply period only encompasses ten business days, and </w:t>
      </w:r>
      <w:r w:rsidR="004A0B61">
        <w:t xml:space="preserve">includes a </w:t>
      </w:r>
      <w:r w:rsidR="004A0B61">
        <w:lastRenderedPageBreak/>
        <w:t>CTIA convention that is likely to be attended by industry experts</w:t>
      </w:r>
      <w:r w:rsidR="00B13C5D">
        <w:t>.</w:t>
      </w:r>
      <w:r w:rsidR="00B13C5D">
        <w:rPr>
          <w:rStyle w:val="FootnoteReference"/>
        </w:rPr>
        <w:footnoteReference w:id="7"/>
      </w:r>
      <w:r>
        <w:t xml:space="preserve"> </w:t>
      </w:r>
    </w:p>
    <w:p w14:paraId="1FF7CD72" w14:textId="4B04BE4A" w:rsidR="004D4B9B" w:rsidRDefault="00194206" w:rsidP="001A2EA6">
      <w:pPr>
        <w:pStyle w:val="ParaNum"/>
        <w:tabs>
          <w:tab w:val="num" w:pos="720"/>
        </w:tabs>
      </w:pPr>
      <w:r>
        <w:t xml:space="preserve">It is the </w:t>
      </w:r>
      <w:r w:rsidR="005F3022">
        <w:t xml:space="preserve">Commission’s </w:t>
      </w:r>
      <w:r w:rsidR="003F1A80">
        <w:t>policy</w:t>
      </w:r>
      <w:r>
        <w:t xml:space="preserve"> that extensions of time shall not be routinely granted</w:t>
      </w:r>
      <w:r w:rsidR="005F3022">
        <w:t>.</w:t>
      </w:r>
      <w:r>
        <w:rPr>
          <w:rStyle w:val="FootnoteReference"/>
        </w:rPr>
        <w:footnoteReference w:id="8"/>
      </w:r>
      <w:r w:rsidR="005F3022">
        <w:t xml:space="preserve">  We have considered the arguments raised in CTIA’s motion and conclude that an extension of time to file reply comments in t</w:t>
      </w:r>
      <w:r w:rsidR="003F1A80">
        <w:t xml:space="preserve">his proceeding is unwarranted. </w:t>
      </w:r>
      <w:r>
        <w:t xml:space="preserve"> </w:t>
      </w:r>
      <w:r w:rsidR="005F3022">
        <w:t xml:space="preserve">We do not find anything unusual about the number of comments or complexity of issues that would warrant an extension in this case.  </w:t>
      </w:r>
      <w:r w:rsidR="002F2639">
        <w:t>We note the Commission has set similar comment deadlines in comparabl</w:t>
      </w:r>
      <w:r w:rsidR="00F0641D">
        <w:t>y</w:t>
      </w:r>
      <w:r w:rsidR="002F2639">
        <w:t xml:space="preserve"> complex proceedings</w:t>
      </w:r>
      <w:r w:rsidR="003F1A80">
        <w:t xml:space="preserve">, and </w:t>
      </w:r>
      <w:r w:rsidR="00855FC0">
        <w:t>the arguments raised by CTIA do not warrant an exception to granting an extension of time</w:t>
      </w:r>
      <w:r w:rsidR="003F1A80">
        <w:t>.</w:t>
      </w:r>
      <w:r w:rsidR="003F1A80">
        <w:rPr>
          <w:rStyle w:val="FootnoteReference"/>
        </w:rPr>
        <w:footnoteReference w:id="9"/>
      </w:r>
      <w:r w:rsidR="003F1A80">
        <w:t xml:space="preserve">  </w:t>
      </w:r>
      <w:r w:rsidR="00855FC0">
        <w:t>Further, we believe the public interest</w:t>
      </w:r>
      <w:r w:rsidR="001459F5">
        <w:t>, on balance, lies in maintaining the present schedule</w:t>
      </w:r>
      <w:r w:rsidR="00674F6A">
        <w:t>.  This is so</w:t>
      </w:r>
      <w:r w:rsidR="001459F5">
        <w:t xml:space="preserve"> because </w:t>
      </w:r>
      <w:r w:rsidR="00674F6A">
        <w:t xml:space="preserve">the present deadlines </w:t>
      </w:r>
      <w:r w:rsidR="001459F5">
        <w:t>ensure timely consideration of the merits of part 4 reporting for broadband communications disruptions and the other communications reliability and resiliency issues presented in the FNPRM, all of which deal with critical, present, public safety and consumer protection concerns</w:t>
      </w:r>
      <w:r w:rsidR="00674F6A">
        <w:t>, as described in the FNPRM</w:t>
      </w:r>
      <w:r w:rsidR="001459F5">
        <w:t>.</w:t>
      </w:r>
      <w:r w:rsidR="00674F6A">
        <w:rPr>
          <w:rStyle w:val="FootnoteReference"/>
        </w:rPr>
        <w:footnoteReference w:id="10"/>
      </w:r>
      <w:r w:rsidR="00855FC0">
        <w:t xml:space="preserve">  For these reasons, we find that the schedule established in this proceeding affords sufficient time for public participation, and the request for an extension of time is denied. </w:t>
      </w:r>
      <w:r w:rsidR="005F3022">
        <w:t xml:space="preserve"> </w:t>
      </w:r>
    </w:p>
    <w:p w14:paraId="009148A3" w14:textId="77777777" w:rsidR="005118A1" w:rsidRPr="00D12ECB" w:rsidRDefault="005118A1" w:rsidP="005118A1">
      <w:pPr>
        <w:pStyle w:val="ParaNum"/>
      </w:pPr>
      <w:r w:rsidRPr="00071DEA">
        <w:rPr>
          <w:rFonts w:eastAsia="Batang"/>
          <w:lang w:eastAsia="ja-JP"/>
        </w:rPr>
        <w:t xml:space="preserve">Accordingly, IT IS ORDERED that, </w:t>
      </w:r>
      <w:r>
        <w:t xml:space="preserve">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w:t>
      </w:r>
      <w:r>
        <w:t>and</w:t>
      </w:r>
      <w:r w:rsidRPr="00071DEA">
        <w:rPr>
          <w:rFonts w:eastAsia="Batang"/>
          <w:lang w:eastAsia="ja-JP"/>
        </w:rPr>
        <w:t xml:space="preserve"> sections 0.91, 0.291, and 1.46 of the Commission’s rules, 47 C.F.R. §§ 0.91, 0.291, 1.46, the Request for an</w:t>
      </w:r>
      <w:r>
        <w:rPr>
          <w:rFonts w:eastAsia="Batang"/>
          <w:lang w:eastAsia="ja-JP"/>
        </w:rPr>
        <w:t xml:space="preserve"> Extension of Time filed by CTIA</w:t>
      </w:r>
      <w:r w:rsidRPr="00071DEA">
        <w:rPr>
          <w:rFonts w:eastAsia="Batang"/>
          <w:lang w:eastAsia="ja-JP"/>
        </w:rPr>
        <w:t xml:space="preserve"> IS DENIED.</w:t>
      </w:r>
    </w:p>
    <w:p w14:paraId="609C4DDC" w14:textId="77777777" w:rsidR="005118A1" w:rsidRPr="00071DEA" w:rsidRDefault="005118A1" w:rsidP="005118A1">
      <w:pPr>
        <w:pStyle w:val="ParaNum"/>
      </w:pPr>
      <w:r w:rsidRPr="00071DEA">
        <w:t>IT IS FURTHER ORDERED that, pursuant to section 1.102(b)(1) of the Commission’s rules, 47 C.F.R. § 1.102(b)(1), this Order SHALL BE EFFECTIVE upon release.</w:t>
      </w:r>
      <w:r>
        <w:br/>
      </w:r>
    </w:p>
    <w:p w14:paraId="6763D70C" w14:textId="77777777" w:rsidR="005118A1" w:rsidRDefault="005118A1" w:rsidP="005118A1">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14:paraId="7C3DE2C3" w14:textId="77777777" w:rsidR="005118A1" w:rsidRDefault="005118A1" w:rsidP="005118A1">
      <w:pPr>
        <w:pStyle w:val="ParaNum"/>
        <w:numPr>
          <w:ilvl w:val="0"/>
          <w:numId w:val="0"/>
        </w:numPr>
        <w:tabs>
          <w:tab w:val="num" w:pos="1440"/>
        </w:tabs>
      </w:pPr>
      <w:r>
        <w:tab/>
      </w:r>
      <w:r>
        <w:tab/>
      </w:r>
      <w:r>
        <w:tab/>
      </w:r>
      <w:r>
        <w:tab/>
      </w:r>
    </w:p>
    <w:p w14:paraId="6D315942" w14:textId="6BC7710E" w:rsidR="005118A1" w:rsidRDefault="005118A1" w:rsidP="005118A1">
      <w:pPr>
        <w:pStyle w:val="ParaNum"/>
        <w:numPr>
          <w:ilvl w:val="0"/>
          <w:numId w:val="0"/>
        </w:numPr>
        <w:tabs>
          <w:tab w:val="num" w:pos="1440"/>
        </w:tabs>
      </w:pPr>
      <w:r>
        <w:tab/>
      </w:r>
      <w:r>
        <w:tab/>
      </w:r>
      <w:r>
        <w:tab/>
      </w:r>
      <w:r>
        <w:tab/>
        <w:t>David</w:t>
      </w:r>
      <w:r w:rsidR="00E32E23">
        <w:t xml:space="preserve"> G.</w:t>
      </w:r>
      <w:r>
        <w:t xml:space="preserve"> Simpson</w:t>
      </w:r>
      <w:r w:rsidR="005F3022">
        <w:t>, Rear Admiral, USN (Ret.)</w:t>
      </w:r>
    </w:p>
    <w:p w14:paraId="193A3416" w14:textId="77777777" w:rsidR="005118A1" w:rsidRDefault="005118A1" w:rsidP="005118A1">
      <w:pPr>
        <w:pStyle w:val="ParaNum"/>
        <w:numPr>
          <w:ilvl w:val="0"/>
          <w:numId w:val="0"/>
        </w:numPr>
        <w:tabs>
          <w:tab w:val="num" w:pos="1440"/>
        </w:tabs>
      </w:pPr>
      <w:r>
        <w:tab/>
      </w:r>
      <w:r>
        <w:tab/>
      </w:r>
      <w:r>
        <w:tab/>
      </w:r>
      <w:r>
        <w:tab/>
        <w:t>Chief, Public Safety and Homeland Security Bureau</w:t>
      </w:r>
    </w:p>
    <w:p w14:paraId="68ECF440" w14:textId="77777777" w:rsidR="002C00E8" w:rsidRPr="001A2EA6" w:rsidRDefault="002C00E8" w:rsidP="005118A1">
      <w:pPr>
        <w:jc w:val="right"/>
      </w:pPr>
    </w:p>
    <w:sectPr w:rsidR="002C00E8" w:rsidRPr="001A2EA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E0A1" w14:textId="77777777" w:rsidR="001306A2" w:rsidRDefault="001306A2">
      <w:pPr>
        <w:spacing w:line="20" w:lineRule="exact"/>
      </w:pPr>
    </w:p>
  </w:endnote>
  <w:endnote w:type="continuationSeparator" w:id="0">
    <w:p w14:paraId="29A1C229" w14:textId="77777777" w:rsidR="001306A2" w:rsidRDefault="001306A2">
      <w:r>
        <w:t xml:space="preserve"> </w:t>
      </w:r>
    </w:p>
  </w:endnote>
  <w:endnote w:type="continuationNotice" w:id="1">
    <w:p w14:paraId="1C4C5DFD" w14:textId="77777777" w:rsidR="001306A2" w:rsidRDefault="001306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0F9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E8866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94C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07E6B">
      <w:rPr>
        <w:noProof/>
      </w:rPr>
      <w:t>2</w:t>
    </w:r>
    <w:r>
      <w:fldChar w:fldCharType="end"/>
    </w:r>
  </w:p>
  <w:p w14:paraId="1DA46D5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3C4A"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7E86" w14:textId="77777777" w:rsidR="001306A2" w:rsidRDefault="001306A2">
      <w:r>
        <w:separator/>
      </w:r>
    </w:p>
  </w:footnote>
  <w:footnote w:type="continuationSeparator" w:id="0">
    <w:p w14:paraId="20099C2D" w14:textId="77777777" w:rsidR="001306A2" w:rsidRDefault="001306A2" w:rsidP="00C721AC">
      <w:pPr>
        <w:spacing w:before="120"/>
        <w:rPr>
          <w:sz w:val="20"/>
        </w:rPr>
      </w:pPr>
      <w:r>
        <w:rPr>
          <w:sz w:val="20"/>
        </w:rPr>
        <w:t xml:space="preserve">(Continued from previous page)  </w:t>
      </w:r>
      <w:r>
        <w:rPr>
          <w:sz w:val="20"/>
        </w:rPr>
        <w:separator/>
      </w:r>
    </w:p>
  </w:footnote>
  <w:footnote w:type="continuationNotice" w:id="1">
    <w:p w14:paraId="782A1447" w14:textId="77777777" w:rsidR="001306A2" w:rsidRDefault="001306A2" w:rsidP="00C721AC">
      <w:pPr>
        <w:jc w:val="right"/>
        <w:rPr>
          <w:sz w:val="20"/>
        </w:rPr>
      </w:pPr>
      <w:r>
        <w:rPr>
          <w:sz w:val="20"/>
        </w:rPr>
        <w:t>(continued….)</w:t>
      </w:r>
    </w:p>
  </w:footnote>
  <w:footnote w:id="2">
    <w:p w14:paraId="5320553F" w14:textId="77777777" w:rsidR="001A2EA6" w:rsidRPr="00614A52" w:rsidRDefault="001A2EA6" w:rsidP="001A2EA6">
      <w:pPr>
        <w:pStyle w:val="FootnoteText"/>
        <w:rPr>
          <w:i/>
        </w:rPr>
      </w:pPr>
      <w:r>
        <w:rPr>
          <w:rStyle w:val="FootnoteReference"/>
        </w:rPr>
        <w:footnoteRef/>
      </w:r>
      <w:r>
        <w:t xml:space="preserve"> </w:t>
      </w:r>
      <w:r>
        <w:rPr>
          <w:i/>
        </w:rPr>
        <w:t>See</w:t>
      </w:r>
      <w:r w:rsidR="00696AC4">
        <w:t xml:space="preserve"> CTIA</w:t>
      </w:r>
      <w:r w:rsidRPr="00BE471F">
        <w:t xml:space="preserve">, </w:t>
      </w:r>
      <w:r>
        <w:t xml:space="preserve">Motion for Extension of Time, </w:t>
      </w:r>
      <w:r w:rsidR="00696AC4">
        <w:t>PS Docket Nos. 15-80</w:t>
      </w:r>
      <w:r w:rsidRPr="00514621">
        <w:t>,</w:t>
      </w:r>
      <w:r w:rsidR="00696AC4">
        <w:t xml:space="preserve"> 11-82</w:t>
      </w:r>
      <w:r w:rsidRPr="00514621">
        <w:t xml:space="preserve">, </w:t>
      </w:r>
      <w:r w:rsidR="00881ECF">
        <w:t>ET Docket No. 04-35 (filed September 2, 2016) (CTIA</w:t>
      </w:r>
      <w:r>
        <w:t xml:space="preserve"> Motion).</w:t>
      </w:r>
    </w:p>
  </w:footnote>
  <w:footnote w:id="3">
    <w:p w14:paraId="1A73286E" w14:textId="1665FEA4" w:rsidR="004D4B9B" w:rsidRPr="00EF3116" w:rsidRDefault="004D4B9B">
      <w:pPr>
        <w:pStyle w:val="FootnoteText"/>
      </w:pPr>
      <w:r>
        <w:rPr>
          <w:rStyle w:val="FootnoteReference"/>
        </w:rPr>
        <w:footnoteRef/>
      </w:r>
      <w:r>
        <w:t xml:space="preserve"> </w:t>
      </w:r>
      <w:r>
        <w:rPr>
          <w:i/>
        </w:rPr>
        <w:t xml:space="preserve">See </w:t>
      </w:r>
      <w:r w:rsidR="00EF3116">
        <w:t xml:space="preserve">The Proposed Extension of Part 4 of the Commissions’ Rules Regarding Outage Reporting to Interconnected Voice over Internet Protocol Service Providers and Broadband Internet Service Providers, PS Docket Nos. 15-80, 11-82, ET Docket No. 04-35, Further Notice of Proposed Rulemaking (rel. May 26, 2016), available at </w:t>
      </w:r>
      <w:hyperlink r:id="rId1" w:history="1">
        <w:r w:rsidR="00EF3116" w:rsidRPr="003A4D10">
          <w:rPr>
            <w:rStyle w:val="Hyperlink"/>
          </w:rPr>
          <w:t>https://apps.fcc.gov/edocs_public/attachmatch/FCC-16-63A1_Rcd.pdf</w:t>
        </w:r>
      </w:hyperlink>
      <w:r w:rsidR="00EF3116">
        <w:t xml:space="preserve"> (</w:t>
      </w:r>
      <w:r w:rsidR="00EF3116">
        <w:rPr>
          <w:i/>
        </w:rPr>
        <w:t>2016 Part 4 FNRPM</w:t>
      </w:r>
      <w:r w:rsidR="00EF3116">
        <w:t xml:space="preserve">). </w:t>
      </w:r>
    </w:p>
  </w:footnote>
  <w:footnote w:id="4">
    <w:p w14:paraId="4EE2D5EF" w14:textId="77777777" w:rsidR="00EF3116" w:rsidRPr="00EF3116" w:rsidRDefault="00EF3116">
      <w:pPr>
        <w:pStyle w:val="FootnoteText"/>
      </w:pPr>
      <w:r>
        <w:rPr>
          <w:rStyle w:val="FootnoteReference"/>
        </w:rPr>
        <w:footnoteRef/>
      </w:r>
      <w:r>
        <w:t xml:space="preserve"> </w:t>
      </w:r>
      <w:r>
        <w:rPr>
          <w:i/>
        </w:rPr>
        <w:t>See 2016 Part 4 FNPRM</w:t>
      </w:r>
      <w:r>
        <w:t xml:space="preserve">, FCC 16-63.  The </w:t>
      </w:r>
      <w:r>
        <w:rPr>
          <w:i/>
        </w:rPr>
        <w:t xml:space="preserve">2016 Part 4 FNPRM </w:t>
      </w:r>
      <w:r>
        <w:t xml:space="preserve">was published in the Federal Register on July 12, 2016.  81 Fed. Reg. 45095 (Jul. 12, 2016). </w:t>
      </w:r>
    </w:p>
  </w:footnote>
  <w:footnote w:id="5">
    <w:p w14:paraId="6F3600B9" w14:textId="77777777" w:rsidR="003B4FFD" w:rsidRDefault="003B4FFD">
      <w:pPr>
        <w:pStyle w:val="FootnoteText"/>
      </w:pPr>
      <w:r>
        <w:rPr>
          <w:rStyle w:val="FootnoteReference"/>
        </w:rPr>
        <w:footnoteRef/>
      </w:r>
      <w:r>
        <w:t xml:space="preserve"> CTIA Motion at 1. </w:t>
      </w:r>
    </w:p>
  </w:footnote>
  <w:footnote w:id="6">
    <w:p w14:paraId="05C69D51" w14:textId="77777777" w:rsidR="001A3DB8" w:rsidRDefault="001A3DB8">
      <w:pPr>
        <w:pStyle w:val="FootnoteText"/>
      </w:pPr>
      <w:r>
        <w:rPr>
          <w:rStyle w:val="FootnoteReference"/>
        </w:rPr>
        <w:footnoteRef/>
      </w:r>
      <w:r>
        <w:t xml:space="preserve"> CTIA Motion at 2.  </w:t>
      </w:r>
    </w:p>
  </w:footnote>
  <w:footnote w:id="7">
    <w:p w14:paraId="2F8DD351" w14:textId="77777777" w:rsidR="00B13C5D" w:rsidRDefault="00B13C5D">
      <w:pPr>
        <w:pStyle w:val="FootnoteText"/>
      </w:pPr>
      <w:r>
        <w:rPr>
          <w:rStyle w:val="FootnoteReference"/>
        </w:rPr>
        <w:footnoteRef/>
      </w:r>
      <w:r>
        <w:t xml:space="preserve"> CTIA Motion at 2. </w:t>
      </w:r>
    </w:p>
  </w:footnote>
  <w:footnote w:id="8">
    <w:p w14:paraId="6EF08850" w14:textId="77777777" w:rsidR="00194206" w:rsidRDefault="00194206">
      <w:pPr>
        <w:pStyle w:val="FootnoteText"/>
      </w:pPr>
      <w:r>
        <w:rPr>
          <w:rStyle w:val="FootnoteReference"/>
        </w:rPr>
        <w:footnoteRef/>
      </w:r>
      <w:r>
        <w:t xml:space="preserve"> 47 CFR § 1.46.</w:t>
      </w:r>
    </w:p>
  </w:footnote>
  <w:footnote w:id="9">
    <w:p w14:paraId="34E7BECE" w14:textId="776B2712" w:rsidR="003F1A80" w:rsidRPr="00FD14F6" w:rsidRDefault="003F1A80">
      <w:pPr>
        <w:pStyle w:val="FootnoteText"/>
        <w:rPr>
          <w:i/>
        </w:rPr>
      </w:pPr>
      <w:r>
        <w:rPr>
          <w:rStyle w:val="FootnoteReference"/>
        </w:rPr>
        <w:footnoteRef/>
      </w:r>
      <w:r>
        <w:t xml:space="preserve"> </w:t>
      </w:r>
      <w:r>
        <w:rPr>
          <w:i/>
        </w:rPr>
        <w:t xml:space="preserve">See e.g., </w:t>
      </w:r>
      <w:r w:rsidR="002F2639">
        <w:rPr>
          <w:i/>
        </w:rPr>
        <w:t>Rates for Interstate Inmate Calling Services</w:t>
      </w:r>
      <w:r w:rsidR="002F2639">
        <w:t xml:space="preserve">, Second Report and Order and Third Further Notice of Proposed Rulemaking, 30 FCC Rcd 12763 (2015) (setting comment and reply comment filing deadlines 30 days and 45 days, respectively, after publication in the Federal Register); </w:t>
      </w:r>
      <w:r w:rsidR="002F2639">
        <w:rPr>
          <w:i/>
        </w:rPr>
        <w:t>Modernizing the E-Rate Program for Schools and Libraries</w:t>
      </w:r>
      <w:r w:rsidR="002F2639">
        <w:t xml:space="preserve">, WC Docket No. 13-184, Report and Order and Further Notice of Proposed Rulemaking, 29 FCC Rcd 8870 (2014) (releasing item on July 23, 2014 and setting comment and reply comment filing deadlines as September 15, 2014 and September 30, 2014, respectively); </w:t>
      </w:r>
      <w:r w:rsidR="002F2639">
        <w:rPr>
          <w:i/>
        </w:rPr>
        <w:t>Modernizing the E-Rate Program for Schools and Libraries</w:t>
      </w:r>
      <w:r w:rsidR="002F2639">
        <w:t xml:space="preserve">, WC Docket No. 13-184, Notice of Proposed Rulemaking, 28 FCC Rcd 11304 (2013) (releasing item on July 23, 2013 and setting comment and reply comment filing deadlines as September 16, 2013 and October 16, 2013, respectively); </w:t>
      </w:r>
      <w:r w:rsidR="002F2639">
        <w:rPr>
          <w:i/>
        </w:rPr>
        <w:t xml:space="preserve">see also </w:t>
      </w:r>
      <w:r w:rsidR="002F2639" w:rsidRPr="00956696">
        <w:rPr>
          <w:i/>
        </w:rPr>
        <w:t>Delays in Electronic Comment Filing System (ECFS) and Submission of Supplemental Reply Comments</w:t>
      </w:r>
      <w:r w:rsidR="002F2639">
        <w:t xml:space="preserve">, </w:t>
      </w:r>
      <w:r w:rsidR="002F2639" w:rsidRPr="00956696">
        <w:t>DA 16-580</w:t>
      </w:r>
      <w:r w:rsidR="002F2639">
        <w:t xml:space="preserve">, Public Notice (WCB May 24, 2016) (providing notice that extensions of time will not be granted due to certain delays experienced with the Commission’s Electronic Comment Filing System (ECFS)); </w:t>
      </w:r>
      <w:r w:rsidR="002F2639" w:rsidRPr="007745B4">
        <w:rPr>
          <w:i/>
        </w:rPr>
        <w:t>Protecting the Privacy of Customer of Broadband and Other Telecommunications Services</w:t>
      </w:r>
      <w:r w:rsidR="002F2639">
        <w:t xml:space="preserve">, WC Docket No. 16-106, Order, </w:t>
      </w:r>
      <w:r w:rsidR="002F2639" w:rsidRPr="00D819C8">
        <w:t>DA 16-473</w:t>
      </w:r>
      <w:r w:rsidR="002F2639">
        <w:t xml:space="preserve"> (WCB rel. Apr. 29, 2016) (denying requests for an extension of time to file comments and reply comments).</w:t>
      </w:r>
    </w:p>
  </w:footnote>
  <w:footnote w:id="10">
    <w:p w14:paraId="3FE43D5B" w14:textId="2824244B" w:rsidR="00674F6A" w:rsidRDefault="00674F6A">
      <w:pPr>
        <w:pStyle w:val="FootnoteText"/>
      </w:pPr>
      <w:r>
        <w:rPr>
          <w:rStyle w:val="FootnoteReference"/>
        </w:rPr>
        <w:footnoteRef/>
      </w:r>
      <w:r>
        <w:t xml:space="preserve"> Finally, we are unpersuaded by CTIA’s argument that the presence of a national holiday or its convention create such hardships for CTIA as would justify a one-month extension of the reply comment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1031" w14:textId="77777777" w:rsidR="001900EC" w:rsidRDefault="00190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F6A8" w14:textId="4D0B1670" w:rsidR="00D25FB5" w:rsidRDefault="00D25FB5" w:rsidP="00810B6F">
    <w:pPr>
      <w:pStyle w:val="Header"/>
      <w:rPr>
        <w:b w:val="0"/>
      </w:rPr>
    </w:pPr>
    <w:r>
      <w:tab/>
      <w:t>Federal Communications Commission</w:t>
    </w:r>
    <w:r>
      <w:tab/>
    </w:r>
    <w:r w:rsidR="001A2EA6">
      <w:t>DA 16-</w:t>
    </w:r>
    <w:r w:rsidR="00CF3D9F">
      <w:t>1014</w:t>
    </w:r>
  </w:p>
  <w:p w14:paraId="1F6D6639" w14:textId="77777777" w:rsidR="00D25FB5" w:rsidRDefault="001359C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ADA515C" wp14:editId="247020A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11E9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2F74E5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5E1F" w14:textId="6E71671D" w:rsidR="00D25FB5" w:rsidRDefault="001359C7" w:rsidP="00810B6F">
    <w:pPr>
      <w:pStyle w:val="Header"/>
      <w:rPr>
        <w:b w:val="0"/>
      </w:rPr>
    </w:pPr>
    <w:r>
      <w:rPr>
        <w:noProof/>
      </w:rPr>
      <mc:AlternateContent>
        <mc:Choice Requires="wps">
          <w:drawing>
            <wp:anchor distT="0" distB="0" distL="114300" distR="114300" simplePos="0" relativeHeight="251658240" behindDoc="1" locked="0" layoutInCell="0" allowOverlap="1" wp14:anchorId="7CA22FD6" wp14:editId="75121E4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EBDF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A2EA6">
      <w:rPr>
        <w:spacing w:val="-2"/>
      </w:rPr>
      <w:t xml:space="preserve">DA </w:t>
    </w:r>
    <w:r w:rsidR="008816EC">
      <w:rPr>
        <w:spacing w:val="-2"/>
      </w:rPr>
      <w:t>16</w:t>
    </w:r>
    <w:r w:rsidR="00CF3D9F">
      <w:rPr>
        <w:spacing w:val="-2"/>
      </w:rPr>
      <w:t>-1014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A6"/>
    <w:rsid w:val="00036039"/>
    <w:rsid w:val="00037F90"/>
    <w:rsid w:val="00077A55"/>
    <w:rsid w:val="000875BF"/>
    <w:rsid w:val="00096D8C"/>
    <w:rsid w:val="000C0203"/>
    <w:rsid w:val="000C0B65"/>
    <w:rsid w:val="000C413E"/>
    <w:rsid w:val="000E05FE"/>
    <w:rsid w:val="000E3D42"/>
    <w:rsid w:val="00122322"/>
    <w:rsid w:val="00122BD5"/>
    <w:rsid w:val="00125E38"/>
    <w:rsid w:val="001306A2"/>
    <w:rsid w:val="00133F79"/>
    <w:rsid w:val="001359C7"/>
    <w:rsid w:val="001459F5"/>
    <w:rsid w:val="00163E2D"/>
    <w:rsid w:val="001900EC"/>
    <w:rsid w:val="00194206"/>
    <w:rsid w:val="00194A66"/>
    <w:rsid w:val="001A2EA6"/>
    <w:rsid w:val="001A3DB8"/>
    <w:rsid w:val="001D6BCF"/>
    <w:rsid w:val="001E01CA"/>
    <w:rsid w:val="00275CF5"/>
    <w:rsid w:val="0028301F"/>
    <w:rsid w:val="00285017"/>
    <w:rsid w:val="002A2D2E"/>
    <w:rsid w:val="002A59EA"/>
    <w:rsid w:val="002C00E8"/>
    <w:rsid w:val="002D2613"/>
    <w:rsid w:val="002F2639"/>
    <w:rsid w:val="00343749"/>
    <w:rsid w:val="003660ED"/>
    <w:rsid w:val="003726BE"/>
    <w:rsid w:val="003B0550"/>
    <w:rsid w:val="003B4FFD"/>
    <w:rsid w:val="003B694F"/>
    <w:rsid w:val="003E54F9"/>
    <w:rsid w:val="003F171C"/>
    <w:rsid w:val="003F1A80"/>
    <w:rsid w:val="00412FC5"/>
    <w:rsid w:val="00422276"/>
    <w:rsid w:val="004242F1"/>
    <w:rsid w:val="00445A00"/>
    <w:rsid w:val="00451B0F"/>
    <w:rsid w:val="004A0B61"/>
    <w:rsid w:val="004C2EE3"/>
    <w:rsid w:val="004C3C79"/>
    <w:rsid w:val="004D4B9B"/>
    <w:rsid w:val="004D736C"/>
    <w:rsid w:val="004E4A22"/>
    <w:rsid w:val="005118A1"/>
    <w:rsid w:val="00511968"/>
    <w:rsid w:val="0055614C"/>
    <w:rsid w:val="0059626C"/>
    <w:rsid w:val="005A1971"/>
    <w:rsid w:val="005E14C2"/>
    <w:rsid w:val="005F3022"/>
    <w:rsid w:val="00607BA5"/>
    <w:rsid w:val="0061180A"/>
    <w:rsid w:val="00626EB6"/>
    <w:rsid w:val="00655D03"/>
    <w:rsid w:val="00674F6A"/>
    <w:rsid w:val="00683388"/>
    <w:rsid w:val="00683F84"/>
    <w:rsid w:val="00696AC4"/>
    <w:rsid w:val="006A6A81"/>
    <w:rsid w:val="006C0928"/>
    <w:rsid w:val="006F7393"/>
    <w:rsid w:val="0070224F"/>
    <w:rsid w:val="007115F7"/>
    <w:rsid w:val="00785689"/>
    <w:rsid w:val="0079754B"/>
    <w:rsid w:val="007A1E6D"/>
    <w:rsid w:val="007B0EB2"/>
    <w:rsid w:val="007C0485"/>
    <w:rsid w:val="00810B6F"/>
    <w:rsid w:val="00822CE0"/>
    <w:rsid w:val="00841AB1"/>
    <w:rsid w:val="00855FC0"/>
    <w:rsid w:val="008635EB"/>
    <w:rsid w:val="008816EC"/>
    <w:rsid w:val="00881ECF"/>
    <w:rsid w:val="008A59B2"/>
    <w:rsid w:val="008C68F1"/>
    <w:rsid w:val="00907E6B"/>
    <w:rsid w:val="00921803"/>
    <w:rsid w:val="00926503"/>
    <w:rsid w:val="009726D8"/>
    <w:rsid w:val="009A2DE6"/>
    <w:rsid w:val="009F76DB"/>
    <w:rsid w:val="00A32C3B"/>
    <w:rsid w:val="00A45F4F"/>
    <w:rsid w:val="00A55AB0"/>
    <w:rsid w:val="00A600A9"/>
    <w:rsid w:val="00A6085E"/>
    <w:rsid w:val="00A83429"/>
    <w:rsid w:val="00AA0BA2"/>
    <w:rsid w:val="00AA55B7"/>
    <w:rsid w:val="00AA5B9E"/>
    <w:rsid w:val="00AB2407"/>
    <w:rsid w:val="00AB53DF"/>
    <w:rsid w:val="00AC04DC"/>
    <w:rsid w:val="00B07E5C"/>
    <w:rsid w:val="00B13C5D"/>
    <w:rsid w:val="00B811F7"/>
    <w:rsid w:val="00BA0C48"/>
    <w:rsid w:val="00BA5DC6"/>
    <w:rsid w:val="00BA6196"/>
    <w:rsid w:val="00BC6D8C"/>
    <w:rsid w:val="00BE1E73"/>
    <w:rsid w:val="00C1181D"/>
    <w:rsid w:val="00C2734B"/>
    <w:rsid w:val="00C34006"/>
    <w:rsid w:val="00C426B1"/>
    <w:rsid w:val="00C66160"/>
    <w:rsid w:val="00C67E14"/>
    <w:rsid w:val="00C721AC"/>
    <w:rsid w:val="00C90D6A"/>
    <w:rsid w:val="00C93909"/>
    <w:rsid w:val="00CA1814"/>
    <w:rsid w:val="00CA247E"/>
    <w:rsid w:val="00CC031F"/>
    <w:rsid w:val="00CC72B6"/>
    <w:rsid w:val="00CF3D9F"/>
    <w:rsid w:val="00D0218D"/>
    <w:rsid w:val="00D142A9"/>
    <w:rsid w:val="00D25FB5"/>
    <w:rsid w:val="00D27775"/>
    <w:rsid w:val="00D413D4"/>
    <w:rsid w:val="00D44223"/>
    <w:rsid w:val="00D951EC"/>
    <w:rsid w:val="00DA2529"/>
    <w:rsid w:val="00DB130A"/>
    <w:rsid w:val="00DB2EBB"/>
    <w:rsid w:val="00DC10A1"/>
    <w:rsid w:val="00DC655F"/>
    <w:rsid w:val="00DD0B59"/>
    <w:rsid w:val="00DD7EBD"/>
    <w:rsid w:val="00DE7E2C"/>
    <w:rsid w:val="00DF62B6"/>
    <w:rsid w:val="00E05620"/>
    <w:rsid w:val="00E07225"/>
    <w:rsid w:val="00E32E23"/>
    <w:rsid w:val="00E4569D"/>
    <w:rsid w:val="00E50C8E"/>
    <w:rsid w:val="00E5409F"/>
    <w:rsid w:val="00E577BA"/>
    <w:rsid w:val="00E7595A"/>
    <w:rsid w:val="00EE0874"/>
    <w:rsid w:val="00EE6488"/>
    <w:rsid w:val="00EF3116"/>
    <w:rsid w:val="00F021FA"/>
    <w:rsid w:val="00F044D5"/>
    <w:rsid w:val="00F0641D"/>
    <w:rsid w:val="00F53407"/>
    <w:rsid w:val="00F57E40"/>
    <w:rsid w:val="00F62E97"/>
    <w:rsid w:val="00F64209"/>
    <w:rsid w:val="00F93BF5"/>
    <w:rsid w:val="00FD14F6"/>
    <w:rsid w:val="00FD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A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A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1A2EA6"/>
  </w:style>
  <w:style w:type="character" w:customStyle="1" w:styleId="ParaNumCharChar1">
    <w:name w:val="ParaNum Char Char1"/>
    <w:link w:val="ParaNum"/>
    <w:rsid w:val="001A2EA6"/>
    <w:rPr>
      <w:snapToGrid w:val="0"/>
      <w:kern w:val="28"/>
      <w:sz w:val="22"/>
    </w:rPr>
  </w:style>
  <w:style w:type="character" w:styleId="CommentReference">
    <w:name w:val="annotation reference"/>
    <w:rsid w:val="001A2EA6"/>
    <w:rPr>
      <w:sz w:val="16"/>
      <w:szCs w:val="16"/>
    </w:rPr>
  </w:style>
  <w:style w:type="character" w:customStyle="1" w:styleId="cosearchterm">
    <w:name w:val="co_searchterm"/>
    <w:rsid w:val="001A2EA6"/>
  </w:style>
  <w:style w:type="character" w:customStyle="1" w:styleId="StyleNumberedparagraphs11ptChar">
    <w:name w:val="Style Numbered paragraphs + 11 pt Char"/>
    <w:rsid w:val="005118A1"/>
    <w:rPr>
      <w:noProof w:val="0"/>
      <w:sz w:val="22"/>
      <w:lang w:val="en-US" w:eastAsia="en-US" w:bidi="ar-SA"/>
    </w:rPr>
  </w:style>
  <w:style w:type="paragraph" w:styleId="BalloonText">
    <w:name w:val="Balloon Text"/>
    <w:basedOn w:val="Normal"/>
    <w:link w:val="BalloonTextChar"/>
    <w:semiHidden/>
    <w:unhideWhenUsed/>
    <w:rsid w:val="001359C7"/>
    <w:rPr>
      <w:rFonts w:ascii="Segoe UI" w:hAnsi="Segoe UI" w:cs="Segoe UI"/>
      <w:sz w:val="18"/>
      <w:szCs w:val="18"/>
    </w:rPr>
  </w:style>
  <w:style w:type="character" w:customStyle="1" w:styleId="BalloonTextChar">
    <w:name w:val="Balloon Text Char"/>
    <w:basedOn w:val="DefaultParagraphFont"/>
    <w:link w:val="BalloonText"/>
    <w:semiHidden/>
    <w:rsid w:val="001359C7"/>
    <w:rPr>
      <w:rFonts w:ascii="Segoe UI" w:hAnsi="Segoe UI" w:cs="Segoe UI"/>
      <w:snapToGrid w:val="0"/>
      <w:kern w:val="28"/>
      <w:sz w:val="18"/>
      <w:szCs w:val="18"/>
    </w:rPr>
  </w:style>
  <w:style w:type="paragraph" w:styleId="CommentText">
    <w:name w:val="annotation text"/>
    <w:basedOn w:val="Normal"/>
    <w:link w:val="CommentTextChar"/>
    <w:semiHidden/>
    <w:unhideWhenUsed/>
    <w:rsid w:val="005F3022"/>
    <w:rPr>
      <w:sz w:val="20"/>
    </w:rPr>
  </w:style>
  <w:style w:type="character" w:customStyle="1" w:styleId="CommentTextChar">
    <w:name w:val="Comment Text Char"/>
    <w:basedOn w:val="DefaultParagraphFont"/>
    <w:link w:val="CommentText"/>
    <w:semiHidden/>
    <w:rsid w:val="005F3022"/>
    <w:rPr>
      <w:snapToGrid w:val="0"/>
      <w:kern w:val="28"/>
    </w:rPr>
  </w:style>
  <w:style w:type="paragraph" w:styleId="CommentSubject">
    <w:name w:val="annotation subject"/>
    <w:basedOn w:val="CommentText"/>
    <w:next w:val="CommentText"/>
    <w:link w:val="CommentSubjectChar"/>
    <w:semiHidden/>
    <w:unhideWhenUsed/>
    <w:rsid w:val="005F3022"/>
    <w:rPr>
      <w:b/>
      <w:bCs/>
    </w:rPr>
  </w:style>
  <w:style w:type="character" w:customStyle="1" w:styleId="CommentSubjectChar">
    <w:name w:val="Comment Subject Char"/>
    <w:basedOn w:val="CommentTextChar"/>
    <w:link w:val="CommentSubject"/>
    <w:semiHidden/>
    <w:rsid w:val="005F302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A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1A2EA6"/>
  </w:style>
  <w:style w:type="character" w:customStyle="1" w:styleId="ParaNumCharChar1">
    <w:name w:val="ParaNum Char Char1"/>
    <w:link w:val="ParaNum"/>
    <w:rsid w:val="001A2EA6"/>
    <w:rPr>
      <w:snapToGrid w:val="0"/>
      <w:kern w:val="28"/>
      <w:sz w:val="22"/>
    </w:rPr>
  </w:style>
  <w:style w:type="character" w:styleId="CommentReference">
    <w:name w:val="annotation reference"/>
    <w:rsid w:val="001A2EA6"/>
    <w:rPr>
      <w:sz w:val="16"/>
      <w:szCs w:val="16"/>
    </w:rPr>
  </w:style>
  <w:style w:type="character" w:customStyle="1" w:styleId="cosearchterm">
    <w:name w:val="co_searchterm"/>
    <w:rsid w:val="001A2EA6"/>
  </w:style>
  <w:style w:type="character" w:customStyle="1" w:styleId="StyleNumberedparagraphs11ptChar">
    <w:name w:val="Style Numbered paragraphs + 11 pt Char"/>
    <w:rsid w:val="005118A1"/>
    <w:rPr>
      <w:noProof w:val="0"/>
      <w:sz w:val="22"/>
      <w:lang w:val="en-US" w:eastAsia="en-US" w:bidi="ar-SA"/>
    </w:rPr>
  </w:style>
  <w:style w:type="paragraph" w:styleId="BalloonText">
    <w:name w:val="Balloon Text"/>
    <w:basedOn w:val="Normal"/>
    <w:link w:val="BalloonTextChar"/>
    <w:semiHidden/>
    <w:unhideWhenUsed/>
    <w:rsid w:val="001359C7"/>
    <w:rPr>
      <w:rFonts w:ascii="Segoe UI" w:hAnsi="Segoe UI" w:cs="Segoe UI"/>
      <w:sz w:val="18"/>
      <w:szCs w:val="18"/>
    </w:rPr>
  </w:style>
  <w:style w:type="character" w:customStyle="1" w:styleId="BalloonTextChar">
    <w:name w:val="Balloon Text Char"/>
    <w:basedOn w:val="DefaultParagraphFont"/>
    <w:link w:val="BalloonText"/>
    <w:semiHidden/>
    <w:rsid w:val="001359C7"/>
    <w:rPr>
      <w:rFonts w:ascii="Segoe UI" w:hAnsi="Segoe UI" w:cs="Segoe UI"/>
      <w:snapToGrid w:val="0"/>
      <w:kern w:val="28"/>
      <w:sz w:val="18"/>
      <w:szCs w:val="18"/>
    </w:rPr>
  </w:style>
  <w:style w:type="paragraph" w:styleId="CommentText">
    <w:name w:val="annotation text"/>
    <w:basedOn w:val="Normal"/>
    <w:link w:val="CommentTextChar"/>
    <w:semiHidden/>
    <w:unhideWhenUsed/>
    <w:rsid w:val="005F3022"/>
    <w:rPr>
      <w:sz w:val="20"/>
    </w:rPr>
  </w:style>
  <w:style w:type="character" w:customStyle="1" w:styleId="CommentTextChar">
    <w:name w:val="Comment Text Char"/>
    <w:basedOn w:val="DefaultParagraphFont"/>
    <w:link w:val="CommentText"/>
    <w:semiHidden/>
    <w:rsid w:val="005F3022"/>
    <w:rPr>
      <w:snapToGrid w:val="0"/>
      <w:kern w:val="28"/>
    </w:rPr>
  </w:style>
  <w:style w:type="paragraph" w:styleId="CommentSubject">
    <w:name w:val="annotation subject"/>
    <w:basedOn w:val="CommentText"/>
    <w:next w:val="CommentText"/>
    <w:link w:val="CommentSubjectChar"/>
    <w:semiHidden/>
    <w:unhideWhenUsed/>
    <w:rsid w:val="005F3022"/>
    <w:rPr>
      <w:b/>
      <w:bCs/>
    </w:rPr>
  </w:style>
  <w:style w:type="character" w:customStyle="1" w:styleId="CommentSubjectChar">
    <w:name w:val="Comment Subject Char"/>
    <w:basedOn w:val="CommentTextChar"/>
    <w:link w:val="CommentSubject"/>
    <w:semiHidden/>
    <w:rsid w:val="005F302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FCC-16-63A1_Rc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566</Words>
  <Characters>2969</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2016-09-08T13:20:00Z</dcterms:created>
  <dcterms:modified xsi:type="dcterms:W3CDTF">2016-09-08T13:20:00Z</dcterms:modified>
  <cp:category> </cp:category>
  <cp:contentStatus> </cp:contentStatus>
</cp:coreProperties>
</file>