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B15B4" w14:textId="77777777" w:rsidR="004C2EE3" w:rsidRPr="000E3F12" w:rsidRDefault="004C2EE3" w:rsidP="0087510B">
      <w:pPr>
        <w:jc w:val="center"/>
        <w:rPr>
          <w:b/>
          <w:szCs w:val="22"/>
        </w:rPr>
      </w:pPr>
      <w:bookmarkStart w:id="0" w:name="_GoBack"/>
      <w:bookmarkEnd w:id="0"/>
      <w:r w:rsidRPr="000E3F12">
        <w:rPr>
          <w:b/>
          <w:szCs w:val="22"/>
        </w:rPr>
        <w:t>Before the</w:t>
      </w:r>
    </w:p>
    <w:p w14:paraId="6B4C8F34" w14:textId="77777777" w:rsidR="00921803" w:rsidRPr="000E3F12" w:rsidRDefault="00921803" w:rsidP="0087510B">
      <w:pPr>
        <w:pStyle w:val="StyleBoldCentered"/>
        <w:rPr>
          <w:rFonts w:ascii="Times New Roman" w:hAnsi="Times New Roman"/>
        </w:rPr>
      </w:pPr>
      <w:r w:rsidRPr="000E3F12">
        <w:rPr>
          <w:rFonts w:ascii="Times New Roman" w:hAnsi="Times New Roman"/>
        </w:rPr>
        <w:t>F</w:t>
      </w:r>
      <w:r w:rsidRPr="000E3F12">
        <w:rPr>
          <w:rFonts w:ascii="Times New Roman" w:hAnsi="Times New Roman"/>
          <w:caps w:val="0"/>
        </w:rPr>
        <w:t>ederal Communications Commission</w:t>
      </w:r>
    </w:p>
    <w:p w14:paraId="731E9E8C" w14:textId="08FE1BFF" w:rsidR="004C2EE3" w:rsidRPr="000E3F12" w:rsidRDefault="00810B6F" w:rsidP="0087510B">
      <w:pPr>
        <w:pStyle w:val="StyleBoldCentered"/>
        <w:rPr>
          <w:rFonts w:ascii="Times New Roman" w:hAnsi="Times New Roman"/>
        </w:rPr>
      </w:pPr>
      <w:r w:rsidRPr="000E3F12">
        <w:rPr>
          <w:rFonts w:ascii="Times New Roman" w:hAnsi="Times New Roman"/>
          <w:caps w:val="0"/>
        </w:rPr>
        <w:t>Washington, DC 20554</w:t>
      </w:r>
    </w:p>
    <w:p w14:paraId="78B546FC" w14:textId="77777777" w:rsidR="004C2EE3" w:rsidRPr="000E3F12" w:rsidRDefault="004C2EE3" w:rsidP="0087510B">
      <w:pPr>
        <w:rPr>
          <w:szCs w:val="22"/>
        </w:rPr>
      </w:pPr>
    </w:p>
    <w:tbl>
      <w:tblPr>
        <w:tblW w:w="0" w:type="auto"/>
        <w:tblLayout w:type="fixed"/>
        <w:tblLook w:val="0000" w:firstRow="0" w:lastRow="0" w:firstColumn="0" w:lastColumn="0" w:noHBand="0" w:noVBand="0"/>
      </w:tblPr>
      <w:tblGrid>
        <w:gridCol w:w="4698"/>
        <w:gridCol w:w="630"/>
        <w:gridCol w:w="4248"/>
      </w:tblGrid>
      <w:tr w:rsidR="004C2EE3" w:rsidRPr="000E3F12" w14:paraId="0F54AC42" w14:textId="77777777">
        <w:tc>
          <w:tcPr>
            <w:tcW w:w="4698" w:type="dxa"/>
          </w:tcPr>
          <w:p w14:paraId="5D712190" w14:textId="77777777" w:rsidR="004C2EE3" w:rsidRPr="000E3F12" w:rsidRDefault="004C2EE3" w:rsidP="0087510B">
            <w:pPr>
              <w:tabs>
                <w:tab w:val="center" w:pos="4680"/>
              </w:tabs>
              <w:suppressAutoHyphens/>
              <w:rPr>
                <w:spacing w:val="-2"/>
                <w:szCs w:val="22"/>
              </w:rPr>
            </w:pPr>
            <w:r w:rsidRPr="000E3F12">
              <w:rPr>
                <w:spacing w:val="-2"/>
                <w:szCs w:val="22"/>
              </w:rPr>
              <w:t>In the Matter of</w:t>
            </w:r>
          </w:p>
          <w:p w14:paraId="5821806E" w14:textId="77777777" w:rsidR="004C2EE3" w:rsidRPr="000E3F12" w:rsidRDefault="004C2EE3" w:rsidP="0087510B">
            <w:pPr>
              <w:tabs>
                <w:tab w:val="center" w:pos="4680"/>
              </w:tabs>
              <w:suppressAutoHyphens/>
              <w:rPr>
                <w:spacing w:val="-2"/>
                <w:szCs w:val="22"/>
              </w:rPr>
            </w:pPr>
          </w:p>
          <w:p w14:paraId="1848E41D" w14:textId="77777777" w:rsidR="00962E4A" w:rsidRPr="000E3F12" w:rsidRDefault="001B4629" w:rsidP="0087510B">
            <w:pPr>
              <w:tabs>
                <w:tab w:val="center" w:pos="4680"/>
              </w:tabs>
              <w:suppressAutoHyphens/>
              <w:rPr>
                <w:spacing w:val="-2"/>
                <w:szCs w:val="22"/>
              </w:rPr>
            </w:pPr>
            <w:r>
              <w:rPr>
                <w:spacing w:val="-2"/>
              </w:rPr>
              <w:t>UnityComm, LLC</w:t>
            </w:r>
          </w:p>
          <w:p w14:paraId="3F63F272" w14:textId="77777777" w:rsidR="00883AFD" w:rsidRPr="000E3F12" w:rsidRDefault="00883AFD" w:rsidP="0087510B">
            <w:pPr>
              <w:tabs>
                <w:tab w:val="center" w:pos="4680"/>
              </w:tabs>
              <w:suppressAutoHyphens/>
              <w:rPr>
                <w:spacing w:val="-2"/>
                <w:szCs w:val="22"/>
              </w:rPr>
            </w:pPr>
          </w:p>
          <w:p w14:paraId="7858C4F2" w14:textId="77777777" w:rsidR="00883AFD" w:rsidRDefault="00883AFD" w:rsidP="0087510B">
            <w:pPr>
              <w:tabs>
                <w:tab w:val="center" w:pos="4680"/>
              </w:tabs>
              <w:suppressAutoHyphens/>
              <w:rPr>
                <w:spacing w:val="-2"/>
                <w:szCs w:val="22"/>
              </w:rPr>
            </w:pPr>
          </w:p>
          <w:p w14:paraId="00886756" w14:textId="77777777" w:rsidR="00932340" w:rsidRPr="000E3F12" w:rsidRDefault="00932340" w:rsidP="0087510B">
            <w:pPr>
              <w:tabs>
                <w:tab w:val="center" w:pos="4680"/>
              </w:tabs>
              <w:suppressAutoHyphens/>
              <w:rPr>
                <w:spacing w:val="-2"/>
                <w:szCs w:val="22"/>
              </w:rPr>
            </w:pPr>
          </w:p>
        </w:tc>
        <w:tc>
          <w:tcPr>
            <w:tcW w:w="630" w:type="dxa"/>
          </w:tcPr>
          <w:p w14:paraId="0BF1059E" w14:textId="77777777" w:rsidR="004C2EE3" w:rsidRPr="000E3F12" w:rsidRDefault="004C2EE3" w:rsidP="0087510B">
            <w:pPr>
              <w:tabs>
                <w:tab w:val="center" w:pos="4680"/>
              </w:tabs>
              <w:suppressAutoHyphens/>
              <w:rPr>
                <w:b/>
                <w:spacing w:val="-2"/>
                <w:szCs w:val="22"/>
              </w:rPr>
            </w:pPr>
            <w:r w:rsidRPr="000E3F12">
              <w:rPr>
                <w:b/>
                <w:spacing w:val="-2"/>
                <w:szCs w:val="22"/>
              </w:rPr>
              <w:t>)</w:t>
            </w:r>
          </w:p>
          <w:p w14:paraId="38713ACB" w14:textId="77777777" w:rsidR="004C2EE3" w:rsidRPr="000E3F12" w:rsidRDefault="004C2EE3" w:rsidP="0087510B">
            <w:pPr>
              <w:tabs>
                <w:tab w:val="center" w:pos="4680"/>
              </w:tabs>
              <w:suppressAutoHyphens/>
              <w:rPr>
                <w:b/>
                <w:spacing w:val="-2"/>
                <w:szCs w:val="22"/>
              </w:rPr>
            </w:pPr>
            <w:r w:rsidRPr="000E3F12">
              <w:rPr>
                <w:b/>
                <w:spacing w:val="-2"/>
                <w:szCs w:val="22"/>
              </w:rPr>
              <w:t>)</w:t>
            </w:r>
          </w:p>
          <w:p w14:paraId="6AE94C28" w14:textId="77777777" w:rsidR="004C2EE3" w:rsidRPr="000E3F12" w:rsidRDefault="004C2EE3" w:rsidP="0087510B">
            <w:pPr>
              <w:tabs>
                <w:tab w:val="center" w:pos="4680"/>
              </w:tabs>
              <w:suppressAutoHyphens/>
              <w:rPr>
                <w:b/>
                <w:spacing w:val="-2"/>
                <w:szCs w:val="22"/>
              </w:rPr>
            </w:pPr>
            <w:r w:rsidRPr="000E3F12">
              <w:rPr>
                <w:b/>
                <w:spacing w:val="-2"/>
                <w:szCs w:val="22"/>
              </w:rPr>
              <w:t>)</w:t>
            </w:r>
          </w:p>
          <w:p w14:paraId="131B8AED" w14:textId="77777777" w:rsidR="004C2EE3" w:rsidRPr="000E3F12" w:rsidRDefault="004C2EE3" w:rsidP="0087510B">
            <w:pPr>
              <w:tabs>
                <w:tab w:val="center" w:pos="4680"/>
              </w:tabs>
              <w:suppressAutoHyphens/>
              <w:rPr>
                <w:b/>
                <w:spacing w:val="-2"/>
                <w:szCs w:val="22"/>
              </w:rPr>
            </w:pPr>
            <w:r w:rsidRPr="000E3F12">
              <w:rPr>
                <w:b/>
                <w:spacing w:val="-2"/>
                <w:szCs w:val="22"/>
              </w:rPr>
              <w:t>)</w:t>
            </w:r>
          </w:p>
          <w:p w14:paraId="22AD6B42" w14:textId="77777777" w:rsidR="0084762D" w:rsidRPr="000E3F12" w:rsidRDefault="004C2EE3">
            <w:pPr>
              <w:tabs>
                <w:tab w:val="center" w:pos="4680"/>
              </w:tabs>
              <w:suppressAutoHyphens/>
              <w:rPr>
                <w:b/>
                <w:spacing w:val="-2"/>
                <w:szCs w:val="22"/>
              </w:rPr>
            </w:pPr>
            <w:r w:rsidRPr="000E3F12">
              <w:rPr>
                <w:b/>
                <w:spacing w:val="-2"/>
                <w:szCs w:val="22"/>
              </w:rPr>
              <w:t>)</w:t>
            </w:r>
          </w:p>
        </w:tc>
        <w:tc>
          <w:tcPr>
            <w:tcW w:w="4248" w:type="dxa"/>
          </w:tcPr>
          <w:p w14:paraId="71F88F8D" w14:textId="77777777" w:rsidR="004C2EE3" w:rsidRPr="000E3F12" w:rsidRDefault="004C2EE3" w:rsidP="0087510B">
            <w:pPr>
              <w:tabs>
                <w:tab w:val="center" w:pos="4680"/>
              </w:tabs>
              <w:suppressAutoHyphens/>
              <w:rPr>
                <w:spacing w:val="-2"/>
                <w:szCs w:val="22"/>
              </w:rPr>
            </w:pPr>
          </w:p>
          <w:p w14:paraId="67A8067C" w14:textId="77777777" w:rsidR="009E5420" w:rsidRPr="000E3F12" w:rsidRDefault="009E5420" w:rsidP="0087510B">
            <w:pPr>
              <w:tabs>
                <w:tab w:val="center" w:pos="4680"/>
              </w:tabs>
              <w:suppressAutoHyphens/>
              <w:rPr>
                <w:spacing w:val="-2"/>
                <w:szCs w:val="22"/>
              </w:rPr>
            </w:pPr>
          </w:p>
          <w:p w14:paraId="340DC366" w14:textId="77777777" w:rsidR="0084762D" w:rsidRPr="001B4629" w:rsidRDefault="00D366CD" w:rsidP="0087510B">
            <w:pPr>
              <w:tabs>
                <w:tab w:val="center" w:pos="4680"/>
              </w:tabs>
              <w:suppressAutoHyphens/>
              <w:rPr>
                <w:spacing w:val="-2"/>
                <w:szCs w:val="22"/>
              </w:rPr>
            </w:pPr>
            <w:r w:rsidRPr="001B4629">
              <w:rPr>
                <w:spacing w:val="-2"/>
                <w:szCs w:val="22"/>
              </w:rPr>
              <w:t xml:space="preserve">File No.: </w:t>
            </w:r>
            <w:r w:rsidR="006669CD" w:rsidRPr="001B4629">
              <w:rPr>
                <w:szCs w:val="22"/>
              </w:rPr>
              <w:t>EB-IHD-</w:t>
            </w:r>
            <w:r w:rsidR="001B4629" w:rsidRPr="001B4629">
              <w:rPr>
                <w:szCs w:val="22"/>
              </w:rPr>
              <w:t>15</w:t>
            </w:r>
            <w:r w:rsidR="006669CD" w:rsidRPr="001B4629">
              <w:rPr>
                <w:szCs w:val="22"/>
              </w:rPr>
              <w:t>-0001</w:t>
            </w:r>
            <w:r w:rsidR="001B4629" w:rsidRPr="001B4629">
              <w:rPr>
                <w:szCs w:val="22"/>
              </w:rPr>
              <w:t>8959</w:t>
            </w:r>
          </w:p>
          <w:p w14:paraId="0F0DFFAB" w14:textId="2C4A447D" w:rsidR="009E5420" w:rsidRPr="001B4629" w:rsidRDefault="00D366CD" w:rsidP="0087510B">
            <w:pPr>
              <w:tabs>
                <w:tab w:val="center" w:pos="4680"/>
              </w:tabs>
              <w:suppressAutoHyphens/>
              <w:rPr>
                <w:spacing w:val="-2"/>
                <w:szCs w:val="22"/>
              </w:rPr>
            </w:pPr>
            <w:r w:rsidRPr="001B4629">
              <w:rPr>
                <w:spacing w:val="-2"/>
                <w:szCs w:val="22"/>
              </w:rPr>
              <w:t>NAL/Acct. No</w:t>
            </w:r>
            <w:r w:rsidRPr="00157303">
              <w:rPr>
                <w:spacing w:val="-2"/>
                <w:szCs w:val="22"/>
              </w:rPr>
              <w:t xml:space="preserve">.: </w:t>
            </w:r>
            <w:r w:rsidR="00157303" w:rsidRPr="00157303">
              <w:rPr>
                <w:szCs w:val="22"/>
              </w:rPr>
              <w:t>201632080011</w:t>
            </w:r>
          </w:p>
          <w:p w14:paraId="2715EDE8" w14:textId="77777777" w:rsidR="0084762D" w:rsidRPr="000E3F12" w:rsidRDefault="009E5420" w:rsidP="001B4629">
            <w:pPr>
              <w:tabs>
                <w:tab w:val="center" w:pos="4680"/>
              </w:tabs>
              <w:suppressAutoHyphens/>
              <w:rPr>
                <w:spacing w:val="-2"/>
                <w:szCs w:val="22"/>
              </w:rPr>
            </w:pPr>
            <w:r w:rsidRPr="001B4629">
              <w:rPr>
                <w:spacing w:val="-2"/>
                <w:szCs w:val="22"/>
              </w:rPr>
              <w:t>FRN:</w:t>
            </w:r>
            <w:r w:rsidR="00F30457" w:rsidRPr="001B4629">
              <w:rPr>
                <w:spacing w:val="-2"/>
                <w:szCs w:val="22"/>
              </w:rPr>
              <w:t xml:space="preserve"> </w:t>
            </w:r>
            <w:r w:rsidR="006C2401" w:rsidRPr="001B4629">
              <w:rPr>
                <w:szCs w:val="22"/>
              </w:rPr>
              <w:t>00</w:t>
            </w:r>
            <w:r w:rsidR="001B4629" w:rsidRPr="001B4629">
              <w:rPr>
                <w:szCs w:val="22"/>
              </w:rPr>
              <w:t>13349584</w:t>
            </w:r>
          </w:p>
        </w:tc>
      </w:tr>
    </w:tbl>
    <w:p w14:paraId="3E6124B0" w14:textId="2D1FA407" w:rsidR="00841AB1" w:rsidRPr="000E3F12" w:rsidRDefault="009E5420" w:rsidP="0087510B">
      <w:pPr>
        <w:pStyle w:val="StyleBoldCentered"/>
        <w:rPr>
          <w:rFonts w:ascii="Times New Roman" w:hAnsi="Times New Roman"/>
        </w:rPr>
      </w:pPr>
      <w:r w:rsidRPr="000E3F12">
        <w:rPr>
          <w:rFonts w:ascii="Times New Roman" w:hAnsi="Times New Roman"/>
        </w:rPr>
        <w:t>NOTICE OF APPARENT LIABILITY FOR FORFEITURE</w:t>
      </w:r>
    </w:p>
    <w:p w14:paraId="2FC93D12" w14:textId="77777777" w:rsidR="004C2EE3" w:rsidRPr="000E3F12" w:rsidRDefault="004C2EE3" w:rsidP="0087510B">
      <w:pPr>
        <w:tabs>
          <w:tab w:val="left" w:pos="-720"/>
        </w:tabs>
        <w:suppressAutoHyphens/>
        <w:spacing w:line="227" w:lineRule="auto"/>
        <w:rPr>
          <w:spacing w:val="-2"/>
          <w:szCs w:val="22"/>
        </w:rPr>
      </w:pPr>
    </w:p>
    <w:p w14:paraId="563899CE" w14:textId="23039E96" w:rsidR="004C2EE3" w:rsidRPr="000E3F12" w:rsidRDefault="004C2EE3" w:rsidP="0087510B">
      <w:pPr>
        <w:tabs>
          <w:tab w:val="left" w:pos="720"/>
          <w:tab w:val="right" w:pos="9360"/>
        </w:tabs>
        <w:suppressAutoHyphens/>
        <w:spacing w:line="227" w:lineRule="auto"/>
        <w:rPr>
          <w:spacing w:val="-2"/>
          <w:szCs w:val="22"/>
        </w:rPr>
      </w:pPr>
      <w:r w:rsidRPr="000E3F12">
        <w:rPr>
          <w:b/>
          <w:spacing w:val="-2"/>
          <w:szCs w:val="22"/>
        </w:rPr>
        <w:t xml:space="preserve">Adopted:  </w:t>
      </w:r>
      <w:r w:rsidR="00387CCD">
        <w:rPr>
          <w:b/>
          <w:spacing w:val="-2"/>
          <w:szCs w:val="22"/>
        </w:rPr>
        <w:t>September 1</w:t>
      </w:r>
      <w:r w:rsidR="00C951B3">
        <w:rPr>
          <w:b/>
          <w:spacing w:val="-2"/>
          <w:szCs w:val="22"/>
        </w:rPr>
        <w:t>4</w:t>
      </w:r>
      <w:r w:rsidR="00F30457" w:rsidRPr="000E3F12">
        <w:rPr>
          <w:b/>
          <w:spacing w:val="-2"/>
          <w:szCs w:val="22"/>
        </w:rPr>
        <w:t xml:space="preserve">, </w:t>
      </w:r>
      <w:r w:rsidR="006D1D51" w:rsidRPr="000E3F12">
        <w:rPr>
          <w:b/>
          <w:spacing w:val="-2"/>
          <w:szCs w:val="22"/>
        </w:rPr>
        <w:t>201</w:t>
      </w:r>
      <w:r w:rsidR="00103258">
        <w:rPr>
          <w:b/>
          <w:spacing w:val="-2"/>
          <w:szCs w:val="22"/>
        </w:rPr>
        <w:t>6</w:t>
      </w:r>
      <w:r w:rsidR="006D1D51" w:rsidRPr="000E3F12">
        <w:rPr>
          <w:b/>
          <w:spacing w:val="-2"/>
          <w:szCs w:val="22"/>
        </w:rPr>
        <w:t xml:space="preserve"> </w:t>
      </w:r>
      <w:r w:rsidR="006D1D51" w:rsidRPr="000E3F12">
        <w:rPr>
          <w:b/>
          <w:spacing w:val="-2"/>
          <w:szCs w:val="22"/>
        </w:rPr>
        <w:tab/>
        <w:t xml:space="preserve">Released:  </w:t>
      </w:r>
      <w:r w:rsidR="00387CCD">
        <w:rPr>
          <w:b/>
          <w:spacing w:val="-2"/>
          <w:szCs w:val="22"/>
        </w:rPr>
        <w:t>September 14</w:t>
      </w:r>
      <w:r w:rsidR="00F30457" w:rsidRPr="000E3F12">
        <w:rPr>
          <w:b/>
          <w:spacing w:val="-2"/>
          <w:szCs w:val="22"/>
        </w:rPr>
        <w:t>,</w:t>
      </w:r>
      <w:r w:rsidR="006D1D51" w:rsidRPr="000E3F12">
        <w:rPr>
          <w:b/>
          <w:spacing w:val="-2"/>
          <w:szCs w:val="22"/>
        </w:rPr>
        <w:t xml:space="preserve"> 201</w:t>
      </w:r>
      <w:r w:rsidR="00103258">
        <w:rPr>
          <w:b/>
          <w:spacing w:val="-2"/>
          <w:szCs w:val="22"/>
        </w:rPr>
        <w:t>6</w:t>
      </w:r>
    </w:p>
    <w:p w14:paraId="54714B80" w14:textId="77777777" w:rsidR="00822CE0" w:rsidRPr="000E3F12" w:rsidRDefault="00822CE0" w:rsidP="0087510B">
      <w:pPr>
        <w:rPr>
          <w:szCs w:val="22"/>
        </w:rPr>
      </w:pPr>
    </w:p>
    <w:p w14:paraId="196A5B46" w14:textId="0BA1DE53" w:rsidR="004C2EE3" w:rsidRPr="000E3F12" w:rsidRDefault="00DF4FC7" w:rsidP="0087510B">
      <w:pPr>
        <w:rPr>
          <w:spacing w:val="-2"/>
          <w:szCs w:val="22"/>
        </w:rPr>
      </w:pPr>
      <w:r w:rsidRPr="000E3F12">
        <w:rPr>
          <w:szCs w:val="22"/>
        </w:rPr>
        <w:t xml:space="preserve">By the </w:t>
      </w:r>
      <w:r w:rsidRPr="000E3F12">
        <w:rPr>
          <w:spacing w:val="-2"/>
          <w:szCs w:val="22"/>
        </w:rPr>
        <w:t>Chief, Enforcement Bureau</w:t>
      </w:r>
      <w:r w:rsidR="006D1D51" w:rsidRPr="000E3F12">
        <w:rPr>
          <w:spacing w:val="-2"/>
          <w:szCs w:val="22"/>
        </w:rPr>
        <w:t>:</w:t>
      </w:r>
    </w:p>
    <w:p w14:paraId="203C43E1" w14:textId="77777777" w:rsidR="00412FC5" w:rsidRPr="000E3F12" w:rsidRDefault="00412FC5" w:rsidP="00412FC5">
      <w:pPr>
        <w:rPr>
          <w:szCs w:val="22"/>
        </w:rPr>
      </w:pPr>
    </w:p>
    <w:p w14:paraId="4304D219" w14:textId="77777777" w:rsidR="0013527D" w:rsidRPr="00F52135" w:rsidRDefault="0009023C" w:rsidP="004500FF">
      <w:pPr>
        <w:pStyle w:val="Heading1"/>
      </w:pPr>
      <w:r w:rsidRPr="00F52135">
        <w:t>INTRODUCTIOn</w:t>
      </w:r>
    </w:p>
    <w:p w14:paraId="444C55E1" w14:textId="6C53E69D" w:rsidR="00934D21" w:rsidRPr="00DB29BB" w:rsidRDefault="00AC771C" w:rsidP="008A4B6A">
      <w:pPr>
        <w:pStyle w:val="ParaNum"/>
      </w:pPr>
      <w:r>
        <w:rPr>
          <w:szCs w:val="22"/>
        </w:rPr>
        <w:t>W</w:t>
      </w:r>
      <w:r w:rsidRPr="000E3F12">
        <w:rPr>
          <w:szCs w:val="22"/>
        </w:rPr>
        <w:t xml:space="preserve">e propose a penalty of </w:t>
      </w:r>
      <w:r w:rsidR="00E80888">
        <w:rPr>
          <w:szCs w:val="22"/>
        </w:rPr>
        <w:t>$</w:t>
      </w:r>
      <w:r w:rsidR="00A87F9C">
        <w:rPr>
          <w:szCs w:val="22"/>
        </w:rPr>
        <w:t>1</w:t>
      </w:r>
      <w:r w:rsidR="005D66C9">
        <w:rPr>
          <w:szCs w:val="22"/>
        </w:rPr>
        <w:t>0</w:t>
      </w:r>
      <w:r w:rsidR="00A87F9C">
        <w:rPr>
          <w:szCs w:val="22"/>
        </w:rPr>
        <w:t>0,000</w:t>
      </w:r>
      <w:r w:rsidRPr="00103258">
        <w:rPr>
          <w:color w:val="FF0000"/>
          <w:szCs w:val="22"/>
        </w:rPr>
        <w:t xml:space="preserve"> </w:t>
      </w:r>
      <w:r w:rsidRPr="000E3F12">
        <w:rPr>
          <w:szCs w:val="22"/>
        </w:rPr>
        <w:t xml:space="preserve">against </w:t>
      </w:r>
      <w:r w:rsidR="001B4629">
        <w:rPr>
          <w:spacing w:val="-2"/>
        </w:rPr>
        <w:t>UnityComm, LLC</w:t>
      </w:r>
      <w:r w:rsidR="006C2401" w:rsidRPr="0087510B">
        <w:t xml:space="preserve"> (</w:t>
      </w:r>
      <w:r w:rsidR="001B4629">
        <w:rPr>
          <w:spacing w:val="-2"/>
        </w:rPr>
        <w:t>UnityComm</w:t>
      </w:r>
      <w:r w:rsidR="006C2401">
        <w:t xml:space="preserve"> </w:t>
      </w:r>
      <w:r w:rsidR="006C2401" w:rsidRPr="0087510B">
        <w:t>or Company)</w:t>
      </w:r>
      <w:r w:rsidRPr="000E3F12">
        <w:rPr>
          <w:szCs w:val="22"/>
        </w:rPr>
        <w:t xml:space="preserve"> for </w:t>
      </w:r>
      <w:r w:rsidR="001B4629">
        <w:rPr>
          <w:szCs w:val="22"/>
        </w:rPr>
        <w:t>failing</w:t>
      </w:r>
      <w:r w:rsidR="00F347DA">
        <w:t xml:space="preserve"> to timely file </w:t>
      </w:r>
      <w:r w:rsidR="001B4629" w:rsidRPr="00F347DA">
        <w:rPr>
          <w:szCs w:val="22"/>
        </w:rPr>
        <w:t>Telecommunications Reporting Worksheet</w:t>
      </w:r>
      <w:r w:rsidR="00F347DA" w:rsidRPr="00F347DA">
        <w:rPr>
          <w:szCs w:val="22"/>
        </w:rPr>
        <w:t>s</w:t>
      </w:r>
      <w:r w:rsidR="00704BC9" w:rsidRPr="00F347DA">
        <w:rPr>
          <w:szCs w:val="22"/>
        </w:rPr>
        <w:t xml:space="preserve"> (Worksheet</w:t>
      </w:r>
      <w:r w:rsidR="00F347DA">
        <w:rPr>
          <w:szCs w:val="22"/>
        </w:rPr>
        <w:t>s</w:t>
      </w:r>
      <w:r w:rsidR="00704BC9" w:rsidRPr="00F347DA">
        <w:rPr>
          <w:szCs w:val="22"/>
        </w:rPr>
        <w:t xml:space="preserve">) with </w:t>
      </w:r>
      <w:r w:rsidR="00704BC9" w:rsidRPr="00F347DA">
        <w:rPr>
          <w:snapToGrid/>
        </w:rPr>
        <w:t xml:space="preserve">the </w:t>
      </w:r>
      <w:r w:rsidR="00704BC9" w:rsidRPr="005E00E0">
        <w:rPr>
          <w:noProof/>
        </w:rPr>
        <w:t>Universal Service Administrative Company (USAC)</w:t>
      </w:r>
      <w:r>
        <w:rPr>
          <w:szCs w:val="22"/>
        </w:rPr>
        <w:t xml:space="preserve">.  </w:t>
      </w:r>
      <w:r w:rsidR="00237F8F" w:rsidRPr="008A4B6A">
        <w:rPr>
          <w:snapToGrid/>
        </w:rPr>
        <w:t xml:space="preserve">Companies that provide interstate </w:t>
      </w:r>
      <w:r w:rsidR="0079529E" w:rsidRPr="008A4B6A">
        <w:rPr>
          <w:szCs w:val="22"/>
        </w:rPr>
        <w:t>t</w:t>
      </w:r>
      <w:r w:rsidR="00237F8F" w:rsidRPr="008A4B6A">
        <w:rPr>
          <w:snapToGrid/>
        </w:rPr>
        <w:t xml:space="preserve">elecommunications services, and certain other providers of interstate telecommunications, are subject to the provisions of the </w:t>
      </w:r>
      <w:r w:rsidR="00237F8F" w:rsidRPr="005E00E0">
        <w:t>Communications Act of 1934, as amended (the Act)</w:t>
      </w:r>
      <w:r w:rsidR="00BC0531">
        <w:t>,</w:t>
      </w:r>
      <w:r w:rsidR="00237F8F" w:rsidRPr="005E00E0">
        <w:t xml:space="preserve"> and the Commission’s rules (Rules).  </w:t>
      </w:r>
      <w:r w:rsidR="001B4629" w:rsidRPr="008A4B6A">
        <w:rPr>
          <w:szCs w:val="22"/>
        </w:rPr>
        <w:t>UnityComm</w:t>
      </w:r>
      <w:r w:rsidR="00DB29BB" w:rsidRPr="008A4B6A">
        <w:rPr>
          <w:szCs w:val="22"/>
        </w:rPr>
        <w:t>’s failure</w:t>
      </w:r>
      <w:r w:rsidR="001B4629" w:rsidRPr="008A4B6A">
        <w:rPr>
          <w:szCs w:val="22"/>
        </w:rPr>
        <w:t>s</w:t>
      </w:r>
      <w:r w:rsidR="00DB29BB" w:rsidRPr="008A4B6A">
        <w:rPr>
          <w:szCs w:val="22"/>
        </w:rPr>
        <w:t xml:space="preserve"> </w:t>
      </w:r>
      <w:r w:rsidR="00B96281" w:rsidRPr="008A4B6A">
        <w:rPr>
          <w:szCs w:val="22"/>
        </w:rPr>
        <w:t>to timely file Worksheet</w:t>
      </w:r>
      <w:r w:rsidR="002934CF" w:rsidRPr="008A4B6A">
        <w:rPr>
          <w:szCs w:val="22"/>
        </w:rPr>
        <w:t>s</w:t>
      </w:r>
      <w:r w:rsidR="00B96281" w:rsidRPr="008A4B6A">
        <w:rPr>
          <w:szCs w:val="22"/>
        </w:rPr>
        <w:t xml:space="preserve"> </w:t>
      </w:r>
      <w:r w:rsidR="00396ACD" w:rsidRPr="008A4B6A">
        <w:rPr>
          <w:szCs w:val="22"/>
        </w:rPr>
        <w:t xml:space="preserve">precluded federal program administrators from fully invoicing UnityComm for its required payment obligations and </w:t>
      </w:r>
      <w:r w:rsidR="00F52135" w:rsidRPr="008A4B6A">
        <w:rPr>
          <w:szCs w:val="22"/>
        </w:rPr>
        <w:t xml:space="preserve">has </w:t>
      </w:r>
      <w:r w:rsidR="00BF7863" w:rsidRPr="008A4B6A">
        <w:rPr>
          <w:szCs w:val="22"/>
        </w:rPr>
        <w:t xml:space="preserve">enabled </w:t>
      </w:r>
      <w:r w:rsidR="00704BC9" w:rsidRPr="008A4B6A">
        <w:rPr>
          <w:szCs w:val="22"/>
        </w:rPr>
        <w:t>the Company</w:t>
      </w:r>
      <w:r w:rsidR="00DB29BB" w:rsidRPr="008A4B6A">
        <w:rPr>
          <w:szCs w:val="22"/>
        </w:rPr>
        <w:t xml:space="preserve"> to </w:t>
      </w:r>
      <w:r w:rsidR="00A87F9C" w:rsidRPr="008A4B6A">
        <w:rPr>
          <w:szCs w:val="22"/>
        </w:rPr>
        <w:t xml:space="preserve">temporarily </w:t>
      </w:r>
      <w:r w:rsidR="00BC230C" w:rsidRPr="008A4B6A">
        <w:rPr>
          <w:szCs w:val="22"/>
        </w:rPr>
        <w:t>avoid</w:t>
      </w:r>
      <w:r w:rsidR="00DB29BB" w:rsidRPr="008A4B6A">
        <w:rPr>
          <w:szCs w:val="22"/>
        </w:rPr>
        <w:t xml:space="preserve"> </w:t>
      </w:r>
      <w:r w:rsidR="002934CF" w:rsidRPr="008A4B6A">
        <w:rPr>
          <w:szCs w:val="22"/>
        </w:rPr>
        <w:t xml:space="preserve">making full </w:t>
      </w:r>
      <w:r w:rsidR="00DB29BB" w:rsidRPr="008A4B6A">
        <w:rPr>
          <w:szCs w:val="22"/>
        </w:rPr>
        <w:t xml:space="preserve">payments required of interstate </w:t>
      </w:r>
      <w:r w:rsidR="002934CF" w:rsidRPr="008A4B6A">
        <w:rPr>
          <w:szCs w:val="22"/>
        </w:rPr>
        <w:t xml:space="preserve">and international </w:t>
      </w:r>
      <w:r w:rsidR="00DB29BB" w:rsidRPr="008A4B6A">
        <w:rPr>
          <w:szCs w:val="22"/>
        </w:rPr>
        <w:t>telecommunication</w:t>
      </w:r>
      <w:r w:rsidR="004F1C45" w:rsidRPr="008A4B6A">
        <w:rPr>
          <w:szCs w:val="22"/>
        </w:rPr>
        <w:t>s</w:t>
      </w:r>
      <w:r w:rsidR="00DB29BB" w:rsidRPr="008A4B6A">
        <w:rPr>
          <w:szCs w:val="22"/>
        </w:rPr>
        <w:t xml:space="preserve"> services providers </w:t>
      </w:r>
      <w:r w:rsidR="00153625" w:rsidRPr="008A4B6A">
        <w:rPr>
          <w:szCs w:val="22"/>
        </w:rPr>
        <w:t>for</w:t>
      </w:r>
      <w:r w:rsidR="00AC1DF4" w:rsidRPr="008A4B6A">
        <w:rPr>
          <w:szCs w:val="22"/>
        </w:rPr>
        <w:t xml:space="preserve"> </w:t>
      </w:r>
      <w:r w:rsidR="00F52135" w:rsidRPr="008A4B6A">
        <w:rPr>
          <w:szCs w:val="22"/>
        </w:rPr>
        <w:t>the Universal Service Fund (</w:t>
      </w:r>
      <w:r w:rsidR="00AC1DF4" w:rsidRPr="008A4B6A">
        <w:rPr>
          <w:szCs w:val="22"/>
        </w:rPr>
        <w:t>USF</w:t>
      </w:r>
      <w:r w:rsidR="00F52135" w:rsidRPr="008A4B6A">
        <w:rPr>
          <w:szCs w:val="22"/>
        </w:rPr>
        <w:t xml:space="preserve">), Telecommunications Relay Service (TRS) Fund, Local Number Portability (LNP) and North American Numbering Plan (NANP) </w:t>
      </w:r>
      <w:r w:rsidR="00895843" w:rsidRPr="008A4B6A">
        <w:rPr>
          <w:szCs w:val="22"/>
        </w:rPr>
        <w:t>administration, and federal regulatory fees</w:t>
      </w:r>
      <w:r w:rsidR="00F52135" w:rsidRPr="008A4B6A">
        <w:rPr>
          <w:szCs w:val="22"/>
        </w:rPr>
        <w:t xml:space="preserve">.  </w:t>
      </w:r>
      <w:r w:rsidR="001B4629" w:rsidRPr="008A4B6A">
        <w:rPr>
          <w:szCs w:val="22"/>
        </w:rPr>
        <w:t>The</w:t>
      </w:r>
      <w:r w:rsidR="00895843" w:rsidRPr="008A4B6A">
        <w:rPr>
          <w:szCs w:val="22"/>
        </w:rPr>
        <w:t xml:space="preserve"> filing</w:t>
      </w:r>
      <w:r w:rsidR="00DB29BB" w:rsidRPr="008A4B6A">
        <w:rPr>
          <w:szCs w:val="22"/>
        </w:rPr>
        <w:t xml:space="preserve"> failure</w:t>
      </w:r>
      <w:r w:rsidR="001B4629" w:rsidRPr="008A4B6A">
        <w:rPr>
          <w:szCs w:val="22"/>
        </w:rPr>
        <w:t>s</w:t>
      </w:r>
      <w:r w:rsidR="00DB29BB" w:rsidRPr="008A4B6A">
        <w:rPr>
          <w:szCs w:val="22"/>
        </w:rPr>
        <w:t xml:space="preserve"> </w:t>
      </w:r>
      <w:r w:rsidR="00FE1809" w:rsidRPr="008A4B6A">
        <w:rPr>
          <w:szCs w:val="22"/>
        </w:rPr>
        <w:t xml:space="preserve">thus </w:t>
      </w:r>
      <w:r w:rsidR="00D8621A" w:rsidRPr="008A4B6A">
        <w:rPr>
          <w:szCs w:val="22"/>
        </w:rPr>
        <w:t>gave</w:t>
      </w:r>
      <w:r w:rsidR="00DB29BB" w:rsidRPr="008A4B6A">
        <w:rPr>
          <w:szCs w:val="22"/>
        </w:rPr>
        <w:t xml:space="preserve"> the </w:t>
      </w:r>
      <w:r w:rsidR="003C09D6" w:rsidRPr="008A4B6A">
        <w:rPr>
          <w:color w:val="000000"/>
          <w:szCs w:val="22"/>
        </w:rPr>
        <w:t xml:space="preserve">Company </w:t>
      </w:r>
      <w:r w:rsidR="00AC1DF4" w:rsidRPr="008A4B6A">
        <w:rPr>
          <w:color w:val="000000"/>
          <w:szCs w:val="22"/>
        </w:rPr>
        <w:t xml:space="preserve">an </w:t>
      </w:r>
      <w:r w:rsidR="00C46797" w:rsidRPr="008A4B6A">
        <w:rPr>
          <w:color w:val="000000"/>
          <w:szCs w:val="22"/>
        </w:rPr>
        <w:t xml:space="preserve">unfair </w:t>
      </w:r>
      <w:r w:rsidR="00AC1DF4" w:rsidRPr="008A4B6A">
        <w:rPr>
          <w:color w:val="000000"/>
          <w:szCs w:val="22"/>
        </w:rPr>
        <w:t xml:space="preserve">economic advantage over </w:t>
      </w:r>
      <w:r w:rsidR="00163A56" w:rsidRPr="008A4B6A">
        <w:rPr>
          <w:color w:val="000000"/>
          <w:szCs w:val="22"/>
        </w:rPr>
        <w:t xml:space="preserve">its </w:t>
      </w:r>
      <w:r w:rsidR="00AC1DF4" w:rsidRPr="008A4B6A">
        <w:rPr>
          <w:color w:val="000000"/>
          <w:szCs w:val="22"/>
        </w:rPr>
        <w:t>competitors who</w:t>
      </w:r>
      <w:r w:rsidR="00340C83" w:rsidRPr="008A4B6A">
        <w:rPr>
          <w:color w:val="000000"/>
          <w:szCs w:val="22"/>
        </w:rPr>
        <w:t xml:space="preserve">, because of </w:t>
      </w:r>
      <w:r w:rsidR="001B4629">
        <w:t>UnityComm</w:t>
      </w:r>
      <w:r w:rsidR="0065105E" w:rsidRPr="008A4B6A">
        <w:rPr>
          <w:color w:val="000000"/>
          <w:szCs w:val="22"/>
        </w:rPr>
        <w:t xml:space="preserve">’s apparent </w:t>
      </w:r>
      <w:r w:rsidR="00704BC9" w:rsidRPr="008A4B6A">
        <w:rPr>
          <w:color w:val="000000"/>
          <w:szCs w:val="22"/>
        </w:rPr>
        <w:t xml:space="preserve">filing </w:t>
      </w:r>
      <w:r w:rsidR="0065105E" w:rsidRPr="008A4B6A">
        <w:rPr>
          <w:color w:val="000000"/>
          <w:szCs w:val="22"/>
        </w:rPr>
        <w:t>violations</w:t>
      </w:r>
      <w:r w:rsidR="00572D45" w:rsidRPr="008A4B6A">
        <w:rPr>
          <w:color w:val="000000"/>
          <w:szCs w:val="22"/>
        </w:rPr>
        <w:t>,</w:t>
      </w:r>
      <w:r w:rsidR="00AC1DF4" w:rsidRPr="008A4B6A">
        <w:rPr>
          <w:color w:val="000000"/>
          <w:szCs w:val="22"/>
        </w:rPr>
        <w:t xml:space="preserve"> </w:t>
      </w:r>
      <w:r w:rsidR="00B96281" w:rsidRPr="008A4B6A">
        <w:rPr>
          <w:color w:val="000000"/>
          <w:szCs w:val="22"/>
        </w:rPr>
        <w:t>had to</w:t>
      </w:r>
      <w:r w:rsidR="00AC1DF4" w:rsidRPr="008A4B6A">
        <w:rPr>
          <w:color w:val="000000"/>
          <w:szCs w:val="22"/>
        </w:rPr>
        <w:t xml:space="preserve"> </w:t>
      </w:r>
      <w:r w:rsidR="00FC69DF" w:rsidRPr="008A4B6A">
        <w:rPr>
          <w:color w:val="000000"/>
          <w:szCs w:val="22"/>
        </w:rPr>
        <w:t xml:space="preserve">pay </w:t>
      </w:r>
      <w:r w:rsidR="00AC1DF4" w:rsidRPr="008A4B6A">
        <w:rPr>
          <w:color w:val="000000"/>
          <w:szCs w:val="22"/>
        </w:rPr>
        <w:t xml:space="preserve">more than their fair share of the costs of </w:t>
      </w:r>
      <w:r w:rsidR="00AC4397" w:rsidRPr="008A4B6A">
        <w:rPr>
          <w:color w:val="000000"/>
          <w:szCs w:val="22"/>
        </w:rPr>
        <w:t xml:space="preserve">these </w:t>
      </w:r>
      <w:r w:rsidR="00163A56" w:rsidRPr="008A4B6A">
        <w:rPr>
          <w:color w:val="000000"/>
          <w:szCs w:val="22"/>
        </w:rPr>
        <w:t>important</w:t>
      </w:r>
      <w:r w:rsidR="002934CF" w:rsidRPr="008A4B6A">
        <w:rPr>
          <w:color w:val="000000"/>
        </w:rPr>
        <w:t xml:space="preserve"> </w:t>
      </w:r>
      <w:r w:rsidR="002934CF" w:rsidRPr="00895843">
        <w:t xml:space="preserve">federal regulatory </w:t>
      </w:r>
      <w:r w:rsidR="002934CF" w:rsidRPr="008A4B6A">
        <w:rPr>
          <w:szCs w:val="22"/>
        </w:rPr>
        <w:t>fee programs</w:t>
      </w:r>
      <w:r w:rsidR="00AC1DF4" w:rsidRPr="008A4B6A">
        <w:rPr>
          <w:szCs w:val="22"/>
        </w:rPr>
        <w:t>.</w:t>
      </w:r>
      <w:r w:rsidR="00895843">
        <w:rPr>
          <w:rStyle w:val="FootnoteReference"/>
          <w:szCs w:val="22"/>
        </w:rPr>
        <w:footnoteReference w:id="2"/>
      </w:r>
      <w:r w:rsidR="00AC1DF4" w:rsidRPr="008A4B6A">
        <w:rPr>
          <w:szCs w:val="22"/>
        </w:rPr>
        <w:t xml:space="preserve"> </w:t>
      </w:r>
      <w:r w:rsidR="00005D20" w:rsidRPr="008A4B6A">
        <w:rPr>
          <w:szCs w:val="22"/>
        </w:rPr>
        <w:t xml:space="preserve"> We view the Company’s apparent failures</w:t>
      </w:r>
      <w:r w:rsidR="00934D21" w:rsidRPr="00DB29BB">
        <w:t xml:space="preserve"> to </w:t>
      </w:r>
      <w:r w:rsidR="0085353D">
        <w:t xml:space="preserve">timely </w:t>
      </w:r>
      <w:r w:rsidR="001B4629">
        <w:t>file</w:t>
      </w:r>
      <w:r w:rsidR="00934D21" w:rsidRPr="00DB29BB">
        <w:t xml:space="preserve"> </w:t>
      </w:r>
      <w:r w:rsidR="001B4629">
        <w:t xml:space="preserve">its </w:t>
      </w:r>
      <w:r w:rsidR="001B4629" w:rsidRPr="008A4B6A">
        <w:rPr>
          <w:szCs w:val="22"/>
        </w:rPr>
        <w:t>Worksheets</w:t>
      </w:r>
      <w:r w:rsidR="00005D20" w:rsidRPr="008A4B6A">
        <w:rPr>
          <w:szCs w:val="22"/>
        </w:rPr>
        <w:t xml:space="preserve"> as serious dereliction</w:t>
      </w:r>
      <w:r w:rsidR="002934CF" w:rsidRPr="008A4B6A">
        <w:rPr>
          <w:szCs w:val="22"/>
        </w:rPr>
        <w:t>s</w:t>
      </w:r>
      <w:r w:rsidR="00005D20" w:rsidRPr="008A4B6A">
        <w:rPr>
          <w:szCs w:val="22"/>
        </w:rPr>
        <w:t xml:space="preserve"> of its responsibilities as a telecommunications services provider</w:t>
      </w:r>
      <w:r w:rsidR="0098028E" w:rsidRPr="008A4B6A">
        <w:rPr>
          <w:szCs w:val="22"/>
        </w:rPr>
        <w:t>.</w:t>
      </w:r>
    </w:p>
    <w:p w14:paraId="3F8769A9" w14:textId="77777777" w:rsidR="007E5137" w:rsidRPr="000E3F12" w:rsidRDefault="008F7838" w:rsidP="004500FF">
      <w:pPr>
        <w:pStyle w:val="Heading1"/>
        <w:spacing w:before="120"/>
        <w:rPr>
          <w:rFonts w:ascii="Times New Roman" w:hAnsi="Times New Roman"/>
          <w:szCs w:val="22"/>
        </w:rPr>
      </w:pPr>
      <w:r w:rsidRPr="000E3F12">
        <w:rPr>
          <w:rFonts w:ascii="Times New Roman" w:hAnsi="Times New Roman"/>
          <w:szCs w:val="22"/>
        </w:rPr>
        <w:t>BACKGROUND</w:t>
      </w:r>
    </w:p>
    <w:p w14:paraId="48ED58D4" w14:textId="77777777" w:rsidR="00B96281" w:rsidRDefault="00686CB5" w:rsidP="00895843">
      <w:pPr>
        <w:pStyle w:val="ParaNum"/>
        <w:widowControl/>
        <w:rPr>
          <w:szCs w:val="22"/>
        </w:rPr>
      </w:pPr>
      <w:r>
        <w:t>UnityComm</w:t>
      </w:r>
      <w:r w:rsidR="00640A15">
        <w:t xml:space="preserve"> </w:t>
      </w:r>
      <w:r w:rsidR="00216D5B" w:rsidRPr="000E3F12">
        <w:rPr>
          <w:snapToGrid/>
          <w:szCs w:val="22"/>
        </w:rPr>
        <w:t>is a</w:t>
      </w:r>
      <w:r w:rsidR="005C7614">
        <w:rPr>
          <w:snapToGrid/>
          <w:szCs w:val="22"/>
        </w:rPr>
        <w:t>n Indiana</w:t>
      </w:r>
      <w:r w:rsidR="00216D5B" w:rsidRPr="000E3F12">
        <w:rPr>
          <w:snapToGrid/>
          <w:szCs w:val="22"/>
        </w:rPr>
        <w:t xml:space="preserve"> </w:t>
      </w:r>
      <w:r w:rsidR="00185536">
        <w:rPr>
          <w:snapToGrid/>
          <w:szCs w:val="22"/>
        </w:rPr>
        <w:t xml:space="preserve">limited liability corporation, </w:t>
      </w:r>
      <w:r w:rsidR="00BD67D3">
        <w:rPr>
          <w:snapToGrid/>
          <w:szCs w:val="22"/>
        </w:rPr>
        <w:t xml:space="preserve">which provides </w:t>
      </w:r>
      <w:r w:rsidR="00C31D7E">
        <w:rPr>
          <w:snapToGrid/>
          <w:szCs w:val="22"/>
        </w:rPr>
        <w:t>local reseller</w:t>
      </w:r>
      <w:r w:rsidR="00BD67D3">
        <w:rPr>
          <w:snapToGrid/>
          <w:szCs w:val="22"/>
        </w:rPr>
        <w:t xml:space="preserve">, </w:t>
      </w:r>
      <w:r w:rsidR="00C31D7E">
        <w:rPr>
          <w:snapToGrid/>
          <w:szCs w:val="22"/>
        </w:rPr>
        <w:t>toll reseller</w:t>
      </w:r>
      <w:r w:rsidR="00BD67D3">
        <w:rPr>
          <w:snapToGrid/>
          <w:szCs w:val="22"/>
        </w:rPr>
        <w:t xml:space="preserve">, </w:t>
      </w:r>
      <w:r w:rsidR="00C31D7E">
        <w:rPr>
          <w:snapToGrid/>
          <w:szCs w:val="22"/>
        </w:rPr>
        <w:t xml:space="preserve">interconnected voice </w:t>
      </w:r>
      <w:r w:rsidR="00BD67D3">
        <w:rPr>
          <w:snapToGrid/>
          <w:szCs w:val="22"/>
        </w:rPr>
        <w:t xml:space="preserve">over Internet </w:t>
      </w:r>
      <w:r w:rsidR="00C31D7E">
        <w:rPr>
          <w:snapToGrid/>
          <w:szCs w:val="22"/>
        </w:rPr>
        <w:t xml:space="preserve">protocol </w:t>
      </w:r>
      <w:r w:rsidR="00163A56">
        <w:rPr>
          <w:snapToGrid/>
          <w:szCs w:val="22"/>
        </w:rPr>
        <w:t>(VoIP)</w:t>
      </w:r>
      <w:r w:rsidR="00BD67D3">
        <w:rPr>
          <w:snapToGrid/>
          <w:szCs w:val="22"/>
        </w:rPr>
        <w:t xml:space="preserve">, and </w:t>
      </w:r>
      <w:r w:rsidR="00C31D7E">
        <w:rPr>
          <w:snapToGrid/>
          <w:szCs w:val="22"/>
        </w:rPr>
        <w:t xml:space="preserve">interexchange carrier </w:t>
      </w:r>
      <w:r w:rsidR="00BD67D3">
        <w:rPr>
          <w:snapToGrid/>
          <w:szCs w:val="22"/>
        </w:rPr>
        <w:t>services in Indiana, Kentucky, Missouri, North Carolina, Ohio, Tennessee, and Texas.</w:t>
      </w:r>
      <w:r w:rsidR="00BD67D3">
        <w:rPr>
          <w:rStyle w:val="FootnoteReference"/>
          <w:snapToGrid/>
          <w:szCs w:val="22"/>
        </w:rPr>
        <w:footnoteReference w:id="3"/>
      </w:r>
      <w:r w:rsidR="00BD67D3">
        <w:rPr>
          <w:szCs w:val="22"/>
        </w:rPr>
        <w:t xml:space="preserve">  </w:t>
      </w:r>
      <w:r w:rsidR="006A2C7E">
        <w:rPr>
          <w:szCs w:val="22"/>
        </w:rPr>
        <w:t>Following repeated</w:t>
      </w:r>
      <w:r w:rsidR="00C17AF4">
        <w:rPr>
          <w:szCs w:val="22"/>
        </w:rPr>
        <w:t>,</w:t>
      </w:r>
      <w:r w:rsidR="006A2C7E">
        <w:rPr>
          <w:szCs w:val="22"/>
        </w:rPr>
        <w:t xml:space="preserve"> </w:t>
      </w:r>
      <w:r w:rsidR="00BC0531">
        <w:rPr>
          <w:szCs w:val="22"/>
        </w:rPr>
        <w:t xml:space="preserve">unsuccessful </w:t>
      </w:r>
      <w:r w:rsidR="006A2C7E">
        <w:rPr>
          <w:szCs w:val="22"/>
        </w:rPr>
        <w:t xml:space="preserve">attempts by USAC to audit </w:t>
      </w:r>
      <w:r w:rsidR="00616163">
        <w:rPr>
          <w:szCs w:val="22"/>
        </w:rPr>
        <w:t>the accuracy of UnityComm’s Worksheets</w:t>
      </w:r>
      <w:r w:rsidR="00616163" w:rsidRPr="006A715A">
        <w:rPr>
          <w:szCs w:val="22"/>
        </w:rPr>
        <w:t>,</w:t>
      </w:r>
      <w:r w:rsidR="00186FBB">
        <w:rPr>
          <w:rStyle w:val="FootnoteReference"/>
          <w:szCs w:val="22"/>
        </w:rPr>
        <w:footnoteReference w:id="4"/>
      </w:r>
      <w:r w:rsidR="00616163">
        <w:rPr>
          <w:szCs w:val="22"/>
        </w:rPr>
        <w:t xml:space="preserve"> o</w:t>
      </w:r>
      <w:r w:rsidR="00215B1D">
        <w:rPr>
          <w:szCs w:val="22"/>
        </w:rPr>
        <w:t>n May 28, 2014, USAC referred the Company to the Commission for potential enforcement action.</w:t>
      </w:r>
      <w:r w:rsidR="00215B1D">
        <w:rPr>
          <w:rStyle w:val="FootnoteReference"/>
          <w:szCs w:val="22"/>
        </w:rPr>
        <w:footnoteReference w:id="5"/>
      </w:r>
      <w:r w:rsidR="006A2C7E">
        <w:rPr>
          <w:szCs w:val="22"/>
        </w:rPr>
        <w:t xml:space="preserve">  </w:t>
      </w:r>
    </w:p>
    <w:p w14:paraId="54758E16" w14:textId="1D92BE3B" w:rsidR="00103258" w:rsidRDefault="00A434AC" w:rsidP="00051EB7">
      <w:pPr>
        <w:pStyle w:val="ParaNum"/>
        <w:widowControl/>
        <w:rPr>
          <w:szCs w:val="22"/>
        </w:rPr>
      </w:pPr>
      <w:r w:rsidRPr="00BD67D3">
        <w:rPr>
          <w:szCs w:val="22"/>
        </w:rPr>
        <w:t xml:space="preserve">On </w:t>
      </w:r>
      <w:r w:rsidR="00563BB8">
        <w:rPr>
          <w:szCs w:val="22"/>
        </w:rPr>
        <w:t>April 3, 2015</w:t>
      </w:r>
      <w:r w:rsidRPr="00BD67D3">
        <w:rPr>
          <w:szCs w:val="22"/>
        </w:rPr>
        <w:t xml:space="preserve">, the Enforcement Bureau </w:t>
      </w:r>
      <w:r w:rsidR="00D8621A">
        <w:rPr>
          <w:szCs w:val="22"/>
        </w:rPr>
        <w:t xml:space="preserve">(Bureau) </w:t>
      </w:r>
      <w:r w:rsidRPr="00BD67D3">
        <w:rPr>
          <w:szCs w:val="22"/>
        </w:rPr>
        <w:t>issued a Letter of Inquiry</w:t>
      </w:r>
      <w:r w:rsidR="00B83C4F" w:rsidRPr="00BD67D3">
        <w:rPr>
          <w:szCs w:val="22"/>
        </w:rPr>
        <w:t xml:space="preserve"> (LOI)</w:t>
      </w:r>
      <w:r w:rsidRPr="00BD67D3">
        <w:rPr>
          <w:szCs w:val="22"/>
        </w:rPr>
        <w:t xml:space="preserve"> to </w:t>
      </w:r>
      <w:r w:rsidR="00BD67D3">
        <w:rPr>
          <w:szCs w:val="22"/>
        </w:rPr>
        <w:t>UnityComm</w:t>
      </w:r>
      <w:r w:rsidRPr="00BD67D3">
        <w:rPr>
          <w:snapToGrid/>
          <w:kern w:val="0"/>
          <w:szCs w:val="22"/>
        </w:rPr>
        <w:t xml:space="preserve"> to investigate whether the Company </w:t>
      </w:r>
      <w:r w:rsidR="00D87F97" w:rsidRPr="00BD67D3">
        <w:rPr>
          <w:snapToGrid/>
          <w:kern w:val="0"/>
          <w:szCs w:val="22"/>
        </w:rPr>
        <w:t xml:space="preserve">had </w:t>
      </w:r>
      <w:r w:rsidRPr="00BD67D3">
        <w:rPr>
          <w:snapToGrid/>
          <w:kern w:val="0"/>
          <w:szCs w:val="22"/>
        </w:rPr>
        <w:t>violated provisions of the Act and Rules</w:t>
      </w:r>
      <w:r w:rsidR="00163A56">
        <w:rPr>
          <w:snapToGrid/>
          <w:kern w:val="0"/>
          <w:szCs w:val="22"/>
        </w:rPr>
        <w:t xml:space="preserve">, including the failure </w:t>
      </w:r>
      <w:r w:rsidR="00563BB8">
        <w:rPr>
          <w:snapToGrid/>
          <w:kern w:val="0"/>
          <w:szCs w:val="22"/>
        </w:rPr>
        <w:t>to</w:t>
      </w:r>
      <w:r w:rsidR="00895843">
        <w:rPr>
          <w:snapToGrid/>
          <w:kern w:val="0"/>
          <w:szCs w:val="22"/>
        </w:rPr>
        <w:t xml:space="preserve"> </w:t>
      </w:r>
      <w:r w:rsidRPr="00BD67D3">
        <w:rPr>
          <w:snapToGrid/>
          <w:kern w:val="0"/>
          <w:szCs w:val="22"/>
        </w:rPr>
        <w:t xml:space="preserve">file </w:t>
      </w:r>
      <w:r w:rsidR="00734634" w:rsidRPr="00BD67D3">
        <w:rPr>
          <w:snapToGrid/>
          <w:kern w:val="0"/>
          <w:szCs w:val="22"/>
        </w:rPr>
        <w:t>required regulatory data</w:t>
      </w:r>
      <w:r w:rsidRPr="00BD67D3">
        <w:rPr>
          <w:snapToGrid/>
          <w:kern w:val="0"/>
          <w:szCs w:val="22"/>
        </w:rPr>
        <w:t>.</w:t>
      </w:r>
      <w:r w:rsidRPr="00A434AC">
        <w:rPr>
          <w:snapToGrid/>
          <w:kern w:val="0"/>
          <w:szCs w:val="22"/>
          <w:vertAlign w:val="superscript"/>
        </w:rPr>
        <w:footnoteReference w:id="6"/>
      </w:r>
      <w:r w:rsidRPr="00BD67D3">
        <w:rPr>
          <w:szCs w:val="22"/>
        </w:rPr>
        <w:t xml:space="preserve">  </w:t>
      </w:r>
      <w:r w:rsidR="00D8621A">
        <w:rPr>
          <w:szCs w:val="22"/>
        </w:rPr>
        <w:t>UnityComm</w:t>
      </w:r>
      <w:r w:rsidR="00563BB8">
        <w:rPr>
          <w:szCs w:val="22"/>
        </w:rPr>
        <w:t xml:space="preserve"> </w:t>
      </w:r>
      <w:r w:rsidR="00A65EA8">
        <w:rPr>
          <w:szCs w:val="22"/>
        </w:rPr>
        <w:t>responded</w:t>
      </w:r>
      <w:r w:rsidR="003B2F01" w:rsidRPr="00563BB8">
        <w:rPr>
          <w:szCs w:val="22"/>
        </w:rPr>
        <w:t xml:space="preserve"> to the LOI on </w:t>
      </w:r>
      <w:r w:rsidR="00563BB8">
        <w:rPr>
          <w:szCs w:val="22"/>
        </w:rPr>
        <w:t>July 29, 2015</w:t>
      </w:r>
      <w:r w:rsidR="00D8621A">
        <w:rPr>
          <w:szCs w:val="22"/>
        </w:rPr>
        <w:t>, after the Bureau granted the Company’s extension requests</w:t>
      </w:r>
      <w:r w:rsidR="00563BB8">
        <w:rPr>
          <w:szCs w:val="22"/>
        </w:rPr>
        <w:t>.</w:t>
      </w:r>
      <w:r w:rsidR="003B2F01">
        <w:rPr>
          <w:rStyle w:val="FootnoteReference"/>
          <w:szCs w:val="22"/>
        </w:rPr>
        <w:footnoteReference w:id="7"/>
      </w:r>
      <w:r w:rsidR="00E12F5B">
        <w:rPr>
          <w:szCs w:val="22"/>
        </w:rPr>
        <w:t xml:space="preserve"> </w:t>
      </w:r>
    </w:p>
    <w:p w14:paraId="64BE489D" w14:textId="44E5230E" w:rsidR="00612BD9" w:rsidRDefault="00B55C3D" w:rsidP="004500FF">
      <w:pPr>
        <w:pStyle w:val="Heading1"/>
        <w:spacing w:before="120"/>
        <w:rPr>
          <w:rFonts w:ascii="Times New Roman" w:hAnsi="Times New Roman"/>
          <w:szCs w:val="22"/>
        </w:rPr>
      </w:pPr>
      <w:r w:rsidRPr="000E3F12">
        <w:rPr>
          <w:rFonts w:ascii="Times New Roman" w:hAnsi="Times New Roman"/>
          <w:szCs w:val="22"/>
        </w:rPr>
        <w:t>Discussion</w:t>
      </w:r>
    </w:p>
    <w:p w14:paraId="72F49E27" w14:textId="578F81CE" w:rsidR="00B05405" w:rsidRDefault="00B05405" w:rsidP="00051EB7">
      <w:pPr>
        <w:pStyle w:val="ParaNum"/>
      </w:pPr>
      <w:r w:rsidRPr="00F47258">
        <w:t>Based on the facts and circumstances before us, and as described more fully below,</w:t>
      </w:r>
      <w:r w:rsidRPr="00F47258" w:rsidDel="00B05405">
        <w:t xml:space="preserve"> </w:t>
      </w:r>
      <w:r w:rsidRPr="00F47258">
        <w:t xml:space="preserve">we </w:t>
      </w:r>
      <w:r w:rsidR="00CA5009" w:rsidRPr="00F47258">
        <w:t xml:space="preserve">find </w:t>
      </w:r>
      <w:r w:rsidRPr="00F47258">
        <w:t xml:space="preserve">it is apparent </w:t>
      </w:r>
      <w:r w:rsidR="00CA5009" w:rsidRPr="00F47258">
        <w:t xml:space="preserve">that UnityComm willfully </w:t>
      </w:r>
      <w:r w:rsidR="00473CDD" w:rsidRPr="00F47258">
        <w:t>and</w:t>
      </w:r>
      <w:r w:rsidR="00CA5009" w:rsidRPr="00F47258">
        <w:t xml:space="preserve"> repeatedly failed to timely file Worksheet</w:t>
      </w:r>
      <w:r w:rsidR="00F47258">
        <w:t xml:space="preserve">s </w:t>
      </w:r>
      <w:r w:rsidR="00CA5009" w:rsidRPr="00F47258">
        <w:t xml:space="preserve">in accordance with </w:t>
      </w:r>
      <w:r w:rsidR="00322227">
        <w:t>Section</w:t>
      </w:r>
      <w:r w:rsidR="00CA5009" w:rsidRPr="0006535D">
        <w:t xml:space="preserve"> </w:t>
      </w:r>
      <w:r w:rsidR="00CA5009" w:rsidRPr="0018326B">
        <w:t>54.711(a)</w:t>
      </w:r>
      <w:r w:rsidR="00322227">
        <w:t xml:space="preserve"> </w:t>
      </w:r>
      <w:r w:rsidR="00CA5009" w:rsidRPr="00F47258">
        <w:t>of the Rules.</w:t>
      </w:r>
      <w:r w:rsidR="00CA5009" w:rsidRPr="00DD00A4">
        <w:rPr>
          <w:rStyle w:val="FootnoteReference"/>
          <w:sz w:val="22"/>
          <w:szCs w:val="22"/>
        </w:rPr>
        <w:footnoteReference w:id="8"/>
      </w:r>
      <w:r w:rsidR="00CA5009" w:rsidRPr="00F47258">
        <w:t xml:space="preserve">  </w:t>
      </w:r>
      <w:r w:rsidR="00F47258" w:rsidRPr="0087510B">
        <w:t xml:space="preserve">  </w:t>
      </w:r>
    </w:p>
    <w:p w14:paraId="761EDDD8" w14:textId="3B0CDBB9" w:rsidR="00CA5009" w:rsidRDefault="00554E1D" w:rsidP="00BB5186">
      <w:pPr>
        <w:pStyle w:val="ParaNum"/>
        <w:widowControl/>
      </w:pPr>
      <w:bookmarkStart w:id="1" w:name="FN[FN3]"/>
      <w:bookmarkStart w:id="2" w:name="FN[FN4]"/>
      <w:bookmarkStart w:id="3" w:name="FN[FN5]"/>
      <w:bookmarkEnd w:id="1"/>
      <w:bookmarkEnd w:id="2"/>
      <w:bookmarkEnd w:id="3"/>
      <w:r w:rsidRPr="00DD00A4">
        <w:rPr>
          <w:szCs w:val="22"/>
        </w:rPr>
        <w:t xml:space="preserve">The Act directs the Commission to establish, administer, and maintain programs to promote universal service, </w:t>
      </w:r>
      <w:r w:rsidRPr="00473CDD">
        <w:rPr>
          <w:snapToGrid/>
        </w:rPr>
        <w:t>TRS</w:t>
      </w:r>
      <w:r w:rsidRPr="00DD00A4">
        <w:rPr>
          <w:szCs w:val="22"/>
        </w:rPr>
        <w:t>, and numbering administration programs, among other mandates.</w:t>
      </w:r>
      <w:r w:rsidRPr="00DD00A4">
        <w:rPr>
          <w:rStyle w:val="FootnoteReference"/>
          <w:sz w:val="22"/>
          <w:szCs w:val="22"/>
        </w:rPr>
        <w:footnoteReference w:id="9"/>
      </w:r>
      <w:r w:rsidRPr="00DD00A4">
        <w:rPr>
          <w:szCs w:val="22"/>
        </w:rPr>
        <w:t xml:space="preserve">  To help accomplish these goals, the Commission has established the USF, the TRS Fund, and cost recovery mechanisms for </w:t>
      </w:r>
      <w:r w:rsidR="0067106E">
        <w:rPr>
          <w:szCs w:val="22"/>
        </w:rPr>
        <w:t>LNP and NANP</w:t>
      </w:r>
      <w:r w:rsidRPr="00DD00A4">
        <w:rPr>
          <w:szCs w:val="22"/>
        </w:rPr>
        <w:t xml:space="preserve"> administration.  As Congress has directed,</w:t>
      </w:r>
      <w:r w:rsidRPr="00DD00A4">
        <w:rPr>
          <w:rStyle w:val="FootnoteReference"/>
          <w:sz w:val="22"/>
          <w:szCs w:val="22"/>
        </w:rPr>
        <w:footnoteReference w:id="10"/>
      </w:r>
      <w:r w:rsidRPr="00DD00A4">
        <w:rPr>
          <w:szCs w:val="22"/>
        </w:rPr>
        <w:t xml:space="preserve"> the Commission funds these programs though assessments on telecommunications </w:t>
      </w:r>
      <w:r w:rsidR="00D029FF">
        <w:rPr>
          <w:szCs w:val="22"/>
        </w:rPr>
        <w:t xml:space="preserve">service </w:t>
      </w:r>
      <w:r w:rsidRPr="00DD00A4">
        <w:rPr>
          <w:szCs w:val="22"/>
        </w:rPr>
        <w:t xml:space="preserve">providers.  To gather the data necessary to calculate assessments, the Commission requires interstate telecommunications </w:t>
      </w:r>
      <w:r w:rsidR="00D029FF">
        <w:rPr>
          <w:szCs w:val="22"/>
        </w:rPr>
        <w:t xml:space="preserve">service </w:t>
      </w:r>
      <w:r w:rsidRPr="00DD00A4">
        <w:rPr>
          <w:szCs w:val="22"/>
        </w:rPr>
        <w:t xml:space="preserve">providers, among others, to </w:t>
      </w:r>
      <w:r w:rsidR="00E352FB">
        <w:rPr>
          <w:szCs w:val="22"/>
        </w:rPr>
        <w:t xml:space="preserve">periodically </w:t>
      </w:r>
      <w:r w:rsidRPr="00DD00A4">
        <w:rPr>
          <w:szCs w:val="22"/>
        </w:rPr>
        <w:t xml:space="preserve">file </w:t>
      </w:r>
      <w:r w:rsidR="00E352FB">
        <w:rPr>
          <w:szCs w:val="22"/>
        </w:rPr>
        <w:t>the FCC Form 499A (Annual Worksheet)</w:t>
      </w:r>
      <w:r w:rsidRPr="00DD00A4">
        <w:rPr>
          <w:szCs w:val="22"/>
        </w:rPr>
        <w:t xml:space="preserve"> reporting providers’ actual revenues from </w:t>
      </w:r>
      <w:r w:rsidR="00AF3027">
        <w:rPr>
          <w:szCs w:val="22"/>
        </w:rPr>
        <w:t xml:space="preserve">the </w:t>
      </w:r>
      <w:r w:rsidRPr="00DD00A4">
        <w:rPr>
          <w:szCs w:val="22"/>
        </w:rPr>
        <w:t xml:space="preserve">various types of services </w:t>
      </w:r>
      <w:r w:rsidR="00AF3027">
        <w:rPr>
          <w:szCs w:val="22"/>
        </w:rPr>
        <w:t xml:space="preserve">provided </w:t>
      </w:r>
      <w:r w:rsidRPr="00DD00A4">
        <w:rPr>
          <w:szCs w:val="22"/>
        </w:rPr>
        <w:t xml:space="preserve">during the </w:t>
      </w:r>
      <w:r w:rsidR="00AF3027">
        <w:rPr>
          <w:szCs w:val="22"/>
        </w:rPr>
        <w:t xml:space="preserve">previous </w:t>
      </w:r>
      <w:r w:rsidRPr="00DD00A4">
        <w:rPr>
          <w:szCs w:val="22"/>
        </w:rPr>
        <w:t>calendar year.</w:t>
      </w:r>
      <w:r w:rsidRPr="00DD00A4">
        <w:rPr>
          <w:rStyle w:val="FootnoteReference"/>
          <w:sz w:val="22"/>
          <w:szCs w:val="22"/>
        </w:rPr>
        <w:footnoteReference w:id="11"/>
      </w:r>
      <w:r>
        <w:rPr>
          <w:szCs w:val="22"/>
        </w:rPr>
        <w:t xml:space="preserve"> </w:t>
      </w:r>
      <w:r w:rsidRPr="00DD00A4">
        <w:rPr>
          <w:szCs w:val="22"/>
        </w:rPr>
        <w:t xml:space="preserve"> Telecommunications </w:t>
      </w:r>
      <w:r>
        <w:rPr>
          <w:szCs w:val="22"/>
        </w:rPr>
        <w:t xml:space="preserve">service </w:t>
      </w:r>
      <w:r w:rsidRPr="00DD00A4">
        <w:rPr>
          <w:szCs w:val="22"/>
        </w:rPr>
        <w:t xml:space="preserve">providers such as </w:t>
      </w:r>
      <w:r>
        <w:rPr>
          <w:szCs w:val="22"/>
        </w:rPr>
        <w:t>UnityComm</w:t>
      </w:r>
      <w:r w:rsidRPr="00DD00A4">
        <w:rPr>
          <w:szCs w:val="22"/>
        </w:rPr>
        <w:t xml:space="preserve"> must also </w:t>
      </w:r>
      <w:r w:rsidR="00E352FB">
        <w:rPr>
          <w:szCs w:val="22"/>
        </w:rPr>
        <w:t xml:space="preserve">periodically </w:t>
      </w:r>
      <w:r w:rsidRPr="00DD00A4">
        <w:rPr>
          <w:snapToGrid/>
          <w:kern w:val="0"/>
          <w:szCs w:val="22"/>
        </w:rPr>
        <w:t xml:space="preserve">file </w:t>
      </w:r>
      <w:r w:rsidR="00E352FB">
        <w:rPr>
          <w:szCs w:val="22"/>
        </w:rPr>
        <w:t>the FCC Form 499Q (</w:t>
      </w:r>
      <w:r w:rsidR="00E352FB" w:rsidRPr="00DD00A4">
        <w:rPr>
          <w:snapToGrid/>
          <w:kern w:val="0"/>
          <w:szCs w:val="22"/>
        </w:rPr>
        <w:t xml:space="preserve">Quarterly </w:t>
      </w:r>
      <w:r w:rsidR="00E352FB">
        <w:rPr>
          <w:szCs w:val="22"/>
        </w:rPr>
        <w:t>Worksheet)</w:t>
      </w:r>
      <w:r w:rsidRPr="00DD00A4">
        <w:rPr>
          <w:snapToGrid/>
          <w:kern w:val="0"/>
          <w:szCs w:val="22"/>
        </w:rPr>
        <w:t xml:space="preserve"> projecting their revenue for </w:t>
      </w:r>
      <w:r w:rsidR="00E347D7">
        <w:rPr>
          <w:snapToGrid/>
          <w:kern w:val="0"/>
          <w:szCs w:val="22"/>
        </w:rPr>
        <w:t xml:space="preserve">the </w:t>
      </w:r>
      <w:r w:rsidRPr="00DD00A4">
        <w:rPr>
          <w:snapToGrid/>
          <w:kern w:val="0"/>
          <w:szCs w:val="22"/>
        </w:rPr>
        <w:t>upcoming quarter</w:t>
      </w:r>
      <w:r>
        <w:rPr>
          <w:snapToGrid/>
          <w:kern w:val="0"/>
          <w:szCs w:val="22"/>
        </w:rPr>
        <w:t>.</w:t>
      </w:r>
      <w:r w:rsidRPr="00DD00A4">
        <w:rPr>
          <w:snapToGrid/>
          <w:kern w:val="0"/>
          <w:szCs w:val="22"/>
          <w:vertAlign w:val="superscript"/>
        </w:rPr>
        <w:footnoteReference w:id="12"/>
      </w:r>
      <w:r w:rsidRPr="00DD00A4">
        <w:rPr>
          <w:snapToGrid/>
          <w:kern w:val="0"/>
          <w:szCs w:val="22"/>
        </w:rPr>
        <w:t xml:space="preserve">  USAC</w:t>
      </w:r>
      <w:r w:rsidRPr="00DD00A4">
        <w:rPr>
          <w:szCs w:val="22"/>
        </w:rPr>
        <w:t xml:space="preserve"> </w:t>
      </w:r>
      <w:r>
        <w:rPr>
          <w:szCs w:val="22"/>
        </w:rPr>
        <w:t>utilizes</w:t>
      </w:r>
      <w:r w:rsidRPr="00DD00A4">
        <w:rPr>
          <w:szCs w:val="22"/>
        </w:rPr>
        <w:t xml:space="preserve"> projected revenue data to calculate </w:t>
      </w:r>
      <w:r w:rsidR="00F000AF">
        <w:rPr>
          <w:szCs w:val="22"/>
        </w:rPr>
        <w:t>a company</w:t>
      </w:r>
      <w:r w:rsidR="00F000AF" w:rsidRPr="00DD00A4">
        <w:rPr>
          <w:snapToGrid/>
          <w:kern w:val="0"/>
          <w:szCs w:val="22"/>
        </w:rPr>
        <w:t>’</w:t>
      </w:r>
      <w:r w:rsidR="00F000AF">
        <w:rPr>
          <w:snapToGrid/>
          <w:kern w:val="0"/>
          <w:szCs w:val="22"/>
        </w:rPr>
        <w:t>s</w:t>
      </w:r>
      <w:r w:rsidR="00F000AF" w:rsidRPr="00DD00A4">
        <w:rPr>
          <w:snapToGrid/>
          <w:kern w:val="0"/>
          <w:szCs w:val="22"/>
        </w:rPr>
        <w:t xml:space="preserve"> </w:t>
      </w:r>
      <w:r w:rsidRPr="00DD00A4">
        <w:rPr>
          <w:snapToGrid/>
          <w:kern w:val="0"/>
          <w:szCs w:val="22"/>
        </w:rPr>
        <w:t xml:space="preserve">required monthly USF </w:t>
      </w:r>
      <w:r w:rsidRPr="00DD00A4">
        <w:rPr>
          <w:szCs w:val="22"/>
        </w:rPr>
        <w:t>contribution</w:t>
      </w:r>
      <w:r>
        <w:rPr>
          <w:szCs w:val="22"/>
        </w:rPr>
        <w:t>s</w:t>
      </w:r>
      <w:r w:rsidRPr="00DD00A4">
        <w:rPr>
          <w:snapToGrid/>
          <w:kern w:val="0"/>
          <w:szCs w:val="22"/>
        </w:rPr>
        <w:t>.</w:t>
      </w:r>
      <w:r w:rsidR="00B96281" w:rsidRPr="00DD00A4">
        <w:rPr>
          <w:rStyle w:val="FootnoteReference"/>
          <w:snapToGrid/>
          <w:kern w:val="0"/>
          <w:sz w:val="22"/>
          <w:szCs w:val="22"/>
        </w:rPr>
        <w:footnoteReference w:id="13"/>
      </w:r>
      <w:r w:rsidR="00B96281">
        <w:t xml:space="preserve">  </w:t>
      </w:r>
      <w:r w:rsidR="00B96281" w:rsidRPr="00554E1D">
        <w:rPr>
          <w:snapToGrid/>
        </w:rPr>
        <w:t xml:space="preserve">The </w:t>
      </w:r>
      <w:r w:rsidR="008A09B4">
        <w:rPr>
          <w:snapToGrid/>
        </w:rPr>
        <w:t xml:space="preserve">FCC </w:t>
      </w:r>
      <w:r w:rsidR="00B96281" w:rsidRPr="00554E1D">
        <w:rPr>
          <w:snapToGrid/>
        </w:rPr>
        <w:t xml:space="preserve">Form 499A and </w:t>
      </w:r>
      <w:r w:rsidR="008A09B4">
        <w:rPr>
          <w:snapToGrid/>
        </w:rPr>
        <w:t xml:space="preserve">FCC </w:t>
      </w:r>
      <w:r w:rsidR="00B96281" w:rsidRPr="00554E1D">
        <w:rPr>
          <w:snapToGrid/>
        </w:rPr>
        <w:t xml:space="preserve">Form 499Q filing obligations allow the Commission and the administrators of the USF, </w:t>
      </w:r>
      <w:r w:rsidRPr="00554E1D">
        <w:rPr>
          <w:snapToGrid/>
        </w:rPr>
        <w:t xml:space="preserve">TRS </w:t>
      </w:r>
      <w:r w:rsidR="00B96281" w:rsidRPr="00554E1D">
        <w:rPr>
          <w:snapToGrid/>
        </w:rPr>
        <w:t xml:space="preserve">Fund, </w:t>
      </w:r>
      <w:r w:rsidR="009B7BBF">
        <w:rPr>
          <w:snapToGrid/>
        </w:rPr>
        <w:t>LNP,</w:t>
      </w:r>
      <w:r w:rsidR="008A09B4">
        <w:rPr>
          <w:snapToGrid/>
        </w:rPr>
        <w:t xml:space="preserve"> NANP</w:t>
      </w:r>
      <w:r w:rsidR="009B7BBF">
        <w:rPr>
          <w:snapToGrid/>
        </w:rPr>
        <w:t>, and</w:t>
      </w:r>
      <w:r w:rsidR="00B96281" w:rsidRPr="00554E1D">
        <w:rPr>
          <w:snapToGrid/>
        </w:rPr>
        <w:t xml:space="preserve"> regulatory fee program</w:t>
      </w:r>
      <w:r w:rsidR="008A09B4">
        <w:rPr>
          <w:snapToGrid/>
        </w:rPr>
        <w:t>s</w:t>
      </w:r>
      <w:r w:rsidR="00B96281" w:rsidRPr="00554E1D">
        <w:rPr>
          <w:snapToGrid/>
        </w:rPr>
        <w:t xml:space="preserve"> </w:t>
      </w:r>
      <w:r w:rsidR="00B96281" w:rsidRPr="00554E1D">
        <w:rPr>
          <w:color w:val="000000"/>
        </w:rPr>
        <w:t xml:space="preserve">to determine the extent of </w:t>
      </w:r>
      <w:r w:rsidR="008A09B4">
        <w:rPr>
          <w:color w:val="000000"/>
        </w:rPr>
        <w:t>a</w:t>
      </w:r>
      <w:r w:rsidR="00F000AF" w:rsidRPr="00554E1D">
        <w:rPr>
          <w:color w:val="000000"/>
        </w:rPr>
        <w:t xml:space="preserve"> </w:t>
      </w:r>
      <w:r w:rsidR="00B96281" w:rsidRPr="00554E1D">
        <w:rPr>
          <w:color w:val="000000"/>
        </w:rPr>
        <w:t>company’s payment obligations</w:t>
      </w:r>
      <w:r w:rsidR="00EC7F56" w:rsidRPr="00554E1D">
        <w:rPr>
          <w:color w:val="000000"/>
        </w:rPr>
        <w:t xml:space="preserve"> for these federal programs</w:t>
      </w:r>
      <w:r w:rsidR="00B96281" w:rsidRPr="00554E1D">
        <w:rPr>
          <w:color w:val="000000"/>
        </w:rPr>
        <w:t>.</w:t>
      </w:r>
      <w:r w:rsidR="00B96281" w:rsidRPr="000E3F12">
        <w:rPr>
          <w:rStyle w:val="FootnoteReference"/>
          <w:sz w:val="22"/>
          <w:szCs w:val="22"/>
        </w:rPr>
        <w:footnoteReference w:id="14"/>
      </w:r>
      <w:r w:rsidR="00B96281" w:rsidRPr="005E00E0">
        <w:t xml:space="preserve">  </w:t>
      </w:r>
    </w:p>
    <w:p w14:paraId="2005EE4D" w14:textId="5388D317" w:rsidR="005278BA" w:rsidRPr="00DD00A4" w:rsidRDefault="00CA5009" w:rsidP="00C921BC">
      <w:pPr>
        <w:pStyle w:val="ParaNum"/>
        <w:widowControl/>
      </w:pPr>
      <w:r>
        <w:rPr>
          <w:noProof/>
          <w:szCs w:val="22"/>
        </w:rPr>
        <w:t>UnityComm</w:t>
      </w:r>
      <w:r w:rsidRPr="00563BB8">
        <w:rPr>
          <w:noProof/>
          <w:szCs w:val="22"/>
        </w:rPr>
        <w:t xml:space="preserve"> </w:t>
      </w:r>
      <w:r w:rsidR="00E622C4">
        <w:rPr>
          <w:szCs w:val="22"/>
        </w:rPr>
        <w:t xml:space="preserve">apparently has </w:t>
      </w:r>
      <w:r w:rsidRPr="00563BB8">
        <w:rPr>
          <w:noProof/>
          <w:szCs w:val="22"/>
        </w:rPr>
        <w:t xml:space="preserve">not </w:t>
      </w:r>
      <w:r>
        <w:rPr>
          <w:noProof/>
          <w:szCs w:val="22"/>
        </w:rPr>
        <w:t>file</w:t>
      </w:r>
      <w:r w:rsidR="006C1699">
        <w:rPr>
          <w:noProof/>
          <w:szCs w:val="22"/>
        </w:rPr>
        <w:t>d</w:t>
      </w:r>
      <w:r w:rsidR="009A4DBD">
        <w:rPr>
          <w:noProof/>
          <w:szCs w:val="22"/>
        </w:rPr>
        <w:t xml:space="preserve"> </w:t>
      </w:r>
      <w:r w:rsidR="008040BD">
        <w:rPr>
          <w:noProof/>
          <w:szCs w:val="22"/>
        </w:rPr>
        <w:t>two</w:t>
      </w:r>
      <w:r>
        <w:rPr>
          <w:noProof/>
          <w:szCs w:val="22"/>
        </w:rPr>
        <w:t xml:space="preserve"> Quarterly </w:t>
      </w:r>
      <w:r w:rsidR="009A4DBD">
        <w:rPr>
          <w:noProof/>
          <w:szCs w:val="22"/>
        </w:rPr>
        <w:t>Worksheet</w:t>
      </w:r>
      <w:r w:rsidR="00CC4E47">
        <w:rPr>
          <w:noProof/>
          <w:szCs w:val="22"/>
        </w:rPr>
        <w:t>s</w:t>
      </w:r>
      <w:r w:rsidR="009B7BBF">
        <w:rPr>
          <w:noProof/>
          <w:szCs w:val="22"/>
        </w:rPr>
        <w:t>, which were</w:t>
      </w:r>
      <w:r w:rsidR="00D029FF">
        <w:rPr>
          <w:noProof/>
          <w:szCs w:val="22"/>
        </w:rPr>
        <w:t xml:space="preserve"> due May 1</w:t>
      </w:r>
      <w:r w:rsidR="009B7BBF">
        <w:rPr>
          <w:noProof/>
          <w:szCs w:val="22"/>
        </w:rPr>
        <w:t xml:space="preserve"> and August 1, 2016</w:t>
      </w:r>
      <w:r w:rsidR="00E622C4">
        <w:rPr>
          <w:szCs w:val="22"/>
        </w:rPr>
        <w:t>.</w:t>
      </w:r>
      <w:r w:rsidR="00CC4E47" w:rsidRPr="009B7BBF">
        <w:rPr>
          <w:rStyle w:val="FootnoteReference"/>
        </w:rPr>
        <w:footnoteReference w:id="15"/>
      </w:r>
      <w:r w:rsidR="00CC4E47" w:rsidRPr="009B7BBF">
        <w:t xml:space="preserve">  </w:t>
      </w:r>
      <w:r w:rsidR="00DB58C0">
        <w:rPr>
          <w:szCs w:val="22"/>
        </w:rPr>
        <w:t>W</w:t>
      </w:r>
      <w:r w:rsidR="006D0007" w:rsidRPr="00554E1D">
        <w:rPr>
          <w:szCs w:val="22"/>
        </w:rPr>
        <w:t xml:space="preserve">e therefore find </w:t>
      </w:r>
      <w:r w:rsidR="009A4DBD">
        <w:rPr>
          <w:szCs w:val="22"/>
        </w:rPr>
        <w:t xml:space="preserve">it is apparent </w:t>
      </w:r>
      <w:r w:rsidR="006D0007" w:rsidRPr="00554E1D">
        <w:rPr>
          <w:szCs w:val="22"/>
        </w:rPr>
        <w:t xml:space="preserve">that </w:t>
      </w:r>
      <w:r w:rsidR="00FC3C2D" w:rsidRPr="00554E1D">
        <w:rPr>
          <w:szCs w:val="22"/>
        </w:rPr>
        <w:t>UnityComm</w:t>
      </w:r>
      <w:r w:rsidR="006D0007" w:rsidRPr="00554E1D">
        <w:rPr>
          <w:szCs w:val="22"/>
        </w:rPr>
        <w:t xml:space="preserve"> willfully </w:t>
      </w:r>
      <w:r w:rsidR="00CC4E47">
        <w:rPr>
          <w:szCs w:val="22"/>
        </w:rPr>
        <w:t xml:space="preserve">and repeatedly </w:t>
      </w:r>
      <w:r w:rsidR="006D0007" w:rsidRPr="00554E1D">
        <w:rPr>
          <w:szCs w:val="22"/>
        </w:rPr>
        <w:t xml:space="preserve">violated Section </w:t>
      </w:r>
      <w:r w:rsidR="00531F8F" w:rsidRPr="0018326B">
        <w:t>54.711(a)</w:t>
      </w:r>
      <w:r w:rsidR="000528FE">
        <w:t xml:space="preserve"> </w:t>
      </w:r>
      <w:r w:rsidR="006D0007" w:rsidRPr="00554E1D">
        <w:rPr>
          <w:szCs w:val="22"/>
        </w:rPr>
        <w:t>of the Rules by failing to timely file its Worksheet</w:t>
      </w:r>
      <w:r w:rsidR="00CC4E47">
        <w:rPr>
          <w:szCs w:val="22"/>
        </w:rPr>
        <w:t>s</w:t>
      </w:r>
      <w:r w:rsidR="006D0007" w:rsidRPr="00554E1D">
        <w:rPr>
          <w:szCs w:val="22"/>
        </w:rPr>
        <w:t xml:space="preserve"> due</w:t>
      </w:r>
      <w:r w:rsidR="00C3181B" w:rsidRPr="00554E1D">
        <w:rPr>
          <w:szCs w:val="22"/>
        </w:rPr>
        <w:t xml:space="preserve"> by </w:t>
      </w:r>
      <w:r w:rsidR="00B319CE">
        <w:rPr>
          <w:noProof/>
          <w:szCs w:val="22"/>
        </w:rPr>
        <w:t xml:space="preserve">May 1 </w:t>
      </w:r>
      <w:r w:rsidR="009B7BBF">
        <w:rPr>
          <w:noProof/>
          <w:szCs w:val="22"/>
        </w:rPr>
        <w:t>a</w:t>
      </w:r>
      <w:r w:rsidR="00E622C4">
        <w:rPr>
          <w:noProof/>
          <w:szCs w:val="22"/>
        </w:rPr>
        <w:t xml:space="preserve">nd August 1, </w:t>
      </w:r>
      <w:r w:rsidR="00CC4E47">
        <w:rPr>
          <w:noProof/>
          <w:szCs w:val="22"/>
        </w:rPr>
        <w:t>2016</w:t>
      </w:r>
      <w:r w:rsidR="006D0007" w:rsidRPr="00554E1D">
        <w:rPr>
          <w:szCs w:val="22"/>
        </w:rPr>
        <w:t>.</w:t>
      </w:r>
    </w:p>
    <w:p w14:paraId="29B8F83C" w14:textId="7B7F9141" w:rsidR="002824D8" w:rsidRPr="008F5D4E" w:rsidRDefault="004500FF" w:rsidP="009B7BBF">
      <w:pPr>
        <w:pStyle w:val="ParaNum"/>
        <w:keepNext/>
        <w:widowControl/>
        <w:numPr>
          <w:ilvl w:val="0"/>
          <w:numId w:val="6"/>
        </w:numPr>
        <w:rPr>
          <w:b/>
        </w:rPr>
      </w:pPr>
      <w:r>
        <w:rPr>
          <w:b/>
          <w:szCs w:val="22"/>
        </w:rPr>
        <w:t>PROPOSED FORFEITURE</w:t>
      </w:r>
    </w:p>
    <w:p w14:paraId="3817CE85" w14:textId="782AA4DE" w:rsidR="00CB6D13" w:rsidRDefault="00C77623" w:rsidP="005D66C9">
      <w:pPr>
        <w:pStyle w:val="ParaNum"/>
        <w:widowControl/>
      </w:pPr>
      <w:r w:rsidRPr="00C77623">
        <w:t>Section 503(b) of the Act authorizes the Commission to impose a forfeiture against any entity that “willfully or repeatedly fail[s] to comply with any of the provisions of [the Act] or of any rule, regulation, or order issued by the Commission.”</w:t>
      </w:r>
      <w:r w:rsidRPr="00DD00A4">
        <w:rPr>
          <w:vertAlign w:val="superscript"/>
        </w:rPr>
        <w:footnoteReference w:id="16"/>
      </w:r>
      <w:r w:rsidRPr="00C77623">
        <w:t xml:space="preserve">  </w:t>
      </w:r>
      <w:r w:rsidRPr="00981F23">
        <w:t xml:space="preserve">Section 503(b)(2)(B) of the Act authorizes </w:t>
      </w:r>
      <w:r w:rsidR="004C0551" w:rsidRPr="00C77623">
        <w:t xml:space="preserve">the Commission </w:t>
      </w:r>
      <w:r w:rsidRPr="00981F23">
        <w:t xml:space="preserve">to assess a forfeiture against </w:t>
      </w:r>
      <w:r w:rsidRPr="00564670">
        <w:t>UnityComm of up to $</w:t>
      </w:r>
      <w:r w:rsidR="009F216B" w:rsidRPr="00564670">
        <w:t>189,361</w:t>
      </w:r>
      <w:r w:rsidRPr="00564670">
        <w:t xml:space="preserve"> for </w:t>
      </w:r>
      <w:r w:rsidR="000F7778" w:rsidRPr="00564670">
        <w:t xml:space="preserve">each violation or </w:t>
      </w:r>
      <w:r w:rsidRPr="00564670">
        <w:t>each day of a continuing violation, up to a statutory maximum of $</w:t>
      </w:r>
      <w:r w:rsidR="009F216B" w:rsidRPr="00564670">
        <w:t>1,893,610</w:t>
      </w:r>
      <w:r w:rsidRPr="00564670">
        <w:t xml:space="preserve"> for </w:t>
      </w:r>
      <w:r w:rsidRPr="00981F23">
        <w:t>a single act or failure to act.</w:t>
      </w:r>
      <w:r w:rsidRPr="00981F23">
        <w:rPr>
          <w:rStyle w:val="FootnoteReference"/>
          <w:color w:val="000000" w:themeColor="text1"/>
          <w:szCs w:val="22"/>
        </w:rPr>
        <w:footnoteReference w:id="17"/>
      </w:r>
      <w:r w:rsidRPr="00981F23">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sidRPr="00981F23">
        <w:rPr>
          <w:rStyle w:val="FootnoteReference"/>
          <w:color w:val="000000" w:themeColor="text1"/>
          <w:szCs w:val="22"/>
        </w:rPr>
        <w:footnoteReference w:id="18"/>
      </w:r>
      <w:r w:rsidRPr="00C77623">
        <w:rPr>
          <w:spacing w:val="-2"/>
        </w:rPr>
        <w:t xml:space="preserve">  </w:t>
      </w:r>
      <w:r w:rsidRPr="00C77623">
        <w:rPr>
          <w:szCs w:val="22"/>
        </w:rPr>
        <w:t>In addition, the Commission has established forfeiture guidelines that establish base penalties for certain violations and identify criteria that we consider when determining the appropriate penalty in any given case.</w:t>
      </w:r>
      <w:r w:rsidRPr="00DD00A4">
        <w:rPr>
          <w:rStyle w:val="FootnoteReference"/>
          <w:color w:val="000000" w:themeColor="text1"/>
          <w:sz w:val="22"/>
          <w:szCs w:val="22"/>
        </w:rPr>
        <w:footnoteReference w:id="19"/>
      </w:r>
      <w:r w:rsidRPr="00C77623">
        <w:rPr>
          <w:szCs w:val="22"/>
        </w:rPr>
        <w:t xml:space="preserve">  Under these guidelines, we may adjust a forfeiture upward for violations that are egregious, intentional, or repeated, or that cause substantial harm or generate substantial economic gain for the violator.</w:t>
      </w:r>
      <w:r w:rsidRPr="00DD00A4">
        <w:rPr>
          <w:rStyle w:val="FootnoteReference"/>
          <w:color w:val="000000" w:themeColor="text1"/>
          <w:sz w:val="22"/>
          <w:szCs w:val="22"/>
        </w:rPr>
        <w:footnoteReference w:id="20"/>
      </w:r>
      <w:r w:rsidRPr="00C77623">
        <w:rPr>
          <w:szCs w:val="22"/>
        </w:rPr>
        <w:t xml:space="preserve">  We may adjust a forfeiture downward under the guidelines for minor violations, good faith or voluntary disclosure, a history of overall compliance, or an inability to pay.</w:t>
      </w:r>
      <w:r>
        <w:rPr>
          <w:rStyle w:val="FootnoteReference"/>
          <w:szCs w:val="22"/>
        </w:rPr>
        <w:footnoteReference w:id="21"/>
      </w:r>
      <w:r w:rsidRPr="00C77623">
        <w:rPr>
          <w:szCs w:val="22"/>
        </w:rPr>
        <w:t xml:space="preserve">  </w:t>
      </w:r>
      <w:r>
        <w:t>The Commission’s forfeiture guidelines specifically “are intended as a guide for frequently recurring violations” and not “a complete or exhaustive list of violations.”</w:t>
      </w:r>
      <w:r>
        <w:rPr>
          <w:rStyle w:val="FootnoteReference"/>
        </w:rPr>
        <w:footnoteReference w:id="22"/>
      </w:r>
      <w:r w:rsidR="000D07B9" w:rsidRPr="00981F23">
        <w:t xml:space="preserve">  </w:t>
      </w:r>
    </w:p>
    <w:p w14:paraId="1CD27D71" w14:textId="7258ACF5" w:rsidR="00136931" w:rsidRPr="00136931" w:rsidRDefault="00063BFF" w:rsidP="00136931">
      <w:pPr>
        <w:pStyle w:val="ParaNum"/>
        <w:widowControl/>
        <w:rPr>
          <w:szCs w:val="22"/>
        </w:rPr>
      </w:pPr>
      <w:r>
        <w:rPr>
          <w:szCs w:val="22"/>
        </w:rPr>
        <w:t xml:space="preserve">Pursuant to Commission precedent, </w:t>
      </w:r>
      <w:r w:rsidR="007161F6">
        <w:rPr>
          <w:szCs w:val="22"/>
        </w:rPr>
        <w:t xml:space="preserve">we </w:t>
      </w:r>
      <w:r w:rsidR="00C3181B">
        <w:rPr>
          <w:szCs w:val="22"/>
        </w:rPr>
        <w:t xml:space="preserve">impose </w:t>
      </w:r>
      <w:r w:rsidR="00D0754D">
        <w:rPr>
          <w:szCs w:val="22"/>
        </w:rPr>
        <w:t>a</w:t>
      </w:r>
      <w:r w:rsidR="002B7E83">
        <w:rPr>
          <w:szCs w:val="22"/>
        </w:rPr>
        <w:t xml:space="preserve"> </w:t>
      </w:r>
      <w:r w:rsidR="00C3181B" w:rsidRPr="00DD00A4">
        <w:rPr>
          <w:szCs w:val="22"/>
        </w:rPr>
        <w:t>forfeiture of $50,000 for each failure to timely file a Telecommunications Reporting Worksheet.</w:t>
      </w:r>
      <w:r w:rsidR="00C3181B" w:rsidRPr="00DD00A4">
        <w:rPr>
          <w:szCs w:val="22"/>
          <w:vertAlign w:val="superscript"/>
        </w:rPr>
        <w:footnoteReference w:id="23"/>
      </w:r>
      <w:r w:rsidR="00C3181B" w:rsidRPr="00DD00A4">
        <w:rPr>
          <w:szCs w:val="22"/>
        </w:rPr>
        <w:t xml:space="preserve">  </w:t>
      </w:r>
      <w:r w:rsidR="00851512">
        <w:rPr>
          <w:szCs w:val="22"/>
        </w:rPr>
        <w:t>This forfeiture</w:t>
      </w:r>
      <w:r w:rsidR="006A23F0">
        <w:rPr>
          <w:szCs w:val="22"/>
        </w:rPr>
        <w:t xml:space="preserve"> amount</w:t>
      </w:r>
      <w:r w:rsidR="006A23F0" w:rsidRPr="00DD00A4">
        <w:rPr>
          <w:szCs w:val="22"/>
        </w:rPr>
        <w:t>,</w:t>
      </w:r>
      <w:r w:rsidR="006A23F0">
        <w:rPr>
          <w:szCs w:val="22"/>
        </w:rPr>
        <w:t xml:space="preserve"> as applied to UnityComm,</w:t>
      </w:r>
      <w:r w:rsidR="00851512">
        <w:rPr>
          <w:szCs w:val="22"/>
        </w:rPr>
        <w:t xml:space="preserve"> is c</w:t>
      </w:r>
      <w:r w:rsidR="00C3181B" w:rsidRPr="00DD00A4">
        <w:rPr>
          <w:szCs w:val="22"/>
        </w:rPr>
        <w:t xml:space="preserve">onsistent with </w:t>
      </w:r>
      <w:r w:rsidR="00C77623">
        <w:rPr>
          <w:snapToGrid/>
          <w:kern w:val="0"/>
          <w:szCs w:val="22"/>
        </w:rPr>
        <w:t xml:space="preserve">the </w:t>
      </w:r>
      <w:r w:rsidR="00851512">
        <w:rPr>
          <w:snapToGrid/>
          <w:kern w:val="0"/>
          <w:szCs w:val="22"/>
        </w:rPr>
        <w:t>statutory factors in the Act</w:t>
      </w:r>
      <w:r w:rsidR="00C77623">
        <w:rPr>
          <w:snapToGrid/>
          <w:kern w:val="0"/>
          <w:szCs w:val="22"/>
        </w:rPr>
        <w:t xml:space="preserve"> </w:t>
      </w:r>
      <w:r w:rsidR="00257EA0">
        <w:rPr>
          <w:snapToGrid/>
          <w:kern w:val="0"/>
          <w:szCs w:val="22"/>
        </w:rPr>
        <w:t xml:space="preserve">and </w:t>
      </w:r>
      <w:r w:rsidR="00C77623">
        <w:rPr>
          <w:snapToGrid/>
          <w:kern w:val="0"/>
          <w:szCs w:val="22"/>
        </w:rPr>
        <w:t>the Commission’s forfeiture guidelines</w:t>
      </w:r>
      <w:r w:rsidR="00851512">
        <w:rPr>
          <w:szCs w:val="22"/>
        </w:rPr>
        <w:t>.  W</w:t>
      </w:r>
      <w:r w:rsidR="00C3181B" w:rsidRPr="00DD00A4">
        <w:rPr>
          <w:szCs w:val="22"/>
        </w:rPr>
        <w:t>e</w:t>
      </w:r>
      <w:r w:rsidR="00851512">
        <w:rPr>
          <w:szCs w:val="22"/>
        </w:rPr>
        <w:t xml:space="preserve"> thus</w:t>
      </w:r>
      <w:r w:rsidR="00C3181B" w:rsidRPr="00DD00A4">
        <w:rPr>
          <w:szCs w:val="22"/>
        </w:rPr>
        <w:t xml:space="preserve"> find that the Company is apparently liable for a forfeiture of </w:t>
      </w:r>
      <w:r w:rsidR="00D37392">
        <w:rPr>
          <w:szCs w:val="22"/>
        </w:rPr>
        <w:t>one</w:t>
      </w:r>
      <w:r w:rsidR="000B7772">
        <w:rPr>
          <w:szCs w:val="22"/>
        </w:rPr>
        <w:t xml:space="preserve"> hundred thousand dollars (</w:t>
      </w:r>
      <w:r w:rsidR="00C3181B" w:rsidRPr="00DD00A4">
        <w:rPr>
          <w:szCs w:val="22"/>
        </w:rPr>
        <w:t>$</w:t>
      </w:r>
      <w:r w:rsidR="00D37392">
        <w:rPr>
          <w:szCs w:val="22"/>
        </w:rPr>
        <w:t>1</w:t>
      </w:r>
      <w:r w:rsidR="00E80888">
        <w:rPr>
          <w:szCs w:val="22"/>
        </w:rPr>
        <w:t>0</w:t>
      </w:r>
      <w:r w:rsidR="00BA3FFA">
        <w:rPr>
          <w:szCs w:val="22"/>
        </w:rPr>
        <w:t>0</w:t>
      </w:r>
      <w:r w:rsidR="00C3181B" w:rsidRPr="00DD00A4">
        <w:rPr>
          <w:szCs w:val="22"/>
        </w:rPr>
        <w:t>,000</w:t>
      </w:r>
      <w:r w:rsidR="000B7772">
        <w:rPr>
          <w:szCs w:val="22"/>
        </w:rPr>
        <w:t>)</w:t>
      </w:r>
      <w:r w:rsidR="00C3181B" w:rsidRPr="00DD00A4">
        <w:rPr>
          <w:szCs w:val="22"/>
        </w:rPr>
        <w:t xml:space="preserve"> for its </w:t>
      </w:r>
      <w:r w:rsidR="00F000AF">
        <w:rPr>
          <w:szCs w:val="22"/>
        </w:rPr>
        <w:t xml:space="preserve">apparently </w:t>
      </w:r>
      <w:r w:rsidR="00C3181B" w:rsidRPr="00DD00A4">
        <w:rPr>
          <w:szCs w:val="22"/>
        </w:rPr>
        <w:t xml:space="preserve">willful </w:t>
      </w:r>
      <w:r w:rsidR="00C77623">
        <w:rPr>
          <w:szCs w:val="22"/>
        </w:rPr>
        <w:t>and</w:t>
      </w:r>
      <w:r w:rsidR="00C3181B" w:rsidRPr="00DD00A4">
        <w:rPr>
          <w:szCs w:val="22"/>
        </w:rPr>
        <w:t xml:space="preserve"> repeated failures to timely file </w:t>
      </w:r>
      <w:r w:rsidR="008040BD">
        <w:rPr>
          <w:szCs w:val="22"/>
        </w:rPr>
        <w:t>two</w:t>
      </w:r>
      <w:r w:rsidR="00C3181B">
        <w:rPr>
          <w:szCs w:val="22"/>
        </w:rPr>
        <w:t xml:space="preserve"> Worksheet</w:t>
      </w:r>
      <w:r w:rsidR="00775354">
        <w:rPr>
          <w:szCs w:val="22"/>
        </w:rPr>
        <w:t>s</w:t>
      </w:r>
      <w:r w:rsidR="00D37392">
        <w:rPr>
          <w:szCs w:val="22"/>
        </w:rPr>
        <w:t xml:space="preserve"> </w:t>
      </w:r>
      <w:r w:rsidR="00775354" w:rsidRPr="00554E1D">
        <w:rPr>
          <w:szCs w:val="22"/>
        </w:rPr>
        <w:t xml:space="preserve">due </w:t>
      </w:r>
      <w:r w:rsidR="00775354">
        <w:rPr>
          <w:noProof/>
          <w:szCs w:val="22"/>
        </w:rPr>
        <w:t xml:space="preserve">May 1, </w:t>
      </w:r>
      <w:r w:rsidR="00564670">
        <w:rPr>
          <w:noProof/>
          <w:szCs w:val="22"/>
        </w:rPr>
        <w:t xml:space="preserve">and August 1, </w:t>
      </w:r>
      <w:r w:rsidR="00775354">
        <w:rPr>
          <w:noProof/>
          <w:szCs w:val="22"/>
        </w:rPr>
        <w:t>2016</w:t>
      </w:r>
      <w:r w:rsidR="006A11C3" w:rsidRPr="00981F23">
        <w:t>.</w:t>
      </w:r>
    </w:p>
    <w:p w14:paraId="2975AEAD" w14:textId="77777777" w:rsidR="006C789B" w:rsidRPr="004500FF" w:rsidRDefault="003A3175" w:rsidP="004500FF">
      <w:pPr>
        <w:pStyle w:val="Heading1"/>
        <w:numPr>
          <w:ilvl w:val="0"/>
          <w:numId w:val="23"/>
        </w:numPr>
        <w:spacing w:before="120"/>
        <w:rPr>
          <w:rFonts w:ascii="Times New Roman" w:hAnsi="Times New Roman"/>
          <w:szCs w:val="22"/>
        </w:rPr>
      </w:pPr>
      <w:r w:rsidRPr="004500FF">
        <w:rPr>
          <w:rFonts w:ascii="Times New Roman" w:hAnsi="Times New Roman"/>
          <w:szCs w:val="22"/>
        </w:rPr>
        <w:t>Conclusion</w:t>
      </w:r>
    </w:p>
    <w:p w14:paraId="22BAFE43" w14:textId="684C493C" w:rsidR="008D42EB" w:rsidRPr="000E3F12" w:rsidRDefault="00915830" w:rsidP="00D37392">
      <w:pPr>
        <w:pStyle w:val="ParaNum"/>
        <w:widowControl/>
        <w:rPr>
          <w:szCs w:val="22"/>
        </w:rPr>
      </w:pPr>
      <w:r w:rsidRPr="000E3F12">
        <w:rPr>
          <w:color w:val="000000" w:themeColor="text1"/>
          <w:szCs w:val="22"/>
        </w:rPr>
        <w:t xml:space="preserve">We have determined </w:t>
      </w:r>
      <w:r w:rsidR="002F76DC">
        <w:rPr>
          <w:color w:val="000000" w:themeColor="text1"/>
          <w:szCs w:val="22"/>
        </w:rPr>
        <w:t xml:space="preserve">it is apparent </w:t>
      </w:r>
      <w:r w:rsidRPr="000E3F12">
        <w:rPr>
          <w:color w:val="000000" w:themeColor="text1"/>
          <w:szCs w:val="22"/>
        </w:rPr>
        <w:t xml:space="preserve">that </w:t>
      </w:r>
      <w:r w:rsidR="00C3181B">
        <w:t>UnityComm</w:t>
      </w:r>
      <w:r w:rsidR="00B57F92">
        <w:t xml:space="preserve"> </w:t>
      </w:r>
      <w:r w:rsidRPr="000E3F12">
        <w:rPr>
          <w:szCs w:val="22"/>
        </w:rPr>
        <w:t xml:space="preserve">willfully and repeatedly violated </w:t>
      </w:r>
      <w:r w:rsidR="005B195D" w:rsidRPr="0006535D">
        <w:t xml:space="preserve">Section </w:t>
      </w:r>
      <w:r w:rsidR="000528FE">
        <w:t xml:space="preserve">54.711(a) </w:t>
      </w:r>
      <w:r w:rsidR="005B195D" w:rsidRPr="00F47258">
        <w:t>of the Rules</w:t>
      </w:r>
      <w:r w:rsidRPr="000E3F12">
        <w:rPr>
          <w:szCs w:val="22"/>
        </w:rPr>
        <w:t xml:space="preserve">.  As such, </w:t>
      </w:r>
      <w:r w:rsidR="009F47D1">
        <w:t>UnityComm</w:t>
      </w:r>
      <w:r w:rsidR="00B57F92">
        <w:t xml:space="preserve"> </w:t>
      </w:r>
      <w:r w:rsidRPr="000E3F12">
        <w:rPr>
          <w:szCs w:val="22"/>
        </w:rPr>
        <w:t>is apparent</w:t>
      </w:r>
      <w:r w:rsidR="00C3181B">
        <w:rPr>
          <w:szCs w:val="22"/>
        </w:rPr>
        <w:t xml:space="preserve">ly liable for a forfeiture of </w:t>
      </w:r>
      <w:r w:rsidR="00E80888">
        <w:rPr>
          <w:szCs w:val="22"/>
        </w:rPr>
        <w:t>$</w:t>
      </w:r>
      <w:r w:rsidR="00C77623">
        <w:rPr>
          <w:szCs w:val="22"/>
        </w:rPr>
        <w:t>1</w:t>
      </w:r>
      <w:r w:rsidR="005D66C9">
        <w:rPr>
          <w:szCs w:val="22"/>
        </w:rPr>
        <w:t>0</w:t>
      </w:r>
      <w:r w:rsidR="00C77623">
        <w:rPr>
          <w:szCs w:val="22"/>
        </w:rPr>
        <w:t>0</w:t>
      </w:r>
      <w:r w:rsidR="00AE2559" w:rsidRPr="000E3F12">
        <w:rPr>
          <w:szCs w:val="22"/>
        </w:rPr>
        <w:t>,000</w:t>
      </w:r>
      <w:r w:rsidRPr="000E3F12">
        <w:rPr>
          <w:szCs w:val="22"/>
        </w:rPr>
        <w:t>.</w:t>
      </w:r>
      <w:r w:rsidR="006A22D1" w:rsidRPr="000E3F12">
        <w:rPr>
          <w:szCs w:val="22"/>
        </w:rPr>
        <w:t xml:space="preserve">  </w:t>
      </w:r>
      <w:r w:rsidR="001F4D4E">
        <w:rPr>
          <w:szCs w:val="22"/>
        </w:rPr>
        <w:t xml:space="preserve">We note this </w:t>
      </w:r>
      <w:r w:rsidR="008B33A3">
        <w:rPr>
          <w:szCs w:val="22"/>
        </w:rPr>
        <w:t xml:space="preserve">is a </w:t>
      </w:r>
      <w:r w:rsidR="001F4D4E">
        <w:rPr>
          <w:szCs w:val="22"/>
        </w:rPr>
        <w:t xml:space="preserve">limited action </w:t>
      </w:r>
      <w:r w:rsidR="008B33A3">
        <w:rPr>
          <w:szCs w:val="22"/>
        </w:rPr>
        <w:t xml:space="preserve">that </w:t>
      </w:r>
      <w:r w:rsidR="001F4D4E">
        <w:rPr>
          <w:szCs w:val="22"/>
        </w:rPr>
        <w:t>does</w:t>
      </w:r>
      <w:r w:rsidR="002F76F3">
        <w:rPr>
          <w:szCs w:val="22"/>
        </w:rPr>
        <w:t xml:space="preserve"> not </w:t>
      </w:r>
      <w:r w:rsidR="00F000AF">
        <w:rPr>
          <w:szCs w:val="22"/>
        </w:rPr>
        <w:t xml:space="preserve">necessarily </w:t>
      </w:r>
      <w:r w:rsidR="001F4D4E">
        <w:rPr>
          <w:szCs w:val="22"/>
        </w:rPr>
        <w:t xml:space="preserve">reflect the full extent of </w:t>
      </w:r>
      <w:r w:rsidR="00C3181B">
        <w:t>UnityComm</w:t>
      </w:r>
      <w:r w:rsidR="001F4D4E">
        <w:rPr>
          <w:szCs w:val="22"/>
        </w:rPr>
        <w:t xml:space="preserve">’s potential forfeiture liability and </w:t>
      </w:r>
      <w:r w:rsidR="008B33A3">
        <w:rPr>
          <w:szCs w:val="22"/>
        </w:rPr>
        <w:t xml:space="preserve">that </w:t>
      </w:r>
      <w:r w:rsidR="001F4D4E">
        <w:rPr>
          <w:szCs w:val="22"/>
        </w:rPr>
        <w:t>does not in</w:t>
      </w:r>
      <w:r w:rsidR="009C6D37">
        <w:rPr>
          <w:szCs w:val="22"/>
        </w:rPr>
        <w:t xml:space="preserve"> any </w:t>
      </w:r>
      <w:r w:rsidR="001F4D4E">
        <w:rPr>
          <w:szCs w:val="22"/>
        </w:rPr>
        <w:t>way preclude</w:t>
      </w:r>
      <w:r w:rsidR="009C6D37">
        <w:rPr>
          <w:szCs w:val="22"/>
        </w:rPr>
        <w:t xml:space="preserve"> the Commission </w:t>
      </w:r>
      <w:r w:rsidR="001F4D4E">
        <w:rPr>
          <w:szCs w:val="22"/>
        </w:rPr>
        <w:t xml:space="preserve">from imposing additional forfeitures against </w:t>
      </w:r>
      <w:r w:rsidR="00C3181B">
        <w:t>UnityComm</w:t>
      </w:r>
      <w:r w:rsidR="00516B2F">
        <w:t xml:space="preserve"> in the future</w:t>
      </w:r>
      <w:r w:rsidR="001F4D4E">
        <w:rPr>
          <w:szCs w:val="22"/>
        </w:rPr>
        <w:t xml:space="preserve">.  </w:t>
      </w:r>
    </w:p>
    <w:p w14:paraId="7AB91AE4" w14:textId="77777777" w:rsidR="00010736" w:rsidRPr="000E3F12" w:rsidRDefault="006C789B" w:rsidP="00735F85">
      <w:pPr>
        <w:pStyle w:val="Heading1"/>
        <w:spacing w:before="120"/>
        <w:rPr>
          <w:rFonts w:ascii="Times New Roman" w:hAnsi="Times New Roman"/>
          <w:szCs w:val="22"/>
        </w:rPr>
      </w:pPr>
      <w:r w:rsidRPr="000E3F12">
        <w:rPr>
          <w:rFonts w:ascii="Times New Roman" w:hAnsi="Times New Roman"/>
          <w:szCs w:val="22"/>
        </w:rPr>
        <w:t>Ordering Clauses</w:t>
      </w:r>
    </w:p>
    <w:p w14:paraId="2A4992C4" w14:textId="4F968B4D" w:rsidR="009A7605" w:rsidRPr="00981F23" w:rsidRDefault="009A7605" w:rsidP="009F47D1">
      <w:pPr>
        <w:pStyle w:val="ParaNum"/>
        <w:widowControl/>
        <w:rPr>
          <w:spacing w:val="-2"/>
        </w:rPr>
      </w:pPr>
      <w:r w:rsidRPr="00981F23">
        <w:t xml:space="preserve">Accordingly, </w:t>
      </w:r>
      <w:r w:rsidRPr="00981F23">
        <w:rPr>
          <w:b/>
        </w:rPr>
        <w:t>IT IS ORDERED</w:t>
      </w:r>
      <w:r w:rsidRPr="00981F23">
        <w:t xml:space="preserve"> that, pursuant to Section 503(b) of the </w:t>
      </w:r>
      <w:r>
        <w:t>Act</w:t>
      </w:r>
      <w:r w:rsidRPr="00981F23">
        <w:t xml:space="preserve"> and Sections 1.80 of the</w:t>
      </w:r>
      <w:r>
        <w:t xml:space="preserve"> R</w:t>
      </w:r>
      <w:r w:rsidRPr="00981F23">
        <w:t>ules,</w:t>
      </w:r>
      <w:r w:rsidRPr="00981F23">
        <w:rPr>
          <w:vertAlign w:val="superscript"/>
        </w:rPr>
        <w:footnoteReference w:id="24"/>
      </w:r>
      <w:r w:rsidR="009F47D1">
        <w:t xml:space="preserve"> </w:t>
      </w:r>
      <w:r w:rsidR="00C3181B">
        <w:t>UnityComm, LLC</w:t>
      </w:r>
      <w:r w:rsidR="00B57F92" w:rsidRPr="0087510B">
        <w:t xml:space="preserve"> </w:t>
      </w:r>
      <w:r w:rsidR="00986F9E">
        <w:rPr>
          <w:spacing w:val="-2"/>
          <w:szCs w:val="22"/>
        </w:rPr>
        <w:t>is</w:t>
      </w:r>
      <w:r w:rsidRPr="00981F23">
        <w:t xml:space="preserve"> hereby </w:t>
      </w:r>
      <w:r w:rsidRPr="00981F23">
        <w:rPr>
          <w:b/>
        </w:rPr>
        <w:t>NOTIFIED</w:t>
      </w:r>
      <w:r w:rsidRPr="00981F23">
        <w:t xml:space="preserve"> of </w:t>
      </w:r>
      <w:r w:rsidR="00986F9E">
        <w:t xml:space="preserve">its </w:t>
      </w:r>
      <w:r w:rsidRPr="00981F23">
        <w:rPr>
          <w:b/>
        </w:rPr>
        <w:t>APPARENT LIABILITY FOR A FORFEITURE</w:t>
      </w:r>
      <w:r w:rsidRPr="00981F23">
        <w:t xml:space="preserve"> in the amount of</w:t>
      </w:r>
      <w:r w:rsidR="008725B8">
        <w:t xml:space="preserve"> </w:t>
      </w:r>
      <w:r w:rsidR="00C77623" w:rsidRPr="00DD00A4">
        <w:rPr>
          <w:szCs w:val="22"/>
        </w:rPr>
        <w:t>$</w:t>
      </w:r>
      <w:r w:rsidR="00C77623">
        <w:rPr>
          <w:szCs w:val="22"/>
        </w:rPr>
        <w:t>1</w:t>
      </w:r>
      <w:r w:rsidR="005D66C9">
        <w:rPr>
          <w:szCs w:val="22"/>
        </w:rPr>
        <w:t>0</w:t>
      </w:r>
      <w:r w:rsidR="00C77623">
        <w:rPr>
          <w:szCs w:val="22"/>
        </w:rPr>
        <w:t>0</w:t>
      </w:r>
      <w:r w:rsidR="00C77623" w:rsidRPr="00DD00A4">
        <w:rPr>
          <w:szCs w:val="22"/>
        </w:rPr>
        <w:t>,000</w:t>
      </w:r>
      <w:r w:rsidRPr="00981F23">
        <w:t xml:space="preserve"> for willful </w:t>
      </w:r>
      <w:r w:rsidR="00CF7980">
        <w:t>and</w:t>
      </w:r>
      <w:r w:rsidR="00986F9E" w:rsidRPr="00981F23">
        <w:t xml:space="preserve"> </w:t>
      </w:r>
      <w:r w:rsidRPr="00981F23">
        <w:t xml:space="preserve">repeated violations of </w:t>
      </w:r>
      <w:r w:rsidR="005B195D" w:rsidRPr="0006535D">
        <w:t xml:space="preserve">Section </w:t>
      </w:r>
      <w:r w:rsidR="005B195D" w:rsidRPr="0018326B">
        <w:t>54.711(a)</w:t>
      </w:r>
      <w:r w:rsidR="000528FE">
        <w:t xml:space="preserve"> </w:t>
      </w:r>
      <w:r w:rsidR="005B195D" w:rsidRPr="00F47258">
        <w:t>of the Rules</w:t>
      </w:r>
      <w:r>
        <w:t>.</w:t>
      </w:r>
      <w:r w:rsidRPr="00981F23">
        <w:rPr>
          <w:vertAlign w:val="superscript"/>
        </w:rPr>
        <w:footnoteReference w:id="25"/>
      </w:r>
    </w:p>
    <w:p w14:paraId="63903F72" w14:textId="6BEC27CB" w:rsidR="009A7605" w:rsidRPr="0017128B" w:rsidRDefault="009A7605" w:rsidP="009A7605">
      <w:pPr>
        <w:pStyle w:val="ParaNum"/>
        <w:rPr>
          <w:spacing w:val="-2"/>
        </w:rPr>
      </w:pPr>
      <w:r w:rsidRPr="00981F23">
        <w:rPr>
          <w:b/>
        </w:rPr>
        <w:t xml:space="preserve">IT IS FURTHER ORDERED </w:t>
      </w:r>
      <w:r w:rsidRPr="00981F23">
        <w:t>that, pursuant to Section 1.80 of the</w:t>
      </w:r>
      <w:r>
        <w:t xml:space="preserve"> R</w:t>
      </w:r>
      <w:r w:rsidRPr="00981F23">
        <w:t>ules,</w:t>
      </w:r>
      <w:r w:rsidRPr="00981F23">
        <w:rPr>
          <w:vertAlign w:val="superscript"/>
        </w:rPr>
        <w:footnoteReference w:id="26"/>
      </w:r>
      <w:r w:rsidRPr="00981F23">
        <w:rPr>
          <w:vertAlign w:val="superscript"/>
        </w:rPr>
        <w:t xml:space="preserve"> </w:t>
      </w:r>
      <w:r w:rsidRPr="00981F23">
        <w:t xml:space="preserve">within thirty (30) calendar days of the release date of this Notice of Apparent Liability for Forfeiture, </w:t>
      </w:r>
      <w:r w:rsidR="00C3181B">
        <w:t>UnityComm, LLC</w:t>
      </w:r>
      <w:r w:rsidR="00B57F92" w:rsidRPr="0087510B">
        <w:t xml:space="preserve">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w:t>
      </w:r>
      <w:r w:rsidRPr="000A4BC0">
        <w:t>paragraph</w:t>
      </w:r>
      <w:r w:rsidR="00B57F92" w:rsidRPr="000A4BC0">
        <w:t>s</w:t>
      </w:r>
      <w:r w:rsidRPr="009746FF">
        <w:t xml:space="preserve"> </w:t>
      </w:r>
      <w:r w:rsidR="000A4BC0">
        <w:t>14-15</w:t>
      </w:r>
      <w:r w:rsidRPr="00981F23">
        <w:t xml:space="preserve"> below.</w:t>
      </w:r>
    </w:p>
    <w:p w14:paraId="24211916" w14:textId="1D396BED" w:rsidR="009A7605" w:rsidRPr="00981F23" w:rsidRDefault="009A7605" w:rsidP="008040BD">
      <w:pPr>
        <w:pStyle w:val="ParaNum"/>
        <w:widowControl/>
        <w:rPr>
          <w:spacing w:val="-2"/>
        </w:rPr>
      </w:pPr>
      <w:r w:rsidRPr="00981F23">
        <w:t xml:space="preserve">Payment of the forfeiture must be made by check or similar instrument, wire transfer, or credit card, and must include the NAL/Account Number and FRN referenced above.  </w:t>
      </w:r>
      <w:r w:rsidR="00704BC9">
        <w:t>UnityComm, LLC</w:t>
      </w:r>
      <w:r w:rsidR="00B57F92" w:rsidRPr="0087510B">
        <w:t xml:space="preserve"> </w:t>
      </w:r>
      <w:r w:rsidRPr="00981F23">
        <w:t xml:space="preserve">shall send electronic notification of payment to </w:t>
      </w:r>
      <w:r>
        <w:t xml:space="preserve">Jeffrey </w:t>
      </w:r>
      <w:r w:rsidR="00CC4C62">
        <w:t xml:space="preserve">J. </w:t>
      </w:r>
      <w:r>
        <w:t xml:space="preserve">Gee at </w:t>
      </w:r>
      <w:hyperlink r:id="rId8" w:history="1">
        <w:r w:rsidR="00BA1904" w:rsidRPr="00157303">
          <w:rPr>
            <w:rStyle w:val="Hyperlink"/>
          </w:rPr>
          <w:t>Jeffrey.Gee@fcc.gov</w:t>
        </w:r>
      </w:hyperlink>
      <w:r w:rsidRPr="009A7605">
        <w:t xml:space="preserve">, </w:t>
      </w:r>
      <w:r w:rsidR="008226CE">
        <w:t xml:space="preserve">Kalun Lee </w:t>
      </w:r>
      <w:r w:rsidR="00810248">
        <w:t>at</w:t>
      </w:r>
      <w:r w:rsidR="008226CE">
        <w:t xml:space="preserve"> </w:t>
      </w:r>
      <w:hyperlink r:id="rId9" w:history="1">
        <w:r w:rsidR="00BA1904" w:rsidRPr="00157303">
          <w:rPr>
            <w:rStyle w:val="Hyperlink"/>
          </w:rPr>
          <w:t>Kalun.Lee@fcc.gov</w:t>
        </w:r>
      </w:hyperlink>
      <w:r w:rsidR="008226CE">
        <w:t xml:space="preserve">, </w:t>
      </w:r>
      <w:r w:rsidR="00AE47E7">
        <w:t xml:space="preserve">Erin Boone at </w:t>
      </w:r>
      <w:hyperlink r:id="rId10" w:history="1">
        <w:r w:rsidR="00BA1904" w:rsidRPr="00157303">
          <w:rPr>
            <w:rStyle w:val="Hyperlink"/>
          </w:rPr>
          <w:t>Erin.Boone@fcc.gov</w:t>
        </w:r>
      </w:hyperlink>
      <w:r w:rsidR="00AE47E7">
        <w:t xml:space="preserve">, </w:t>
      </w:r>
      <w:r w:rsidRPr="009A7605">
        <w:t xml:space="preserve">and David Janas at </w:t>
      </w:r>
      <w:hyperlink r:id="rId11" w:history="1">
        <w:r w:rsidR="00BA1904" w:rsidRPr="00157303">
          <w:rPr>
            <w:rStyle w:val="Hyperlink"/>
          </w:rPr>
          <w:t>David.Janas@fcc.gov</w:t>
        </w:r>
      </w:hyperlink>
      <w:r w:rsidR="00BA1904">
        <w:rPr>
          <w:rStyle w:val="Hyperlink"/>
          <w:color w:val="auto"/>
          <w:u w:val="none"/>
        </w:rPr>
        <w:t xml:space="preserve"> </w:t>
      </w:r>
      <w:r w:rsidRPr="009A7605">
        <w:t>on the date said payment is made.  Regardless of the form of payment, a completed FCC Form 159 (Re</w:t>
      </w:r>
      <w:r w:rsidRPr="00981F23">
        <w:t>mittance Advice) must be submitted.</w:t>
      </w:r>
      <w:r w:rsidRPr="00981F23">
        <w:rPr>
          <w:vertAlign w:val="superscript"/>
        </w:rPr>
        <w:footnoteReference w:id="27"/>
      </w:r>
      <w:r w:rsidRPr="00981F23">
        <w:t xml:space="preserve">  When completing the FCC Form 159, enter the Account Number in block number 23A (call sign/other ID) and enter the letters “FORF” in block number 24A (payment type code).  Below are additional instructions that should</w:t>
      </w:r>
      <w:r>
        <w:t xml:space="preserve"> be</w:t>
      </w:r>
      <w:r w:rsidRPr="00981F23">
        <w:t xml:space="preserve"> follow</w:t>
      </w:r>
      <w:r>
        <w:t>ed</w:t>
      </w:r>
      <w:r w:rsidRPr="00981F23">
        <w:t xml:space="preserve"> based on the form of payment </w:t>
      </w:r>
      <w:r>
        <w:t>selected</w:t>
      </w:r>
      <w:r w:rsidRPr="00981F23">
        <w:t>:</w:t>
      </w:r>
      <w:r w:rsidRPr="00981F23">
        <w:tab/>
      </w:r>
    </w:p>
    <w:p w14:paraId="24CC15F8" w14:textId="77777777" w:rsidR="009A7605" w:rsidRPr="00981F23" w:rsidRDefault="009A7605" w:rsidP="00BB5186">
      <w:pPr>
        <w:numPr>
          <w:ilvl w:val="0"/>
          <w:numId w:val="5"/>
        </w:numPr>
        <w:spacing w:after="120"/>
        <w:rPr>
          <w:b/>
          <w:color w:val="000000" w:themeColor="text1"/>
          <w:szCs w:val="22"/>
        </w:rPr>
      </w:pPr>
      <w:r w:rsidRPr="00981F23">
        <w:rPr>
          <w:rFonts w:eastAsia="MS Mincho"/>
          <w:color w:val="000000" w:themeColor="text1"/>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44738EAE" w14:textId="77777777" w:rsidR="009A7605" w:rsidRPr="00981F23" w:rsidRDefault="009A7605" w:rsidP="00BB5186">
      <w:pPr>
        <w:widowControl/>
        <w:numPr>
          <w:ilvl w:val="0"/>
          <w:numId w:val="5"/>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20357CE8" w14:textId="77777777" w:rsidR="009A7605" w:rsidRPr="00981F23" w:rsidRDefault="009A7605" w:rsidP="00BB5186">
      <w:pPr>
        <w:widowControl/>
        <w:numPr>
          <w:ilvl w:val="0"/>
          <w:numId w:val="5"/>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3F05A600" w14:textId="239906E7" w:rsidR="009A7605" w:rsidRPr="00981F23" w:rsidRDefault="009A7605" w:rsidP="009A7605">
      <w:pPr>
        <w:pStyle w:val="ParaNum"/>
        <w:widowControl/>
      </w:pPr>
      <w:r w:rsidRPr="00981F23">
        <w:t>Any request for making full payment over time under an installment plan should be sent to:  Chief Financial Officer—Financial Operations, Federal Communications Commission, 445 12th Street, SW, Room 1-A625, Washington, DC 20554.</w:t>
      </w:r>
      <w:r>
        <w:rPr>
          <w:rStyle w:val="FootnoteReference"/>
          <w:szCs w:val="22"/>
        </w:rPr>
        <w:footnoteReference w:id="28"/>
      </w:r>
      <w:r w:rsidRPr="00981F23">
        <w:t xml:space="preserve">  </w:t>
      </w:r>
      <w:r>
        <w:t>Q</w:t>
      </w:r>
      <w:r w:rsidRPr="00981F23">
        <w:t>uestion</w:t>
      </w:r>
      <w:r>
        <w:t xml:space="preserve">s regarding payment procedures </w:t>
      </w:r>
      <w:r w:rsidRPr="00981F23">
        <w:t xml:space="preserve">should </w:t>
      </w:r>
      <w:r>
        <w:t>be directed to</w:t>
      </w:r>
      <w:r w:rsidRPr="00981F23">
        <w:t xml:space="preserve"> the Financial Operations Group Help Desk by phone, 1-877-480-3201, or by e-mail, </w:t>
      </w:r>
      <w:hyperlink r:id="rId12" w:history="1">
        <w:r w:rsidR="00BA1904" w:rsidRPr="0031393A">
          <w:rPr>
            <w:rStyle w:val="Hyperlink"/>
          </w:rPr>
          <w:t>ARINQUIRIES@fcc.gov</w:t>
        </w:r>
      </w:hyperlink>
      <w:r w:rsidRPr="00981F23">
        <w:t>.</w:t>
      </w:r>
    </w:p>
    <w:p w14:paraId="56BE200C" w14:textId="3F7889C9" w:rsidR="009A7605" w:rsidRPr="00981F23" w:rsidRDefault="009A7605" w:rsidP="00704BC9">
      <w:pPr>
        <w:pStyle w:val="ParaNum"/>
        <w:widowControl/>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t>R</w:t>
      </w:r>
      <w:r w:rsidRPr="00981F23">
        <w:t>ules.</w:t>
      </w:r>
      <w:r w:rsidRPr="00981F23">
        <w:rPr>
          <w:vertAlign w:val="superscript"/>
        </w:rPr>
        <w:footnoteReference w:id="29"/>
      </w:r>
      <w:r w:rsidRPr="00981F23">
        <w:t xml:space="preserve">  The written statement must be mailed to the Office of the Secretary, Federal Communications Commission, 445 12th Street, SW, Washington, DC 20554, ATTN:  Enforcement Bureau – </w:t>
      </w:r>
      <w:r>
        <w:t>Investigations &amp; Hearings Division</w:t>
      </w:r>
      <w:r w:rsidRPr="00981F23">
        <w:t xml:space="preserve">, and must include the NAL/Account Number referenced in the caption.  The statement must also be e-mailed to </w:t>
      </w:r>
      <w:r>
        <w:t>Jeffrey</w:t>
      </w:r>
      <w:r w:rsidR="00CC4C62">
        <w:t xml:space="preserve"> J.</w:t>
      </w:r>
      <w:r>
        <w:t xml:space="preserve"> Gee at </w:t>
      </w:r>
      <w:hyperlink r:id="rId13" w:history="1">
        <w:r w:rsidR="00BA1904" w:rsidRPr="00157303">
          <w:rPr>
            <w:rStyle w:val="Hyperlink"/>
          </w:rPr>
          <w:t>Jeffrey.Gee@fcc.gov</w:t>
        </w:r>
      </w:hyperlink>
      <w:r w:rsidRPr="009A7605">
        <w:t xml:space="preserve">, </w:t>
      </w:r>
      <w:r w:rsidR="00810248">
        <w:t xml:space="preserve">Kalun Lee at </w:t>
      </w:r>
      <w:hyperlink r:id="rId14" w:history="1">
        <w:r w:rsidR="00BA1904" w:rsidRPr="00157303">
          <w:rPr>
            <w:rStyle w:val="Hyperlink"/>
          </w:rPr>
          <w:t>Kalun.Lee@fcc.gov</w:t>
        </w:r>
      </w:hyperlink>
      <w:r w:rsidR="008226CE">
        <w:t xml:space="preserve">, </w:t>
      </w:r>
      <w:r w:rsidR="00F6271A">
        <w:t xml:space="preserve">Erin Boone at </w:t>
      </w:r>
      <w:hyperlink r:id="rId15" w:history="1">
        <w:r w:rsidR="00BA1904" w:rsidRPr="00157303">
          <w:rPr>
            <w:rStyle w:val="Hyperlink"/>
          </w:rPr>
          <w:t>Erin.Boone@fcc.gov</w:t>
        </w:r>
      </w:hyperlink>
      <w:r w:rsidR="00F6271A">
        <w:t xml:space="preserve">, </w:t>
      </w:r>
      <w:r w:rsidRPr="009A7605">
        <w:t xml:space="preserve">and David Janas at </w:t>
      </w:r>
      <w:hyperlink r:id="rId16" w:history="1">
        <w:r w:rsidR="00BA1904" w:rsidRPr="00157303">
          <w:rPr>
            <w:rStyle w:val="Hyperlink"/>
          </w:rPr>
          <w:t>David.Janas@fcc.gov</w:t>
        </w:r>
      </w:hyperlink>
      <w:r w:rsidRPr="00981F23">
        <w:t xml:space="preserve">.  </w:t>
      </w:r>
    </w:p>
    <w:p w14:paraId="3F02D767" w14:textId="77777777" w:rsidR="00920959" w:rsidRDefault="009A7605" w:rsidP="00920959">
      <w:pPr>
        <w:pStyle w:val="ParaNum"/>
        <w:widowControl/>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6AB459FB" w14:textId="7A9B655D" w:rsidR="00784C09" w:rsidRPr="00920959" w:rsidRDefault="00784C09" w:rsidP="00133912">
      <w:pPr>
        <w:pStyle w:val="ParaNum"/>
        <w:widowControl/>
      </w:pPr>
      <w:r w:rsidRPr="00920959">
        <w:rPr>
          <w:b/>
          <w:szCs w:val="22"/>
        </w:rPr>
        <w:t xml:space="preserve">IT IS FURTHER ORDERED </w:t>
      </w:r>
      <w:r w:rsidRPr="00920959">
        <w:rPr>
          <w:szCs w:val="22"/>
        </w:rPr>
        <w:t xml:space="preserve">that, pursuant to </w:t>
      </w:r>
      <w:r w:rsidR="009D5627" w:rsidRPr="00920959">
        <w:rPr>
          <w:szCs w:val="22"/>
        </w:rPr>
        <w:t xml:space="preserve">Sections 4(i), 159(a), 251(e)(2), and 254(d) of the Act, and </w:t>
      </w:r>
      <w:r w:rsidR="00920959">
        <w:rPr>
          <w:szCs w:val="22"/>
        </w:rPr>
        <w:t>S</w:t>
      </w:r>
      <w:r w:rsidR="009D5627" w:rsidRPr="00920959">
        <w:rPr>
          <w:szCs w:val="22"/>
        </w:rPr>
        <w:t>ections 1.1154, 1.1156, 1.1157, 52.17, 52.32, 54.706, 54.711 and 64.604(c)(5)(iii) of the Rules</w:t>
      </w:r>
      <w:r w:rsidRPr="00920959">
        <w:rPr>
          <w:szCs w:val="22"/>
        </w:rPr>
        <w:t>,</w:t>
      </w:r>
      <w:r w:rsidRPr="00920959">
        <w:rPr>
          <w:rStyle w:val="FootnoteReference"/>
          <w:sz w:val="22"/>
          <w:szCs w:val="22"/>
        </w:rPr>
        <w:footnoteReference w:id="30"/>
      </w:r>
      <w:r w:rsidRPr="00920959">
        <w:rPr>
          <w:szCs w:val="22"/>
        </w:rPr>
        <w:t xml:space="preserve"> within </w:t>
      </w:r>
      <w:r w:rsidR="009D5627" w:rsidRPr="00920959">
        <w:rPr>
          <w:szCs w:val="22"/>
        </w:rPr>
        <w:t>6</w:t>
      </w:r>
      <w:r w:rsidRPr="00920959">
        <w:rPr>
          <w:szCs w:val="22"/>
        </w:rPr>
        <w:t xml:space="preserve">0 days UnityComm, LLC </w:t>
      </w:r>
      <w:r w:rsidRPr="00920959">
        <w:rPr>
          <w:b/>
          <w:szCs w:val="22"/>
        </w:rPr>
        <w:t>SHALL FILE</w:t>
      </w:r>
      <w:r w:rsidRPr="00920959">
        <w:rPr>
          <w:szCs w:val="22"/>
        </w:rPr>
        <w:t xml:space="preserve"> all overdue Telecommunications Reporting Workshe</w:t>
      </w:r>
      <w:r w:rsidR="009D5627" w:rsidRPr="00920959">
        <w:rPr>
          <w:szCs w:val="22"/>
        </w:rPr>
        <w:t>e</w:t>
      </w:r>
      <w:r w:rsidRPr="00920959">
        <w:rPr>
          <w:szCs w:val="22"/>
        </w:rPr>
        <w:t xml:space="preserve">ts, and </w:t>
      </w:r>
      <w:r w:rsidR="00920959">
        <w:rPr>
          <w:szCs w:val="22"/>
        </w:rPr>
        <w:t>by</w:t>
      </w:r>
      <w:r w:rsidRPr="00920959">
        <w:rPr>
          <w:szCs w:val="22"/>
        </w:rPr>
        <w:t xml:space="preserve"> the due dates specified on </w:t>
      </w:r>
      <w:r w:rsidR="009D5627" w:rsidRPr="00920959">
        <w:rPr>
          <w:szCs w:val="22"/>
        </w:rPr>
        <w:t xml:space="preserve">subsequent </w:t>
      </w:r>
      <w:r w:rsidRPr="00920959">
        <w:rPr>
          <w:szCs w:val="22"/>
        </w:rPr>
        <w:t xml:space="preserve">federal program administrator invoices, </w:t>
      </w:r>
      <w:r w:rsidRPr="00920959">
        <w:rPr>
          <w:b/>
          <w:szCs w:val="22"/>
        </w:rPr>
        <w:t>SHALL PAY</w:t>
      </w:r>
      <w:r w:rsidRPr="00920959">
        <w:rPr>
          <w:szCs w:val="22"/>
        </w:rPr>
        <w:t xml:space="preserve"> all overdue assessments for the Universal Service Fund, the Telecommunications Relay Service Fund, Local Number Portability and North American Numbering Plan administration, and federal regulatory fees</w:t>
      </w:r>
      <w:r>
        <w:t>.</w:t>
      </w:r>
    </w:p>
    <w:p w14:paraId="14DD37C9" w14:textId="77777777" w:rsidR="008A4B6A" w:rsidRDefault="008A4B6A">
      <w:pPr>
        <w:widowControl/>
        <w:rPr>
          <w:b/>
          <w:szCs w:val="22"/>
        </w:rPr>
      </w:pPr>
      <w:r>
        <w:rPr>
          <w:b/>
          <w:szCs w:val="22"/>
        </w:rPr>
        <w:br w:type="page"/>
      </w:r>
    </w:p>
    <w:p w14:paraId="2A3865B7" w14:textId="4C207960" w:rsidR="00F438DB" w:rsidRDefault="00864129" w:rsidP="003414B8">
      <w:pPr>
        <w:pStyle w:val="ParaNum"/>
        <w:rPr>
          <w:szCs w:val="22"/>
        </w:rPr>
      </w:pPr>
      <w:r w:rsidRPr="0062131B">
        <w:rPr>
          <w:b/>
          <w:szCs w:val="22"/>
        </w:rPr>
        <w:t>IT IS FURTHER ORDERED</w:t>
      </w:r>
      <w:r w:rsidRPr="0062131B">
        <w:rPr>
          <w:szCs w:val="22"/>
        </w:rPr>
        <w:t xml:space="preserve"> that </w:t>
      </w:r>
      <w:r w:rsidR="00010736" w:rsidRPr="0062131B">
        <w:rPr>
          <w:szCs w:val="22"/>
        </w:rPr>
        <w:t xml:space="preserve">a copy of this Notice of Apparent Liability for Forfeiture </w:t>
      </w:r>
      <w:r w:rsidR="004C360E" w:rsidRPr="00981F23">
        <w:t xml:space="preserve">shall be sent by first class mail and certified mail, return receipt requested, to </w:t>
      </w:r>
      <w:r w:rsidR="00BC230C">
        <w:t xml:space="preserve">Steve </w:t>
      </w:r>
      <w:r w:rsidR="00F6271A" w:rsidRPr="0062131B">
        <w:rPr>
          <w:szCs w:val="22"/>
        </w:rPr>
        <w:t>Augustino,</w:t>
      </w:r>
      <w:r w:rsidR="00BC230C" w:rsidRPr="0062131B">
        <w:rPr>
          <w:color w:val="FF0000"/>
          <w:szCs w:val="22"/>
        </w:rPr>
        <w:t xml:space="preserve"> </w:t>
      </w:r>
      <w:r w:rsidR="00BC230C" w:rsidRPr="0062131B">
        <w:rPr>
          <w:szCs w:val="22"/>
        </w:rPr>
        <w:t xml:space="preserve">Esq., Counsel to UnityComm, LLC, </w:t>
      </w:r>
      <w:r w:rsidR="00BC230C" w:rsidRPr="00BC230C">
        <w:t>Kelley Drye &amp; Warren LLP</w:t>
      </w:r>
      <w:r w:rsidR="00BC230C">
        <w:t xml:space="preserve">, </w:t>
      </w:r>
      <w:r w:rsidR="00BC230C" w:rsidRPr="00BC230C">
        <w:t>Washington Harbour, Suite 400</w:t>
      </w:r>
      <w:r w:rsidR="00BC230C">
        <w:t xml:space="preserve">, </w:t>
      </w:r>
      <w:r w:rsidR="00BC230C" w:rsidRPr="00BC230C">
        <w:t>3050 K Street, NW, Washington, D</w:t>
      </w:r>
      <w:r w:rsidR="00BC230C">
        <w:t xml:space="preserve">.C. </w:t>
      </w:r>
      <w:r w:rsidR="00BC230C" w:rsidRPr="00BC230C">
        <w:t>20007</w:t>
      </w:r>
      <w:r w:rsidR="00F438DB" w:rsidRPr="0062131B">
        <w:rPr>
          <w:szCs w:val="22"/>
        </w:rPr>
        <w:t>.</w:t>
      </w:r>
      <w:r w:rsidR="00B57F92" w:rsidRPr="0062131B">
        <w:rPr>
          <w:szCs w:val="22"/>
        </w:rPr>
        <w:t xml:space="preserve">  </w:t>
      </w:r>
    </w:p>
    <w:p w14:paraId="0B5E63F5" w14:textId="77777777" w:rsidR="00BA1904" w:rsidRPr="0062131B" w:rsidRDefault="00BA1904" w:rsidP="00157303">
      <w:pPr>
        <w:pStyle w:val="ParaNum"/>
        <w:numPr>
          <w:ilvl w:val="0"/>
          <w:numId w:val="0"/>
        </w:numPr>
        <w:ind w:firstLine="720"/>
        <w:rPr>
          <w:szCs w:val="22"/>
        </w:rPr>
      </w:pPr>
    </w:p>
    <w:p w14:paraId="50A2D7D9" w14:textId="77777777" w:rsidR="00704BC9" w:rsidRPr="00DD00A4" w:rsidRDefault="00010736" w:rsidP="00704BC9">
      <w:pPr>
        <w:pStyle w:val="PlainText"/>
        <w:rPr>
          <w:rFonts w:ascii="Times New Roman" w:hAnsi="Times New Roman" w:cs="Times New Roman"/>
          <w:sz w:val="22"/>
          <w:szCs w:val="22"/>
        </w:rPr>
      </w:pPr>
      <w:r w:rsidRPr="000E3F12">
        <w:rPr>
          <w:szCs w:val="22"/>
        </w:rPr>
        <w:tab/>
      </w:r>
      <w:r w:rsidR="00704BC9">
        <w:rPr>
          <w:szCs w:val="22"/>
        </w:rPr>
        <w:tab/>
      </w:r>
      <w:r w:rsidR="00704BC9">
        <w:rPr>
          <w:szCs w:val="22"/>
        </w:rPr>
        <w:tab/>
      </w:r>
      <w:r w:rsidR="00704BC9">
        <w:rPr>
          <w:szCs w:val="22"/>
        </w:rPr>
        <w:tab/>
      </w:r>
      <w:r w:rsidR="00704BC9">
        <w:rPr>
          <w:szCs w:val="22"/>
        </w:rPr>
        <w:tab/>
      </w:r>
      <w:r w:rsidR="00704BC9">
        <w:rPr>
          <w:szCs w:val="22"/>
        </w:rPr>
        <w:tab/>
      </w:r>
      <w:r w:rsidR="00704BC9" w:rsidRPr="00DD00A4">
        <w:rPr>
          <w:rFonts w:ascii="Times New Roman" w:hAnsi="Times New Roman" w:cs="Times New Roman"/>
          <w:sz w:val="22"/>
          <w:szCs w:val="22"/>
        </w:rPr>
        <w:t>FEDERAL COMMUNICATIONS COMMISSION</w:t>
      </w:r>
    </w:p>
    <w:p w14:paraId="123F8CC8" w14:textId="77777777" w:rsidR="00704BC9" w:rsidRPr="00DD00A4" w:rsidRDefault="00704BC9" w:rsidP="00704BC9">
      <w:pPr>
        <w:tabs>
          <w:tab w:val="left" w:pos="4320"/>
        </w:tabs>
        <w:rPr>
          <w:szCs w:val="22"/>
        </w:rPr>
      </w:pPr>
    </w:p>
    <w:p w14:paraId="2B088C2E" w14:textId="77777777" w:rsidR="00704BC9" w:rsidRPr="00DD00A4" w:rsidRDefault="00704BC9" w:rsidP="00704BC9">
      <w:pPr>
        <w:tabs>
          <w:tab w:val="left" w:pos="4320"/>
        </w:tabs>
        <w:rPr>
          <w:szCs w:val="22"/>
        </w:rPr>
      </w:pPr>
    </w:p>
    <w:p w14:paraId="01F68B0B" w14:textId="77777777" w:rsidR="00704BC9" w:rsidRPr="00DD00A4" w:rsidRDefault="00704BC9" w:rsidP="00704BC9">
      <w:pPr>
        <w:tabs>
          <w:tab w:val="left" w:pos="4320"/>
        </w:tabs>
        <w:rPr>
          <w:szCs w:val="22"/>
        </w:rPr>
      </w:pPr>
    </w:p>
    <w:p w14:paraId="6A40DFAA" w14:textId="77777777" w:rsidR="00704BC9" w:rsidRPr="00DD00A4" w:rsidRDefault="00704BC9" w:rsidP="00704BC9">
      <w:pPr>
        <w:tabs>
          <w:tab w:val="left" w:pos="4320"/>
        </w:tabs>
        <w:rPr>
          <w:szCs w:val="22"/>
        </w:rPr>
      </w:pPr>
    </w:p>
    <w:p w14:paraId="71E71B55" w14:textId="1064A31C" w:rsidR="00BA1904" w:rsidRDefault="00704BC9" w:rsidP="00704BC9">
      <w:pPr>
        <w:tabs>
          <w:tab w:val="left" w:pos="4320"/>
        </w:tabs>
        <w:rPr>
          <w:szCs w:val="22"/>
        </w:rPr>
      </w:pPr>
      <w:r w:rsidRPr="00DD00A4">
        <w:rPr>
          <w:szCs w:val="22"/>
        </w:rPr>
        <w:tab/>
      </w:r>
      <w:r w:rsidR="00133912">
        <w:rPr>
          <w:szCs w:val="22"/>
        </w:rPr>
        <w:t xml:space="preserve">Travis LeBlanc </w:t>
      </w:r>
    </w:p>
    <w:p w14:paraId="5C3EA562" w14:textId="75CB17D6" w:rsidR="00C2374E" w:rsidRDefault="00BA1904" w:rsidP="00704BC9">
      <w:pPr>
        <w:tabs>
          <w:tab w:val="left" w:pos="4320"/>
        </w:tabs>
        <w:rPr>
          <w:szCs w:val="22"/>
        </w:rPr>
      </w:pPr>
      <w:r>
        <w:rPr>
          <w:szCs w:val="22"/>
        </w:rPr>
        <w:tab/>
      </w:r>
      <w:r w:rsidR="00C2374E" w:rsidRPr="00133912">
        <w:t>Chief</w:t>
      </w:r>
    </w:p>
    <w:p w14:paraId="6A5B89B9" w14:textId="77777777" w:rsidR="00B9748D" w:rsidRPr="000E3F12" w:rsidRDefault="00C2374E" w:rsidP="00704BC9">
      <w:pPr>
        <w:tabs>
          <w:tab w:val="left" w:pos="4320"/>
        </w:tabs>
        <w:rPr>
          <w:szCs w:val="22"/>
        </w:rPr>
      </w:pPr>
      <w:r>
        <w:rPr>
          <w:szCs w:val="22"/>
        </w:rPr>
        <w:tab/>
        <w:t>Enforcement Bureau</w:t>
      </w:r>
      <w:r w:rsidRPr="000E3F12">
        <w:rPr>
          <w:szCs w:val="22"/>
        </w:rPr>
        <w:t xml:space="preserve"> </w:t>
      </w:r>
    </w:p>
    <w:sectPr w:rsidR="00B9748D" w:rsidRPr="000E3F12" w:rsidSect="0055614C">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D5F0" w14:textId="77777777" w:rsidR="00084654" w:rsidRDefault="00084654">
      <w:pPr>
        <w:spacing w:line="20" w:lineRule="exact"/>
      </w:pPr>
    </w:p>
  </w:endnote>
  <w:endnote w:type="continuationSeparator" w:id="0">
    <w:p w14:paraId="4512D568" w14:textId="77777777" w:rsidR="00084654" w:rsidRDefault="00084654">
      <w:r>
        <w:t xml:space="preserve"> </w:t>
      </w:r>
    </w:p>
  </w:endnote>
  <w:endnote w:type="continuationNotice" w:id="1">
    <w:p w14:paraId="3AACB90E" w14:textId="77777777" w:rsidR="00084654" w:rsidRDefault="000846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0D80" w14:textId="77777777" w:rsidR="000E4C1D" w:rsidRDefault="000E4C1D" w:rsidP="0055614C">
    <w:pPr>
      <w:pStyle w:val="Footer"/>
      <w:framePr w:wrap="around" w:vAnchor="text" w:hAnchor="margin" w:xAlign="center" w:y="1"/>
    </w:pPr>
    <w:r>
      <w:fldChar w:fldCharType="begin"/>
    </w:r>
    <w:r>
      <w:instrText xml:space="preserve">PAGE  </w:instrText>
    </w:r>
    <w:r>
      <w:fldChar w:fldCharType="end"/>
    </w:r>
  </w:p>
  <w:p w14:paraId="66F0BA4B" w14:textId="77777777" w:rsidR="000E4C1D" w:rsidRDefault="000E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B375" w14:textId="77777777" w:rsidR="000E4C1D" w:rsidRDefault="000E4C1D" w:rsidP="0055614C">
    <w:pPr>
      <w:pStyle w:val="Footer"/>
      <w:framePr w:wrap="around" w:vAnchor="text" w:hAnchor="margin" w:xAlign="center" w:y="1"/>
    </w:pPr>
    <w:r>
      <w:fldChar w:fldCharType="begin"/>
    </w:r>
    <w:r>
      <w:instrText xml:space="preserve">PAGE  </w:instrText>
    </w:r>
    <w:r>
      <w:fldChar w:fldCharType="separate"/>
    </w:r>
    <w:r w:rsidR="003B16F3">
      <w:rPr>
        <w:noProof/>
      </w:rPr>
      <w:t>3</w:t>
    </w:r>
    <w:r>
      <w:fldChar w:fldCharType="end"/>
    </w:r>
  </w:p>
  <w:p w14:paraId="289C873E" w14:textId="77777777" w:rsidR="000E4C1D" w:rsidRDefault="000E4C1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863C6" w14:textId="03769B67" w:rsidR="000E4C1D" w:rsidRPr="00743186" w:rsidRDefault="000E4C1D">
    <w:pPr>
      <w:pStyle w:val="Footer"/>
      <w:tabs>
        <w:tab w:val="clear" w:pos="864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026DC" w14:textId="77777777" w:rsidR="00084654" w:rsidRDefault="00084654">
      <w:r>
        <w:separator/>
      </w:r>
    </w:p>
  </w:footnote>
  <w:footnote w:type="continuationSeparator" w:id="0">
    <w:p w14:paraId="4DB13956" w14:textId="77777777" w:rsidR="00084654" w:rsidRDefault="00084654" w:rsidP="00C721AC">
      <w:pPr>
        <w:spacing w:before="120"/>
        <w:rPr>
          <w:sz w:val="20"/>
        </w:rPr>
      </w:pPr>
      <w:r>
        <w:rPr>
          <w:sz w:val="20"/>
        </w:rPr>
        <w:t xml:space="preserve">(Continued from previous page)  </w:t>
      </w:r>
      <w:r>
        <w:rPr>
          <w:sz w:val="20"/>
        </w:rPr>
        <w:separator/>
      </w:r>
    </w:p>
  </w:footnote>
  <w:footnote w:type="continuationNotice" w:id="1">
    <w:p w14:paraId="2505920B" w14:textId="77777777" w:rsidR="00084654" w:rsidRDefault="00084654" w:rsidP="00C721AC">
      <w:pPr>
        <w:jc w:val="right"/>
        <w:rPr>
          <w:sz w:val="20"/>
        </w:rPr>
      </w:pPr>
      <w:r>
        <w:rPr>
          <w:sz w:val="20"/>
        </w:rPr>
        <w:t>(continued….)</w:t>
      </w:r>
    </w:p>
  </w:footnote>
  <w:footnote w:id="2">
    <w:p w14:paraId="1ADA0D69" w14:textId="3C444FD1" w:rsidR="00895843" w:rsidRDefault="00895843">
      <w:pPr>
        <w:pStyle w:val="FootnoteText"/>
      </w:pPr>
      <w:r>
        <w:rPr>
          <w:rStyle w:val="FootnoteReference"/>
        </w:rPr>
        <w:footnoteRef/>
      </w:r>
      <w:r>
        <w:t xml:space="preserve"> Sixty days prior to the start of each quarter, USAC must provide the FCC with projections of </w:t>
      </w:r>
      <w:r w:rsidRPr="006A7FE4">
        <w:t>funding requirements for the following quarter.</w:t>
      </w:r>
      <w:r>
        <w:t xml:space="preserve"> </w:t>
      </w:r>
      <w:r>
        <w:rPr>
          <w:i/>
        </w:rPr>
        <w:t xml:space="preserve">See </w:t>
      </w:r>
      <w:r>
        <w:t xml:space="preserve">USAC, </w:t>
      </w:r>
      <w:r>
        <w:rPr>
          <w:i/>
        </w:rPr>
        <w:t>FCC Filings</w:t>
      </w:r>
      <w:r>
        <w:t xml:space="preserve">, </w:t>
      </w:r>
      <w:hyperlink r:id="rId1" w:history="1">
        <w:r w:rsidR="00BA1904" w:rsidRPr="0031393A">
          <w:rPr>
            <w:rStyle w:val="Hyperlink"/>
          </w:rPr>
          <w:t>http://www.usac.org/about/tools/fcc/filings/default.aspx</w:t>
        </w:r>
      </w:hyperlink>
      <w:r w:rsidRPr="006A7FE4">
        <w:t xml:space="preserve"> (</w:t>
      </w:r>
      <w:r w:rsidRPr="001A1439">
        <w:t xml:space="preserve">last visited </w:t>
      </w:r>
      <w:r>
        <w:t>Aug. 24</w:t>
      </w:r>
      <w:r w:rsidRPr="001A1439">
        <w:t>, 2016).</w:t>
      </w:r>
      <w:r w:rsidRPr="006A7FE4">
        <w:t xml:space="preserve">  Based on USAC’s projection of the needs of the USF, and revenue projections from registered carriers subject to universal service requirements, the Commission establishes a specific percentage of interstate and international end-user revenues that each subject telecommunications provider must contribute toward the USF.</w:t>
      </w:r>
      <w:r>
        <w:t xml:space="preserve"> </w:t>
      </w:r>
      <w:r w:rsidRPr="006A7FE4">
        <w:t xml:space="preserve"> This percentage is called the contribution factor. The contribution factor, and, consequently, the amount owed to the USF by each affected telecommunications company, changes each quarter, depending on the needs of the USF and carrier-provided revenue projections. </w:t>
      </w:r>
      <w:r w:rsidRPr="006A7FE4">
        <w:rPr>
          <w:i/>
        </w:rPr>
        <w:t>See</w:t>
      </w:r>
      <w:r w:rsidRPr="006A7FE4">
        <w:t xml:space="preserve"> </w:t>
      </w:r>
      <w:r>
        <w:t xml:space="preserve">FCC Managing Director, </w:t>
      </w:r>
      <w:r w:rsidRPr="008D30AB">
        <w:rPr>
          <w:i/>
        </w:rPr>
        <w:t>Contribution Factor &amp; Quarterly Filings—Universal Service Fund (USF) Management Support</w:t>
      </w:r>
      <w:r>
        <w:t>,</w:t>
      </w:r>
      <w:r w:rsidRPr="006A7FE4">
        <w:t xml:space="preserve"> </w:t>
      </w:r>
      <w:hyperlink r:id="rId2" w:history="1">
        <w:r w:rsidR="00BA1904" w:rsidRPr="0031393A">
          <w:rPr>
            <w:rStyle w:val="Hyperlink"/>
          </w:rPr>
          <w:t>https://www.fcc.gov/encyclopedia/contribution-factor-quarterly-filings-universal-service-fund-usf-management-support</w:t>
        </w:r>
      </w:hyperlink>
      <w:r w:rsidR="00BA1904">
        <w:t xml:space="preserve"> </w:t>
      </w:r>
      <w:r w:rsidRPr="006A7FE4">
        <w:t>(</w:t>
      </w:r>
      <w:r w:rsidRPr="001A1439">
        <w:t xml:space="preserve">last visited </w:t>
      </w:r>
      <w:r>
        <w:t>Aug. 24</w:t>
      </w:r>
      <w:r w:rsidRPr="001A1439">
        <w:t>, 2016</w:t>
      </w:r>
      <w:r w:rsidRPr="006A7FE4">
        <w:t xml:space="preserve">). </w:t>
      </w:r>
      <w:r>
        <w:t xml:space="preserve"> </w:t>
      </w:r>
      <w:r w:rsidRPr="006A7FE4">
        <w:t xml:space="preserve">Thus, in cases where a </w:t>
      </w:r>
      <w:r w:rsidR="00723EE3">
        <w:t xml:space="preserve">telecommunications </w:t>
      </w:r>
      <w:r w:rsidR="00813252">
        <w:t xml:space="preserve">service </w:t>
      </w:r>
      <w:r w:rsidR="00B35202">
        <w:t>provider</w:t>
      </w:r>
      <w:r w:rsidRPr="006A7FE4">
        <w:t xml:space="preserve">, such as </w:t>
      </w:r>
      <w:r>
        <w:t>UnityComm</w:t>
      </w:r>
      <w:r w:rsidRPr="006A7FE4">
        <w:t xml:space="preserve">, fails to file required Worksheets reporting its revenue projections in a timely fashion, its revenues are excluded from the contribution base from which universal service assessments are derived, and the economic burden of contributing falls disproportionately on </w:t>
      </w:r>
      <w:r w:rsidR="00723EE3">
        <w:t xml:space="preserve">telecommunications </w:t>
      </w:r>
      <w:r w:rsidR="00813252">
        <w:t xml:space="preserve">service </w:t>
      </w:r>
      <w:r w:rsidR="00B35202">
        <w:t>providers</w:t>
      </w:r>
      <w:r w:rsidRPr="006A7FE4">
        <w:t xml:space="preserve"> that have satisfied their reporting obligations.</w:t>
      </w:r>
    </w:p>
  </w:footnote>
  <w:footnote w:id="3">
    <w:p w14:paraId="3601131F" w14:textId="14BF05A7" w:rsidR="00BD67D3" w:rsidRPr="0085353D" w:rsidRDefault="00BD67D3">
      <w:pPr>
        <w:pStyle w:val="FootnoteText"/>
        <w:rPr>
          <w:rStyle w:val="FootnoteReference"/>
        </w:rPr>
      </w:pPr>
      <w:r>
        <w:rPr>
          <w:rStyle w:val="FootnoteReference"/>
        </w:rPr>
        <w:footnoteRef/>
      </w:r>
      <w:r>
        <w:t xml:space="preserve"> </w:t>
      </w:r>
      <w:r w:rsidRPr="0018326B">
        <w:rPr>
          <w:i/>
        </w:rPr>
        <w:t xml:space="preserve">See </w:t>
      </w:r>
      <w:r>
        <w:t>UnityComm</w:t>
      </w:r>
      <w:r w:rsidRPr="0018326B">
        <w:t>,</w:t>
      </w:r>
      <w:r>
        <w:t xml:space="preserve"> LLC</w:t>
      </w:r>
      <w:r w:rsidR="008B2CCC">
        <w:t>,</w:t>
      </w:r>
      <w:r w:rsidRPr="0018326B">
        <w:t xml:space="preserve"> April 2015 FCC Form 499-A (</w:t>
      </w:r>
      <w:r w:rsidRPr="0018326B">
        <w:rPr>
          <w:spacing w:val="-2"/>
        </w:rPr>
        <w:t xml:space="preserve">on file in </w:t>
      </w:r>
      <w:r w:rsidRPr="0018326B">
        <w:t>EB-IHD-15-</w:t>
      </w:r>
      <w:r w:rsidRPr="001B4629">
        <w:rPr>
          <w:szCs w:val="22"/>
        </w:rPr>
        <w:t>00018959</w:t>
      </w:r>
      <w:r w:rsidRPr="0018326B">
        <w:t>)</w:t>
      </w:r>
      <w:r w:rsidR="00033732">
        <w:t xml:space="preserve"> (2015 Form 499-A)</w:t>
      </w:r>
      <w:r w:rsidRPr="0018326B">
        <w:t>.</w:t>
      </w:r>
      <w:r w:rsidR="0085353D">
        <w:t xml:space="preserve">  </w:t>
      </w:r>
    </w:p>
  </w:footnote>
  <w:footnote w:id="4">
    <w:p w14:paraId="62474A73" w14:textId="77777777" w:rsidR="00186FBB" w:rsidRPr="00186FBB" w:rsidRDefault="00186FBB" w:rsidP="00186FBB">
      <w:pPr>
        <w:widowControl/>
        <w:spacing w:after="120"/>
        <w:rPr>
          <w:snapToGrid/>
          <w:kern w:val="0"/>
          <w:sz w:val="20"/>
        </w:rPr>
      </w:pPr>
      <w:r>
        <w:rPr>
          <w:rStyle w:val="FootnoteReference"/>
        </w:rPr>
        <w:footnoteRef/>
      </w:r>
      <w:r>
        <w:t xml:space="preserve"> </w:t>
      </w:r>
      <w:r w:rsidRPr="00186FBB">
        <w:rPr>
          <w:sz w:val="20"/>
        </w:rPr>
        <w:t xml:space="preserve">USAC administers the USF program, </w:t>
      </w:r>
      <w:r w:rsidRPr="00186FBB">
        <w:rPr>
          <w:i/>
          <w:sz w:val="20"/>
        </w:rPr>
        <w:t xml:space="preserve">see </w:t>
      </w:r>
      <w:r w:rsidRPr="00186FBB">
        <w:rPr>
          <w:sz w:val="20"/>
        </w:rPr>
        <w:t xml:space="preserve">47 </w:t>
      </w:r>
      <w:r w:rsidR="00C56A0E">
        <w:rPr>
          <w:sz w:val="20"/>
        </w:rPr>
        <w:t>CFR</w:t>
      </w:r>
      <w:r w:rsidRPr="00186FBB">
        <w:rPr>
          <w:sz w:val="20"/>
        </w:rPr>
        <w:t xml:space="preserve"> § 54.701, and contributors are obligated under the Rules to provide data to USAC </w:t>
      </w:r>
      <w:r w:rsidR="00163A56">
        <w:rPr>
          <w:sz w:val="20"/>
        </w:rPr>
        <w:t xml:space="preserve">in order </w:t>
      </w:r>
      <w:r w:rsidRPr="00186FBB">
        <w:rPr>
          <w:sz w:val="20"/>
        </w:rPr>
        <w:t xml:space="preserve">to verify information </w:t>
      </w:r>
      <w:r>
        <w:rPr>
          <w:sz w:val="20"/>
        </w:rPr>
        <w:t xml:space="preserve">reported </w:t>
      </w:r>
      <w:r w:rsidRPr="00186FBB">
        <w:rPr>
          <w:sz w:val="20"/>
        </w:rPr>
        <w:t xml:space="preserve">in Worksheets.  </w:t>
      </w:r>
      <w:r w:rsidRPr="00186FBB">
        <w:rPr>
          <w:i/>
          <w:sz w:val="20"/>
        </w:rPr>
        <w:t>See</w:t>
      </w:r>
      <w:r w:rsidRPr="00186FBB">
        <w:rPr>
          <w:sz w:val="20"/>
        </w:rPr>
        <w:t xml:space="preserve"> 47 </w:t>
      </w:r>
      <w:r w:rsidR="00C56A0E">
        <w:rPr>
          <w:sz w:val="20"/>
        </w:rPr>
        <w:t>CFR</w:t>
      </w:r>
      <w:r w:rsidRPr="00186FBB">
        <w:rPr>
          <w:sz w:val="20"/>
        </w:rPr>
        <w:t xml:space="preserve"> § 54.711(a)</w:t>
      </w:r>
      <w:r>
        <w:rPr>
          <w:sz w:val="20"/>
        </w:rPr>
        <w:t>.</w:t>
      </w:r>
      <w:r w:rsidRPr="00186FBB">
        <w:rPr>
          <w:sz w:val="20"/>
        </w:rPr>
        <w:t xml:space="preserve">  </w:t>
      </w:r>
    </w:p>
  </w:footnote>
  <w:footnote w:id="5">
    <w:p w14:paraId="640014D6" w14:textId="4B79A4EE" w:rsidR="00215B1D" w:rsidRPr="00616163" w:rsidRDefault="00215B1D">
      <w:pPr>
        <w:pStyle w:val="FootnoteText"/>
      </w:pPr>
      <w:r>
        <w:rPr>
          <w:rStyle w:val="FootnoteReference"/>
        </w:rPr>
        <w:footnoteRef/>
      </w:r>
      <w:r>
        <w:t xml:space="preserve"> </w:t>
      </w:r>
      <w:r w:rsidRPr="00993E65">
        <w:rPr>
          <w:i/>
        </w:rPr>
        <w:t xml:space="preserve">See </w:t>
      </w:r>
      <w:r w:rsidRPr="00993E65">
        <w:t xml:space="preserve">Letter from </w:t>
      </w:r>
      <w:r>
        <w:t>Michelle Garber</w:t>
      </w:r>
      <w:r w:rsidRPr="00993E65">
        <w:t xml:space="preserve">, </w:t>
      </w:r>
      <w:r w:rsidR="00186FBB">
        <w:t>Director, Financial Opera</w:t>
      </w:r>
      <w:r>
        <w:t>tions, USAC</w:t>
      </w:r>
      <w:r w:rsidRPr="00993E65">
        <w:t xml:space="preserve">, to </w:t>
      </w:r>
      <w:r>
        <w:t xml:space="preserve">Terry Cavanaugh, Chief, </w:t>
      </w:r>
      <w:r w:rsidRPr="00993E65">
        <w:t>Investigations and Hearings Division, FCC Enforcement Bureau (</w:t>
      </w:r>
      <w:r>
        <w:t>May</w:t>
      </w:r>
      <w:r w:rsidRPr="00993E65">
        <w:t xml:space="preserve"> </w:t>
      </w:r>
      <w:r>
        <w:t>2, 2014</w:t>
      </w:r>
      <w:r w:rsidRPr="00993E65">
        <w:t xml:space="preserve">) (on file in </w:t>
      </w:r>
      <w:r w:rsidRPr="0018326B">
        <w:t>EB-IHD-15-</w:t>
      </w:r>
      <w:r w:rsidRPr="001B4629">
        <w:rPr>
          <w:szCs w:val="22"/>
        </w:rPr>
        <w:t>00018959</w:t>
      </w:r>
      <w:r w:rsidRPr="00993E65">
        <w:t>) (</w:t>
      </w:r>
      <w:r>
        <w:t>USAC Referral</w:t>
      </w:r>
      <w:r w:rsidRPr="00993E65">
        <w:t>)</w:t>
      </w:r>
      <w:r>
        <w:t>.</w:t>
      </w:r>
      <w:r w:rsidR="00616163">
        <w:t xml:space="preserve">  Prior to USAC’s referral, UnityComm failed to respond to two separate </w:t>
      </w:r>
      <w:r w:rsidR="00163A56">
        <w:t xml:space="preserve">data </w:t>
      </w:r>
      <w:r w:rsidR="00616163">
        <w:t xml:space="preserve">requests from USAC.  </w:t>
      </w:r>
      <w:r w:rsidR="00616163">
        <w:rPr>
          <w:i/>
        </w:rPr>
        <w:t>Id.</w:t>
      </w:r>
    </w:p>
  </w:footnote>
  <w:footnote w:id="6">
    <w:p w14:paraId="722C47A1" w14:textId="14B9250A" w:rsidR="00A434AC" w:rsidRPr="00993E65" w:rsidRDefault="00A434AC" w:rsidP="00A434AC">
      <w:pPr>
        <w:pStyle w:val="FootnoteText"/>
      </w:pPr>
      <w:r w:rsidRPr="00993E65">
        <w:rPr>
          <w:rStyle w:val="FootnoteReference"/>
        </w:rPr>
        <w:footnoteRef/>
      </w:r>
      <w:r w:rsidRPr="00993E65">
        <w:t xml:space="preserve"> </w:t>
      </w:r>
      <w:r w:rsidR="00734634" w:rsidRPr="00993E65">
        <w:rPr>
          <w:i/>
        </w:rPr>
        <w:t xml:space="preserve">See </w:t>
      </w:r>
      <w:r w:rsidR="00B83C4F" w:rsidRPr="00993E65">
        <w:t xml:space="preserve">Letter from </w:t>
      </w:r>
      <w:r w:rsidR="00563BB8">
        <w:t>Jeffrey J. Gee</w:t>
      </w:r>
      <w:r w:rsidR="00B83C4F" w:rsidRPr="00993E65">
        <w:t xml:space="preserve">, </w:t>
      </w:r>
      <w:r w:rsidR="00563BB8">
        <w:t>Acting</w:t>
      </w:r>
      <w:r w:rsidR="00B83C4F" w:rsidRPr="00993E65">
        <w:t xml:space="preserve"> Chief, Investigations and Hearings Division, FCC Enforcement Bureau, to </w:t>
      </w:r>
      <w:r w:rsidR="00563BB8">
        <w:t>Benjamin Plikerd, CEO, UnityComm, LLC</w:t>
      </w:r>
      <w:r w:rsidR="00B83C4F" w:rsidRPr="00993E65">
        <w:t xml:space="preserve"> (</w:t>
      </w:r>
      <w:r w:rsidR="00563BB8">
        <w:t>Apr</w:t>
      </w:r>
      <w:r w:rsidR="00D95205" w:rsidRPr="00993E65">
        <w:t>.</w:t>
      </w:r>
      <w:r w:rsidR="00563BB8">
        <w:t xml:space="preserve"> </w:t>
      </w:r>
      <w:r w:rsidR="00D95205" w:rsidRPr="00993E65">
        <w:t>3</w:t>
      </w:r>
      <w:r w:rsidR="00563BB8">
        <w:t>, 2015</w:t>
      </w:r>
      <w:r w:rsidR="00B83C4F" w:rsidRPr="00993E65">
        <w:t xml:space="preserve">) (addressing Company’s compliance with </w:t>
      </w:r>
      <w:r w:rsidR="00734634" w:rsidRPr="00993E65">
        <w:t>47 U.S.C. §§</w:t>
      </w:r>
      <w:r w:rsidR="00F50FA8">
        <w:t> </w:t>
      </w:r>
      <w:r w:rsidR="00563BB8">
        <w:t>159(a)</w:t>
      </w:r>
      <w:r w:rsidR="00734634" w:rsidRPr="00993E65">
        <w:t xml:space="preserve">, </w:t>
      </w:r>
      <w:r w:rsidR="00E12F5B">
        <w:t xml:space="preserve">214, </w:t>
      </w:r>
      <w:r w:rsidR="00734634" w:rsidRPr="00993E65">
        <w:t>222, 251</w:t>
      </w:r>
      <w:r w:rsidR="00563BB8">
        <w:t>(e)(2)</w:t>
      </w:r>
      <w:r w:rsidR="00734634" w:rsidRPr="00993E65">
        <w:t>, 254</w:t>
      </w:r>
      <w:r w:rsidR="00563BB8">
        <w:t>(d)</w:t>
      </w:r>
      <w:r w:rsidR="00734634" w:rsidRPr="00993E65">
        <w:t>;</w:t>
      </w:r>
      <w:r w:rsidR="003B2F01" w:rsidRPr="00993E65">
        <w:t xml:space="preserve"> and</w:t>
      </w:r>
      <w:r w:rsidR="00734634" w:rsidRPr="00993E65">
        <w:t xml:space="preserve"> 47 </w:t>
      </w:r>
      <w:r w:rsidR="00C56A0E">
        <w:t>CFR</w:t>
      </w:r>
      <w:r w:rsidR="00734634" w:rsidRPr="00993E65">
        <w:t xml:space="preserve"> §§ 1.1154, 1.1157, 52.17, 52.32, </w:t>
      </w:r>
      <w:r w:rsidR="00186FBB">
        <w:t>63.18</w:t>
      </w:r>
      <w:r w:rsidR="00E12F5B" w:rsidRPr="00186FBB">
        <w:t xml:space="preserve">, </w:t>
      </w:r>
      <w:r w:rsidR="00734634" w:rsidRPr="00993E65">
        <w:t xml:space="preserve">54.706, 54.711, </w:t>
      </w:r>
      <w:r w:rsidR="00563BB8">
        <w:t>64.604, 64.1195, 64.2009(e)</w:t>
      </w:r>
      <w:r w:rsidR="00B83C4F" w:rsidRPr="00993E65">
        <w:t>)</w:t>
      </w:r>
      <w:r w:rsidR="00D95205" w:rsidRPr="00993E65">
        <w:t xml:space="preserve"> (on file in </w:t>
      </w:r>
      <w:r w:rsidR="00563BB8">
        <w:rPr>
          <w:spacing w:val="-2"/>
        </w:rPr>
        <w:t>EB-IHD-15</w:t>
      </w:r>
      <w:r w:rsidR="00D95205" w:rsidRPr="00993E65">
        <w:rPr>
          <w:spacing w:val="-2"/>
        </w:rPr>
        <w:t>-</w:t>
      </w:r>
      <w:r w:rsidR="00563BB8" w:rsidRPr="001B4629">
        <w:rPr>
          <w:szCs w:val="22"/>
        </w:rPr>
        <w:t>00018959</w:t>
      </w:r>
      <w:r w:rsidR="00D95205" w:rsidRPr="00993E65">
        <w:t>) (LOI)</w:t>
      </w:r>
      <w:r w:rsidR="00734634" w:rsidRPr="00993E65">
        <w:t>.</w:t>
      </w:r>
    </w:p>
  </w:footnote>
  <w:footnote w:id="7">
    <w:p w14:paraId="27C4EF4A" w14:textId="68AF317F" w:rsidR="003B2F01" w:rsidRPr="00993E65" w:rsidRDefault="003B2F01" w:rsidP="003B2F01">
      <w:pPr>
        <w:pStyle w:val="FootnoteText"/>
      </w:pPr>
      <w:r w:rsidRPr="00993E65">
        <w:rPr>
          <w:rStyle w:val="FootnoteReference"/>
        </w:rPr>
        <w:footnoteRef/>
      </w:r>
      <w:r w:rsidRPr="00993E65">
        <w:t xml:space="preserve"> </w:t>
      </w:r>
      <w:r w:rsidRPr="00993E65">
        <w:rPr>
          <w:i/>
        </w:rPr>
        <w:t xml:space="preserve">See </w:t>
      </w:r>
      <w:r w:rsidRPr="00993E65">
        <w:t xml:space="preserve">Letter from </w:t>
      </w:r>
      <w:r w:rsidR="00C53203">
        <w:t>Dawn R. Damschen</w:t>
      </w:r>
      <w:r w:rsidRPr="00993E65">
        <w:t xml:space="preserve">, </w:t>
      </w:r>
      <w:r w:rsidR="00C53203">
        <w:t>Kell</w:t>
      </w:r>
      <w:r w:rsidR="00E347D7">
        <w:t>e</w:t>
      </w:r>
      <w:r w:rsidR="00C53203">
        <w:t>y Drye &amp; Warren LLP</w:t>
      </w:r>
      <w:r w:rsidRPr="00993E65">
        <w:t xml:space="preserve">, Counsel to </w:t>
      </w:r>
      <w:r w:rsidR="00C53203">
        <w:t>UnityComm, LLC</w:t>
      </w:r>
      <w:r w:rsidR="00D87F97" w:rsidRPr="00993E65">
        <w:t>,</w:t>
      </w:r>
      <w:r w:rsidRPr="00993E65">
        <w:t xml:space="preserve"> to </w:t>
      </w:r>
      <w:r w:rsidR="00C53203">
        <w:t>Theodore Marcus</w:t>
      </w:r>
      <w:r w:rsidRPr="00993E65">
        <w:t xml:space="preserve">, </w:t>
      </w:r>
      <w:r w:rsidR="0054791F">
        <w:t xml:space="preserve">Attorney Advisor, </w:t>
      </w:r>
      <w:r w:rsidRPr="00993E65">
        <w:t>Investigations and Hearings Division, FCC Enforcement Bureau (</w:t>
      </w:r>
      <w:r w:rsidR="00C53203">
        <w:t>Jul</w:t>
      </w:r>
      <w:r w:rsidRPr="00993E65">
        <w:t xml:space="preserve">. </w:t>
      </w:r>
      <w:r w:rsidR="00C53203">
        <w:t>29, 2015</w:t>
      </w:r>
      <w:r w:rsidRPr="00993E65">
        <w:t xml:space="preserve">) (on file in </w:t>
      </w:r>
      <w:r w:rsidR="00C53203" w:rsidRPr="0018326B">
        <w:t>EB-IHD-15-</w:t>
      </w:r>
      <w:r w:rsidR="00C53203" w:rsidRPr="001B4629">
        <w:rPr>
          <w:szCs w:val="22"/>
        </w:rPr>
        <w:t>00018959</w:t>
      </w:r>
      <w:r w:rsidRPr="00993E65">
        <w:t>) (LOI Response).</w:t>
      </w:r>
      <w:r w:rsidR="00C53203">
        <w:t xml:space="preserve">  </w:t>
      </w:r>
    </w:p>
  </w:footnote>
  <w:footnote w:id="8">
    <w:p w14:paraId="6CB90277" w14:textId="01D7532F" w:rsidR="00CA5009" w:rsidRPr="0018326B" w:rsidRDefault="00CA5009" w:rsidP="00CA5009">
      <w:pPr>
        <w:pStyle w:val="FootnoteText"/>
      </w:pPr>
      <w:r w:rsidRPr="0018326B">
        <w:rPr>
          <w:rStyle w:val="FootnoteReference"/>
        </w:rPr>
        <w:footnoteRef/>
      </w:r>
      <w:r w:rsidRPr="0018326B">
        <w:t xml:space="preserve"> </w:t>
      </w:r>
      <w:r w:rsidRPr="0018326B">
        <w:rPr>
          <w:i/>
        </w:rPr>
        <w:t xml:space="preserve">See </w:t>
      </w:r>
      <w:r w:rsidR="003B17DF" w:rsidRPr="0018326B">
        <w:t xml:space="preserve">47 </w:t>
      </w:r>
      <w:r w:rsidR="00C56A0E">
        <w:t>CFR</w:t>
      </w:r>
      <w:r w:rsidR="00322227">
        <w:t xml:space="preserve"> §</w:t>
      </w:r>
      <w:r w:rsidRPr="0018326B">
        <w:t xml:space="preserve"> </w:t>
      </w:r>
      <w:r w:rsidR="00322227">
        <w:t>54.711(a)</w:t>
      </w:r>
      <w:r w:rsidR="003B17DF">
        <w:t>.</w:t>
      </w:r>
    </w:p>
  </w:footnote>
  <w:footnote w:id="9">
    <w:p w14:paraId="7B01A330" w14:textId="77777777" w:rsidR="00554E1D" w:rsidRPr="0018326B" w:rsidRDefault="00554E1D" w:rsidP="00554E1D">
      <w:pPr>
        <w:pStyle w:val="FootnoteText"/>
      </w:pPr>
      <w:r w:rsidRPr="0018326B">
        <w:rPr>
          <w:rStyle w:val="FootnoteReference"/>
        </w:rPr>
        <w:footnoteRef/>
      </w:r>
      <w:r w:rsidRPr="0018326B">
        <w:t xml:space="preserve"> </w:t>
      </w:r>
      <w:r w:rsidRPr="0018326B">
        <w:rPr>
          <w:i/>
        </w:rPr>
        <w:t xml:space="preserve">See </w:t>
      </w:r>
      <w:r w:rsidRPr="0018326B">
        <w:t>47 U.S.C. §§ 225(b)(1)–(2), 251(b)(2), (e), 254(a)(2).</w:t>
      </w:r>
    </w:p>
  </w:footnote>
  <w:footnote w:id="10">
    <w:p w14:paraId="08DE669F" w14:textId="196410E9" w:rsidR="00554E1D" w:rsidRPr="0018326B" w:rsidRDefault="00554E1D" w:rsidP="00554E1D">
      <w:pPr>
        <w:pStyle w:val="FootnoteText"/>
      </w:pPr>
      <w:r w:rsidRPr="0018326B">
        <w:rPr>
          <w:rStyle w:val="FootnoteReference"/>
        </w:rPr>
        <w:footnoteRef/>
      </w:r>
      <w:r w:rsidRPr="0018326B">
        <w:t xml:space="preserve"> </w:t>
      </w:r>
      <w:r w:rsidRPr="0018326B">
        <w:rPr>
          <w:i/>
        </w:rPr>
        <w:t xml:space="preserve">See </w:t>
      </w:r>
      <w:r w:rsidRPr="0018326B">
        <w:t xml:space="preserve">47 </w:t>
      </w:r>
      <w:r w:rsidR="00B47D2F">
        <w:t xml:space="preserve">U.S.C. §§ </w:t>
      </w:r>
      <w:r w:rsidRPr="0018326B">
        <w:t>225(d)(3), 251(e)(2), 254(d).</w:t>
      </w:r>
    </w:p>
  </w:footnote>
  <w:footnote w:id="11">
    <w:p w14:paraId="571390BE" w14:textId="77777777" w:rsidR="00554E1D" w:rsidRPr="0018326B" w:rsidRDefault="00554E1D" w:rsidP="00554E1D">
      <w:pPr>
        <w:pStyle w:val="FootnoteText"/>
      </w:pPr>
      <w:r w:rsidRPr="0018326B">
        <w:rPr>
          <w:rStyle w:val="FootnoteReference"/>
        </w:rPr>
        <w:footnoteRef/>
      </w:r>
      <w:r w:rsidRPr="0018326B">
        <w:t xml:space="preserve"> </w:t>
      </w:r>
      <w:r w:rsidRPr="0018326B">
        <w:rPr>
          <w:i/>
        </w:rPr>
        <w:t>See</w:t>
      </w:r>
      <w:r w:rsidRPr="0018326B">
        <w:t xml:space="preserve"> 47 </w:t>
      </w:r>
      <w:r w:rsidR="00C56A0E">
        <w:t>CFR</w:t>
      </w:r>
      <w:r w:rsidRPr="0018326B">
        <w:t xml:space="preserve"> §§ </w:t>
      </w:r>
      <w:r>
        <w:t xml:space="preserve">52.17(b), 52.32(b), </w:t>
      </w:r>
      <w:r w:rsidRPr="0018326B">
        <w:t>54.711(a), 64.604(c)(5)(iii)(B).</w:t>
      </w:r>
    </w:p>
  </w:footnote>
  <w:footnote w:id="12">
    <w:p w14:paraId="24A49E98" w14:textId="305D6601" w:rsidR="00554E1D" w:rsidRPr="0018326B" w:rsidRDefault="00554E1D" w:rsidP="00554E1D">
      <w:pPr>
        <w:pStyle w:val="FootnoteText"/>
      </w:pPr>
      <w:r w:rsidRPr="0018326B">
        <w:rPr>
          <w:rStyle w:val="FootnoteReference"/>
        </w:rPr>
        <w:footnoteRef/>
      </w:r>
      <w:r w:rsidRPr="0018326B">
        <w:t xml:space="preserve"> </w:t>
      </w:r>
      <w:r w:rsidRPr="0018326B">
        <w:rPr>
          <w:i/>
        </w:rPr>
        <w:t xml:space="preserve">See </w:t>
      </w:r>
      <w:r w:rsidRPr="0018326B">
        <w:t xml:space="preserve">47 </w:t>
      </w:r>
      <w:r w:rsidR="00C56A0E">
        <w:t>CFR</w:t>
      </w:r>
      <w:r w:rsidRPr="0018326B">
        <w:t xml:space="preserve"> §</w:t>
      </w:r>
      <w:r>
        <w:t xml:space="preserve"> 54.711(a); </w:t>
      </w:r>
      <w:r w:rsidRPr="0018326B">
        <w:rPr>
          <w:i/>
        </w:rPr>
        <w:t xml:space="preserve">Fed.-State Joint Bd. on Universal Serv., </w:t>
      </w:r>
      <w:r w:rsidRPr="0018326B">
        <w:t>Report and Order and Order on Reconsideration, 16 FCC Rcd 5748 (2001).</w:t>
      </w:r>
      <w:r w:rsidRPr="0018326B">
        <w:rPr>
          <w:i/>
        </w:rPr>
        <w:t xml:space="preserve">  </w:t>
      </w:r>
      <w:r w:rsidRPr="0018326B">
        <w:t xml:space="preserve">Carriers </w:t>
      </w:r>
      <w:r w:rsidR="00DB5061">
        <w:t xml:space="preserve">must </w:t>
      </w:r>
      <w:r w:rsidRPr="0018326B">
        <w:t>report their revenues for the prior quarter by the beginning of the second month in each quarter (</w:t>
      </w:r>
      <w:r w:rsidRPr="0018326B">
        <w:rPr>
          <w:i/>
        </w:rPr>
        <w:t>i.e</w:t>
      </w:r>
      <w:r w:rsidRPr="0018326B">
        <w:t xml:space="preserve">., February 1, May 1, August 1, and November 1).  </w:t>
      </w:r>
      <w:r w:rsidRPr="0018326B">
        <w:rPr>
          <w:i/>
        </w:rPr>
        <w:t xml:space="preserve">See id. </w:t>
      </w:r>
      <w:r w:rsidRPr="0018326B">
        <w:t>at 5755, para. 19.</w:t>
      </w:r>
    </w:p>
  </w:footnote>
  <w:footnote w:id="13">
    <w:p w14:paraId="5A64F154" w14:textId="362A0C77" w:rsidR="00B96281" w:rsidRPr="0018326B" w:rsidRDefault="00B96281" w:rsidP="00B96281">
      <w:pPr>
        <w:pStyle w:val="FootnoteText"/>
      </w:pPr>
      <w:r w:rsidRPr="0018326B">
        <w:rPr>
          <w:rStyle w:val="FootnoteReference"/>
        </w:rPr>
        <w:footnoteRef/>
      </w:r>
      <w:r w:rsidRPr="0018326B">
        <w:t xml:space="preserve"> </w:t>
      </w:r>
      <w:r w:rsidRPr="0018326B">
        <w:rPr>
          <w:i/>
        </w:rPr>
        <w:t>See Wireline Competition Bureau Releases 2015 Telecomms. Reporting Worksheets &amp; Accompanying Instructions</w:t>
      </w:r>
      <w:r w:rsidRPr="0018326B">
        <w:t>, Public Notice, 29 FCC Rcd 16163</w:t>
      </w:r>
      <w:r>
        <w:t xml:space="preserve">, </w:t>
      </w:r>
      <w:r w:rsidRPr="0018326B">
        <w:rPr>
          <w:color w:val="252525"/>
        </w:rPr>
        <w:t>16209</w:t>
      </w:r>
      <w:r w:rsidRPr="0018326B">
        <w:t xml:space="preserve"> (Wireline Comp. Bur. 2014).</w:t>
      </w:r>
    </w:p>
  </w:footnote>
  <w:footnote w:id="14">
    <w:p w14:paraId="6D8B01A0" w14:textId="77777777" w:rsidR="00B96281" w:rsidRPr="00993E65" w:rsidRDefault="00B96281" w:rsidP="00B96281">
      <w:pPr>
        <w:pStyle w:val="FootnoteText"/>
      </w:pPr>
      <w:r w:rsidRPr="00993E65">
        <w:rPr>
          <w:rStyle w:val="FootnoteReference"/>
        </w:rPr>
        <w:footnoteRef/>
      </w:r>
      <w:r w:rsidRPr="00993E65">
        <w:t xml:space="preserve"> </w:t>
      </w:r>
      <w:r w:rsidRPr="00993E65">
        <w:rPr>
          <w:i/>
        </w:rPr>
        <w:t>See InPhonic, Inc.</w:t>
      </w:r>
      <w:r w:rsidRPr="00013EEF">
        <w:t>,</w:t>
      </w:r>
      <w:r w:rsidRPr="00993E65">
        <w:t xml:space="preserve"> Notice of Apparent Liability for Forfeiture and Order, 20 FCC Rcd 13277, 13283, para. 15 (2005), </w:t>
      </w:r>
      <w:r w:rsidRPr="00993E65">
        <w:rPr>
          <w:i/>
        </w:rPr>
        <w:t>forfeiture issued</w:t>
      </w:r>
      <w:r w:rsidRPr="00993E65">
        <w:t xml:space="preserve">, </w:t>
      </w:r>
      <w:r w:rsidRPr="00993E65">
        <w:rPr>
          <w:color w:val="000000"/>
        </w:rPr>
        <w:t xml:space="preserve">Order of Forfeiture and Further Notice of Apparent Liability for Forfeiture, </w:t>
      </w:r>
      <w:r w:rsidRPr="00993E65">
        <w:t>22 FCC Rcd 8689, 8691, para. 5 (2007).</w:t>
      </w:r>
    </w:p>
  </w:footnote>
  <w:footnote w:id="15">
    <w:p w14:paraId="55A02AAA" w14:textId="4316F3CB" w:rsidR="00CC4E47" w:rsidRDefault="00CC4E47">
      <w:pPr>
        <w:pStyle w:val="FootnoteText"/>
      </w:pPr>
      <w:r>
        <w:rPr>
          <w:rStyle w:val="FootnoteReference"/>
        </w:rPr>
        <w:footnoteRef/>
      </w:r>
      <w:r>
        <w:t xml:space="preserve"> </w:t>
      </w:r>
      <w:r w:rsidRPr="009B7BBF">
        <w:rPr>
          <w:i/>
          <w:color w:val="000000" w:themeColor="text1"/>
        </w:rPr>
        <w:t>See</w:t>
      </w:r>
      <w:r w:rsidRPr="009B7BBF">
        <w:t xml:space="preserve"> </w:t>
      </w:r>
      <w:r w:rsidR="00E622C4" w:rsidRPr="004A55D7">
        <w:t>https://efile.universalservice.org/form499/source/search.asp?optFilerID=824588</w:t>
      </w:r>
      <w:r w:rsidR="00E622C4" w:rsidRPr="00D22277">
        <w:t xml:space="preserve"> </w:t>
      </w:r>
      <w:r w:rsidR="00E622C4">
        <w:t>(</w:t>
      </w:r>
      <w:r w:rsidR="0077052E">
        <w:t>last visited</w:t>
      </w:r>
      <w:r w:rsidR="00D1752A">
        <w:t xml:space="preserve"> </w:t>
      </w:r>
      <w:r w:rsidR="00E622C4">
        <w:t xml:space="preserve">August </w:t>
      </w:r>
      <w:r w:rsidR="009B7BBF">
        <w:t>24</w:t>
      </w:r>
      <w:r w:rsidR="00E622C4" w:rsidRPr="00F314FA">
        <w:t>, 201</w:t>
      </w:r>
      <w:r w:rsidR="00E622C4">
        <w:t xml:space="preserve">6) (search results </w:t>
      </w:r>
      <w:r w:rsidR="00E622C4" w:rsidRPr="00993E65">
        <w:t xml:space="preserve">on file in </w:t>
      </w:r>
      <w:r w:rsidR="00E622C4">
        <w:rPr>
          <w:spacing w:val="-2"/>
        </w:rPr>
        <w:t>EB-IHD-15</w:t>
      </w:r>
      <w:r w:rsidR="00E622C4" w:rsidRPr="00993E65">
        <w:rPr>
          <w:spacing w:val="-2"/>
        </w:rPr>
        <w:t>-</w:t>
      </w:r>
      <w:r w:rsidR="00E622C4" w:rsidRPr="001B4629">
        <w:rPr>
          <w:szCs w:val="22"/>
        </w:rPr>
        <w:t>00018959</w:t>
      </w:r>
      <w:r w:rsidR="008040BD" w:rsidRPr="00993E65">
        <w:t>)</w:t>
      </w:r>
      <w:r w:rsidR="009B7BBF">
        <w:t>.</w:t>
      </w:r>
      <w:r w:rsidR="00E622C4">
        <w:t xml:space="preserve">  </w:t>
      </w:r>
    </w:p>
  </w:footnote>
  <w:footnote w:id="16">
    <w:p w14:paraId="61D5541A" w14:textId="77777777" w:rsidR="00C77623" w:rsidRPr="0018326B" w:rsidRDefault="00C77623" w:rsidP="00C77623">
      <w:pPr>
        <w:pStyle w:val="FootnoteText"/>
        <w:rPr>
          <w:b/>
          <w:i/>
          <w:color w:val="000000" w:themeColor="text1"/>
        </w:rPr>
      </w:pPr>
      <w:r w:rsidRPr="0018326B">
        <w:rPr>
          <w:rStyle w:val="FootnoteReference"/>
          <w:color w:val="000000" w:themeColor="text1"/>
        </w:rPr>
        <w:footnoteRef/>
      </w:r>
      <w:r w:rsidRPr="0018326B">
        <w:rPr>
          <w:color w:val="000000" w:themeColor="text1"/>
        </w:rPr>
        <w:t xml:space="preserve"> 47 U.S.C. § 503(b).</w:t>
      </w:r>
    </w:p>
  </w:footnote>
  <w:footnote w:id="17">
    <w:p w14:paraId="500848D4" w14:textId="4EEAA214" w:rsidR="00C77623" w:rsidRPr="00993E65" w:rsidRDefault="00C77623" w:rsidP="00C77623">
      <w:pPr>
        <w:pStyle w:val="FootnoteText"/>
        <w:rPr>
          <w:color w:val="000000" w:themeColor="text1"/>
        </w:rPr>
      </w:pPr>
      <w:r w:rsidRPr="00993E65">
        <w:rPr>
          <w:rStyle w:val="FootnoteReference"/>
          <w:color w:val="000000" w:themeColor="text1"/>
        </w:rPr>
        <w:footnoteRef/>
      </w:r>
      <w:r w:rsidRPr="00993E65">
        <w:rPr>
          <w:color w:val="000000" w:themeColor="text1"/>
        </w:rPr>
        <w:t xml:space="preserve"> </w:t>
      </w:r>
      <w:r w:rsidR="00D37392" w:rsidRPr="00993E65">
        <w:rPr>
          <w:i/>
          <w:color w:val="000000" w:themeColor="text1"/>
        </w:rPr>
        <w:t>See</w:t>
      </w:r>
      <w:r w:rsidR="00D37392" w:rsidRPr="00993E65">
        <w:rPr>
          <w:color w:val="000000" w:themeColor="text1"/>
        </w:rPr>
        <w:t xml:space="preserve"> </w:t>
      </w:r>
      <w:r w:rsidR="00D37392" w:rsidRPr="00993E65">
        <w:rPr>
          <w:snapToGrid w:val="0"/>
          <w:color w:val="000000" w:themeColor="text1"/>
        </w:rPr>
        <w:t xml:space="preserve">47 U.S.C. § 503(b)(2)(B); 47 </w:t>
      </w:r>
      <w:r w:rsidR="00D37392">
        <w:rPr>
          <w:snapToGrid w:val="0"/>
          <w:color w:val="000000" w:themeColor="text1"/>
        </w:rPr>
        <w:t>CFR</w:t>
      </w:r>
      <w:r w:rsidR="00D37392" w:rsidRPr="00993E65">
        <w:rPr>
          <w:snapToGrid w:val="0"/>
          <w:color w:val="000000" w:themeColor="text1"/>
        </w:rPr>
        <w:t xml:space="preserve"> § 1.80(b)(9).  These amounts reflect inflation adjustments to the forfeitures specified in Section 503(b)(2)(B) ($100,000 per violation or per day of a continuing violation and $1,000,000 per any single act or failure to act).  The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00D37392" w:rsidRPr="00993E65">
        <w:rPr>
          <w:i/>
          <w:iCs/>
          <w:snapToGrid w:val="0"/>
          <w:color w:val="000000" w:themeColor="text1"/>
        </w:rPr>
        <w:t>See</w:t>
      </w:r>
      <w:r w:rsidR="00D37392" w:rsidRPr="00993E65">
        <w:rPr>
          <w:snapToGrid w:val="0"/>
          <w:color w:val="000000" w:themeColor="text1"/>
        </w:rPr>
        <w:t xml:space="preserve"> 28 U.S.C. § 2461 note (4).  The Commission most recently adjusted its penalties to account for inflation </w:t>
      </w:r>
      <w:r w:rsidR="00D37392">
        <w:rPr>
          <w:snapToGrid w:val="0"/>
          <w:color w:val="000000" w:themeColor="text1"/>
        </w:rPr>
        <w:t>on June 9, 2016</w:t>
      </w:r>
      <w:r w:rsidR="00D37392" w:rsidRPr="00993E65">
        <w:rPr>
          <w:snapToGrid w:val="0"/>
          <w:color w:val="000000" w:themeColor="text1"/>
        </w:rPr>
        <w:t xml:space="preserve">.  </w:t>
      </w:r>
      <w:r w:rsidR="00D37392" w:rsidRPr="00993E65">
        <w:rPr>
          <w:i/>
          <w:iCs/>
          <w:snapToGrid w:val="0"/>
          <w:color w:val="000000" w:themeColor="text1"/>
        </w:rPr>
        <w:t>See Amendment of Section 1.80(b) of the Commission’s Rules, Adjustment of Civil Monetary Penalties to Reflect Inflation</w:t>
      </w:r>
      <w:r w:rsidR="00D37392" w:rsidRPr="00993E65">
        <w:rPr>
          <w:snapToGrid w:val="0"/>
          <w:color w:val="000000" w:themeColor="text1"/>
        </w:rPr>
        <w:t xml:space="preserve">, Order, </w:t>
      </w:r>
      <w:r w:rsidR="00D37392">
        <w:rPr>
          <w:snapToGrid w:val="0"/>
          <w:color w:val="000000" w:themeColor="text1"/>
        </w:rPr>
        <w:t>DA 16-644</w:t>
      </w:r>
      <w:r w:rsidR="00D37392" w:rsidRPr="00F67B8D">
        <w:rPr>
          <w:snapToGrid w:val="0"/>
        </w:rPr>
        <w:t xml:space="preserve">, </w:t>
      </w:r>
      <w:r w:rsidR="00D37392" w:rsidRPr="00F67B8D">
        <w:t>2016 WL 3218781</w:t>
      </w:r>
      <w:r w:rsidR="00D37392" w:rsidRPr="00F67B8D">
        <w:rPr>
          <w:snapToGrid w:val="0"/>
        </w:rPr>
        <w:t xml:space="preserve"> </w:t>
      </w:r>
      <w:r w:rsidR="00D37392" w:rsidRPr="00993E65">
        <w:rPr>
          <w:snapToGrid w:val="0"/>
          <w:color w:val="000000" w:themeColor="text1"/>
        </w:rPr>
        <w:t>(E</w:t>
      </w:r>
      <w:r w:rsidR="00D37392">
        <w:rPr>
          <w:snapToGrid w:val="0"/>
          <w:color w:val="000000" w:themeColor="text1"/>
        </w:rPr>
        <w:t>B</w:t>
      </w:r>
      <w:r w:rsidR="00D37392" w:rsidRPr="00993E65">
        <w:rPr>
          <w:snapToGrid w:val="0"/>
          <w:color w:val="000000" w:themeColor="text1"/>
        </w:rPr>
        <w:t xml:space="preserve"> 201</w:t>
      </w:r>
      <w:r w:rsidR="00D37392">
        <w:rPr>
          <w:snapToGrid w:val="0"/>
          <w:color w:val="000000" w:themeColor="text1"/>
        </w:rPr>
        <w:t>6</w:t>
      </w:r>
      <w:r w:rsidR="00D37392" w:rsidRPr="00993E65">
        <w:rPr>
          <w:snapToGrid w:val="0"/>
          <w:color w:val="000000" w:themeColor="text1"/>
        </w:rPr>
        <w:t xml:space="preserve">); </w:t>
      </w:r>
      <w:r w:rsidR="00D37392" w:rsidRPr="00993E65">
        <w:rPr>
          <w:i/>
          <w:iCs/>
          <w:snapToGrid w:val="0"/>
          <w:color w:val="000000" w:themeColor="text1"/>
        </w:rPr>
        <w:t>see also</w:t>
      </w:r>
      <w:r w:rsidR="00D37392" w:rsidRPr="00993E65">
        <w:rPr>
          <w:snapToGrid w:val="0"/>
          <w:color w:val="000000" w:themeColor="text1"/>
        </w:rPr>
        <w:t xml:space="preserve"> Inflation Adjustment of Monetary Penalties, </w:t>
      </w:r>
      <w:r w:rsidR="00D37392" w:rsidRPr="00556774">
        <w:rPr>
          <w:snapToGrid w:val="0"/>
        </w:rPr>
        <w:t>81</w:t>
      </w:r>
      <w:r w:rsidR="00D37392">
        <w:rPr>
          <w:snapToGrid w:val="0"/>
        </w:rPr>
        <w:t xml:space="preserve"> </w:t>
      </w:r>
      <w:r w:rsidR="00D37392" w:rsidRPr="00556774">
        <w:rPr>
          <w:snapToGrid w:val="0"/>
        </w:rPr>
        <w:t>Fed. Reg. 42,554 (</w:t>
      </w:r>
      <w:r w:rsidR="00D37392">
        <w:rPr>
          <w:snapToGrid w:val="0"/>
          <w:color w:val="000000" w:themeColor="text1"/>
        </w:rPr>
        <w:t>Jun. 30</w:t>
      </w:r>
      <w:r w:rsidR="00D37392" w:rsidRPr="00993E65">
        <w:rPr>
          <w:snapToGrid w:val="0"/>
          <w:color w:val="000000" w:themeColor="text1"/>
        </w:rPr>
        <w:t>, 201</w:t>
      </w:r>
      <w:r w:rsidR="00D37392">
        <w:rPr>
          <w:snapToGrid w:val="0"/>
          <w:color w:val="000000" w:themeColor="text1"/>
        </w:rPr>
        <w:t>6</w:t>
      </w:r>
      <w:r w:rsidR="00D37392" w:rsidRPr="00993E65">
        <w:rPr>
          <w:snapToGrid w:val="0"/>
          <w:color w:val="000000" w:themeColor="text1"/>
        </w:rPr>
        <w:t>) (setting</w:t>
      </w:r>
      <w:r w:rsidR="00D37392">
        <w:rPr>
          <w:snapToGrid w:val="0"/>
          <w:color w:val="000000" w:themeColor="text1"/>
        </w:rPr>
        <w:t xml:space="preserve"> August 1, 2016 </w:t>
      </w:r>
      <w:r w:rsidR="00D37392" w:rsidRPr="00993E65">
        <w:rPr>
          <w:snapToGrid w:val="0"/>
          <w:color w:val="000000" w:themeColor="text1"/>
        </w:rPr>
        <w:t>as the effective date for the increases).</w:t>
      </w:r>
      <w:r w:rsidR="00777747" w:rsidRPr="00777747">
        <w:rPr>
          <w:snapToGrid w:val="0"/>
          <w:color w:val="000000" w:themeColor="text1"/>
        </w:rPr>
        <w:t xml:space="preserve"> </w:t>
      </w:r>
      <w:r w:rsidR="007161F6">
        <w:rPr>
          <w:snapToGrid w:val="0"/>
          <w:color w:val="000000" w:themeColor="text1"/>
        </w:rPr>
        <w:t xml:space="preserve"> </w:t>
      </w:r>
      <w:r w:rsidR="00777747">
        <w:rPr>
          <w:snapToGrid w:val="0"/>
          <w:color w:val="000000" w:themeColor="text1"/>
        </w:rPr>
        <w:t>T</w:t>
      </w:r>
      <w:r w:rsidR="00777747" w:rsidRPr="00981F23">
        <w:rPr>
          <w:snapToGrid w:val="0"/>
          <w:color w:val="000000" w:themeColor="text1"/>
        </w:rPr>
        <w:t>he DCIA specifies that any inflationary adjustment “shall apply only to violations which occur after the</w:t>
      </w:r>
      <w:r w:rsidR="00777747">
        <w:rPr>
          <w:snapToGrid w:val="0"/>
          <w:color w:val="000000" w:themeColor="text1"/>
        </w:rPr>
        <w:t xml:space="preserve"> date the increase takes effect.</w:t>
      </w:r>
      <w:r w:rsidR="00777747" w:rsidRPr="00981F23">
        <w:rPr>
          <w:snapToGrid w:val="0"/>
          <w:color w:val="000000" w:themeColor="text1"/>
        </w:rPr>
        <w:t xml:space="preserve">” </w:t>
      </w:r>
      <w:r w:rsidR="00777747">
        <w:rPr>
          <w:snapToGrid w:val="0"/>
          <w:color w:val="000000" w:themeColor="text1"/>
        </w:rPr>
        <w:t xml:space="preserve"> </w:t>
      </w:r>
      <w:r w:rsidR="00777747" w:rsidRPr="00981F23">
        <w:rPr>
          <w:snapToGrid w:val="0"/>
          <w:color w:val="000000" w:themeColor="text1"/>
        </w:rPr>
        <w:t xml:space="preserve">28 U.S.C. § 2461 note (6).  </w:t>
      </w:r>
      <w:r w:rsidR="00777747">
        <w:rPr>
          <w:snapToGrid w:val="0"/>
          <w:color w:val="000000" w:themeColor="text1"/>
        </w:rPr>
        <w:t>M</w:t>
      </w:r>
      <w:r w:rsidR="00777747" w:rsidRPr="00981F23">
        <w:rPr>
          <w:snapToGrid w:val="0"/>
          <w:color w:val="000000" w:themeColor="text1"/>
        </w:rPr>
        <w:t xml:space="preserve">aximum penalties </w:t>
      </w:r>
      <w:r w:rsidR="00777747">
        <w:rPr>
          <w:snapToGrid w:val="0"/>
          <w:color w:val="000000" w:themeColor="text1"/>
        </w:rPr>
        <w:t>for v</w:t>
      </w:r>
      <w:r w:rsidR="00777747" w:rsidRPr="00981F23">
        <w:rPr>
          <w:snapToGrid w:val="0"/>
          <w:color w:val="000000" w:themeColor="text1"/>
        </w:rPr>
        <w:t>iolation</w:t>
      </w:r>
      <w:r w:rsidR="00777747">
        <w:rPr>
          <w:snapToGrid w:val="0"/>
          <w:color w:val="000000" w:themeColor="text1"/>
        </w:rPr>
        <w:t>s</w:t>
      </w:r>
      <w:r w:rsidR="00777747" w:rsidRPr="00981F23">
        <w:rPr>
          <w:snapToGrid w:val="0"/>
          <w:color w:val="000000" w:themeColor="text1"/>
        </w:rPr>
        <w:t xml:space="preserve"> </w:t>
      </w:r>
      <w:r w:rsidR="00777747">
        <w:rPr>
          <w:snapToGrid w:val="0"/>
          <w:color w:val="000000" w:themeColor="text1"/>
        </w:rPr>
        <w:t>that</w:t>
      </w:r>
      <w:r w:rsidR="00777747" w:rsidRPr="00981F23">
        <w:rPr>
          <w:snapToGrid w:val="0"/>
          <w:color w:val="000000" w:themeColor="text1"/>
        </w:rPr>
        <w:t xml:space="preserve"> occur</w:t>
      </w:r>
      <w:r w:rsidR="00777747">
        <w:rPr>
          <w:snapToGrid w:val="0"/>
          <w:color w:val="000000" w:themeColor="text1"/>
        </w:rPr>
        <w:t>red</w:t>
      </w:r>
      <w:r w:rsidR="00777747" w:rsidRPr="00981F23">
        <w:rPr>
          <w:snapToGrid w:val="0"/>
          <w:color w:val="000000" w:themeColor="text1"/>
        </w:rPr>
        <w:t xml:space="preserve"> before </w:t>
      </w:r>
      <w:r w:rsidR="00777747">
        <w:rPr>
          <w:snapToGrid w:val="0"/>
          <w:color w:val="000000" w:themeColor="text1"/>
        </w:rPr>
        <w:t xml:space="preserve">August 1, 2016 </w:t>
      </w:r>
      <w:r w:rsidR="00777747" w:rsidRPr="00981F23">
        <w:rPr>
          <w:snapToGrid w:val="0"/>
          <w:color w:val="000000" w:themeColor="text1"/>
        </w:rPr>
        <w:t xml:space="preserve">are based on the Commission’s previous inflation adjustment that became effective on </w:t>
      </w:r>
      <w:r w:rsidR="00777747">
        <w:rPr>
          <w:snapToGrid w:val="0"/>
          <w:color w:val="000000" w:themeColor="text1"/>
        </w:rPr>
        <w:t>September 13, 2013</w:t>
      </w:r>
      <w:r w:rsidR="00777747" w:rsidRPr="00981F23">
        <w:rPr>
          <w:snapToGrid w:val="0"/>
          <w:color w:val="000000" w:themeColor="text1"/>
        </w:rPr>
        <w:t>.</w:t>
      </w:r>
      <w:r w:rsidR="00777747" w:rsidRPr="00981F23">
        <w:rPr>
          <w:i/>
          <w:iCs/>
          <w:snapToGrid w:val="0"/>
          <w:color w:val="000000" w:themeColor="text1"/>
        </w:rPr>
        <w:t>  See</w:t>
      </w:r>
      <w:r w:rsidR="00777747" w:rsidRPr="00981F23">
        <w:rPr>
          <w:snapToGrid w:val="0"/>
          <w:color w:val="000000" w:themeColor="text1"/>
        </w:rPr>
        <w:t xml:space="preserve"> </w:t>
      </w:r>
      <w:r w:rsidR="00777747" w:rsidRPr="0072026D">
        <w:rPr>
          <w:i/>
          <w:snapToGrid w:val="0"/>
          <w:color w:val="000000" w:themeColor="text1"/>
        </w:rPr>
        <w:t>Inflation Adjustment of Maximum Forfeiture Penalties</w:t>
      </w:r>
      <w:r w:rsidR="00777747" w:rsidRPr="00981F23">
        <w:rPr>
          <w:snapToGrid w:val="0"/>
          <w:color w:val="000000" w:themeColor="text1"/>
        </w:rPr>
        <w:t>, 7</w:t>
      </w:r>
      <w:r w:rsidR="00777747">
        <w:rPr>
          <w:snapToGrid w:val="0"/>
          <w:color w:val="000000" w:themeColor="text1"/>
        </w:rPr>
        <w:t>8</w:t>
      </w:r>
      <w:r w:rsidR="00777747" w:rsidRPr="00981F23">
        <w:rPr>
          <w:snapToGrid w:val="0"/>
          <w:color w:val="000000" w:themeColor="text1"/>
        </w:rPr>
        <w:t xml:space="preserve"> Fed. Reg. </w:t>
      </w:r>
      <w:r w:rsidR="00777747">
        <w:rPr>
          <w:snapToGrid w:val="0"/>
          <w:color w:val="000000" w:themeColor="text1"/>
        </w:rPr>
        <w:t>49,370-01 (Aug. 14, 2013).</w:t>
      </w:r>
      <w:r w:rsidR="00D37392" w:rsidRPr="00236618">
        <w:rPr>
          <w:color w:val="000000" w:themeColor="text1"/>
        </w:rPr>
        <w:t xml:space="preserve"> </w:t>
      </w:r>
      <w:r w:rsidR="00D37392">
        <w:rPr>
          <w:color w:val="000000" w:themeColor="text1"/>
        </w:rPr>
        <w:t xml:space="preserve"> </w:t>
      </w:r>
      <w:r w:rsidR="00D37392" w:rsidRPr="00981F23">
        <w:rPr>
          <w:snapToGrid w:val="0"/>
          <w:color w:val="000000" w:themeColor="text1"/>
        </w:rPr>
        <w:t> </w:t>
      </w:r>
      <w:r w:rsidRPr="00993E65">
        <w:rPr>
          <w:snapToGrid w:val="0"/>
          <w:color w:val="000000" w:themeColor="text1"/>
        </w:rPr>
        <w:t xml:space="preserve">   </w:t>
      </w:r>
    </w:p>
  </w:footnote>
  <w:footnote w:id="18">
    <w:p w14:paraId="68DECF9E" w14:textId="77777777" w:rsidR="00C77623" w:rsidRPr="00993E65" w:rsidRDefault="00C77623" w:rsidP="00C77623">
      <w:pPr>
        <w:pStyle w:val="FootnoteText"/>
        <w:rPr>
          <w:color w:val="000000" w:themeColor="text1"/>
          <w:lang w:val="es-ES"/>
        </w:rPr>
      </w:pPr>
      <w:r w:rsidRPr="00993E65">
        <w:rPr>
          <w:rStyle w:val="FootnoteReference"/>
          <w:color w:val="000000" w:themeColor="text1"/>
        </w:rPr>
        <w:footnoteRef/>
      </w:r>
      <w:r w:rsidRPr="00993E65">
        <w:rPr>
          <w:color w:val="000000" w:themeColor="text1"/>
          <w:lang w:val="es-ES"/>
        </w:rPr>
        <w:t xml:space="preserve"> 47 U.S.C. § 503(b)(2)(E).</w:t>
      </w:r>
    </w:p>
  </w:footnote>
  <w:footnote w:id="19">
    <w:p w14:paraId="46CFE219" w14:textId="77777777" w:rsidR="00C77623" w:rsidRPr="0018326B" w:rsidRDefault="00C77623" w:rsidP="00C77623">
      <w:pPr>
        <w:pStyle w:val="FootnoteText"/>
        <w:rPr>
          <w:color w:val="000000" w:themeColor="text1"/>
        </w:rPr>
      </w:pPr>
      <w:r w:rsidRPr="0018326B">
        <w:rPr>
          <w:rStyle w:val="FootnoteReference"/>
          <w:color w:val="000000" w:themeColor="text1"/>
        </w:rPr>
        <w:footnoteRef/>
      </w:r>
      <w:r w:rsidRPr="0018326B">
        <w:rPr>
          <w:color w:val="000000" w:themeColor="text1"/>
        </w:rPr>
        <w:t xml:space="preserve"> 47 </w:t>
      </w:r>
      <w:r w:rsidR="00C56A0E">
        <w:rPr>
          <w:color w:val="000000" w:themeColor="text1"/>
        </w:rPr>
        <w:t>CFR</w:t>
      </w:r>
      <w:r w:rsidRPr="0018326B">
        <w:rPr>
          <w:color w:val="000000" w:themeColor="text1"/>
        </w:rPr>
        <w:t xml:space="preserve"> § 1.80(b)(8), Note to paragraph (b)(8). </w:t>
      </w:r>
    </w:p>
  </w:footnote>
  <w:footnote w:id="20">
    <w:p w14:paraId="3021C308" w14:textId="240AC47B" w:rsidR="00C77623" w:rsidRPr="0018326B" w:rsidRDefault="00C77623" w:rsidP="00C77623">
      <w:pPr>
        <w:pStyle w:val="FootnoteText"/>
        <w:rPr>
          <w:color w:val="000000" w:themeColor="text1"/>
        </w:rPr>
      </w:pPr>
      <w:r w:rsidRPr="0018326B">
        <w:rPr>
          <w:rStyle w:val="FootnoteReference"/>
          <w:color w:val="000000" w:themeColor="text1"/>
        </w:rPr>
        <w:footnoteRef/>
      </w:r>
      <w:r w:rsidRPr="0018326B">
        <w:rPr>
          <w:color w:val="000000" w:themeColor="text1"/>
        </w:rPr>
        <w:t xml:space="preserve"> </w:t>
      </w:r>
      <w:r w:rsidRPr="0018326B">
        <w:rPr>
          <w:i/>
          <w:color w:val="000000" w:themeColor="text1"/>
        </w:rPr>
        <w:t>Id</w:t>
      </w:r>
      <w:r w:rsidRPr="0018326B">
        <w:rPr>
          <w:color w:val="000000" w:themeColor="text1"/>
        </w:rPr>
        <w:t xml:space="preserve">.  </w:t>
      </w:r>
      <w:r w:rsidRPr="0018326B">
        <w:rPr>
          <w:i/>
          <w:color w:val="000000" w:themeColor="text1"/>
        </w:rPr>
        <w:t xml:space="preserve">See also </w:t>
      </w:r>
      <w:r w:rsidRPr="0018326B">
        <w:rPr>
          <w:i/>
        </w:rPr>
        <w:t xml:space="preserve">The Comm’n’s </w:t>
      </w:r>
      <w:r w:rsidRPr="0018326B">
        <w:rPr>
          <w:i/>
          <w:color w:val="000000" w:themeColor="text1"/>
        </w:rPr>
        <w:t>Forfeiture Policy Statement &amp; Amendment of Section 1.80 of the Rules to Incorporate the Forfeiture Guidelines</w:t>
      </w:r>
      <w:r w:rsidRPr="0018326B">
        <w:rPr>
          <w:color w:val="000000" w:themeColor="text1"/>
        </w:rPr>
        <w:t>, Report and Order, 12 FCC Rcd 17087, 17098</w:t>
      </w:r>
      <w:r w:rsidR="0072026D">
        <w:rPr>
          <w:color w:val="000000" w:themeColor="text1"/>
        </w:rPr>
        <w:t>-</w:t>
      </w:r>
      <w:r w:rsidRPr="0018326B">
        <w:rPr>
          <w:color w:val="000000" w:themeColor="text1"/>
        </w:rPr>
        <w:t>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18326B">
        <w:rPr>
          <w:i/>
          <w:color w:val="000000" w:themeColor="text1"/>
        </w:rPr>
        <w:t xml:space="preserve">Forfeiture </w:t>
      </w:r>
      <w:r>
        <w:rPr>
          <w:i/>
          <w:color w:val="000000" w:themeColor="text1"/>
        </w:rPr>
        <w:t>Guidelines</w:t>
      </w:r>
      <w:r w:rsidRPr="0018326B">
        <w:rPr>
          <w:color w:val="000000" w:themeColor="text1"/>
        </w:rPr>
        <w:t xml:space="preserve">), </w:t>
      </w:r>
      <w:r w:rsidRPr="0018326B">
        <w:rPr>
          <w:i/>
          <w:color w:val="000000" w:themeColor="text1"/>
        </w:rPr>
        <w:t>recon. denied</w:t>
      </w:r>
      <w:r w:rsidRPr="0018326B">
        <w:rPr>
          <w:color w:val="000000" w:themeColor="text1"/>
        </w:rPr>
        <w:t>, Memorandum Opinion and Order, 15 FCC Rcd 303 (1999).</w:t>
      </w:r>
      <w:r>
        <w:rPr>
          <w:color w:val="000000" w:themeColor="text1"/>
        </w:rPr>
        <w:t xml:space="preserve">  </w:t>
      </w:r>
      <w:r>
        <w:rPr>
          <w:szCs w:val="22"/>
        </w:rPr>
        <w:t xml:space="preserve">  </w:t>
      </w:r>
    </w:p>
  </w:footnote>
  <w:footnote w:id="21">
    <w:p w14:paraId="1A43DD9B" w14:textId="77777777" w:rsidR="00C77623" w:rsidRDefault="00C77623" w:rsidP="00C77623">
      <w:pPr>
        <w:pStyle w:val="FootnoteText"/>
      </w:pPr>
      <w:r>
        <w:rPr>
          <w:rStyle w:val="FootnoteReference"/>
        </w:rPr>
        <w:footnoteRef/>
      </w:r>
      <w:r>
        <w:t xml:space="preserve"> </w:t>
      </w:r>
      <w:r w:rsidRPr="0018326B">
        <w:rPr>
          <w:color w:val="000000" w:themeColor="text1"/>
        </w:rPr>
        <w:t xml:space="preserve">47 </w:t>
      </w:r>
      <w:r w:rsidR="00C56A0E">
        <w:rPr>
          <w:color w:val="000000" w:themeColor="text1"/>
        </w:rPr>
        <w:t>CFR</w:t>
      </w:r>
      <w:r w:rsidRPr="0018326B">
        <w:rPr>
          <w:color w:val="000000" w:themeColor="text1"/>
        </w:rPr>
        <w:t xml:space="preserve"> § 1.80(b)(8), Note to paragraph (b)(8).</w:t>
      </w:r>
    </w:p>
  </w:footnote>
  <w:footnote w:id="22">
    <w:p w14:paraId="389932AA" w14:textId="77777777" w:rsidR="00C77623" w:rsidRPr="000C584E" w:rsidRDefault="00C77623" w:rsidP="00C77623">
      <w:pPr>
        <w:pStyle w:val="FootnoteText"/>
        <w:widowControl w:val="0"/>
      </w:pPr>
      <w:r w:rsidRPr="000C584E">
        <w:rPr>
          <w:rStyle w:val="FootnoteReference"/>
        </w:rPr>
        <w:footnoteRef/>
      </w:r>
      <w:r>
        <w:t xml:space="preserve"> </w:t>
      </w:r>
      <w:r w:rsidRPr="0018326B">
        <w:rPr>
          <w:i/>
          <w:color w:val="000000" w:themeColor="text1"/>
        </w:rPr>
        <w:t>Forfeiture</w:t>
      </w:r>
      <w:r>
        <w:rPr>
          <w:i/>
          <w:color w:val="000000" w:themeColor="text1"/>
        </w:rPr>
        <w:t xml:space="preserve"> Guidelines</w:t>
      </w:r>
      <w:r w:rsidRPr="000C584E">
        <w:t xml:space="preserve">, 12 FCC Rcd </w:t>
      </w:r>
      <w:r>
        <w:t>at</w:t>
      </w:r>
      <w:r w:rsidRPr="000C584E">
        <w:t xml:space="preserve"> 17109-10</w:t>
      </w:r>
      <w:r>
        <w:t xml:space="preserve">, </w:t>
      </w:r>
      <w:r w:rsidRPr="00E61E6F">
        <w:t>para.</w:t>
      </w:r>
      <w:r>
        <w:t xml:space="preserve"> 53</w:t>
      </w:r>
      <w:r w:rsidRPr="00E61E6F">
        <w:t>.</w:t>
      </w:r>
    </w:p>
  </w:footnote>
  <w:footnote w:id="23">
    <w:p w14:paraId="683975CD" w14:textId="77777777" w:rsidR="00C3181B" w:rsidRPr="0018326B" w:rsidRDefault="00C3181B" w:rsidP="00C3181B">
      <w:pPr>
        <w:pStyle w:val="FootnoteText"/>
      </w:pPr>
      <w:r w:rsidRPr="0018326B">
        <w:rPr>
          <w:rStyle w:val="FootnoteReference"/>
        </w:rPr>
        <w:footnoteRef/>
      </w:r>
      <w:r w:rsidRPr="0018326B">
        <w:t xml:space="preserve"> </w:t>
      </w:r>
      <w:r w:rsidRPr="0018326B">
        <w:rPr>
          <w:i/>
        </w:rPr>
        <w:t>E.g</w:t>
      </w:r>
      <w:r w:rsidRPr="0018326B">
        <w:t xml:space="preserve">., </w:t>
      </w:r>
      <w:r w:rsidR="009512BB" w:rsidRPr="0018326B">
        <w:rPr>
          <w:i/>
        </w:rPr>
        <w:t>Advanced Tel</w:t>
      </w:r>
      <w:r w:rsidR="009512BB" w:rsidRPr="0018326B">
        <w:t xml:space="preserve">, </w:t>
      </w:r>
      <w:r w:rsidR="009512BB" w:rsidRPr="0018326B">
        <w:rPr>
          <w:i/>
        </w:rPr>
        <w:t>Inc.</w:t>
      </w:r>
      <w:r w:rsidR="009512BB" w:rsidRPr="0018326B">
        <w:t>, Notice of Apparent Liability for Forfeiture, 30 FCC Rcd 833</w:t>
      </w:r>
      <w:r w:rsidR="009512BB">
        <w:t xml:space="preserve">, </w:t>
      </w:r>
      <w:r w:rsidR="009512BB" w:rsidRPr="0018326B">
        <w:t>8441-42, paras. 27-28 (2015)</w:t>
      </w:r>
      <w:r w:rsidRPr="0018326B">
        <w:t xml:space="preserve">; </w:t>
      </w:r>
      <w:r w:rsidR="006C0E2C" w:rsidRPr="0018326B">
        <w:rPr>
          <w:i/>
        </w:rPr>
        <w:t>ADMA Telecom, Inc.</w:t>
      </w:r>
      <w:r w:rsidR="006C0E2C" w:rsidRPr="0018326B">
        <w:t xml:space="preserve">, </w:t>
      </w:r>
      <w:r w:rsidR="006C0E2C" w:rsidRPr="0018326B">
        <w:rPr>
          <w:color w:val="000000"/>
        </w:rPr>
        <w:t>Notice of Apparent Liability f</w:t>
      </w:r>
      <w:r w:rsidR="006C0E2C">
        <w:rPr>
          <w:color w:val="000000"/>
        </w:rPr>
        <w:t xml:space="preserve">or Forfeiture, 24 FCC Rcd. 838 </w:t>
      </w:r>
      <w:r w:rsidR="006C0E2C" w:rsidRPr="0018326B">
        <w:rPr>
          <w:color w:val="000000"/>
        </w:rPr>
        <w:t xml:space="preserve">(2009), </w:t>
      </w:r>
      <w:r w:rsidR="006C0E2C" w:rsidRPr="0018326B">
        <w:rPr>
          <w:i/>
        </w:rPr>
        <w:t>forfeiture</w:t>
      </w:r>
      <w:r w:rsidR="006C0E2C" w:rsidRPr="0018326B">
        <w:t xml:space="preserve"> </w:t>
      </w:r>
      <w:r w:rsidR="006C0E2C" w:rsidRPr="0018326B">
        <w:rPr>
          <w:i/>
        </w:rPr>
        <w:t>issued</w:t>
      </w:r>
      <w:r w:rsidR="006C0E2C" w:rsidRPr="0018326B">
        <w:t>, Forfeiture Order, 26 FCC Rcd 4152</w:t>
      </w:r>
      <w:r w:rsidR="006C0E2C">
        <w:t xml:space="preserve">, </w:t>
      </w:r>
      <w:r w:rsidR="006C0E2C" w:rsidRPr="0018326B">
        <w:t>4155, 4162, paras. 9, 28 (2011)</w:t>
      </w:r>
      <w:r w:rsidRPr="0018326B">
        <w:t xml:space="preserve">; </w:t>
      </w:r>
      <w:r w:rsidR="006C0E2C" w:rsidRPr="0018326B">
        <w:rPr>
          <w:i/>
        </w:rPr>
        <w:t>Globcom, Inc.</w:t>
      </w:r>
      <w:r w:rsidR="006C0E2C" w:rsidRPr="0018326B">
        <w:t>,</w:t>
      </w:r>
      <w:r w:rsidR="006C0E2C" w:rsidRPr="0018326B">
        <w:rPr>
          <w:color w:val="000000"/>
          <w:shd w:val="clear" w:color="auto" w:fill="FFFFFF"/>
        </w:rPr>
        <w:t xml:space="preserve"> Notice of Apparent Liability for Forfeiture and Order, </w:t>
      </w:r>
      <w:r w:rsidR="006C0E2C" w:rsidRPr="0018326B">
        <w:t xml:space="preserve">18 FCC Rcd 19893 (2003), </w:t>
      </w:r>
      <w:r w:rsidR="006C0E2C" w:rsidRPr="0018326B">
        <w:rPr>
          <w:i/>
        </w:rPr>
        <w:t>forfeiture</w:t>
      </w:r>
      <w:r w:rsidR="006C0E2C" w:rsidRPr="0018326B">
        <w:t xml:space="preserve"> </w:t>
      </w:r>
      <w:r w:rsidR="006C0E2C" w:rsidRPr="0018326B">
        <w:rPr>
          <w:i/>
        </w:rPr>
        <w:t>issued</w:t>
      </w:r>
      <w:r w:rsidR="006C0E2C" w:rsidRPr="0018326B">
        <w:t>, Order of Forfeiture, 21 FCC Rcd 4710, 4720–21, 4727, paras. 26–28, 31, 45 (2006)</w:t>
      </w:r>
      <w:r w:rsidRPr="0018326B">
        <w:t xml:space="preserve">.  </w:t>
      </w:r>
    </w:p>
  </w:footnote>
  <w:footnote w:id="24">
    <w:p w14:paraId="424A54C6" w14:textId="223C59EE" w:rsidR="009A7605" w:rsidRPr="00993E65" w:rsidRDefault="009A7605" w:rsidP="009A7605">
      <w:pPr>
        <w:pStyle w:val="FootnoteText"/>
        <w:rPr>
          <w:color w:val="000000" w:themeColor="text1"/>
        </w:rPr>
      </w:pPr>
      <w:r w:rsidRPr="00993E65">
        <w:rPr>
          <w:rStyle w:val="FootnoteReference"/>
          <w:color w:val="000000" w:themeColor="text1"/>
        </w:rPr>
        <w:footnoteRef/>
      </w:r>
      <w:r w:rsidRPr="00993E65">
        <w:rPr>
          <w:color w:val="000000" w:themeColor="text1"/>
          <w:lang w:val="es-ES"/>
        </w:rPr>
        <w:t xml:space="preserve"> </w:t>
      </w:r>
      <w:r w:rsidR="00920959" w:rsidRPr="00993E65">
        <w:rPr>
          <w:color w:val="000000" w:themeColor="text1"/>
        </w:rPr>
        <w:t>47 U.S.C. § 503(b)</w:t>
      </w:r>
      <w:r w:rsidR="00920959">
        <w:rPr>
          <w:color w:val="000000" w:themeColor="text1"/>
        </w:rPr>
        <w:t xml:space="preserve">; </w:t>
      </w:r>
      <w:r w:rsidRPr="00993E65">
        <w:rPr>
          <w:color w:val="000000" w:themeColor="text1"/>
          <w:lang w:val="es-ES"/>
        </w:rPr>
        <w:t xml:space="preserve">47 </w:t>
      </w:r>
      <w:r w:rsidR="00C56A0E">
        <w:rPr>
          <w:color w:val="000000" w:themeColor="text1"/>
          <w:lang w:val="es-ES"/>
        </w:rPr>
        <w:t>CFR</w:t>
      </w:r>
      <w:r w:rsidRPr="00993E65">
        <w:rPr>
          <w:color w:val="000000" w:themeColor="text1"/>
          <w:lang w:val="es-ES"/>
        </w:rPr>
        <w:t xml:space="preserve"> § 1.80.</w:t>
      </w:r>
    </w:p>
  </w:footnote>
  <w:footnote w:id="25">
    <w:p w14:paraId="38A30580" w14:textId="34394272" w:rsidR="009A7605" w:rsidRPr="00993E65" w:rsidRDefault="009A7605" w:rsidP="009A7605">
      <w:pPr>
        <w:pStyle w:val="FootnoteText"/>
        <w:rPr>
          <w:color w:val="000000" w:themeColor="text1"/>
        </w:rPr>
      </w:pPr>
      <w:r w:rsidRPr="00993E65">
        <w:rPr>
          <w:rStyle w:val="FootnoteReference"/>
          <w:color w:val="000000" w:themeColor="text1"/>
        </w:rPr>
        <w:footnoteRef/>
      </w:r>
      <w:r w:rsidR="005B195D" w:rsidRPr="003414B8">
        <w:t xml:space="preserve"> 47 CFR § </w:t>
      </w:r>
      <w:r w:rsidR="000528FE">
        <w:t>54.711(a)</w:t>
      </w:r>
      <w:r w:rsidRPr="00993E65">
        <w:rPr>
          <w:color w:val="000000" w:themeColor="text1"/>
          <w:lang w:val="es-ES"/>
        </w:rPr>
        <w:t>.</w:t>
      </w:r>
    </w:p>
  </w:footnote>
  <w:footnote w:id="26">
    <w:p w14:paraId="6116C39C" w14:textId="77777777" w:rsidR="009A7605" w:rsidRPr="00993E65" w:rsidRDefault="009A7605" w:rsidP="009A7605">
      <w:pPr>
        <w:pStyle w:val="FootnoteText"/>
        <w:rPr>
          <w:color w:val="000000" w:themeColor="text1"/>
        </w:rPr>
      </w:pPr>
      <w:r w:rsidRPr="00993E65">
        <w:rPr>
          <w:rStyle w:val="FootnoteReference"/>
          <w:color w:val="000000" w:themeColor="text1"/>
        </w:rPr>
        <w:footnoteRef/>
      </w:r>
      <w:r w:rsidRPr="00993E65">
        <w:rPr>
          <w:color w:val="000000" w:themeColor="text1"/>
        </w:rPr>
        <w:t xml:space="preserve"> 47 </w:t>
      </w:r>
      <w:r w:rsidR="00C56A0E">
        <w:rPr>
          <w:color w:val="000000" w:themeColor="text1"/>
        </w:rPr>
        <w:t>CFR</w:t>
      </w:r>
      <w:r w:rsidRPr="00993E65">
        <w:rPr>
          <w:color w:val="000000" w:themeColor="text1"/>
        </w:rPr>
        <w:t xml:space="preserve"> § 1.80.</w:t>
      </w:r>
    </w:p>
  </w:footnote>
  <w:footnote w:id="27">
    <w:p w14:paraId="5E5F78E3" w14:textId="3D94CE43" w:rsidR="009A7605" w:rsidRPr="00993E65" w:rsidRDefault="009A7605" w:rsidP="009A7605">
      <w:pPr>
        <w:pStyle w:val="FootnoteText"/>
        <w:rPr>
          <w:color w:val="000000" w:themeColor="text1"/>
        </w:rPr>
      </w:pPr>
      <w:r w:rsidRPr="00993E65">
        <w:rPr>
          <w:rStyle w:val="FootnoteReference"/>
          <w:color w:val="000000" w:themeColor="text1"/>
        </w:rPr>
        <w:footnoteRef/>
      </w:r>
      <w:r w:rsidRPr="00993E65">
        <w:rPr>
          <w:color w:val="000000" w:themeColor="text1"/>
        </w:rPr>
        <w:t xml:space="preserve"> </w:t>
      </w:r>
      <w:r w:rsidRPr="00993E65">
        <w:rPr>
          <w:rFonts w:eastAsia="MS Mincho"/>
          <w:color w:val="000000" w:themeColor="text1"/>
        </w:rPr>
        <w:t xml:space="preserve">An FCC Form 159 and detailed instructions for completing the form may be obtained at </w:t>
      </w:r>
      <w:hyperlink r:id="rId3" w:history="1">
        <w:r w:rsidR="00BA1904" w:rsidRPr="0031393A">
          <w:rPr>
            <w:rStyle w:val="Hyperlink"/>
            <w:rFonts w:eastAsia="MS Mincho"/>
          </w:rPr>
          <w:t>http://www.fcc.gov/Forms/Form159/159.pdf</w:t>
        </w:r>
      </w:hyperlink>
      <w:r w:rsidRPr="00993E65">
        <w:rPr>
          <w:rFonts w:eastAsia="MS Mincho"/>
          <w:color w:val="000000" w:themeColor="text1"/>
        </w:rPr>
        <w:t>.</w:t>
      </w:r>
    </w:p>
  </w:footnote>
  <w:footnote w:id="28">
    <w:p w14:paraId="0FAD9780" w14:textId="77777777" w:rsidR="009A7605" w:rsidRPr="00993E65" w:rsidRDefault="009A7605" w:rsidP="009A7605">
      <w:pPr>
        <w:pStyle w:val="FootnoteText"/>
      </w:pPr>
      <w:r w:rsidRPr="00993E65">
        <w:rPr>
          <w:rStyle w:val="FootnoteReference"/>
        </w:rPr>
        <w:footnoteRef/>
      </w:r>
      <w:r w:rsidRPr="00993E65">
        <w:t xml:space="preserve"> </w:t>
      </w:r>
      <w:r w:rsidRPr="00993E65">
        <w:rPr>
          <w:i/>
        </w:rPr>
        <w:t>See</w:t>
      </w:r>
      <w:r w:rsidRPr="00993E65">
        <w:t xml:space="preserve"> 47 </w:t>
      </w:r>
      <w:r w:rsidR="00C56A0E">
        <w:t>CFR</w:t>
      </w:r>
      <w:r w:rsidRPr="00993E65">
        <w:t xml:space="preserve"> § 1.1914.</w:t>
      </w:r>
    </w:p>
  </w:footnote>
  <w:footnote w:id="29">
    <w:p w14:paraId="1199C6B8" w14:textId="77777777" w:rsidR="009A7605" w:rsidRPr="00993E65" w:rsidRDefault="009A7605" w:rsidP="009A7605">
      <w:pPr>
        <w:pStyle w:val="FootnoteText"/>
        <w:rPr>
          <w:color w:val="000000" w:themeColor="text1"/>
        </w:rPr>
      </w:pPr>
      <w:r w:rsidRPr="00993E65">
        <w:rPr>
          <w:rStyle w:val="FootnoteReference"/>
          <w:color w:val="000000" w:themeColor="text1"/>
        </w:rPr>
        <w:footnoteRef/>
      </w:r>
      <w:r w:rsidRPr="00993E65">
        <w:rPr>
          <w:color w:val="000000" w:themeColor="text1"/>
        </w:rPr>
        <w:t xml:space="preserve"> 47 </w:t>
      </w:r>
      <w:r w:rsidR="00C56A0E">
        <w:rPr>
          <w:color w:val="000000" w:themeColor="text1"/>
        </w:rPr>
        <w:t>CFR</w:t>
      </w:r>
      <w:r w:rsidRPr="00993E65">
        <w:rPr>
          <w:color w:val="000000" w:themeColor="text1"/>
        </w:rPr>
        <w:t xml:space="preserve"> §§ 1.16, 1.80(f)(3).</w:t>
      </w:r>
    </w:p>
  </w:footnote>
  <w:footnote w:id="30">
    <w:p w14:paraId="50897AC3" w14:textId="376CAF1F" w:rsidR="00784C09" w:rsidRDefault="00784C09" w:rsidP="00784C09">
      <w:pPr>
        <w:pStyle w:val="FootnoteText"/>
      </w:pPr>
      <w:r>
        <w:rPr>
          <w:rStyle w:val="FootnoteReference"/>
        </w:rPr>
        <w:footnoteRef/>
      </w:r>
      <w:r>
        <w:t xml:space="preserve"> </w:t>
      </w:r>
      <w:r w:rsidRPr="009D5627">
        <w:rPr>
          <w:color w:val="000000" w:themeColor="text1"/>
        </w:rPr>
        <w:t xml:space="preserve">47 U.S.C. §§ 154(i), </w:t>
      </w:r>
      <w:r w:rsidR="009D5627" w:rsidRPr="009D5627">
        <w:t xml:space="preserve">159(a), 251(e)(2), </w:t>
      </w:r>
      <w:r w:rsidRPr="009D5627">
        <w:rPr>
          <w:color w:val="000000" w:themeColor="text1"/>
        </w:rPr>
        <w:t xml:space="preserve">254(d); 47 CFR </w:t>
      </w:r>
      <w:r w:rsidR="009D5627" w:rsidRPr="009D5627">
        <w:rPr>
          <w:color w:val="000000" w:themeColor="text1"/>
        </w:rPr>
        <w:t>§§</w:t>
      </w:r>
      <w:r w:rsidRPr="009D5627">
        <w:rPr>
          <w:color w:val="000000" w:themeColor="text1"/>
        </w:rPr>
        <w:t xml:space="preserve"> </w:t>
      </w:r>
      <w:r w:rsidR="009D5627" w:rsidRPr="009D5627">
        <w:t>1.1154, 1.1156, 1.1157, 52.17, 52.32, 54.706, 54.711 and 64.604(c)(5)(iii)</w:t>
      </w:r>
      <w:r w:rsidRPr="009D5627">
        <w:rPr>
          <w:color w:val="000000" w:themeColor="text1"/>
        </w:rPr>
        <w:t>.</w:t>
      </w:r>
      <w:r w:rsidR="009D5627">
        <w:rPr>
          <w:color w:val="000000" w:themeColor="text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555C" w14:textId="77777777" w:rsidR="00B40E17" w:rsidRDefault="00B40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8A95" w14:textId="61D35527" w:rsidR="000E4C1D" w:rsidRDefault="000E4C1D" w:rsidP="0087510B">
    <w:pPr>
      <w:pStyle w:val="Header"/>
    </w:pPr>
    <w:r>
      <w:tab/>
      <w:t xml:space="preserve">Federal </w:t>
    </w:r>
    <w:r w:rsidR="005E4889">
      <w:t>Communications Commission</w:t>
    </w:r>
    <w:r w:rsidR="005E4889">
      <w:tab/>
    </w:r>
    <w:r w:rsidR="00063BFF">
      <w:t>DA</w:t>
    </w:r>
    <w:r w:rsidR="00851512">
      <w:t xml:space="preserve"> </w:t>
    </w:r>
    <w:r w:rsidR="00E466AF">
      <w:t>16</w:t>
    </w:r>
    <w:r w:rsidR="00175E11">
      <w:t>-</w:t>
    </w:r>
    <w:r w:rsidR="00387CCD">
      <w:t>1020</w:t>
    </w:r>
  </w:p>
  <w:p w14:paraId="78DA404F" w14:textId="77777777" w:rsidR="000E4C1D" w:rsidRDefault="000E4C1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14251BA" wp14:editId="38460E8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A99D8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7E200CC" w14:textId="77777777" w:rsidR="000E4C1D" w:rsidRDefault="000E4C1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4557" w14:textId="4513A140" w:rsidR="000E4C1D" w:rsidRPr="0087510B" w:rsidRDefault="000E4C1D" w:rsidP="0087510B">
    <w:pPr>
      <w:pStyle w:val="Header"/>
    </w:pPr>
    <w:r w:rsidRPr="0087510B">
      <w:rPr>
        <w:noProof/>
      </w:rPr>
      <mc:AlternateContent>
        <mc:Choice Requires="wps">
          <w:drawing>
            <wp:anchor distT="0" distB="0" distL="114300" distR="114300" simplePos="0" relativeHeight="251658240" behindDoc="1" locked="0" layoutInCell="0" allowOverlap="1" wp14:anchorId="72A76512" wp14:editId="1ADD473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D414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7510B">
      <w:tab/>
      <w:t>Federal Communications Commission</w:t>
    </w:r>
    <w:r w:rsidRPr="0087510B">
      <w:tab/>
    </w:r>
    <w:r w:rsidR="00851512">
      <w:rPr>
        <w:spacing w:val="-2"/>
      </w:rPr>
      <w:t>DA</w:t>
    </w:r>
    <w:r w:rsidR="005E4889">
      <w:rPr>
        <w:spacing w:val="-2"/>
      </w:rPr>
      <w:t xml:space="preserve"> </w:t>
    </w:r>
    <w:r w:rsidR="00005D20">
      <w:rPr>
        <w:spacing w:val="-2"/>
      </w:rPr>
      <w:t>16</w:t>
    </w:r>
    <w:r w:rsidR="00175E11">
      <w:rPr>
        <w:spacing w:val="-2"/>
      </w:rPr>
      <w:t>-</w:t>
    </w:r>
    <w:r w:rsidR="00387CCD" w:rsidRPr="00387CCD">
      <w:rPr>
        <w:spacing w:val="-2"/>
      </w:rPr>
      <w:t>1020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FC21E6"/>
    <w:multiLevelType w:val="hybridMultilevel"/>
    <w:tmpl w:val="6278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68A7"/>
    <w:multiLevelType w:val="multilevel"/>
    <w:tmpl w:val="447E0EEA"/>
    <w:lvl w:ilvl="0">
      <w:start w:val="1"/>
      <w:numFmt w:val="upperRoman"/>
      <w:lvlText w:val="%1."/>
      <w:lvlJc w:val="left"/>
      <w:pPr>
        <w:ind w:left="0" w:firstLine="0"/>
      </w:pPr>
      <w:rPr>
        <w:rFonts w:hint="default"/>
      </w:rPr>
    </w:lvl>
    <w:lvl w:ilvl="1">
      <w:start w:val="2"/>
      <w:numFmt w:val="upperLetter"/>
      <w:lvlText w:val="%2."/>
      <w:lvlJc w:val="left"/>
      <w:pPr>
        <w:ind w:left="720" w:firstLine="0"/>
      </w:pPr>
      <w:rPr>
        <w:rFonts w:hint="default"/>
        <w:b/>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583A4C"/>
    <w:multiLevelType w:val="multilevel"/>
    <w:tmpl w:val="C0DE9EC4"/>
    <w:lvl w:ilvl="0">
      <w:start w:val="5"/>
      <w:numFmt w:val="upperRoman"/>
      <w:lvlText w:val="%1."/>
      <w:lvlJc w:val="left"/>
      <w:pPr>
        <w:ind w:left="0" w:firstLine="0"/>
      </w:pPr>
      <w:rPr>
        <w:rFonts w:hint="default"/>
      </w:rPr>
    </w:lvl>
    <w:lvl w:ilvl="1">
      <w:start w:val="1"/>
      <w:numFmt w:val="upperLetter"/>
      <w:lvlText w:val="%2."/>
      <w:lvlJc w:val="left"/>
      <w:pPr>
        <w:ind w:left="720" w:firstLine="0"/>
      </w:pPr>
      <w:rPr>
        <w:rFonts w:hint="default"/>
        <w:b/>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33C6724"/>
    <w:multiLevelType w:val="multilevel"/>
    <w:tmpl w:val="8828F6C6"/>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557E006C"/>
    <w:multiLevelType w:val="hybridMultilevel"/>
    <w:tmpl w:val="78302960"/>
    <w:lvl w:ilvl="0" w:tplc="B0A0818A">
      <w:start w:val="1"/>
      <w:numFmt w:val="bullet"/>
      <w:pStyle w:val="Bullet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1A11F4C"/>
    <w:multiLevelType w:val="hybridMultilevel"/>
    <w:tmpl w:val="75CED1D8"/>
    <w:lvl w:ilvl="0" w:tplc="0206096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8E1E95"/>
    <w:multiLevelType w:val="singleLevel"/>
    <w:tmpl w:val="FE70DD96"/>
    <w:lvl w:ilvl="0">
      <w:start w:val="1"/>
      <w:numFmt w:val="decimal"/>
      <w:pStyle w:val="par1"/>
      <w:lvlText w:val="%1."/>
      <w:lvlJc w:val="left"/>
      <w:pPr>
        <w:tabs>
          <w:tab w:val="num" w:pos="1080"/>
        </w:tabs>
        <w:ind w:firstLine="720"/>
      </w:pPr>
      <w:rPr>
        <w:rFonts w:cs="Times New Roman"/>
        <w:b w:val="0"/>
      </w:rPr>
    </w:lvl>
  </w:abstractNum>
  <w:abstractNum w:abstractNumId="14">
    <w:nsid w:val="651E748A"/>
    <w:multiLevelType w:val="multilevel"/>
    <w:tmpl w:val="EA08CB56"/>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6C9F5C4E"/>
    <w:multiLevelType w:val="multilevel"/>
    <w:tmpl w:val="659CADD2"/>
    <w:lvl w:ilvl="0">
      <w:start w:val="1"/>
      <w:numFmt w:val="upperRoman"/>
      <w:lvlText w:val="%1."/>
      <w:lvlJc w:val="left"/>
      <w:pPr>
        <w:ind w:left="0" w:firstLine="0"/>
      </w:pPr>
      <w:rPr>
        <w:rFonts w:hint="default"/>
      </w:rPr>
    </w:lvl>
    <w:lvl w:ilvl="1">
      <w:start w:val="4"/>
      <w:numFmt w:val="upperLetter"/>
      <w:lvlText w:val="%2."/>
      <w:lvlJc w:val="left"/>
      <w:pPr>
        <w:ind w:left="720" w:firstLine="0"/>
      </w:pPr>
      <w:rPr>
        <w:rFonts w:hint="default"/>
        <w:b/>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70A52A0B"/>
    <w:multiLevelType w:val="multilevel"/>
    <w:tmpl w:val="BD7857DA"/>
    <w:lvl w:ilvl="0">
      <w:start w:val="1"/>
      <w:numFmt w:val="decimal"/>
      <w:lvlText w:val="%1."/>
      <w:lvlJc w:val="left"/>
      <w:pPr>
        <w:ind w:left="0" w:firstLine="0"/>
      </w:pPr>
      <w:rPr>
        <w:b w:val="0"/>
      </w:r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768D5FA7"/>
    <w:multiLevelType w:val="multilevel"/>
    <w:tmpl w:val="37565A92"/>
    <w:lvl w:ilvl="0">
      <w:start w:val="1"/>
      <w:numFmt w:val="upperRoman"/>
      <w:lvlText w:val="%1."/>
      <w:lvlJc w:val="left"/>
      <w:pPr>
        <w:ind w:left="0" w:firstLine="0"/>
      </w:pPr>
      <w:rPr>
        <w:rFonts w:hint="default"/>
      </w:rPr>
    </w:lvl>
    <w:lvl w:ilvl="1">
      <w:start w:val="6"/>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6"/>
  </w:num>
  <w:num w:numId="3">
    <w:abstractNumId w:val="13"/>
  </w:num>
  <w:num w:numId="4">
    <w:abstractNumId w:val="9"/>
  </w:num>
  <w:num w:numId="5">
    <w:abstractNumId w:val="10"/>
  </w:num>
  <w:num w:numId="6">
    <w:abstractNumId w:val="8"/>
  </w:num>
  <w:num w:numId="7">
    <w:abstractNumId w:val="3"/>
  </w:num>
  <w:num w:numId="8">
    <w:abstractNumId w:val="7"/>
  </w:num>
  <w:num w:numId="9">
    <w:abstractNumId w:val="4"/>
  </w:num>
  <w:num w:numId="10">
    <w:abstractNumId w:val="0"/>
  </w:num>
  <w:num w:numId="11">
    <w:abstractNumId w:val="6"/>
  </w:num>
  <w:num w:numId="12">
    <w:abstractNumId w:val="11"/>
    <w:lvlOverride w:ilvl="0">
      <w:startOverride w:val="1"/>
    </w:lvlOverride>
  </w:num>
  <w:num w:numId="13">
    <w:abstractNumId w:val="16"/>
  </w:num>
  <w:num w:numId="14">
    <w:abstractNumId w:val="1"/>
  </w:num>
  <w:num w:numId="15">
    <w:abstractNumId w:val="14"/>
  </w:num>
  <w:num w:numId="16">
    <w:abstractNumId w:val="2"/>
  </w:num>
  <w:num w:numId="17">
    <w:abstractNumId w:val="15"/>
  </w:num>
  <w:num w:numId="18">
    <w:abstractNumId w:val="12"/>
  </w:num>
  <w:num w:numId="19">
    <w:abstractNumId w:val="17"/>
  </w:num>
  <w:num w:numId="20">
    <w:abstractNumId w:val="5"/>
  </w:num>
  <w:num w:numId="21">
    <w:abstractNumId w:val="6"/>
  </w:num>
  <w:num w:numId="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DB"/>
    <w:rsid w:val="00001F3D"/>
    <w:rsid w:val="00003098"/>
    <w:rsid w:val="00004597"/>
    <w:rsid w:val="00005D20"/>
    <w:rsid w:val="000071DF"/>
    <w:rsid w:val="0001030F"/>
    <w:rsid w:val="00010736"/>
    <w:rsid w:val="000113C9"/>
    <w:rsid w:val="00013363"/>
    <w:rsid w:val="00013EEF"/>
    <w:rsid w:val="00017BBD"/>
    <w:rsid w:val="00020247"/>
    <w:rsid w:val="000221CC"/>
    <w:rsid w:val="00022DC8"/>
    <w:rsid w:val="00023C73"/>
    <w:rsid w:val="00023D91"/>
    <w:rsid w:val="00023E71"/>
    <w:rsid w:val="00025264"/>
    <w:rsid w:val="00026206"/>
    <w:rsid w:val="00026AB6"/>
    <w:rsid w:val="0002777C"/>
    <w:rsid w:val="00027968"/>
    <w:rsid w:val="0002797A"/>
    <w:rsid w:val="00027C43"/>
    <w:rsid w:val="00027DB4"/>
    <w:rsid w:val="00027F7C"/>
    <w:rsid w:val="00031086"/>
    <w:rsid w:val="00031E6B"/>
    <w:rsid w:val="00032C4A"/>
    <w:rsid w:val="00032E99"/>
    <w:rsid w:val="00033732"/>
    <w:rsid w:val="000344A5"/>
    <w:rsid w:val="00034E9D"/>
    <w:rsid w:val="00036039"/>
    <w:rsid w:val="00037186"/>
    <w:rsid w:val="00037707"/>
    <w:rsid w:val="00037DB0"/>
    <w:rsid w:val="00037F90"/>
    <w:rsid w:val="00040FF4"/>
    <w:rsid w:val="00042AE1"/>
    <w:rsid w:val="00042F5B"/>
    <w:rsid w:val="000438FA"/>
    <w:rsid w:val="00045996"/>
    <w:rsid w:val="0004665A"/>
    <w:rsid w:val="00046FCA"/>
    <w:rsid w:val="000472D2"/>
    <w:rsid w:val="00050163"/>
    <w:rsid w:val="0005064B"/>
    <w:rsid w:val="00050A2A"/>
    <w:rsid w:val="00050AE1"/>
    <w:rsid w:val="00050CCF"/>
    <w:rsid w:val="00051E0E"/>
    <w:rsid w:val="00051EB7"/>
    <w:rsid w:val="000521C8"/>
    <w:rsid w:val="0005269F"/>
    <w:rsid w:val="000528FE"/>
    <w:rsid w:val="00055E0C"/>
    <w:rsid w:val="000567A7"/>
    <w:rsid w:val="000567FC"/>
    <w:rsid w:val="00057DC5"/>
    <w:rsid w:val="0006025C"/>
    <w:rsid w:val="00062955"/>
    <w:rsid w:val="00063BFF"/>
    <w:rsid w:val="00063D48"/>
    <w:rsid w:val="00064556"/>
    <w:rsid w:val="0006535D"/>
    <w:rsid w:val="00065BB3"/>
    <w:rsid w:val="00066FD5"/>
    <w:rsid w:val="000679BA"/>
    <w:rsid w:val="00067B95"/>
    <w:rsid w:val="00067D83"/>
    <w:rsid w:val="00071036"/>
    <w:rsid w:val="000715B4"/>
    <w:rsid w:val="000727B0"/>
    <w:rsid w:val="000737D3"/>
    <w:rsid w:val="00074151"/>
    <w:rsid w:val="00074477"/>
    <w:rsid w:val="0007611A"/>
    <w:rsid w:val="000761E3"/>
    <w:rsid w:val="00077195"/>
    <w:rsid w:val="00077B52"/>
    <w:rsid w:val="000805F1"/>
    <w:rsid w:val="00081268"/>
    <w:rsid w:val="00082C9B"/>
    <w:rsid w:val="00084654"/>
    <w:rsid w:val="000847CD"/>
    <w:rsid w:val="00084B93"/>
    <w:rsid w:val="000856DE"/>
    <w:rsid w:val="000875BF"/>
    <w:rsid w:val="000875D1"/>
    <w:rsid w:val="00087B30"/>
    <w:rsid w:val="000900AF"/>
    <w:rsid w:val="0009023C"/>
    <w:rsid w:val="0009074E"/>
    <w:rsid w:val="0009144D"/>
    <w:rsid w:val="0009152E"/>
    <w:rsid w:val="00093373"/>
    <w:rsid w:val="00093EB6"/>
    <w:rsid w:val="00094E9C"/>
    <w:rsid w:val="00095FC8"/>
    <w:rsid w:val="00096262"/>
    <w:rsid w:val="00096735"/>
    <w:rsid w:val="000969F6"/>
    <w:rsid w:val="00096D8C"/>
    <w:rsid w:val="00097A06"/>
    <w:rsid w:val="000A05DD"/>
    <w:rsid w:val="000A11B2"/>
    <w:rsid w:val="000A2013"/>
    <w:rsid w:val="000A25D2"/>
    <w:rsid w:val="000A313D"/>
    <w:rsid w:val="000A4BC0"/>
    <w:rsid w:val="000A5F05"/>
    <w:rsid w:val="000A6F15"/>
    <w:rsid w:val="000A7B64"/>
    <w:rsid w:val="000B0E7A"/>
    <w:rsid w:val="000B1856"/>
    <w:rsid w:val="000B1865"/>
    <w:rsid w:val="000B196C"/>
    <w:rsid w:val="000B2D7B"/>
    <w:rsid w:val="000B3240"/>
    <w:rsid w:val="000B326D"/>
    <w:rsid w:val="000B4983"/>
    <w:rsid w:val="000B58AE"/>
    <w:rsid w:val="000B5F6B"/>
    <w:rsid w:val="000B6504"/>
    <w:rsid w:val="000B7772"/>
    <w:rsid w:val="000C06E0"/>
    <w:rsid w:val="000C0B65"/>
    <w:rsid w:val="000C1A8A"/>
    <w:rsid w:val="000C1B24"/>
    <w:rsid w:val="000C30A9"/>
    <w:rsid w:val="000C57AB"/>
    <w:rsid w:val="000C5DDF"/>
    <w:rsid w:val="000C69C9"/>
    <w:rsid w:val="000D0238"/>
    <w:rsid w:val="000D07B9"/>
    <w:rsid w:val="000D086B"/>
    <w:rsid w:val="000D1601"/>
    <w:rsid w:val="000D2A73"/>
    <w:rsid w:val="000D3383"/>
    <w:rsid w:val="000D3451"/>
    <w:rsid w:val="000D3C96"/>
    <w:rsid w:val="000D5496"/>
    <w:rsid w:val="000D689B"/>
    <w:rsid w:val="000D71B6"/>
    <w:rsid w:val="000D7DD6"/>
    <w:rsid w:val="000E05FE"/>
    <w:rsid w:val="000E0F02"/>
    <w:rsid w:val="000E1022"/>
    <w:rsid w:val="000E3326"/>
    <w:rsid w:val="000E3D42"/>
    <w:rsid w:val="000E3F12"/>
    <w:rsid w:val="000E4C1D"/>
    <w:rsid w:val="000E5541"/>
    <w:rsid w:val="000E5BD5"/>
    <w:rsid w:val="000E5DC6"/>
    <w:rsid w:val="000E78FC"/>
    <w:rsid w:val="000E793E"/>
    <w:rsid w:val="000F0744"/>
    <w:rsid w:val="000F240E"/>
    <w:rsid w:val="000F3981"/>
    <w:rsid w:val="000F4494"/>
    <w:rsid w:val="000F4BD1"/>
    <w:rsid w:val="000F61E4"/>
    <w:rsid w:val="000F642B"/>
    <w:rsid w:val="000F7778"/>
    <w:rsid w:val="000F7F65"/>
    <w:rsid w:val="00101BB0"/>
    <w:rsid w:val="00101EC9"/>
    <w:rsid w:val="001021DC"/>
    <w:rsid w:val="0010222C"/>
    <w:rsid w:val="00103040"/>
    <w:rsid w:val="00103258"/>
    <w:rsid w:val="0010332F"/>
    <w:rsid w:val="001037A3"/>
    <w:rsid w:val="00103E85"/>
    <w:rsid w:val="00104C29"/>
    <w:rsid w:val="00104D44"/>
    <w:rsid w:val="00104DB1"/>
    <w:rsid w:val="00106A0F"/>
    <w:rsid w:val="00107733"/>
    <w:rsid w:val="00110DC3"/>
    <w:rsid w:val="001112C8"/>
    <w:rsid w:val="0011153C"/>
    <w:rsid w:val="001117B7"/>
    <w:rsid w:val="00113DE6"/>
    <w:rsid w:val="00114A53"/>
    <w:rsid w:val="00114DF3"/>
    <w:rsid w:val="00115118"/>
    <w:rsid w:val="00115135"/>
    <w:rsid w:val="00117A3A"/>
    <w:rsid w:val="00117C50"/>
    <w:rsid w:val="00120A0E"/>
    <w:rsid w:val="0012116C"/>
    <w:rsid w:val="00121D2D"/>
    <w:rsid w:val="00122BD5"/>
    <w:rsid w:val="00124317"/>
    <w:rsid w:val="00124D24"/>
    <w:rsid w:val="00126213"/>
    <w:rsid w:val="00130AA4"/>
    <w:rsid w:val="00130E06"/>
    <w:rsid w:val="00131E8E"/>
    <w:rsid w:val="001326C3"/>
    <w:rsid w:val="00133912"/>
    <w:rsid w:val="00133F79"/>
    <w:rsid w:val="00134AE6"/>
    <w:rsid w:val="0013527D"/>
    <w:rsid w:val="001360F0"/>
    <w:rsid w:val="0013624C"/>
    <w:rsid w:val="00136469"/>
    <w:rsid w:val="00136931"/>
    <w:rsid w:val="001400B0"/>
    <w:rsid w:val="001454B5"/>
    <w:rsid w:val="001456CA"/>
    <w:rsid w:val="00147B53"/>
    <w:rsid w:val="00147F82"/>
    <w:rsid w:val="001517AC"/>
    <w:rsid w:val="00153625"/>
    <w:rsid w:val="00155B55"/>
    <w:rsid w:val="001563F0"/>
    <w:rsid w:val="001568F0"/>
    <w:rsid w:val="00156B90"/>
    <w:rsid w:val="00157303"/>
    <w:rsid w:val="00157C44"/>
    <w:rsid w:val="00161CAA"/>
    <w:rsid w:val="00162785"/>
    <w:rsid w:val="0016337C"/>
    <w:rsid w:val="00163A56"/>
    <w:rsid w:val="00164152"/>
    <w:rsid w:val="00166D8B"/>
    <w:rsid w:val="00170447"/>
    <w:rsid w:val="001709E5"/>
    <w:rsid w:val="0017128B"/>
    <w:rsid w:val="00172598"/>
    <w:rsid w:val="00174D0B"/>
    <w:rsid w:val="00174FFD"/>
    <w:rsid w:val="001757C0"/>
    <w:rsid w:val="001758EB"/>
    <w:rsid w:val="00175E11"/>
    <w:rsid w:val="00175E7D"/>
    <w:rsid w:val="00176EF0"/>
    <w:rsid w:val="00177291"/>
    <w:rsid w:val="00180FCE"/>
    <w:rsid w:val="00181AB3"/>
    <w:rsid w:val="00183C14"/>
    <w:rsid w:val="00185536"/>
    <w:rsid w:val="00186FBB"/>
    <w:rsid w:val="00193751"/>
    <w:rsid w:val="00194A66"/>
    <w:rsid w:val="0019758B"/>
    <w:rsid w:val="001A134D"/>
    <w:rsid w:val="001A3393"/>
    <w:rsid w:val="001A37E0"/>
    <w:rsid w:val="001A38D4"/>
    <w:rsid w:val="001A3B39"/>
    <w:rsid w:val="001A46F8"/>
    <w:rsid w:val="001A702A"/>
    <w:rsid w:val="001A71F6"/>
    <w:rsid w:val="001A73C9"/>
    <w:rsid w:val="001B0CCD"/>
    <w:rsid w:val="001B0E1A"/>
    <w:rsid w:val="001B1A2D"/>
    <w:rsid w:val="001B26C4"/>
    <w:rsid w:val="001B4629"/>
    <w:rsid w:val="001B710D"/>
    <w:rsid w:val="001B71F2"/>
    <w:rsid w:val="001C0977"/>
    <w:rsid w:val="001C0D58"/>
    <w:rsid w:val="001C0E5D"/>
    <w:rsid w:val="001C350C"/>
    <w:rsid w:val="001C43A0"/>
    <w:rsid w:val="001C4A45"/>
    <w:rsid w:val="001C4DED"/>
    <w:rsid w:val="001C65B4"/>
    <w:rsid w:val="001C6978"/>
    <w:rsid w:val="001C6AD8"/>
    <w:rsid w:val="001C734F"/>
    <w:rsid w:val="001D0AEF"/>
    <w:rsid w:val="001D1128"/>
    <w:rsid w:val="001D1636"/>
    <w:rsid w:val="001D198D"/>
    <w:rsid w:val="001D3408"/>
    <w:rsid w:val="001D35E1"/>
    <w:rsid w:val="001D3CB6"/>
    <w:rsid w:val="001D6BCF"/>
    <w:rsid w:val="001D75BC"/>
    <w:rsid w:val="001E01CA"/>
    <w:rsid w:val="001E0B4D"/>
    <w:rsid w:val="001E3E29"/>
    <w:rsid w:val="001E3FAC"/>
    <w:rsid w:val="001E44E3"/>
    <w:rsid w:val="001E491C"/>
    <w:rsid w:val="001E4D6B"/>
    <w:rsid w:val="001E7ABD"/>
    <w:rsid w:val="001F1B27"/>
    <w:rsid w:val="001F20DD"/>
    <w:rsid w:val="001F2DB8"/>
    <w:rsid w:val="001F2E85"/>
    <w:rsid w:val="001F4D4E"/>
    <w:rsid w:val="001F50B2"/>
    <w:rsid w:val="001F53F0"/>
    <w:rsid w:val="001F5DE0"/>
    <w:rsid w:val="001F66B0"/>
    <w:rsid w:val="001F6C0A"/>
    <w:rsid w:val="001F7F39"/>
    <w:rsid w:val="00201250"/>
    <w:rsid w:val="0020273E"/>
    <w:rsid w:val="002039EE"/>
    <w:rsid w:val="00204FE4"/>
    <w:rsid w:val="0020646C"/>
    <w:rsid w:val="002077D0"/>
    <w:rsid w:val="0021105A"/>
    <w:rsid w:val="00211B08"/>
    <w:rsid w:val="002121ED"/>
    <w:rsid w:val="0021425C"/>
    <w:rsid w:val="00214EC4"/>
    <w:rsid w:val="00215B1D"/>
    <w:rsid w:val="00216BFC"/>
    <w:rsid w:val="00216D5B"/>
    <w:rsid w:val="002200B5"/>
    <w:rsid w:val="00221A1E"/>
    <w:rsid w:val="00222139"/>
    <w:rsid w:val="002231F8"/>
    <w:rsid w:val="00224748"/>
    <w:rsid w:val="00225038"/>
    <w:rsid w:val="002269F7"/>
    <w:rsid w:val="00226C05"/>
    <w:rsid w:val="00227596"/>
    <w:rsid w:val="00231655"/>
    <w:rsid w:val="00231FC5"/>
    <w:rsid w:val="00232900"/>
    <w:rsid w:val="00232941"/>
    <w:rsid w:val="002329E4"/>
    <w:rsid w:val="00232D46"/>
    <w:rsid w:val="0023545E"/>
    <w:rsid w:val="00235659"/>
    <w:rsid w:val="0023583D"/>
    <w:rsid w:val="00236660"/>
    <w:rsid w:val="00236C1A"/>
    <w:rsid w:val="00237531"/>
    <w:rsid w:val="00237F8F"/>
    <w:rsid w:val="00240314"/>
    <w:rsid w:val="002438AD"/>
    <w:rsid w:val="00243C6F"/>
    <w:rsid w:val="002467E2"/>
    <w:rsid w:val="00246B94"/>
    <w:rsid w:val="00246CC5"/>
    <w:rsid w:val="00246D1D"/>
    <w:rsid w:val="00246E94"/>
    <w:rsid w:val="00250D5B"/>
    <w:rsid w:val="002529C6"/>
    <w:rsid w:val="00253300"/>
    <w:rsid w:val="00253BF7"/>
    <w:rsid w:val="0025412D"/>
    <w:rsid w:val="00254B36"/>
    <w:rsid w:val="0025575F"/>
    <w:rsid w:val="0025744F"/>
    <w:rsid w:val="00257EA0"/>
    <w:rsid w:val="00260035"/>
    <w:rsid w:val="002613BB"/>
    <w:rsid w:val="002622B5"/>
    <w:rsid w:val="00262F08"/>
    <w:rsid w:val="0026373E"/>
    <w:rsid w:val="00265999"/>
    <w:rsid w:val="00265FAF"/>
    <w:rsid w:val="00270FCA"/>
    <w:rsid w:val="0027181B"/>
    <w:rsid w:val="002724E3"/>
    <w:rsid w:val="00273F08"/>
    <w:rsid w:val="0027414F"/>
    <w:rsid w:val="00274F81"/>
    <w:rsid w:val="0027535C"/>
    <w:rsid w:val="002753C3"/>
    <w:rsid w:val="00275CF5"/>
    <w:rsid w:val="002760CB"/>
    <w:rsid w:val="002761B3"/>
    <w:rsid w:val="0028105D"/>
    <w:rsid w:val="00281A98"/>
    <w:rsid w:val="002824D8"/>
    <w:rsid w:val="002829CC"/>
    <w:rsid w:val="0028301F"/>
    <w:rsid w:val="00283413"/>
    <w:rsid w:val="002838CD"/>
    <w:rsid w:val="00285017"/>
    <w:rsid w:val="00285544"/>
    <w:rsid w:val="00285F28"/>
    <w:rsid w:val="00286C1A"/>
    <w:rsid w:val="0029088E"/>
    <w:rsid w:val="0029108C"/>
    <w:rsid w:val="00291129"/>
    <w:rsid w:val="002912D5"/>
    <w:rsid w:val="00292B49"/>
    <w:rsid w:val="002934CF"/>
    <w:rsid w:val="00293925"/>
    <w:rsid w:val="0029510D"/>
    <w:rsid w:val="00296706"/>
    <w:rsid w:val="00296FB9"/>
    <w:rsid w:val="002972AC"/>
    <w:rsid w:val="002979A9"/>
    <w:rsid w:val="00297B8F"/>
    <w:rsid w:val="002A0096"/>
    <w:rsid w:val="002A286D"/>
    <w:rsid w:val="002A2D2E"/>
    <w:rsid w:val="002A2FA4"/>
    <w:rsid w:val="002A40BA"/>
    <w:rsid w:val="002A4F46"/>
    <w:rsid w:val="002A4FD6"/>
    <w:rsid w:val="002A517F"/>
    <w:rsid w:val="002A6D09"/>
    <w:rsid w:val="002A78E2"/>
    <w:rsid w:val="002A7DA1"/>
    <w:rsid w:val="002B018D"/>
    <w:rsid w:val="002B0229"/>
    <w:rsid w:val="002B0765"/>
    <w:rsid w:val="002B0CE2"/>
    <w:rsid w:val="002B0DEA"/>
    <w:rsid w:val="002B1CB8"/>
    <w:rsid w:val="002B26E6"/>
    <w:rsid w:val="002B356A"/>
    <w:rsid w:val="002B36B3"/>
    <w:rsid w:val="002B5CEE"/>
    <w:rsid w:val="002B7177"/>
    <w:rsid w:val="002B7736"/>
    <w:rsid w:val="002B7E83"/>
    <w:rsid w:val="002C00E8"/>
    <w:rsid w:val="002C0EB2"/>
    <w:rsid w:val="002C0FE6"/>
    <w:rsid w:val="002C12C6"/>
    <w:rsid w:val="002C162F"/>
    <w:rsid w:val="002C1733"/>
    <w:rsid w:val="002C2642"/>
    <w:rsid w:val="002C2F80"/>
    <w:rsid w:val="002C36CD"/>
    <w:rsid w:val="002C36F7"/>
    <w:rsid w:val="002C580A"/>
    <w:rsid w:val="002C6CD2"/>
    <w:rsid w:val="002C7E3A"/>
    <w:rsid w:val="002C7F9B"/>
    <w:rsid w:val="002D060F"/>
    <w:rsid w:val="002D1599"/>
    <w:rsid w:val="002D2288"/>
    <w:rsid w:val="002D2E3A"/>
    <w:rsid w:val="002D40A4"/>
    <w:rsid w:val="002D46ED"/>
    <w:rsid w:val="002E19AD"/>
    <w:rsid w:val="002E19FD"/>
    <w:rsid w:val="002E2425"/>
    <w:rsid w:val="002E37A1"/>
    <w:rsid w:val="002E3C86"/>
    <w:rsid w:val="002E3FEF"/>
    <w:rsid w:val="002E5694"/>
    <w:rsid w:val="002E7084"/>
    <w:rsid w:val="002E776E"/>
    <w:rsid w:val="002E783D"/>
    <w:rsid w:val="002E7F4D"/>
    <w:rsid w:val="002F1E78"/>
    <w:rsid w:val="002F246B"/>
    <w:rsid w:val="002F2F9B"/>
    <w:rsid w:val="002F4658"/>
    <w:rsid w:val="002F76DC"/>
    <w:rsid w:val="002F76F3"/>
    <w:rsid w:val="00301AAD"/>
    <w:rsid w:val="0030292F"/>
    <w:rsid w:val="0030338C"/>
    <w:rsid w:val="00303599"/>
    <w:rsid w:val="003038EC"/>
    <w:rsid w:val="003045EA"/>
    <w:rsid w:val="003047E3"/>
    <w:rsid w:val="003058EF"/>
    <w:rsid w:val="00305906"/>
    <w:rsid w:val="003109EF"/>
    <w:rsid w:val="00310E2A"/>
    <w:rsid w:val="00311F86"/>
    <w:rsid w:val="003131B5"/>
    <w:rsid w:val="00313C22"/>
    <w:rsid w:val="0031414C"/>
    <w:rsid w:val="003141FF"/>
    <w:rsid w:val="00314233"/>
    <w:rsid w:val="003153B8"/>
    <w:rsid w:val="00317C73"/>
    <w:rsid w:val="00320370"/>
    <w:rsid w:val="003204AD"/>
    <w:rsid w:val="00322227"/>
    <w:rsid w:val="003223A1"/>
    <w:rsid w:val="00322898"/>
    <w:rsid w:val="003231DF"/>
    <w:rsid w:val="003241E0"/>
    <w:rsid w:val="00325C51"/>
    <w:rsid w:val="00325F06"/>
    <w:rsid w:val="00325FA1"/>
    <w:rsid w:val="00330769"/>
    <w:rsid w:val="00331114"/>
    <w:rsid w:val="003324AB"/>
    <w:rsid w:val="00334553"/>
    <w:rsid w:val="00336AD1"/>
    <w:rsid w:val="00337C26"/>
    <w:rsid w:val="00337D61"/>
    <w:rsid w:val="00340C83"/>
    <w:rsid w:val="003414B8"/>
    <w:rsid w:val="00342019"/>
    <w:rsid w:val="00343749"/>
    <w:rsid w:val="00344FF6"/>
    <w:rsid w:val="003452C3"/>
    <w:rsid w:val="00345440"/>
    <w:rsid w:val="00345A43"/>
    <w:rsid w:val="00345EDF"/>
    <w:rsid w:val="0034797D"/>
    <w:rsid w:val="0035009B"/>
    <w:rsid w:val="0035108C"/>
    <w:rsid w:val="00352A7B"/>
    <w:rsid w:val="003539B4"/>
    <w:rsid w:val="00354B96"/>
    <w:rsid w:val="00357366"/>
    <w:rsid w:val="00360905"/>
    <w:rsid w:val="0036180B"/>
    <w:rsid w:val="0036255D"/>
    <w:rsid w:val="00363527"/>
    <w:rsid w:val="00363A61"/>
    <w:rsid w:val="00365F8F"/>
    <w:rsid w:val="003660ED"/>
    <w:rsid w:val="00366EDF"/>
    <w:rsid w:val="00367BD6"/>
    <w:rsid w:val="003706B2"/>
    <w:rsid w:val="00370BA8"/>
    <w:rsid w:val="00370FE0"/>
    <w:rsid w:val="003710CA"/>
    <w:rsid w:val="003717DD"/>
    <w:rsid w:val="003726A3"/>
    <w:rsid w:val="00372F31"/>
    <w:rsid w:val="003747FA"/>
    <w:rsid w:val="00374DD3"/>
    <w:rsid w:val="003758BF"/>
    <w:rsid w:val="00376164"/>
    <w:rsid w:val="003769FD"/>
    <w:rsid w:val="00377885"/>
    <w:rsid w:val="00380031"/>
    <w:rsid w:val="00380252"/>
    <w:rsid w:val="0038117B"/>
    <w:rsid w:val="0038482C"/>
    <w:rsid w:val="0038671B"/>
    <w:rsid w:val="00387CCD"/>
    <w:rsid w:val="00387F29"/>
    <w:rsid w:val="0039195D"/>
    <w:rsid w:val="00391B07"/>
    <w:rsid w:val="00391D70"/>
    <w:rsid w:val="00393651"/>
    <w:rsid w:val="00394C96"/>
    <w:rsid w:val="003955FD"/>
    <w:rsid w:val="003962EB"/>
    <w:rsid w:val="00396301"/>
    <w:rsid w:val="00396769"/>
    <w:rsid w:val="00396ACD"/>
    <w:rsid w:val="003A2CFF"/>
    <w:rsid w:val="003A3175"/>
    <w:rsid w:val="003A3507"/>
    <w:rsid w:val="003A3D51"/>
    <w:rsid w:val="003A74B4"/>
    <w:rsid w:val="003A7F23"/>
    <w:rsid w:val="003B0550"/>
    <w:rsid w:val="003B0E55"/>
    <w:rsid w:val="003B1568"/>
    <w:rsid w:val="003B16F3"/>
    <w:rsid w:val="003B17DF"/>
    <w:rsid w:val="003B2F01"/>
    <w:rsid w:val="003B41BC"/>
    <w:rsid w:val="003B521D"/>
    <w:rsid w:val="003B59C1"/>
    <w:rsid w:val="003B641A"/>
    <w:rsid w:val="003B681C"/>
    <w:rsid w:val="003B694F"/>
    <w:rsid w:val="003C0815"/>
    <w:rsid w:val="003C09D6"/>
    <w:rsid w:val="003C5850"/>
    <w:rsid w:val="003C614E"/>
    <w:rsid w:val="003C61EC"/>
    <w:rsid w:val="003C633A"/>
    <w:rsid w:val="003C7F5E"/>
    <w:rsid w:val="003D0D2A"/>
    <w:rsid w:val="003D2C02"/>
    <w:rsid w:val="003D3EF4"/>
    <w:rsid w:val="003D42F3"/>
    <w:rsid w:val="003D66BB"/>
    <w:rsid w:val="003E00F8"/>
    <w:rsid w:val="003E1318"/>
    <w:rsid w:val="003E17C1"/>
    <w:rsid w:val="003E3CD4"/>
    <w:rsid w:val="003E43AB"/>
    <w:rsid w:val="003E496E"/>
    <w:rsid w:val="003E6E04"/>
    <w:rsid w:val="003F171C"/>
    <w:rsid w:val="003F184F"/>
    <w:rsid w:val="003F1CEB"/>
    <w:rsid w:val="003F3108"/>
    <w:rsid w:val="003F3B36"/>
    <w:rsid w:val="00400449"/>
    <w:rsid w:val="0040327A"/>
    <w:rsid w:val="00404A47"/>
    <w:rsid w:val="00404BE2"/>
    <w:rsid w:val="00404C8B"/>
    <w:rsid w:val="00405541"/>
    <w:rsid w:val="004108A3"/>
    <w:rsid w:val="00412AB0"/>
    <w:rsid w:val="00412F5B"/>
    <w:rsid w:val="00412FC5"/>
    <w:rsid w:val="004131AB"/>
    <w:rsid w:val="0041672E"/>
    <w:rsid w:val="00416E4F"/>
    <w:rsid w:val="00417AB0"/>
    <w:rsid w:val="00420851"/>
    <w:rsid w:val="00422276"/>
    <w:rsid w:val="004238A4"/>
    <w:rsid w:val="00424088"/>
    <w:rsid w:val="004242F1"/>
    <w:rsid w:val="00424A9F"/>
    <w:rsid w:val="004253EC"/>
    <w:rsid w:val="00426F0C"/>
    <w:rsid w:val="00427CAA"/>
    <w:rsid w:val="004315FE"/>
    <w:rsid w:val="0043357A"/>
    <w:rsid w:val="00435F20"/>
    <w:rsid w:val="00436CE1"/>
    <w:rsid w:val="00441FF6"/>
    <w:rsid w:val="004425E3"/>
    <w:rsid w:val="0044290E"/>
    <w:rsid w:val="004443FC"/>
    <w:rsid w:val="00445A00"/>
    <w:rsid w:val="00445C65"/>
    <w:rsid w:val="00445D2B"/>
    <w:rsid w:val="00447D32"/>
    <w:rsid w:val="004500E4"/>
    <w:rsid w:val="004500FF"/>
    <w:rsid w:val="00450818"/>
    <w:rsid w:val="0045105F"/>
    <w:rsid w:val="00451956"/>
    <w:rsid w:val="00451B0F"/>
    <w:rsid w:val="00451D4C"/>
    <w:rsid w:val="00452FAB"/>
    <w:rsid w:val="00453FA0"/>
    <w:rsid w:val="004544CF"/>
    <w:rsid w:val="00456A50"/>
    <w:rsid w:val="00457E7C"/>
    <w:rsid w:val="00461BE7"/>
    <w:rsid w:val="004621C6"/>
    <w:rsid w:val="00462A88"/>
    <w:rsid w:val="00462F12"/>
    <w:rsid w:val="00462F90"/>
    <w:rsid w:val="0046383B"/>
    <w:rsid w:val="00463BED"/>
    <w:rsid w:val="004648A5"/>
    <w:rsid w:val="00465126"/>
    <w:rsid w:val="004668CB"/>
    <w:rsid w:val="00466E4B"/>
    <w:rsid w:val="004677BA"/>
    <w:rsid w:val="00467E6F"/>
    <w:rsid w:val="004708AC"/>
    <w:rsid w:val="00472353"/>
    <w:rsid w:val="0047360D"/>
    <w:rsid w:val="00473C8D"/>
    <w:rsid w:val="00473CDD"/>
    <w:rsid w:val="00475C80"/>
    <w:rsid w:val="00475FCE"/>
    <w:rsid w:val="00480440"/>
    <w:rsid w:val="004810DE"/>
    <w:rsid w:val="00481269"/>
    <w:rsid w:val="0048155B"/>
    <w:rsid w:val="004836F8"/>
    <w:rsid w:val="004841CE"/>
    <w:rsid w:val="0048424B"/>
    <w:rsid w:val="004847A9"/>
    <w:rsid w:val="00487152"/>
    <w:rsid w:val="00487985"/>
    <w:rsid w:val="00487D73"/>
    <w:rsid w:val="00491697"/>
    <w:rsid w:val="004921DE"/>
    <w:rsid w:val="00492B2F"/>
    <w:rsid w:val="00493D3B"/>
    <w:rsid w:val="0049510C"/>
    <w:rsid w:val="004A0F1B"/>
    <w:rsid w:val="004A3F1A"/>
    <w:rsid w:val="004A49AC"/>
    <w:rsid w:val="004A53BF"/>
    <w:rsid w:val="004A55D7"/>
    <w:rsid w:val="004A5DEA"/>
    <w:rsid w:val="004A6479"/>
    <w:rsid w:val="004A673C"/>
    <w:rsid w:val="004A7336"/>
    <w:rsid w:val="004B1A22"/>
    <w:rsid w:val="004B218D"/>
    <w:rsid w:val="004B349E"/>
    <w:rsid w:val="004B41E6"/>
    <w:rsid w:val="004B5703"/>
    <w:rsid w:val="004B5A5A"/>
    <w:rsid w:val="004B7204"/>
    <w:rsid w:val="004B7C8D"/>
    <w:rsid w:val="004C0551"/>
    <w:rsid w:val="004C2EE3"/>
    <w:rsid w:val="004C360E"/>
    <w:rsid w:val="004C74F4"/>
    <w:rsid w:val="004C7C3A"/>
    <w:rsid w:val="004D1572"/>
    <w:rsid w:val="004D1E97"/>
    <w:rsid w:val="004D1F1E"/>
    <w:rsid w:val="004D263D"/>
    <w:rsid w:val="004D2F59"/>
    <w:rsid w:val="004D78F3"/>
    <w:rsid w:val="004D7CFA"/>
    <w:rsid w:val="004E092B"/>
    <w:rsid w:val="004E166E"/>
    <w:rsid w:val="004E1C09"/>
    <w:rsid w:val="004E4213"/>
    <w:rsid w:val="004E49D0"/>
    <w:rsid w:val="004E4A22"/>
    <w:rsid w:val="004E518F"/>
    <w:rsid w:val="004F0968"/>
    <w:rsid w:val="004F1C45"/>
    <w:rsid w:val="004F23AB"/>
    <w:rsid w:val="004F33F4"/>
    <w:rsid w:val="004F39C6"/>
    <w:rsid w:val="004F52AC"/>
    <w:rsid w:val="004F5FE8"/>
    <w:rsid w:val="00500DBC"/>
    <w:rsid w:val="0050182B"/>
    <w:rsid w:val="00502EA4"/>
    <w:rsid w:val="00502F5F"/>
    <w:rsid w:val="00503701"/>
    <w:rsid w:val="00503DFF"/>
    <w:rsid w:val="0050403A"/>
    <w:rsid w:val="005052F9"/>
    <w:rsid w:val="0050782B"/>
    <w:rsid w:val="00510141"/>
    <w:rsid w:val="00511968"/>
    <w:rsid w:val="00512118"/>
    <w:rsid w:val="005137C1"/>
    <w:rsid w:val="00516B2F"/>
    <w:rsid w:val="00517CFE"/>
    <w:rsid w:val="00524411"/>
    <w:rsid w:val="00525020"/>
    <w:rsid w:val="00525230"/>
    <w:rsid w:val="005255CB"/>
    <w:rsid w:val="00526773"/>
    <w:rsid w:val="00526F12"/>
    <w:rsid w:val="005278BA"/>
    <w:rsid w:val="00527C90"/>
    <w:rsid w:val="00530711"/>
    <w:rsid w:val="00531117"/>
    <w:rsid w:val="005313A8"/>
    <w:rsid w:val="00531F8F"/>
    <w:rsid w:val="00533145"/>
    <w:rsid w:val="00534869"/>
    <w:rsid w:val="0053529F"/>
    <w:rsid w:val="0053572D"/>
    <w:rsid w:val="00535C68"/>
    <w:rsid w:val="005373B4"/>
    <w:rsid w:val="005422B1"/>
    <w:rsid w:val="00542A4D"/>
    <w:rsid w:val="00542A83"/>
    <w:rsid w:val="00544463"/>
    <w:rsid w:val="00546059"/>
    <w:rsid w:val="005466F6"/>
    <w:rsid w:val="00546C33"/>
    <w:rsid w:val="00546D3C"/>
    <w:rsid w:val="0054791F"/>
    <w:rsid w:val="00547C4F"/>
    <w:rsid w:val="00547D75"/>
    <w:rsid w:val="00550F07"/>
    <w:rsid w:val="00551B14"/>
    <w:rsid w:val="00551E15"/>
    <w:rsid w:val="00554E1D"/>
    <w:rsid w:val="0055614C"/>
    <w:rsid w:val="00556774"/>
    <w:rsid w:val="0056207D"/>
    <w:rsid w:val="0056276D"/>
    <w:rsid w:val="00563BB8"/>
    <w:rsid w:val="00564670"/>
    <w:rsid w:val="0056479A"/>
    <w:rsid w:val="00566BE3"/>
    <w:rsid w:val="00566C0B"/>
    <w:rsid w:val="00570AEA"/>
    <w:rsid w:val="005713C5"/>
    <w:rsid w:val="005726E1"/>
    <w:rsid w:val="00572D45"/>
    <w:rsid w:val="00576E51"/>
    <w:rsid w:val="00580F9F"/>
    <w:rsid w:val="005814EE"/>
    <w:rsid w:val="00582D89"/>
    <w:rsid w:val="0058305B"/>
    <w:rsid w:val="005831A3"/>
    <w:rsid w:val="005833EC"/>
    <w:rsid w:val="0058353C"/>
    <w:rsid w:val="00583EC9"/>
    <w:rsid w:val="00585CB3"/>
    <w:rsid w:val="0058601B"/>
    <w:rsid w:val="00590132"/>
    <w:rsid w:val="0059059E"/>
    <w:rsid w:val="005909DA"/>
    <w:rsid w:val="0059148B"/>
    <w:rsid w:val="00593108"/>
    <w:rsid w:val="00594202"/>
    <w:rsid w:val="005958F7"/>
    <w:rsid w:val="00596399"/>
    <w:rsid w:val="00597164"/>
    <w:rsid w:val="00597D3A"/>
    <w:rsid w:val="005A0120"/>
    <w:rsid w:val="005A0462"/>
    <w:rsid w:val="005A0529"/>
    <w:rsid w:val="005A1E6B"/>
    <w:rsid w:val="005A223B"/>
    <w:rsid w:val="005A4B28"/>
    <w:rsid w:val="005A51BC"/>
    <w:rsid w:val="005B14F8"/>
    <w:rsid w:val="005B195D"/>
    <w:rsid w:val="005B25FE"/>
    <w:rsid w:val="005B29EC"/>
    <w:rsid w:val="005B3092"/>
    <w:rsid w:val="005B3640"/>
    <w:rsid w:val="005B529A"/>
    <w:rsid w:val="005B6AB7"/>
    <w:rsid w:val="005B6D5E"/>
    <w:rsid w:val="005B7D00"/>
    <w:rsid w:val="005C013A"/>
    <w:rsid w:val="005C1B63"/>
    <w:rsid w:val="005C26B5"/>
    <w:rsid w:val="005C3058"/>
    <w:rsid w:val="005C3126"/>
    <w:rsid w:val="005C3352"/>
    <w:rsid w:val="005C6FF6"/>
    <w:rsid w:val="005C73E1"/>
    <w:rsid w:val="005C754D"/>
    <w:rsid w:val="005C7614"/>
    <w:rsid w:val="005C7D2F"/>
    <w:rsid w:val="005D0F71"/>
    <w:rsid w:val="005D220E"/>
    <w:rsid w:val="005D31F2"/>
    <w:rsid w:val="005D34DC"/>
    <w:rsid w:val="005D415C"/>
    <w:rsid w:val="005D5934"/>
    <w:rsid w:val="005D66C9"/>
    <w:rsid w:val="005D695B"/>
    <w:rsid w:val="005D7D05"/>
    <w:rsid w:val="005E00E0"/>
    <w:rsid w:val="005E13DB"/>
    <w:rsid w:val="005E14C2"/>
    <w:rsid w:val="005E15EB"/>
    <w:rsid w:val="005E2F48"/>
    <w:rsid w:val="005E3A09"/>
    <w:rsid w:val="005E4889"/>
    <w:rsid w:val="005E495E"/>
    <w:rsid w:val="005E4C6D"/>
    <w:rsid w:val="005E73B7"/>
    <w:rsid w:val="005F018F"/>
    <w:rsid w:val="005F20E9"/>
    <w:rsid w:val="005F5EB0"/>
    <w:rsid w:val="005F629C"/>
    <w:rsid w:val="005F62CC"/>
    <w:rsid w:val="005F72A3"/>
    <w:rsid w:val="005F7F8D"/>
    <w:rsid w:val="005F7FED"/>
    <w:rsid w:val="0060093B"/>
    <w:rsid w:val="0060111A"/>
    <w:rsid w:val="0060265D"/>
    <w:rsid w:val="00604E80"/>
    <w:rsid w:val="00605626"/>
    <w:rsid w:val="00605D46"/>
    <w:rsid w:val="00606A9A"/>
    <w:rsid w:val="00606F6D"/>
    <w:rsid w:val="00607753"/>
    <w:rsid w:val="0060789E"/>
    <w:rsid w:val="00607BA5"/>
    <w:rsid w:val="0061180A"/>
    <w:rsid w:val="00612BD9"/>
    <w:rsid w:val="00612FFB"/>
    <w:rsid w:val="006131AB"/>
    <w:rsid w:val="006135B8"/>
    <w:rsid w:val="006140AC"/>
    <w:rsid w:val="006141E0"/>
    <w:rsid w:val="00614EDB"/>
    <w:rsid w:val="006154EF"/>
    <w:rsid w:val="00616163"/>
    <w:rsid w:val="006168C8"/>
    <w:rsid w:val="0061696C"/>
    <w:rsid w:val="0062040A"/>
    <w:rsid w:val="00620A05"/>
    <w:rsid w:val="0062131B"/>
    <w:rsid w:val="0062219A"/>
    <w:rsid w:val="00622868"/>
    <w:rsid w:val="00623A10"/>
    <w:rsid w:val="00625120"/>
    <w:rsid w:val="00625232"/>
    <w:rsid w:val="00626058"/>
    <w:rsid w:val="00626229"/>
    <w:rsid w:val="006268A6"/>
    <w:rsid w:val="00626EB6"/>
    <w:rsid w:val="006272B0"/>
    <w:rsid w:val="00627B25"/>
    <w:rsid w:val="006300C4"/>
    <w:rsid w:val="006309EC"/>
    <w:rsid w:val="0064070A"/>
    <w:rsid w:val="00640A15"/>
    <w:rsid w:val="00640C0F"/>
    <w:rsid w:val="00643DEE"/>
    <w:rsid w:val="006448C7"/>
    <w:rsid w:val="006454F5"/>
    <w:rsid w:val="00646364"/>
    <w:rsid w:val="00646480"/>
    <w:rsid w:val="0064773D"/>
    <w:rsid w:val="006509B8"/>
    <w:rsid w:val="0065105E"/>
    <w:rsid w:val="00651A7B"/>
    <w:rsid w:val="00652182"/>
    <w:rsid w:val="006545FC"/>
    <w:rsid w:val="0065468F"/>
    <w:rsid w:val="00654776"/>
    <w:rsid w:val="00655D03"/>
    <w:rsid w:val="00660190"/>
    <w:rsid w:val="00660532"/>
    <w:rsid w:val="006605F8"/>
    <w:rsid w:val="006610A4"/>
    <w:rsid w:val="00662B16"/>
    <w:rsid w:val="00662F6F"/>
    <w:rsid w:val="0066367C"/>
    <w:rsid w:val="00663AEC"/>
    <w:rsid w:val="0066482A"/>
    <w:rsid w:val="00664841"/>
    <w:rsid w:val="00664DE1"/>
    <w:rsid w:val="006669CD"/>
    <w:rsid w:val="00666FBB"/>
    <w:rsid w:val="00667AF5"/>
    <w:rsid w:val="00670183"/>
    <w:rsid w:val="0067040C"/>
    <w:rsid w:val="0067106E"/>
    <w:rsid w:val="0067413F"/>
    <w:rsid w:val="00675AD2"/>
    <w:rsid w:val="006761E8"/>
    <w:rsid w:val="00677B8E"/>
    <w:rsid w:val="00682535"/>
    <w:rsid w:val="006832DA"/>
    <w:rsid w:val="00683388"/>
    <w:rsid w:val="0068378C"/>
    <w:rsid w:val="006839DF"/>
    <w:rsid w:val="00683AAA"/>
    <w:rsid w:val="00683B9B"/>
    <w:rsid w:val="00683E78"/>
    <w:rsid w:val="00683F84"/>
    <w:rsid w:val="006842FB"/>
    <w:rsid w:val="00686CB5"/>
    <w:rsid w:val="00691CD1"/>
    <w:rsid w:val="0069345E"/>
    <w:rsid w:val="006937FE"/>
    <w:rsid w:val="00693C5A"/>
    <w:rsid w:val="006944E5"/>
    <w:rsid w:val="00695B24"/>
    <w:rsid w:val="00697820"/>
    <w:rsid w:val="006A11C3"/>
    <w:rsid w:val="006A22D1"/>
    <w:rsid w:val="006A23F0"/>
    <w:rsid w:val="006A2A98"/>
    <w:rsid w:val="006A2C7E"/>
    <w:rsid w:val="006A2EEF"/>
    <w:rsid w:val="006A3B28"/>
    <w:rsid w:val="006A4D7A"/>
    <w:rsid w:val="006A4E89"/>
    <w:rsid w:val="006A4EB3"/>
    <w:rsid w:val="006A5B87"/>
    <w:rsid w:val="006A6A81"/>
    <w:rsid w:val="006A715A"/>
    <w:rsid w:val="006A7F77"/>
    <w:rsid w:val="006B210D"/>
    <w:rsid w:val="006B5073"/>
    <w:rsid w:val="006B7287"/>
    <w:rsid w:val="006C0E2C"/>
    <w:rsid w:val="006C1699"/>
    <w:rsid w:val="006C18BA"/>
    <w:rsid w:val="006C1F82"/>
    <w:rsid w:val="006C2401"/>
    <w:rsid w:val="006C2508"/>
    <w:rsid w:val="006C280C"/>
    <w:rsid w:val="006C3712"/>
    <w:rsid w:val="006C4751"/>
    <w:rsid w:val="006C4852"/>
    <w:rsid w:val="006C4A55"/>
    <w:rsid w:val="006C5866"/>
    <w:rsid w:val="006C789B"/>
    <w:rsid w:val="006D0007"/>
    <w:rsid w:val="006D1360"/>
    <w:rsid w:val="006D190A"/>
    <w:rsid w:val="006D1D51"/>
    <w:rsid w:val="006D3EDA"/>
    <w:rsid w:val="006D753E"/>
    <w:rsid w:val="006E12B7"/>
    <w:rsid w:val="006E37B8"/>
    <w:rsid w:val="006E3F18"/>
    <w:rsid w:val="006E42B9"/>
    <w:rsid w:val="006E536A"/>
    <w:rsid w:val="006E7923"/>
    <w:rsid w:val="006F27FA"/>
    <w:rsid w:val="006F2D37"/>
    <w:rsid w:val="006F4905"/>
    <w:rsid w:val="006F630A"/>
    <w:rsid w:val="006F6B6F"/>
    <w:rsid w:val="006F6E37"/>
    <w:rsid w:val="006F7393"/>
    <w:rsid w:val="0070224F"/>
    <w:rsid w:val="00703990"/>
    <w:rsid w:val="007040EC"/>
    <w:rsid w:val="0070421D"/>
    <w:rsid w:val="00704418"/>
    <w:rsid w:val="00704BC9"/>
    <w:rsid w:val="00705D84"/>
    <w:rsid w:val="00706320"/>
    <w:rsid w:val="007071C6"/>
    <w:rsid w:val="007115F7"/>
    <w:rsid w:val="00711C64"/>
    <w:rsid w:val="00712002"/>
    <w:rsid w:val="0071274D"/>
    <w:rsid w:val="007127DF"/>
    <w:rsid w:val="00712ADE"/>
    <w:rsid w:val="00713A95"/>
    <w:rsid w:val="007161F6"/>
    <w:rsid w:val="00716588"/>
    <w:rsid w:val="0072026D"/>
    <w:rsid w:val="0072051C"/>
    <w:rsid w:val="00722763"/>
    <w:rsid w:val="007229E6"/>
    <w:rsid w:val="00723EE3"/>
    <w:rsid w:val="00723EF1"/>
    <w:rsid w:val="00724F67"/>
    <w:rsid w:val="00726099"/>
    <w:rsid w:val="007268C4"/>
    <w:rsid w:val="00727BE2"/>
    <w:rsid w:val="00730179"/>
    <w:rsid w:val="007335F9"/>
    <w:rsid w:val="00734634"/>
    <w:rsid w:val="007347B4"/>
    <w:rsid w:val="00735F85"/>
    <w:rsid w:val="007366C0"/>
    <w:rsid w:val="007375F7"/>
    <w:rsid w:val="0073793D"/>
    <w:rsid w:val="007402EA"/>
    <w:rsid w:val="00740CF5"/>
    <w:rsid w:val="007418DE"/>
    <w:rsid w:val="00742133"/>
    <w:rsid w:val="00742407"/>
    <w:rsid w:val="00742467"/>
    <w:rsid w:val="00743186"/>
    <w:rsid w:val="007444A5"/>
    <w:rsid w:val="00745616"/>
    <w:rsid w:val="00745EB4"/>
    <w:rsid w:val="0074793E"/>
    <w:rsid w:val="0075132F"/>
    <w:rsid w:val="00751B6D"/>
    <w:rsid w:val="00753CDB"/>
    <w:rsid w:val="00753D3A"/>
    <w:rsid w:val="00754231"/>
    <w:rsid w:val="00754291"/>
    <w:rsid w:val="00755E76"/>
    <w:rsid w:val="00756EE3"/>
    <w:rsid w:val="007614EE"/>
    <w:rsid w:val="00764D25"/>
    <w:rsid w:val="00765BB9"/>
    <w:rsid w:val="007664FC"/>
    <w:rsid w:val="00766951"/>
    <w:rsid w:val="0077052E"/>
    <w:rsid w:val="00770AB9"/>
    <w:rsid w:val="0077164B"/>
    <w:rsid w:val="007723D2"/>
    <w:rsid w:val="0077254C"/>
    <w:rsid w:val="00773FEC"/>
    <w:rsid w:val="0077428A"/>
    <w:rsid w:val="00775354"/>
    <w:rsid w:val="00776F90"/>
    <w:rsid w:val="00776FDF"/>
    <w:rsid w:val="00777747"/>
    <w:rsid w:val="00780396"/>
    <w:rsid w:val="0078139A"/>
    <w:rsid w:val="00781513"/>
    <w:rsid w:val="00783084"/>
    <w:rsid w:val="00783100"/>
    <w:rsid w:val="00783613"/>
    <w:rsid w:val="00784569"/>
    <w:rsid w:val="00784906"/>
    <w:rsid w:val="00784C09"/>
    <w:rsid w:val="00785689"/>
    <w:rsid w:val="007864B4"/>
    <w:rsid w:val="00786D97"/>
    <w:rsid w:val="00787084"/>
    <w:rsid w:val="007873C0"/>
    <w:rsid w:val="00792FA0"/>
    <w:rsid w:val="007939D1"/>
    <w:rsid w:val="0079529E"/>
    <w:rsid w:val="0079559B"/>
    <w:rsid w:val="0079581C"/>
    <w:rsid w:val="007974EE"/>
    <w:rsid w:val="0079754B"/>
    <w:rsid w:val="00797DB7"/>
    <w:rsid w:val="007A0207"/>
    <w:rsid w:val="007A1271"/>
    <w:rsid w:val="007A15A9"/>
    <w:rsid w:val="007A15D2"/>
    <w:rsid w:val="007A1E6D"/>
    <w:rsid w:val="007A40D5"/>
    <w:rsid w:val="007A447D"/>
    <w:rsid w:val="007A5C9F"/>
    <w:rsid w:val="007A6241"/>
    <w:rsid w:val="007B0EB2"/>
    <w:rsid w:val="007B2328"/>
    <w:rsid w:val="007B5CFA"/>
    <w:rsid w:val="007B6806"/>
    <w:rsid w:val="007B7E55"/>
    <w:rsid w:val="007C00CE"/>
    <w:rsid w:val="007C2263"/>
    <w:rsid w:val="007C24B7"/>
    <w:rsid w:val="007C4BC0"/>
    <w:rsid w:val="007C4EDB"/>
    <w:rsid w:val="007D0416"/>
    <w:rsid w:val="007D13BF"/>
    <w:rsid w:val="007D176F"/>
    <w:rsid w:val="007D30B6"/>
    <w:rsid w:val="007D358D"/>
    <w:rsid w:val="007D6B2A"/>
    <w:rsid w:val="007D7E83"/>
    <w:rsid w:val="007E0938"/>
    <w:rsid w:val="007E1003"/>
    <w:rsid w:val="007E3830"/>
    <w:rsid w:val="007E3DD4"/>
    <w:rsid w:val="007E5137"/>
    <w:rsid w:val="007E6B09"/>
    <w:rsid w:val="007E75EF"/>
    <w:rsid w:val="007F079F"/>
    <w:rsid w:val="007F0A41"/>
    <w:rsid w:val="007F0EDB"/>
    <w:rsid w:val="007F222E"/>
    <w:rsid w:val="007F26E7"/>
    <w:rsid w:val="007F3B97"/>
    <w:rsid w:val="007F4720"/>
    <w:rsid w:val="007F7D0A"/>
    <w:rsid w:val="008007C5"/>
    <w:rsid w:val="008018D2"/>
    <w:rsid w:val="0080206B"/>
    <w:rsid w:val="00803111"/>
    <w:rsid w:val="008038A7"/>
    <w:rsid w:val="008040BD"/>
    <w:rsid w:val="00804410"/>
    <w:rsid w:val="00804483"/>
    <w:rsid w:val="00805AAA"/>
    <w:rsid w:val="008077BB"/>
    <w:rsid w:val="00807A89"/>
    <w:rsid w:val="00810248"/>
    <w:rsid w:val="00810B6F"/>
    <w:rsid w:val="00812373"/>
    <w:rsid w:val="00813252"/>
    <w:rsid w:val="0082061C"/>
    <w:rsid w:val="0082181D"/>
    <w:rsid w:val="008226CE"/>
    <w:rsid w:val="0082294E"/>
    <w:rsid w:val="00822CE0"/>
    <w:rsid w:val="00824A27"/>
    <w:rsid w:val="00824A61"/>
    <w:rsid w:val="00824AC7"/>
    <w:rsid w:val="00824AD0"/>
    <w:rsid w:val="00825733"/>
    <w:rsid w:val="00826579"/>
    <w:rsid w:val="00827F50"/>
    <w:rsid w:val="00831052"/>
    <w:rsid w:val="008311AF"/>
    <w:rsid w:val="00833CB0"/>
    <w:rsid w:val="00834462"/>
    <w:rsid w:val="008346BB"/>
    <w:rsid w:val="00834B9F"/>
    <w:rsid w:val="00834F54"/>
    <w:rsid w:val="008356D5"/>
    <w:rsid w:val="008360D0"/>
    <w:rsid w:val="00836501"/>
    <w:rsid w:val="008369DE"/>
    <w:rsid w:val="008400C3"/>
    <w:rsid w:val="008402AD"/>
    <w:rsid w:val="00841907"/>
    <w:rsid w:val="00841AB1"/>
    <w:rsid w:val="00841EFF"/>
    <w:rsid w:val="008422BF"/>
    <w:rsid w:val="00842397"/>
    <w:rsid w:val="00843ACD"/>
    <w:rsid w:val="00843F62"/>
    <w:rsid w:val="00845BF5"/>
    <w:rsid w:val="00846769"/>
    <w:rsid w:val="008467C0"/>
    <w:rsid w:val="00847061"/>
    <w:rsid w:val="0084762D"/>
    <w:rsid w:val="00851512"/>
    <w:rsid w:val="008515FF"/>
    <w:rsid w:val="00851D92"/>
    <w:rsid w:val="008522AF"/>
    <w:rsid w:val="0085353D"/>
    <w:rsid w:val="00853E55"/>
    <w:rsid w:val="00854CEB"/>
    <w:rsid w:val="0085709A"/>
    <w:rsid w:val="0085747E"/>
    <w:rsid w:val="0085775E"/>
    <w:rsid w:val="008578E1"/>
    <w:rsid w:val="00861308"/>
    <w:rsid w:val="008631B3"/>
    <w:rsid w:val="00863362"/>
    <w:rsid w:val="00863BB6"/>
    <w:rsid w:val="00864076"/>
    <w:rsid w:val="00864129"/>
    <w:rsid w:val="00864516"/>
    <w:rsid w:val="00865EFF"/>
    <w:rsid w:val="00866D0C"/>
    <w:rsid w:val="00867DE8"/>
    <w:rsid w:val="00871244"/>
    <w:rsid w:val="00872474"/>
    <w:rsid w:val="008725B8"/>
    <w:rsid w:val="0087510B"/>
    <w:rsid w:val="00876522"/>
    <w:rsid w:val="00880B3D"/>
    <w:rsid w:val="008825D1"/>
    <w:rsid w:val="00882C91"/>
    <w:rsid w:val="00883AFD"/>
    <w:rsid w:val="00883D8E"/>
    <w:rsid w:val="008851AA"/>
    <w:rsid w:val="008853A9"/>
    <w:rsid w:val="008858E2"/>
    <w:rsid w:val="008906B9"/>
    <w:rsid w:val="008907FB"/>
    <w:rsid w:val="00890927"/>
    <w:rsid w:val="00891674"/>
    <w:rsid w:val="008917C0"/>
    <w:rsid w:val="00894B66"/>
    <w:rsid w:val="00895843"/>
    <w:rsid w:val="00896616"/>
    <w:rsid w:val="008A09B4"/>
    <w:rsid w:val="008A1BA3"/>
    <w:rsid w:val="008A1C9E"/>
    <w:rsid w:val="008A1DC6"/>
    <w:rsid w:val="008A2A86"/>
    <w:rsid w:val="008A3D1C"/>
    <w:rsid w:val="008A4B6A"/>
    <w:rsid w:val="008A6B9F"/>
    <w:rsid w:val="008B107D"/>
    <w:rsid w:val="008B15B1"/>
    <w:rsid w:val="008B2CCC"/>
    <w:rsid w:val="008B33A3"/>
    <w:rsid w:val="008B42FA"/>
    <w:rsid w:val="008C36B1"/>
    <w:rsid w:val="008C3935"/>
    <w:rsid w:val="008C667C"/>
    <w:rsid w:val="008C68F1"/>
    <w:rsid w:val="008C6B9C"/>
    <w:rsid w:val="008D3D4A"/>
    <w:rsid w:val="008D42EB"/>
    <w:rsid w:val="008D4899"/>
    <w:rsid w:val="008D4A71"/>
    <w:rsid w:val="008D5879"/>
    <w:rsid w:val="008D590F"/>
    <w:rsid w:val="008D7BD5"/>
    <w:rsid w:val="008E1D10"/>
    <w:rsid w:val="008E2E6E"/>
    <w:rsid w:val="008E309C"/>
    <w:rsid w:val="008F0D2C"/>
    <w:rsid w:val="008F1FA8"/>
    <w:rsid w:val="008F2F97"/>
    <w:rsid w:val="008F32AA"/>
    <w:rsid w:val="008F3AA7"/>
    <w:rsid w:val="008F3CD7"/>
    <w:rsid w:val="008F5D4E"/>
    <w:rsid w:val="008F6DA2"/>
    <w:rsid w:val="008F7838"/>
    <w:rsid w:val="00900612"/>
    <w:rsid w:val="0090158E"/>
    <w:rsid w:val="00902093"/>
    <w:rsid w:val="00902E22"/>
    <w:rsid w:val="00905962"/>
    <w:rsid w:val="00911282"/>
    <w:rsid w:val="00911DA3"/>
    <w:rsid w:val="00912FBF"/>
    <w:rsid w:val="00914BDA"/>
    <w:rsid w:val="00915830"/>
    <w:rsid w:val="00916367"/>
    <w:rsid w:val="00916C55"/>
    <w:rsid w:val="0092004B"/>
    <w:rsid w:val="0092012F"/>
    <w:rsid w:val="00920959"/>
    <w:rsid w:val="00920E15"/>
    <w:rsid w:val="00921341"/>
    <w:rsid w:val="00921803"/>
    <w:rsid w:val="0092227F"/>
    <w:rsid w:val="00922E5E"/>
    <w:rsid w:val="00926503"/>
    <w:rsid w:val="0092721D"/>
    <w:rsid w:val="00927E41"/>
    <w:rsid w:val="009304DB"/>
    <w:rsid w:val="00931F8C"/>
    <w:rsid w:val="00932340"/>
    <w:rsid w:val="00932A36"/>
    <w:rsid w:val="0093427A"/>
    <w:rsid w:val="00934D21"/>
    <w:rsid w:val="00934F85"/>
    <w:rsid w:val="00935023"/>
    <w:rsid w:val="009361C4"/>
    <w:rsid w:val="00936403"/>
    <w:rsid w:val="00936E71"/>
    <w:rsid w:val="009400C1"/>
    <w:rsid w:val="0094164C"/>
    <w:rsid w:val="0094369A"/>
    <w:rsid w:val="0094501B"/>
    <w:rsid w:val="0094730C"/>
    <w:rsid w:val="0095062F"/>
    <w:rsid w:val="00950BA6"/>
    <w:rsid w:val="0095112B"/>
    <w:rsid w:val="009512BB"/>
    <w:rsid w:val="009522BE"/>
    <w:rsid w:val="009526D4"/>
    <w:rsid w:val="00953039"/>
    <w:rsid w:val="00953733"/>
    <w:rsid w:val="009558A7"/>
    <w:rsid w:val="00956143"/>
    <w:rsid w:val="0095680C"/>
    <w:rsid w:val="00956A52"/>
    <w:rsid w:val="009576F2"/>
    <w:rsid w:val="00961430"/>
    <w:rsid w:val="0096172E"/>
    <w:rsid w:val="00962494"/>
    <w:rsid w:val="00962E4A"/>
    <w:rsid w:val="0096305C"/>
    <w:rsid w:val="0096519B"/>
    <w:rsid w:val="0096763E"/>
    <w:rsid w:val="00971046"/>
    <w:rsid w:val="00971445"/>
    <w:rsid w:val="009726D8"/>
    <w:rsid w:val="00972C63"/>
    <w:rsid w:val="009746FF"/>
    <w:rsid w:val="009762AE"/>
    <w:rsid w:val="009779A2"/>
    <w:rsid w:val="0098028E"/>
    <w:rsid w:val="0098064B"/>
    <w:rsid w:val="009820AB"/>
    <w:rsid w:val="00982621"/>
    <w:rsid w:val="00983E2D"/>
    <w:rsid w:val="0098444C"/>
    <w:rsid w:val="009847BA"/>
    <w:rsid w:val="009855AC"/>
    <w:rsid w:val="00986EFE"/>
    <w:rsid w:val="00986F9E"/>
    <w:rsid w:val="009911A4"/>
    <w:rsid w:val="00993AAC"/>
    <w:rsid w:val="00993E65"/>
    <w:rsid w:val="009955F4"/>
    <w:rsid w:val="00995809"/>
    <w:rsid w:val="00997752"/>
    <w:rsid w:val="009A0164"/>
    <w:rsid w:val="009A0245"/>
    <w:rsid w:val="009A05C3"/>
    <w:rsid w:val="009A0CED"/>
    <w:rsid w:val="009A0FEF"/>
    <w:rsid w:val="009A1DB9"/>
    <w:rsid w:val="009A406C"/>
    <w:rsid w:val="009A40CD"/>
    <w:rsid w:val="009A4DBD"/>
    <w:rsid w:val="009A5065"/>
    <w:rsid w:val="009A539B"/>
    <w:rsid w:val="009A5DCF"/>
    <w:rsid w:val="009A6D5F"/>
    <w:rsid w:val="009A7605"/>
    <w:rsid w:val="009B0025"/>
    <w:rsid w:val="009B02C2"/>
    <w:rsid w:val="009B415D"/>
    <w:rsid w:val="009B42AD"/>
    <w:rsid w:val="009B457B"/>
    <w:rsid w:val="009B4C47"/>
    <w:rsid w:val="009B5529"/>
    <w:rsid w:val="009B559C"/>
    <w:rsid w:val="009B5D2E"/>
    <w:rsid w:val="009B6187"/>
    <w:rsid w:val="009B6841"/>
    <w:rsid w:val="009B6E23"/>
    <w:rsid w:val="009B7BBF"/>
    <w:rsid w:val="009B7D67"/>
    <w:rsid w:val="009B7E1A"/>
    <w:rsid w:val="009C03E5"/>
    <w:rsid w:val="009C07F1"/>
    <w:rsid w:val="009C0E03"/>
    <w:rsid w:val="009C3CC2"/>
    <w:rsid w:val="009C58DF"/>
    <w:rsid w:val="009C5C43"/>
    <w:rsid w:val="009C6916"/>
    <w:rsid w:val="009C6D37"/>
    <w:rsid w:val="009C6D74"/>
    <w:rsid w:val="009D15AB"/>
    <w:rsid w:val="009D1EF3"/>
    <w:rsid w:val="009D3E6A"/>
    <w:rsid w:val="009D3FDB"/>
    <w:rsid w:val="009D4365"/>
    <w:rsid w:val="009D505B"/>
    <w:rsid w:val="009D5627"/>
    <w:rsid w:val="009D636C"/>
    <w:rsid w:val="009E00D7"/>
    <w:rsid w:val="009E0FE8"/>
    <w:rsid w:val="009E10BD"/>
    <w:rsid w:val="009E2FFC"/>
    <w:rsid w:val="009E394E"/>
    <w:rsid w:val="009E457E"/>
    <w:rsid w:val="009E5264"/>
    <w:rsid w:val="009E5420"/>
    <w:rsid w:val="009E61CD"/>
    <w:rsid w:val="009E691D"/>
    <w:rsid w:val="009E6920"/>
    <w:rsid w:val="009E6BCB"/>
    <w:rsid w:val="009F19AC"/>
    <w:rsid w:val="009F216B"/>
    <w:rsid w:val="009F218D"/>
    <w:rsid w:val="009F2B9D"/>
    <w:rsid w:val="009F47A0"/>
    <w:rsid w:val="009F47D1"/>
    <w:rsid w:val="009F5CCF"/>
    <w:rsid w:val="009F639D"/>
    <w:rsid w:val="009F6F22"/>
    <w:rsid w:val="009F76DB"/>
    <w:rsid w:val="009F79A9"/>
    <w:rsid w:val="00A00A80"/>
    <w:rsid w:val="00A040AD"/>
    <w:rsid w:val="00A073C1"/>
    <w:rsid w:val="00A07BAC"/>
    <w:rsid w:val="00A1125D"/>
    <w:rsid w:val="00A12D90"/>
    <w:rsid w:val="00A140F6"/>
    <w:rsid w:val="00A15AEE"/>
    <w:rsid w:val="00A16AB1"/>
    <w:rsid w:val="00A2085B"/>
    <w:rsid w:val="00A217AC"/>
    <w:rsid w:val="00A22BD0"/>
    <w:rsid w:val="00A24042"/>
    <w:rsid w:val="00A24353"/>
    <w:rsid w:val="00A25176"/>
    <w:rsid w:val="00A255BC"/>
    <w:rsid w:val="00A269DB"/>
    <w:rsid w:val="00A31D00"/>
    <w:rsid w:val="00A32C3B"/>
    <w:rsid w:val="00A32DA6"/>
    <w:rsid w:val="00A338E3"/>
    <w:rsid w:val="00A33B31"/>
    <w:rsid w:val="00A351F5"/>
    <w:rsid w:val="00A363EE"/>
    <w:rsid w:val="00A3781B"/>
    <w:rsid w:val="00A40302"/>
    <w:rsid w:val="00A4046E"/>
    <w:rsid w:val="00A42B70"/>
    <w:rsid w:val="00A434AC"/>
    <w:rsid w:val="00A4391B"/>
    <w:rsid w:val="00A43CCD"/>
    <w:rsid w:val="00A45427"/>
    <w:rsid w:val="00A45F4F"/>
    <w:rsid w:val="00A46488"/>
    <w:rsid w:val="00A466D1"/>
    <w:rsid w:val="00A46AEC"/>
    <w:rsid w:val="00A470A8"/>
    <w:rsid w:val="00A47FE9"/>
    <w:rsid w:val="00A51A4A"/>
    <w:rsid w:val="00A54485"/>
    <w:rsid w:val="00A54B1D"/>
    <w:rsid w:val="00A56994"/>
    <w:rsid w:val="00A56CDD"/>
    <w:rsid w:val="00A573F8"/>
    <w:rsid w:val="00A600A9"/>
    <w:rsid w:val="00A601AB"/>
    <w:rsid w:val="00A62652"/>
    <w:rsid w:val="00A626EA"/>
    <w:rsid w:val="00A64616"/>
    <w:rsid w:val="00A654CD"/>
    <w:rsid w:val="00A65EA8"/>
    <w:rsid w:val="00A730B9"/>
    <w:rsid w:val="00A7414A"/>
    <w:rsid w:val="00A751F7"/>
    <w:rsid w:val="00A7619F"/>
    <w:rsid w:val="00A77AC4"/>
    <w:rsid w:val="00A80FB1"/>
    <w:rsid w:val="00A8159E"/>
    <w:rsid w:val="00A832D0"/>
    <w:rsid w:val="00A833C9"/>
    <w:rsid w:val="00A8409A"/>
    <w:rsid w:val="00A844C4"/>
    <w:rsid w:val="00A869C7"/>
    <w:rsid w:val="00A8736D"/>
    <w:rsid w:val="00A876B4"/>
    <w:rsid w:val="00A87F9C"/>
    <w:rsid w:val="00A9128F"/>
    <w:rsid w:val="00A956BE"/>
    <w:rsid w:val="00A95E4A"/>
    <w:rsid w:val="00AA2522"/>
    <w:rsid w:val="00AA2A31"/>
    <w:rsid w:val="00AA4502"/>
    <w:rsid w:val="00AA55B7"/>
    <w:rsid w:val="00AA5B9E"/>
    <w:rsid w:val="00AA7BF4"/>
    <w:rsid w:val="00AB1257"/>
    <w:rsid w:val="00AB2407"/>
    <w:rsid w:val="00AB3EDB"/>
    <w:rsid w:val="00AB44D1"/>
    <w:rsid w:val="00AB44D7"/>
    <w:rsid w:val="00AB4676"/>
    <w:rsid w:val="00AB49BC"/>
    <w:rsid w:val="00AB4B2D"/>
    <w:rsid w:val="00AB53DF"/>
    <w:rsid w:val="00AB5B79"/>
    <w:rsid w:val="00AB6066"/>
    <w:rsid w:val="00AB6565"/>
    <w:rsid w:val="00AB6AE4"/>
    <w:rsid w:val="00AB6BE6"/>
    <w:rsid w:val="00AB76FA"/>
    <w:rsid w:val="00AC06C9"/>
    <w:rsid w:val="00AC1060"/>
    <w:rsid w:val="00AC1DF4"/>
    <w:rsid w:val="00AC1ECB"/>
    <w:rsid w:val="00AC30FB"/>
    <w:rsid w:val="00AC3C55"/>
    <w:rsid w:val="00AC40FF"/>
    <w:rsid w:val="00AC4397"/>
    <w:rsid w:val="00AC4820"/>
    <w:rsid w:val="00AC4F8D"/>
    <w:rsid w:val="00AC641F"/>
    <w:rsid w:val="00AC6D0C"/>
    <w:rsid w:val="00AC6D83"/>
    <w:rsid w:val="00AC72F1"/>
    <w:rsid w:val="00AC7416"/>
    <w:rsid w:val="00AC771C"/>
    <w:rsid w:val="00AD145F"/>
    <w:rsid w:val="00AD2BDE"/>
    <w:rsid w:val="00AD3C4C"/>
    <w:rsid w:val="00AD3F8C"/>
    <w:rsid w:val="00AE1479"/>
    <w:rsid w:val="00AE222F"/>
    <w:rsid w:val="00AE22DA"/>
    <w:rsid w:val="00AE22F9"/>
    <w:rsid w:val="00AE2559"/>
    <w:rsid w:val="00AE2EB6"/>
    <w:rsid w:val="00AE3FEA"/>
    <w:rsid w:val="00AE47E7"/>
    <w:rsid w:val="00AE58AB"/>
    <w:rsid w:val="00AF13A4"/>
    <w:rsid w:val="00AF3027"/>
    <w:rsid w:val="00AF3073"/>
    <w:rsid w:val="00AF336C"/>
    <w:rsid w:val="00AF5F09"/>
    <w:rsid w:val="00AF72A0"/>
    <w:rsid w:val="00B00B6E"/>
    <w:rsid w:val="00B00E8E"/>
    <w:rsid w:val="00B02FC2"/>
    <w:rsid w:val="00B041F9"/>
    <w:rsid w:val="00B05405"/>
    <w:rsid w:val="00B069C9"/>
    <w:rsid w:val="00B07E5C"/>
    <w:rsid w:val="00B10031"/>
    <w:rsid w:val="00B10E7C"/>
    <w:rsid w:val="00B12B89"/>
    <w:rsid w:val="00B1665F"/>
    <w:rsid w:val="00B17035"/>
    <w:rsid w:val="00B20533"/>
    <w:rsid w:val="00B2062B"/>
    <w:rsid w:val="00B2173E"/>
    <w:rsid w:val="00B2193C"/>
    <w:rsid w:val="00B21FB5"/>
    <w:rsid w:val="00B22BBC"/>
    <w:rsid w:val="00B22D49"/>
    <w:rsid w:val="00B22EA5"/>
    <w:rsid w:val="00B24667"/>
    <w:rsid w:val="00B24AA5"/>
    <w:rsid w:val="00B24D0B"/>
    <w:rsid w:val="00B2611F"/>
    <w:rsid w:val="00B30004"/>
    <w:rsid w:val="00B30350"/>
    <w:rsid w:val="00B30BE9"/>
    <w:rsid w:val="00B319CE"/>
    <w:rsid w:val="00B31D34"/>
    <w:rsid w:val="00B32883"/>
    <w:rsid w:val="00B328D2"/>
    <w:rsid w:val="00B33062"/>
    <w:rsid w:val="00B33AEC"/>
    <w:rsid w:val="00B34F5E"/>
    <w:rsid w:val="00B35202"/>
    <w:rsid w:val="00B36E49"/>
    <w:rsid w:val="00B37494"/>
    <w:rsid w:val="00B37CC4"/>
    <w:rsid w:val="00B40E17"/>
    <w:rsid w:val="00B40F7F"/>
    <w:rsid w:val="00B42962"/>
    <w:rsid w:val="00B457C3"/>
    <w:rsid w:val="00B46978"/>
    <w:rsid w:val="00B46BC4"/>
    <w:rsid w:val="00B4745D"/>
    <w:rsid w:val="00B474B2"/>
    <w:rsid w:val="00B47D2F"/>
    <w:rsid w:val="00B50D24"/>
    <w:rsid w:val="00B50F8C"/>
    <w:rsid w:val="00B52CC2"/>
    <w:rsid w:val="00B53419"/>
    <w:rsid w:val="00B5344A"/>
    <w:rsid w:val="00B55847"/>
    <w:rsid w:val="00B55C3D"/>
    <w:rsid w:val="00B571E3"/>
    <w:rsid w:val="00B572BE"/>
    <w:rsid w:val="00B57F92"/>
    <w:rsid w:val="00B62170"/>
    <w:rsid w:val="00B6335C"/>
    <w:rsid w:val="00B63682"/>
    <w:rsid w:val="00B63948"/>
    <w:rsid w:val="00B64531"/>
    <w:rsid w:val="00B64701"/>
    <w:rsid w:val="00B647CA"/>
    <w:rsid w:val="00B64826"/>
    <w:rsid w:val="00B66771"/>
    <w:rsid w:val="00B66780"/>
    <w:rsid w:val="00B71774"/>
    <w:rsid w:val="00B7362A"/>
    <w:rsid w:val="00B7400F"/>
    <w:rsid w:val="00B7422A"/>
    <w:rsid w:val="00B76137"/>
    <w:rsid w:val="00B768A2"/>
    <w:rsid w:val="00B811F7"/>
    <w:rsid w:val="00B812D8"/>
    <w:rsid w:val="00B81B0A"/>
    <w:rsid w:val="00B82556"/>
    <w:rsid w:val="00B83C4F"/>
    <w:rsid w:val="00B84455"/>
    <w:rsid w:val="00B8474B"/>
    <w:rsid w:val="00B84AF7"/>
    <w:rsid w:val="00B8784A"/>
    <w:rsid w:val="00B878D0"/>
    <w:rsid w:val="00B90907"/>
    <w:rsid w:val="00B90973"/>
    <w:rsid w:val="00B91DA2"/>
    <w:rsid w:val="00B92E69"/>
    <w:rsid w:val="00B93772"/>
    <w:rsid w:val="00B950BA"/>
    <w:rsid w:val="00B953DA"/>
    <w:rsid w:val="00B95742"/>
    <w:rsid w:val="00B95A79"/>
    <w:rsid w:val="00B96281"/>
    <w:rsid w:val="00B9674E"/>
    <w:rsid w:val="00B96CE7"/>
    <w:rsid w:val="00B96E18"/>
    <w:rsid w:val="00B9748D"/>
    <w:rsid w:val="00BA069A"/>
    <w:rsid w:val="00BA1904"/>
    <w:rsid w:val="00BA1C2B"/>
    <w:rsid w:val="00BA229D"/>
    <w:rsid w:val="00BA3C0F"/>
    <w:rsid w:val="00BA3DF4"/>
    <w:rsid w:val="00BA3FFA"/>
    <w:rsid w:val="00BA5441"/>
    <w:rsid w:val="00BA5DC6"/>
    <w:rsid w:val="00BA6196"/>
    <w:rsid w:val="00BB0B97"/>
    <w:rsid w:val="00BB1378"/>
    <w:rsid w:val="00BB2FEE"/>
    <w:rsid w:val="00BB3969"/>
    <w:rsid w:val="00BB3B5C"/>
    <w:rsid w:val="00BB45F3"/>
    <w:rsid w:val="00BB5186"/>
    <w:rsid w:val="00BB6B0B"/>
    <w:rsid w:val="00BC0531"/>
    <w:rsid w:val="00BC0BB3"/>
    <w:rsid w:val="00BC1105"/>
    <w:rsid w:val="00BC230C"/>
    <w:rsid w:val="00BC2337"/>
    <w:rsid w:val="00BC3765"/>
    <w:rsid w:val="00BC3AFC"/>
    <w:rsid w:val="00BC44B2"/>
    <w:rsid w:val="00BC63D0"/>
    <w:rsid w:val="00BC6CC4"/>
    <w:rsid w:val="00BC6D8C"/>
    <w:rsid w:val="00BD073C"/>
    <w:rsid w:val="00BD0A9B"/>
    <w:rsid w:val="00BD0E36"/>
    <w:rsid w:val="00BD0F38"/>
    <w:rsid w:val="00BD205C"/>
    <w:rsid w:val="00BD355D"/>
    <w:rsid w:val="00BD5A46"/>
    <w:rsid w:val="00BD67D3"/>
    <w:rsid w:val="00BD6A26"/>
    <w:rsid w:val="00BD6CD9"/>
    <w:rsid w:val="00BD74A1"/>
    <w:rsid w:val="00BE0135"/>
    <w:rsid w:val="00BE308C"/>
    <w:rsid w:val="00BE49E6"/>
    <w:rsid w:val="00BE66BD"/>
    <w:rsid w:val="00BF1320"/>
    <w:rsid w:val="00BF27B1"/>
    <w:rsid w:val="00BF2C44"/>
    <w:rsid w:val="00BF2E36"/>
    <w:rsid w:val="00BF4E68"/>
    <w:rsid w:val="00BF55D4"/>
    <w:rsid w:val="00BF5756"/>
    <w:rsid w:val="00BF5803"/>
    <w:rsid w:val="00BF70B2"/>
    <w:rsid w:val="00BF7863"/>
    <w:rsid w:val="00C013C7"/>
    <w:rsid w:val="00C018AA"/>
    <w:rsid w:val="00C01C92"/>
    <w:rsid w:val="00C02DEB"/>
    <w:rsid w:val="00C033F5"/>
    <w:rsid w:val="00C05E2D"/>
    <w:rsid w:val="00C0602A"/>
    <w:rsid w:val="00C06976"/>
    <w:rsid w:val="00C06CEC"/>
    <w:rsid w:val="00C111D3"/>
    <w:rsid w:val="00C12597"/>
    <w:rsid w:val="00C125B2"/>
    <w:rsid w:val="00C134C5"/>
    <w:rsid w:val="00C14043"/>
    <w:rsid w:val="00C1408E"/>
    <w:rsid w:val="00C17679"/>
    <w:rsid w:val="00C17AF4"/>
    <w:rsid w:val="00C2213C"/>
    <w:rsid w:val="00C22BE2"/>
    <w:rsid w:val="00C2374E"/>
    <w:rsid w:val="00C2399F"/>
    <w:rsid w:val="00C246D4"/>
    <w:rsid w:val="00C24A9F"/>
    <w:rsid w:val="00C2520D"/>
    <w:rsid w:val="00C25644"/>
    <w:rsid w:val="00C2567E"/>
    <w:rsid w:val="00C25B7F"/>
    <w:rsid w:val="00C306DE"/>
    <w:rsid w:val="00C3181B"/>
    <w:rsid w:val="00C3187B"/>
    <w:rsid w:val="00C31D7E"/>
    <w:rsid w:val="00C34006"/>
    <w:rsid w:val="00C34F1B"/>
    <w:rsid w:val="00C35313"/>
    <w:rsid w:val="00C35788"/>
    <w:rsid w:val="00C366FD"/>
    <w:rsid w:val="00C40DF3"/>
    <w:rsid w:val="00C41C22"/>
    <w:rsid w:val="00C41D6A"/>
    <w:rsid w:val="00C426B1"/>
    <w:rsid w:val="00C4309B"/>
    <w:rsid w:val="00C434F9"/>
    <w:rsid w:val="00C43915"/>
    <w:rsid w:val="00C46797"/>
    <w:rsid w:val="00C4792D"/>
    <w:rsid w:val="00C52FD6"/>
    <w:rsid w:val="00C53203"/>
    <w:rsid w:val="00C5558B"/>
    <w:rsid w:val="00C56A0E"/>
    <w:rsid w:val="00C56BDF"/>
    <w:rsid w:val="00C57379"/>
    <w:rsid w:val="00C57E89"/>
    <w:rsid w:val="00C60250"/>
    <w:rsid w:val="00C64F95"/>
    <w:rsid w:val="00C654E0"/>
    <w:rsid w:val="00C66160"/>
    <w:rsid w:val="00C66B9F"/>
    <w:rsid w:val="00C7078B"/>
    <w:rsid w:val="00C708F6"/>
    <w:rsid w:val="00C721AC"/>
    <w:rsid w:val="00C7266A"/>
    <w:rsid w:val="00C72AC9"/>
    <w:rsid w:val="00C7314B"/>
    <w:rsid w:val="00C745B5"/>
    <w:rsid w:val="00C75EC8"/>
    <w:rsid w:val="00C762B6"/>
    <w:rsid w:val="00C77623"/>
    <w:rsid w:val="00C814DD"/>
    <w:rsid w:val="00C8288C"/>
    <w:rsid w:val="00C838CA"/>
    <w:rsid w:val="00C83A89"/>
    <w:rsid w:val="00C85616"/>
    <w:rsid w:val="00C86E8B"/>
    <w:rsid w:val="00C871EF"/>
    <w:rsid w:val="00C90D6A"/>
    <w:rsid w:val="00C921BC"/>
    <w:rsid w:val="00C93231"/>
    <w:rsid w:val="00C93BC8"/>
    <w:rsid w:val="00C94ED2"/>
    <w:rsid w:val="00C951B3"/>
    <w:rsid w:val="00C97FAD"/>
    <w:rsid w:val="00CA1129"/>
    <w:rsid w:val="00CA235C"/>
    <w:rsid w:val="00CA247E"/>
    <w:rsid w:val="00CA5009"/>
    <w:rsid w:val="00CB0C31"/>
    <w:rsid w:val="00CB10C1"/>
    <w:rsid w:val="00CB3BC1"/>
    <w:rsid w:val="00CB64D5"/>
    <w:rsid w:val="00CB6CD4"/>
    <w:rsid w:val="00CB6D13"/>
    <w:rsid w:val="00CB7806"/>
    <w:rsid w:val="00CC1A35"/>
    <w:rsid w:val="00CC4C62"/>
    <w:rsid w:val="00CC4E47"/>
    <w:rsid w:val="00CC56DE"/>
    <w:rsid w:val="00CC5E59"/>
    <w:rsid w:val="00CC5F71"/>
    <w:rsid w:val="00CC6292"/>
    <w:rsid w:val="00CC6C11"/>
    <w:rsid w:val="00CC72B6"/>
    <w:rsid w:val="00CC7A73"/>
    <w:rsid w:val="00CC7E15"/>
    <w:rsid w:val="00CD1EFB"/>
    <w:rsid w:val="00CD2B0B"/>
    <w:rsid w:val="00CD4234"/>
    <w:rsid w:val="00CD4454"/>
    <w:rsid w:val="00CD48C9"/>
    <w:rsid w:val="00CD5F9A"/>
    <w:rsid w:val="00CD68B3"/>
    <w:rsid w:val="00CD722C"/>
    <w:rsid w:val="00CE063B"/>
    <w:rsid w:val="00CE266E"/>
    <w:rsid w:val="00CE4BB1"/>
    <w:rsid w:val="00CE553F"/>
    <w:rsid w:val="00CE5F6B"/>
    <w:rsid w:val="00CE6742"/>
    <w:rsid w:val="00CE68C0"/>
    <w:rsid w:val="00CE7DA8"/>
    <w:rsid w:val="00CF276E"/>
    <w:rsid w:val="00CF2B7E"/>
    <w:rsid w:val="00CF48AC"/>
    <w:rsid w:val="00CF5019"/>
    <w:rsid w:val="00CF5808"/>
    <w:rsid w:val="00CF66EE"/>
    <w:rsid w:val="00CF72CC"/>
    <w:rsid w:val="00CF7980"/>
    <w:rsid w:val="00D00C61"/>
    <w:rsid w:val="00D0218D"/>
    <w:rsid w:val="00D0264D"/>
    <w:rsid w:val="00D029FF"/>
    <w:rsid w:val="00D03E4A"/>
    <w:rsid w:val="00D04902"/>
    <w:rsid w:val="00D04FDF"/>
    <w:rsid w:val="00D06D5F"/>
    <w:rsid w:val="00D0754D"/>
    <w:rsid w:val="00D0783D"/>
    <w:rsid w:val="00D13850"/>
    <w:rsid w:val="00D1752A"/>
    <w:rsid w:val="00D2111F"/>
    <w:rsid w:val="00D212D4"/>
    <w:rsid w:val="00D216FD"/>
    <w:rsid w:val="00D22277"/>
    <w:rsid w:val="00D2338E"/>
    <w:rsid w:val="00D236EC"/>
    <w:rsid w:val="00D24226"/>
    <w:rsid w:val="00D243F8"/>
    <w:rsid w:val="00D250AB"/>
    <w:rsid w:val="00D256C0"/>
    <w:rsid w:val="00D25FB5"/>
    <w:rsid w:val="00D30C26"/>
    <w:rsid w:val="00D3331B"/>
    <w:rsid w:val="00D3498F"/>
    <w:rsid w:val="00D35321"/>
    <w:rsid w:val="00D366CD"/>
    <w:rsid w:val="00D368DA"/>
    <w:rsid w:val="00D37392"/>
    <w:rsid w:val="00D3759D"/>
    <w:rsid w:val="00D40D89"/>
    <w:rsid w:val="00D42393"/>
    <w:rsid w:val="00D4279F"/>
    <w:rsid w:val="00D434F7"/>
    <w:rsid w:val="00D435A8"/>
    <w:rsid w:val="00D44223"/>
    <w:rsid w:val="00D4425B"/>
    <w:rsid w:val="00D446B3"/>
    <w:rsid w:val="00D50255"/>
    <w:rsid w:val="00D517CE"/>
    <w:rsid w:val="00D54A8D"/>
    <w:rsid w:val="00D54EC7"/>
    <w:rsid w:val="00D55922"/>
    <w:rsid w:val="00D5653D"/>
    <w:rsid w:val="00D606FB"/>
    <w:rsid w:val="00D60EE4"/>
    <w:rsid w:val="00D635E6"/>
    <w:rsid w:val="00D63F45"/>
    <w:rsid w:val="00D65014"/>
    <w:rsid w:val="00D66418"/>
    <w:rsid w:val="00D672F1"/>
    <w:rsid w:val="00D6774E"/>
    <w:rsid w:val="00D730BE"/>
    <w:rsid w:val="00D76ABA"/>
    <w:rsid w:val="00D77E2C"/>
    <w:rsid w:val="00D81039"/>
    <w:rsid w:val="00D822A8"/>
    <w:rsid w:val="00D830FD"/>
    <w:rsid w:val="00D83367"/>
    <w:rsid w:val="00D8621A"/>
    <w:rsid w:val="00D87BF8"/>
    <w:rsid w:val="00D87F97"/>
    <w:rsid w:val="00D918ED"/>
    <w:rsid w:val="00D923D8"/>
    <w:rsid w:val="00D925DD"/>
    <w:rsid w:val="00D93C7A"/>
    <w:rsid w:val="00D946DD"/>
    <w:rsid w:val="00D94710"/>
    <w:rsid w:val="00D9478B"/>
    <w:rsid w:val="00D94B18"/>
    <w:rsid w:val="00D95205"/>
    <w:rsid w:val="00D97DDE"/>
    <w:rsid w:val="00DA095A"/>
    <w:rsid w:val="00DA0AA5"/>
    <w:rsid w:val="00DA22DA"/>
    <w:rsid w:val="00DA2529"/>
    <w:rsid w:val="00DA3B9D"/>
    <w:rsid w:val="00DA402D"/>
    <w:rsid w:val="00DA42CA"/>
    <w:rsid w:val="00DA5A3A"/>
    <w:rsid w:val="00DA6671"/>
    <w:rsid w:val="00DA692E"/>
    <w:rsid w:val="00DB043A"/>
    <w:rsid w:val="00DB0E82"/>
    <w:rsid w:val="00DB130A"/>
    <w:rsid w:val="00DB14B1"/>
    <w:rsid w:val="00DB29BB"/>
    <w:rsid w:val="00DB2EBB"/>
    <w:rsid w:val="00DB3522"/>
    <w:rsid w:val="00DB4500"/>
    <w:rsid w:val="00DB5061"/>
    <w:rsid w:val="00DB58C0"/>
    <w:rsid w:val="00DB7C56"/>
    <w:rsid w:val="00DC0358"/>
    <w:rsid w:val="00DC105C"/>
    <w:rsid w:val="00DC10A1"/>
    <w:rsid w:val="00DC2FB9"/>
    <w:rsid w:val="00DC4B0F"/>
    <w:rsid w:val="00DC594E"/>
    <w:rsid w:val="00DC60F5"/>
    <w:rsid w:val="00DC655F"/>
    <w:rsid w:val="00DC67D6"/>
    <w:rsid w:val="00DC7669"/>
    <w:rsid w:val="00DD0B59"/>
    <w:rsid w:val="00DD2B09"/>
    <w:rsid w:val="00DD4018"/>
    <w:rsid w:val="00DD5715"/>
    <w:rsid w:val="00DD6581"/>
    <w:rsid w:val="00DD6AB0"/>
    <w:rsid w:val="00DD6EC0"/>
    <w:rsid w:val="00DD79CB"/>
    <w:rsid w:val="00DD7B6C"/>
    <w:rsid w:val="00DD7EBD"/>
    <w:rsid w:val="00DE1748"/>
    <w:rsid w:val="00DE360B"/>
    <w:rsid w:val="00DE4028"/>
    <w:rsid w:val="00DE594D"/>
    <w:rsid w:val="00DF00E9"/>
    <w:rsid w:val="00DF049F"/>
    <w:rsid w:val="00DF0BDC"/>
    <w:rsid w:val="00DF21B4"/>
    <w:rsid w:val="00DF3804"/>
    <w:rsid w:val="00DF4A21"/>
    <w:rsid w:val="00DF4FC7"/>
    <w:rsid w:val="00DF5182"/>
    <w:rsid w:val="00DF56B0"/>
    <w:rsid w:val="00DF589B"/>
    <w:rsid w:val="00DF62B6"/>
    <w:rsid w:val="00E009AE"/>
    <w:rsid w:val="00E01067"/>
    <w:rsid w:val="00E03D37"/>
    <w:rsid w:val="00E04779"/>
    <w:rsid w:val="00E050CD"/>
    <w:rsid w:val="00E07225"/>
    <w:rsid w:val="00E11F8E"/>
    <w:rsid w:val="00E12698"/>
    <w:rsid w:val="00E12F5B"/>
    <w:rsid w:val="00E1681B"/>
    <w:rsid w:val="00E16B63"/>
    <w:rsid w:val="00E16C92"/>
    <w:rsid w:val="00E1780F"/>
    <w:rsid w:val="00E202DF"/>
    <w:rsid w:val="00E258EA"/>
    <w:rsid w:val="00E25F1B"/>
    <w:rsid w:val="00E2676C"/>
    <w:rsid w:val="00E306E8"/>
    <w:rsid w:val="00E31353"/>
    <w:rsid w:val="00E325FB"/>
    <w:rsid w:val="00E33F65"/>
    <w:rsid w:val="00E342D3"/>
    <w:rsid w:val="00E347D7"/>
    <w:rsid w:val="00E34B53"/>
    <w:rsid w:val="00E352FB"/>
    <w:rsid w:val="00E35AFD"/>
    <w:rsid w:val="00E35CE6"/>
    <w:rsid w:val="00E36722"/>
    <w:rsid w:val="00E36A19"/>
    <w:rsid w:val="00E36A78"/>
    <w:rsid w:val="00E37DFF"/>
    <w:rsid w:val="00E4059F"/>
    <w:rsid w:val="00E409F3"/>
    <w:rsid w:val="00E41618"/>
    <w:rsid w:val="00E425FA"/>
    <w:rsid w:val="00E44B4D"/>
    <w:rsid w:val="00E466AF"/>
    <w:rsid w:val="00E500FA"/>
    <w:rsid w:val="00E50609"/>
    <w:rsid w:val="00E50DE8"/>
    <w:rsid w:val="00E51676"/>
    <w:rsid w:val="00E52A6E"/>
    <w:rsid w:val="00E535BD"/>
    <w:rsid w:val="00E5409F"/>
    <w:rsid w:val="00E5449C"/>
    <w:rsid w:val="00E6100A"/>
    <w:rsid w:val="00E622C4"/>
    <w:rsid w:val="00E638C3"/>
    <w:rsid w:val="00E63C9F"/>
    <w:rsid w:val="00E65359"/>
    <w:rsid w:val="00E66B62"/>
    <w:rsid w:val="00E67890"/>
    <w:rsid w:val="00E7009E"/>
    <w:rsid w:val="00E7087B"/>
    <w:rsid w:val="00E70E1C"/>
    <w:rsid w:val="00E711DB"/>
    <w:rsid w:val="00E7143B"/>
    <w:rsid w:val="00E723DB"/>
    <w:rsid w:val="00E72940"/>
    <w:rsid w:val="00E72D31"/>
    <w:rsid w:val="00E72E88"/>
    <w:rsid w:val="00E73A5D"/>
    <w:rsid w:val="00E76780"/>
    <w:rsid w:val="00E76F40"/>
    <w:rsid w:val="00E80304"/>
    <w:rsid w:val="00E80888"/>
    <w:rsid w:val="00E81752"/>
    <w:rsid w:val="00E81854"/>
    <w:rsid w:val="00E82B1D"/>
    <w:rsid w:val="00E85CEC"/>
    <w:rsid w:val="00E8754A"/>
    <w:rsid w:val="00E877A0"/>
    <w:rsid w:val="00E90571"/>
    <w:rsid w:val="00E905EC"/>
    <w:rsid w:val="00E90845"/>
    <w:rsid w:val="00E91B99"/>
    <w:rsid w:val="00E93945"/>
    <w:rsid w:val="00E93C97"/>
    <w:rsid w:val="00E94EA6"/>
    <w:rsid w:val="00E9519A"/>
    <w:rsid w:val="00E95DBE"/>
    <w:rsid w:val="00E9643A"/>
    <w:rsid w:val="00E965A7"/>
    <w:rsid w:val="00E97070"/>
    <w:rsid w:val="00EA2CBD"/>
    <w:rsid w:val="00EA3443"/>
    <w:rsid w:val="00EA3D04"/>
    <w:rsid w:val="00EA4A1C"/>
    <w:rsid w:val="00EA4EEA"/>
    <w:rsid w:val="00EA6200"/>
    <w:rsid w:val="00EB06A3"/>
    <w:rsid w:val="00EB106C"/>
    <w:rsid w:val="00EB1A1D"/>
    <w:rsid w:val="00EB1A62"/>
    <w:rsid w:val="00EB3101"/>
    <w:rsid w:val="00EB4CC0"/>
    <w:rsid w:val="00EB4CD2"/>
    <w:rsid w:val="00EC05B4"/>
    <w:rsid w:val="00EC0903"/>
    <w:rsid w:val="00EC0E23"/>
    <w:rsid w:val="00EC277A"/>
    <w:rsid w:val="00EC2AF4"/>
    <w:rsid w:val="00EC35FD"/>
    <w:rsid w:val="00EC4437"/>
    <w:rsid w:val="00EC5CF1"/>
    <w:rsid w:val="00EC61A0"/>
    <w:rsid w:val="00EC72F9"/>
    <w:rsid w:val="00EC7F56"/>
    <w:rsid w:val="00ED0EE3"/>
    <w:rsid w:val="00ED22E3"/>
    <w:rsid w:val="00ED3583"/>
    <w:rsid w:val="00ED5B91"/>
    <w:rsid w:val="00ED7111"/>
    <w:rsid w:val="00EE11F2"/>
    <w:rsid w:val="00EE293F"/>
    <w:rsid w:val="00EE3AAD"/>
    <w:rsid w:val="00EE3ED3"/>
    <w:rsid w:val="00EE4BD6"/>
    <w:rsid w:val="00EE5436"/>
    <w:rsid w:val="00EE6488"/>
    <w:rsid w:val="00EE77BF"/>
    <w:rsid w:val="00EE7B4C"/>
    <w:rsid w:val="00EF0E34"/>
    <w:rsid w:val="00EF12E3"/>
    <w:rsid w:val="00EF162C"/>
    <w:rsid w:val="00EF1B86"/>
    <w:rsid w:val="00EF1FA8"/>
    <w:rsid w:val="00EF2406"/>
    <w:rsid w:val="00EF4C8A"/>
    <w:rsid w:val="00EF5532"/>
    <w:rsid w:val="00EF5EBC"/>
    <w:rsid w:val="00EF7524"/>
    <w:rsid w:val="00F0006D"/>
    <w:rsid w:val="00F000AF"/>
    <w:rsid w:val="00F021FA"/>
    <w:rsid w:val="00F0461E"/>
    <w:rsid w:val="00F05552"/>
    <w:rsid w:val="00F06937"/>
    <w:rsid w:val="00F071EE"/>
    <w:rsid w:val="00F0735B"/>
    <w:rsid w:val="00F112BA"/>
    <w:rsid w:val="00F138B3"/>
    <w:rsid w:val="00F147C3"/>
    <w:rsid w:val="00F14EF6"/>
    <w:rsid w:val="00F163BC"/>
    <w:rsid w:val="00F17F3D"/>
    <w:rsid w:val="00F20FFA"/>
    <w:rsid w:val="00F224C2"/>
    <w:rsid w:val="00F22D12"/>
    <w:rsid w:val="00F23911"/>
    <w:rsid w:val="00F24252"/>
    <w:rsid w:val="00F24D01"/>
    <w:rsid w:val="00F25175"/>
    <w:rsid w:val="00F263E1"/>
    <w:rsid w:val="00F26736"/>
    <w:rsid w:val="00F2738D"/>
    <w:rsid w:val="00F27DC9"/>
    <w:rsid w:val="00F30457"/>
    <w:rsid w:val="00F30BFD"/>
    <w:rsid w:val="00F314FA"/>
    <w:rsid w:val="00F33EE5"/>
    <w:rsid w:val="00F347DA"/>
    <w:rsid w:val="00F40AB5"/>
    <w:rsid w:val="00F41141"/>
    <w:rsid w:val="00F4156A"/>
    <w:rsid w:val="00F433BC"/>
    <w:rsid w:val="00F438DB"/>
    <w:rsid w:val="00F44106"/>
    <w:rsid w:val="00F45367"/>
    <w:rsid w:val="00F458BE"/>
    <w:rsid w:val="00F46114"/>
    <w:rsid w:val="00F47258"/>
    <w:rsid w:val="00F50495"/>
    <w:rsid w:val="00F50FA8"/>
    <w:rsid w:val="00F52135"/>
    <w:rsid w:val="00F55722"/>
    <w:rsid w:val="00F559C3"/>
    <w:rsid w:val="00F56826"/>
    <w:rsid w:val="00F5754D"/>
    <w:rsid w:val="00F57CEB"/>
    <w:rsid w:val="00F57EBD"/>
    <w:rsid w:val="00F60F0D"/>
    <w:rsid w:val="00F626DB"/>
    <w:rsid w:val="00F6271A"/>
    <w:rsid w:val="00F62E97"/>
    <w:rsid w:val="00F63EEB"/>
    <w:rsid w:val="00F64040"/>
    <w:rsid w:val="00F64209"/>
    <w:rsid w:val="00F6558C"/>
    <w:rsid w:val="00F665D0"/>
    <w:rsid w:val="00F6715D"/>
    <w:rsid w:val="00F67372"/>
    <w:rsid w:val="00F67A9A"/>
    <w:rsid w:val="00F703FC"/>
    <w:rsid w:val="00F72CF0"/>
    <w:rsid w:val="00F75B50"/>
    <w:rsid w:val="00F7640B"/>
    <w:rsid w:val="00F76C60"/>
    <w:rsid w:val="00F77387"/>
    <w:rsid w:val="00F7760E"/>
    <w:rsid w:val="00F80ACE"/>
    <w:rsid w:val="00F81172"/>
    <w:rsid w:val="00F816DC"/>
    <w:rsid w:val="00F818F6"/>
    <w:rsid w:val="00F82CF3"/>
    <w:rsid w:val="00F835DC"/>
    <w:rsid w:val="00F84AE4"/>
    <w:rsid w:val="00F855C2"/>
    <w:rsid w:val="00F91138"/>
    <w:rsid w:val="00F92033"/>
    <w:rsid w:val="00F9215A"/>
    <w:rsid w:val="00F92A23"/>
    <w:rsid w:val="00F92ACB"/>
    <w:rsid w:val="00F93BF5"/>
    <w:rsid w:val="00F94F89"/>
    <w:rsid w:val="00F951FC"/>
    <w:rsid w:val="00F952B2"/>
    <w:rsid w:val="00F9729E"/>
    <w:rsid w:val="00FA0FB3"/>
    <w:rsid w:val="00FA1264"/>
    <w:rsid w:val="00FA22D8"/>
    <w:rsid w:val="00FA41CB"/>
    <w:rsid w:val="00FA4A76"/>
    <w:rsid w:val="00FA5C0C"/>
    <w:rsid w:val="00FA6C4E"/>
    <w:rsid w:val="00FA6FD3"/>
    <w:rsid w:val="00FA7EEE"/>
    <w:rsid w:val="00FB04C7"/>
    <w:rsid w:val="00FB21F9"/>
    <w:rsid w:val="00FB4DE0"/>
    <w:rsid w:val="00FB4E6C"/>
    <w:rsid w:val="00FB6698"/>
    <w:rsid w:val="00FB6C80"/>
    <w:rsid w:val="00FC11E3"/>
    <w:rsid w:val="00FC2459"/>
    <w:rsid w:val="00FC2656"/>
    <w:rsid w:val="00FC3C2D"/>
    <w:rsid w:val="00FC3E29"/>
    <w:rsid w:val="00FC654E"/>
    <w:rsid w:val="00FC69DF"/>
    <w:rsid w:val="00FC73EA"/>
    <w:rsid w:val="00FC7D55"/>
    <w:rsid w:val="00FD1057"/>
    <w:rsid w:val="00FD5257"/>
    <w:rsid w:val="00FD683F"/>
    <w:rsid w:val="00FD68AC"/>
    <w:rsid w:val="00FD6F59"/>
    <w:rsid w:val="00FD7C6E"/>
    <w:rsid w:val="00FE1136"/>
    <w:rsid w:val="00FE1809"/>
    <w:rsid w:val="00FE19B7"/>
    <w:rsid w:val="00FE2C04"/>
    <w:rsid w:val="00FE2D2C"/>
    <w:rsid w:val="00FE2FCD"/>
    <w:rsid w:val="00FE3EF5"/>
    <w:rsid w:val="00FE5763"/>
    <w:rsid w:val="00FE6479"/>
    <w:rsid w:val="00FE7175"/>
    <w:rsid w:val="00FF1D72"/>
    <w:rsid w:val="00FF2C83"/>
    <w:rsid w:val="00FF324E"/>
    <w:rsid w:val="00FF342B"/>
    <w:rsid w:val="00FF4E5C"/>
    <w:rsid w:val="00FF5BF9"/>
    <w:rsid w:val="00FF62FF"/>
    <w:rsid w:val="00FF654D"/>
    <w:rsid w:val="00FF6CE6"/>
    <w:rsid w:val="00FF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9F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D4"/>
    <w:pPr>
      <w:widowControl w:val="0"/>
    </w:pPr>
    <w:rPr>
      <w:snapToGrid w:val="0"/>
      <w:kern w:val="28"/>
      <w:sz w:val="22"/>
    </w:rPr>
  </w:style>
  <w:style w:type="paragraph" w:styleId="Heading1">
    <w:name w:val="heading 1"/>
    <w:basedOn w:val="Normal"/>
    <w:next w:val="ParaNum"/>
    <w:link w:val="Heading1Char"/>
    <w:qFormat/>
    <w:rsid w:val="003E3CD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E3CD4"/>
    <w:pPr>
      <w:keepNext/>
      <w:numPr>
        <w:ilvl w:val="1"/>
        <w:numId w:val="2"/>
      </w:numPr>
      <w:spacing w:after="120"/>
      <w:outlineLvl w:val="1"/>
    </w:pPr>
    <w:rPr>
      <w:b/>
    </w:rPr>
  </w:style>
  <w:style w:type="paragraph" w:styleId="Heading3">
    <w:name w:val="heading 3"/>
    <w:basedOn w:val="Normal"/>
    <w:next w:val="ParaNum"/>
    <w:qFormat/>
    <w:rsid w:val="003E3CD4"/>
    <w:pPr>
      <w:keepNext/>
      <w:numPr>
        <w:ilvl w:val="2"/>
        <w:numId w:val="2"/>
      </w:numPr>
      <w:tabs>
        <w:tab w:val="left" w:pos="2160"/>
      </w:tabs>
      <w:spacing w:after="120"/>
      <w:outlineLvl w:val="2"/>
    </w:pPr>
    <w:rPr>
      <w:b/>
    </w:rPr>
  </w:style>
  <w:style w:type="paragraph" w:styleId="Heading4">
    <w:name w:val="heading 4"/>
    <w:basedOn w:val="Normal"/>
    <w:next w:val="ParaNum"/>
    <w:qFormat/>
    <w:rsid w:val="003E3CD4"/>
    <w:pPr>
      <w:keepNext/>
      <w:numPr>
        <w:ilvl w:val="3"/>
        <w:numId w:val="2"/>
      </w:numPr>
      <w:tabs>
        <w:tab w:val="left" w:pos="2880"/>
      </w:tabs>
      <w:spacing w:after="120"/>
      <w:outlineLvl w:val="3"/>
    </w:pPr>
    <w:rPr>
      <w:b/>
    </w:rPr>
  </w:style>
  <w:style w:type="paragraph" w:styleId="Heading5">
    <w:name w:val="heading 5"/>
    <w:basedOn w:val="Normal"/>
    <w:next w:val="ParaNum"/>
    <w:qFormat/>
    <w:rsid w:val="003E3CD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3E3CD4"/>
    <w:pPr>
      <w:numPr>
        <w:ilvl w:val="5"/>
        <w:numId w:val="2"/>
      </w:numPr>
      <w:tabs>
        <w:tab w:val="left" w:pos="4320"/>
      </w:tabs>
      <w:spacing w:after="120"/>
      <w:outlineLvl w:val="5"/>
    </w:pPr>
    <w:rPr>
      <w:b/>
    </w:rPr>
  </w:style>
  <w:style w:type="paragraph" w:styleId="Heading7">
    <w:name w:val="heading 7"/>
    <w:basedOn w:val="Normal"/>
    <w:next w:val="ParaNum"/>
    <w:qFormat/>
    <w:rsid w:val="003E3CD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E3CD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E3CD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E3C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CD4"/>
  </w:style>
  <w:style w:type="paragraph" w:customStyle="1" w:styleId="ParaNum">
    <w:name w:val="ParaNum"/>
    <w:basedOn w:val="Normal"/>
    <w:link w:val="ParaNumChar"/>
    <w:rsid w:val="003E3CD4"/>
    <w:pPr>
      <w:numPr>
        <w:numId w:val="1"/>
      </w:numPr>
      <w:tabs>
        <w:tab w:val="clear" w:pos="1080"/>
        <w:tab w:val="num" w:pos="1440"/>
      </w:tabs>
      <w:spacing w:after="120"/>
    </w:pPr>
  </w:style>
  <w:style w:type="paragraph" w:styleId="EndnoteText">
    <w:name w:val="endnote text"/>
    <w:basedOn w:val="Normal"/>
    <w:semiHidden/>
    <w:rsid w:val="003E3CD4"/>
    <w:rPr>
      <w:sz w:val="20"/>
    </w:rPr>
  </w:style>
  <w:style w:type="character" w:styleId="EndnoteReference">
    <w:name w:val="endnote reference"/>
    <w:semiHidden/>
    <w:rsid w:val="003E3CD4"/>
    <w:rPr>
      <w:vertAlign w:val="superscript"/>
    </w:r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2,ALTS FOOTNOTE Char"/>
    <w:link w:val="FootnoteTextChar"/>
    <w:rsid w:val="003E3CD4"/>
    <w:pPr>
      <w:spacing w:after="120"/>
    </w:pPr>
  </w:style>
  <w:style w:type="character" w:styleId="FootnoteReference">
    <w:name w:val="footnote reference"/>
    <w:aliases w:val="Style 12,(NECG) Footnote Reference,Appel note de bas de p,Style 124,Style 4,fr,o,Style 13,Style 3,Footnote Reference1,FR,Style 17,Style 6,Footnote Reference/,Style 7,Style 34,Style 9"/>
    <w:rsid w:val="003E3CD4"/>
    <w:rPr>
      <w:rFonts w:ascii="Times New Roman" w:hAnsi="Times New Roman"/>
      <w:dstrike w:val="0"/>
      <w:color w:val="auto"/>
      <w:sz w:val="20"/>
      <w:vertAlign w:val="superscript"/>
    </w:rPr>
  </w:style>
  <w:style w:type="paragraph" w:styleId="TOC1">
    <w:name w:val="toc 1"/>
    <w:basedOn w:val="Normal"/>
    <w:next w:val="Normal"/>
    <w:semiHidden/>
    <w:rsid w:val="003E3CD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E3CD4"/>
    <w:pPr>
      <w:tabs>
        <w:tab w:val="left" w:pos="720"/>
        <w:tab w:val="right" w:leader="dot" w:pos="9360"/>
      </w:tabs>
      <w:suppressAutoHyphens/>
      <w:ind w:left="720" w:right="720" w:hanging="360"/>
    </w:pPr>
    <w:rPr>
      <w:noProof/>
    </w:rPr>
  </w:style>
  <w:style w:type="paragraph" w:styleId="TOC3">
    <w:name w:val="toc 3"/>
    <w:basedOn w:val="Normal"/>
    <w:next w:val="Normal"/>
    <w:semiHidden/>
    <w:rsid w:val="003E3CD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E3C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E3C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E3C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E3C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E3C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E3C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E3CD4"/>
    <w:pPr>
      <w:tabs>
        <w:tab w:val="right" w:pos="9360"/>
      </w:tabs>
      <w:suppressAutoHyphens/>
    </w:pPr>
  </w:style>
  <w:style w:type="character" w:customStyle="1" w:styleId="EquationCaption">
    <w:name w:val="_Equation Caption"/>
    <w:rsid w:val="003E3CD4"/>
  </w:style>
  <w:style w:type="paragraph" w:styleId="Header">
    <w:name w:val="header"/>
    <w:basedOn w:val="Normal"/>
    <w:link w:val="HeaderChar"/>
    <w:autoRedefine/>
    <w:rsid w:val="003E3CD4"/>
    <w:pPr>
      <w:tabs>
        <w:tab w:val="center" w:pos="4680"/>
        <w:tab w:val="right" w:pos="9360"/>
      </w:tabs>
    </w:pPr>
    <w:rPr>
      <w:b/>
    </w:rPr>
  </w:style>
  <w:style w:type="paragraph" w:styleId="Footer">
    <w:name w:val="footer"/>
    <w:basedOn w:val="Normal"/>
    <w:rsid w:val="003E3CD4"/>
    <w:pPr>
      <w:tabs>
        <w:tab w:val="center" w:pos="4320"/>
        <w:tab w:val="right" w:pos="8640"/>
      </w:tabs>
    </w:pPr>
  </w:style>
  <w:style w:type="character" w:styleId="PageNumber">
    <w:name w:val="page number"/>
    <w:basedOn w:val="DefaultParagraphFont"/>
    <w:rsid w:val="003E3CD4"/>
  </w:style>
  <w:style w:type="paragraph" w:styleId="BlockText">
    <w:name w:val="Block Text"/>
    <w:basedOn w:val="Normal"/>
    <w:rsid w:val="003E3CD4"/>
    <w:pPr>
      <w:spacing w:after="240"/>
      <w:ind w:left="1440" w:right="1440"/>
    </w:pPr>
  </w:style>
  <w:style w:type="paragraph" w:customStyle="1" w:styleId="Paratitle">
    <w:name w:val="Para title"/>
    <w:basedOn w:val="Normal"/>
    <w:rsid w:val="003E3CD4"/>
    <w:pPr>
      <w:tabs>
        <w:tab w:val="center" w:pos="9270"/>
      </w:tabs>
      <w:spacing w:after="240"/>
    </w:pPr>
    <w:rPr>
      <w:spacing w:val="-2"/>
    </w:rPr>
  </w:style>
  <w:style w:type="paragraph" w:customStyle="1" w:styleId="Bullet">
    <w:name w:val="Bullet"/>
    <w:basedOn w:val="Normal"/>
    <w:rsid w:val="003E3CD4"/>
    <w:pPr>
      <w:tabs>
        <w:tab w:val="left" w:pos="2160"/>
      </w:tabs>
      <w:spacing w:after="220"/>
      <w:ind w:left="2160" w:hanging="720"/>
    </w:pPr>
  </w:style>
  <w:style w:type="paragraph" w:customStyle="1" w:styleId="TableFormat">
    <w:name w:val="TableFormat"/>
    <w:basedOn w:val="Bullet"/>
    <w:rsid w:val="003E3CD4"/>
    <w:pPr>
      <w:tabs>
        <w:tab w:val="clear" w:pos="2160"/>
        <w:tab w:val="left" w:pos="5040"/>
      </w:tabs>
      <w:ind w:left="5040" w:hanging="3600"/>
    </w:pPr>
  </w:style>
  <w:style w:type="paragraph" w:customStyle="1" w:styleId="TOCTitle">
    <w:name w:val="TOC Title"/>
    <w:basedOn w:val="Normal"/>
    <w:rsid w:val="003E3C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E3CD4"/>
    <w:pPr>
      <w:jc w:val="center"/>
    </w:pPr>
    <w:rPr>
      <w:rFonts w:ascii="Times New Roman Bold" w:hAnsi="Times New Roman Bold"/>
      <w:b/>
      <w:bCs/>
      <w:caps/>
      <w:szCs w:val="22"/>
    </w:rPr>
  </w:style>
  <w:style w:type="character" w:styleId="Hyperlink">
    <w:name w:val="Hyperlink"/>
    <w:rsid w:val="003E3CD4"/>
    <w:rPr>
      <w:color w:val="0000FF"/>
      <w:u w:val="single"/>
    </w:rPr>
  </w:style>
  <w:style w:type="paragraph" w:styleId="BalloonText">
    <w:name w:val="Balloon Text"/>
    <w:basedOn w:val="Normal"/>
    <w:link w:val="BalloonTextChar"/>
    <w:rsid w:val="00F263E1"/>
    <w:rPr>
      <w:rFonts w:ascii="Tahoma" w:hAnsi="Tahoma" w:cs="Tahoma"/>
      <w:snapToGrid/>
      <w:sz w:val="16"/>
      <w:szCs w:val="16"/>
    </w:rPr>
  </w:style>
  <w:style w:type="character" w:customStyle="1" w:styleId="BalloonTextChar">
    <w:name w:val="Balloon Text Char"/>
    <w:basedOn w:val="DefaultParagraphFont"/>
    <w:link w:val="BalloonText"/>
    <w:rsid w:val="00F263E1"/>
    <w:rPr>
      <w:rFonts w:ascii="Tahoma" w:hAnsi="Tahoma" w:cs="Tahoma"/>
      <w:snapToGrid w:val="0"/>
      <w:kern w:val="28"/>
      <w:sz w:val="16"/>
      <w:szCs w:val="16"/>
    </w:rPr>
  </w:style>
  <w:style w:type="character" w:customStyle="1" w:styleId="FootnoteTextChar">
    <w:name w:val="Footnote Text Char"/>
    <w:aliases w:val="rrfootnote Char1,rrfootnote Char Char,Footnote Text Char1 Char Char,Footnote Text Char Char Char Char,Footnote Text Char2 Char Char Char Char,Footnote Text Char1 Char2 Char Char Char Char,Footnote Text Char2 Char"/>
    <w:basedOn w:val="DefaultParagraphFont"/>
    <w:link w:val="FootnoteText"/>
    <w:rsid w:val="009F639D"/>
  </w:style>
  <w:style w:type="character" w:customStyle="1" w:styleId="FootnoteTextChar1">
    <w:name w:val="Footnote Text Char1"/>
    <w:aliases w:val="rrfootnote Char2,Footnote Text Char Char1,rrfootnote Char Char1,Footnote Text Char1 Char Char2,Footnote Text Char Char Char Char1,Footnote Text Char2 Char Char Char Char1,Footnote Text Char1 Char2 Char Char Char Char1"/>
    <w:rsid w:val="00C83A89"/>
  </w:style>
  <w:style w:type="paragraph" w:customStyle="1" w:styleId="par1">
    <w:name w:val="par1"/>
    <w:basedOn w:val="Normal"/>
    <w:link w:val="par1Char"/>
    <w:uiPriority w:val="99"/>
    <w:rsid w:val="000344A5"/>
    <w:pPr>
      <w:numPr>
        <w:numId w:val="3"/>
      </w:numPr>
    </w:pPr>
  </w:style>
  <w:style w:type="character" w:customStyle="1" w:styleId="par1Char">
    <w:name w:val="par1 Char"/>
    <w:link w:val="par1"/>
    <w:uiPriority w:val="99"/>
    <w:locked/>
    <w:rsid w:val="000344A5"/>
    <w:rPr>
      <w:snapToGrid w:val="0"/>
      <w:kern w:val="28"/>
      <w:sz w:val="22"/>
    </w:rPr>
  </w:style>
  <w:style w:type="character" w:customStyle="1" w:styleId="Heading2Char">
    <w:name w:val="Heading 2 Char"/>
    <w:basedOn w:val="DefaultParagraphFont"/>
    <w:link w:val="Heading2"/>
    <w:rsid w:val="007C2263"/>
    <w:rPr>
      <w:b/>
      <w:snapToGrid w:val="0"/>
      <w:kern w:val="28"/>
      <w:sz w:val="22"/>
    </w:rPr>
  </w:style>
  <w:style w:type="character" w:customStyle="1" w:styleId="searchterm">
    <w:name w:val="searchterm"/>
    <w:rsid w:val="006C789B"/>
  </w:style>
  <w:style w:type="character" w:customStyle="1" w:styleId="ParaNumChar">
    <w:name w:val="ParaNum Char"/>
    <w:link w:val="ParaNum"/>
    <w:locked/>
    <w:rsid w:val="009B457B"/>
    <w:rPr>
      <w:snapToGrid w:val="0"/>
      <w:kern w:val="28"/>
      <w:sz w:val="22"/>
    </w:rPr>
  </w:style>
  <w:style w:type="character" w:styleId="CommentReference">
    <w:name w:val="annotation reference"/>
    <w:basedOn w:val="DefaultParagraphFont"/>
    <w:uiPriority w:val="99"/>
    <w:unhideWhenUsed/>
    <w:rsid w:val="0023545E"/>
    <w:rPr>
      <w:sz w:val="16"/>
      <w:szCs w:val="16"/>
    </w:rPr>
  </w:style>
  <w:style w:type="paragraph" w:styleId="CommentText">
    <w:name w:val="annotation text"/>
    <w:basedOn w:val="Normal"/>
    <w:link w:val="CommentTextChar"/>
    <w:uiPriority w:val="99"/>
    <w:unhideWhenUsed/>
    <w:rsid w:val="0023545E"/>
    <w:rPr>
      <w:rFonts w:eastAsiaTheme="minorEastAsia"/>
      <w:sz w:val="20"/>
    </w:rPr>
  </w:style>
  <w:style w:type="character" w:customStyle="1" w:styleId="CommentTextChar">
    <w:name w:val="Comment Text Char"/>
    <w:basedOn w:val="DefaultParagraphFont"/>
    <w:link w:val="CommentText"/>
    <w:uiPriority w:val="99"/>
    <w:rsid w:val="0023545E"/>
    <w:rPr>
      <w:rFonts w:asciiTheme="minorHAnsi" w:eastAsiaTheme="minorEastAsia" w:hAnsiTheme="minorHAnsi" w:cstheme="minorBidi"/>
    </w:rPr>
  </w:style>
  <w:style w:type="paragraph" w:styleId="CommentSubject">
    <w:name w:val="annotation subject"/>
    <w:basedOn w:val="CommentText"/>
    <w:next w:val="CommentText"/>
    <w:link w:val="CommentSubjectChar"/>
    <w:rsid w:val="00487D73"/>
    <w:rPr>
      <w:rFonts w:eastAsia="Times New Roman"/>
      <w:b/>
      <w:bCs/>
      <w:snapToGrid/>
    </w:rPr>
  </w:style>
  <w:style w:type="character" w:customStyle="1" w:styleId="CommentSubjectChar">
    <w:name w:val="Comment Subject Char"/>
    <w:basedOn w:val="CommentTextChar"/>
    <w:link w:val="CommentSubject"/>
    <w:rsid w:val="00487D73"/>
    <w:rPr>
      <w:rFonts w:asciiTheme="minorHAnsi" w:eastAsiaTheme="minorEastAsia" w:hAnsiTheme="minorHAnsi" w:cstheme="minorBidi"/>
      <w:b/>
      <w:bCs/>
      <w:snapToGrid w:val="0"/>
      <w:kern w:val="28"/>
    </w:rPr>
  </w:style>
  <w:style w:type="character" w:customStyle="1" w:styleId="ParaNumChar1">
    <w:name w:val="ParaNum Char1"/>
    <w:locked/>
    <w:rsid w:val="00010736"/>
    <w:rPr>
      <w:snapToGrid w:val="0"/>
      <w:kern w:val="28"/>
      <w:sz w:val="22"/>
    </w:rPr>
  </w:style>
  <w:style w:type="character" w:customStyle="1" w:styleId="Heading1Char">
    <w:name w:val="Heading 1 Char"/>
    <w:basedOn w:val="DefaultParagraphFont"/>
    <w:link w:val="Heading1"/>
    <w:rsid w:val="0013527D"/>
    <w:rPr>
      <w:rFonts w:ascii="Times New Roman Bold" w:hAnsi="Times New Roman Bold"/>
      <w:b/>
      <w:caps/>
      <w:snapToGrid w:val="0"/>
      <w:kern w:val="28"/>
      <w:sz w:val="22"/>
    </w:rPr>
  </w:style>
  <w:style w:type="paragraph" w:customStyle="1" w:styleId="Bullet1">
    <w:name w:val="Bullet 1"/>
    <w:basedOn w:val="Normal"/>
    <w:rsid w:val="00010736"/>
    <w:pPr>
      <w:numPr>
        <w:numId w:val="4"/>
      </w:numPr>
      <w:spacing w:after="220"/>
      <w:ind w:right="720"/>
    </w:pPr>
    <w:rPr>
      <w:snapToGrid/>
    </w:rPr>
  </w:style>
  <w:style w:type="character" w:customStyle="1" w:styleId="bestsection">
    <w:name w:val="bestsection"/>
    <w:basedOn w:val="DefaultParagraphFont"/>
    <w:rsid w:val="008467C0"/>
  </w:style>
  <w:style w:type="paragraph" w:styleId="Revision">
    <w:name w:val="Revision"/>
    <w:hidden/>
    <w:uiPriority w:val="99"/>
    <w:semiHidden/>
    <w:rsid w:val="00E81854"/>
    <w:rPr>
      <w:snapToGrid w:val="0"/>
      <w:kern w:val="28"/>
      <w:sz w:val="22"/>
    </w:rPr>
  </w:style>
  <w:style w:type="paragraph" w:styleId="ListParagraph">
    <w:name w:val="List Paragraph"/>
    <w:basedOn w:val="Normal"/>
    <w:qFormat/>
    <w:rsid w:val="0020646C"/>
    <w:pPr>
      <w:widowControl/>
      <w:ind w:left="720"/>
    </w:pPr>
    <w:rPr>
      <w:snapToGrid/>
      <w:kern w:val="0"/>
      <w:sz w:val="20"/>
    </w:rPr>
  </w:style>
  <w:style w:type="character" w:customStyle="1" w:styleId="documentbody1">
    <w:name w:val="documentbody1"/>
    <w:basedOn w:val="DefaultParagraphFont"/>
    <w:rsid w:val="005726E1"/>
    <w:rPr>
      <w:rFonts w:ascii="Verdana" w:hAnsi="Verdana" w:hint="default"/>
      <w:sz w:val="19"/>
      <w:szCs w:val="19"/>
      <w:shd w:val="clear" w:color="auto" w:fill="FFFFFF"/>
    </w:rPr>
  </w:style>
  <w:style w:type="character" w:customStyle="1" w:styleId="HeaderChar">
    <w:name w:val="Header Char"/>
    <w:basedOn w:val="DefaultParagraphFont"/>
    <w:link w:val="Header"/>
    <w:rsid w:val="00FC69DF"/>
    <w:rPr>
      <w:b/>
      <w:snapToGrid w:val="0"/>
      <w:kern w:val="28"/>
      <w:sz w:val="22"/>
    </w:rPr>
  </w:style>
  <w:style w:type="character" w:styleId="Emphasis">
    <w:name w:val="Emphasis"/>
    <w:basedOn w:val="DefaultParagraphFont"/>
    <w:uiPriority w:val="20"/>
    <w:qFormat/>
    <w:rsid w:val="004C7C3A"/>
    <w:rPr>
      <w:b/>
      <w:bCs/>
      <w:i w:val="0"/>
      <w:iCs w:val="0"/>
    </w:rPr>
  </w:style>
  <w:style w:type="character" w:customStyle="1" w:styleId="st">
    <w:name w:val="st"/>
    <w:basedOn w:val="DefaultParagraphFont"/>
    <w:rsid w:val="004C7C3A"/>
  </w:style>
  <w:style w:type="paragraph" w:styleId="PlainText">
    <w:name w:val="Plain Text"/>
    <w:basedOn w:val="Normal"/>
    <w:link w:val="PlainTextChar"/>
    <w:rsid w:val="00704BC9"/>
    <w:rPr>
      <w:rFonts w:ascii="Consolas" w:hAnsi="Consolas" w:cs="Consolas"/>
      <w:sz w:val="21"/>
      <w:szCs w:val="21"/>
    </w:rPr>
  </w:style>
  <w:style w:type="character" w:customStyle="1" w:styleId="PlainTextChar">
    <w:name w:val="Plain Text Char"/>
    <w:basedOn w:val="DefaultParagraphFont"/>
    <w:link w:val="PlainText"/>
    <w:rsid w:val="00704BC9"/>
    <w:rPr>
      <w:rFonts w:ascii="Consolas" w:hAnsi="Consolas" w:cs="Consolas"/>
      <w:snapToGrid w:val="0"/>
      <w:kern w:val="28"/>
      <w:sz w:val="21"/>
      <w:szCs w:val="21"/>
    </w:rPr>
  </w:style>
  <w:style w:type="character" w:customStyle="1" w:styleId="apple-converted-space">
    <w:name w:val="apple-converted-space"/>
    <w:basedOn w:val="DefaultParagraphFont"/>
    <w:rsid w:val="007B2328"/>
  </w:style>
  <w:style w:type="character" w:customStyle="1" w:styleId="cosearchterm">
    <w:name w:val="co_searchterm"/>
    <w:basedOn w:val="DefaultParagraphFont"/>
    <w:rsid w:val="007B2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D4"/>
    <w:pPr>
      <w:widowControl w:val="0"/>
    </w:pPr>
    <w:rPr>
      <w:snapToGrid w:val="0"/>
      <w:kern w:val="28"/>
      <w:sz w:val="22"/>
    </w:rPr>
  </w:style>
  <w:style w:type="paragraph" w:styleId="Heading1">
    <w:name w:val="heading 1"/>
    <w:basedOn w:val="Normal"/>
    <w:next w:val="ParaNum"/>
    <w:link w:val="Heading1Char"/>
    <w:qFormat/>
    <w:rsid w:val="003E3CD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E3CD4"/>
    <w:pPr>
      <w:keepNext/>
      <w:numPr>
        <w:ilvl w:val="1"/>
        <w:numId w:val="2"/>
      </w:numPr>
      <w:spacing w:after="120"/>
      <w:outlineLvl w:val="1"/>
    </w:pPr>
    <w:rPr>
      <w:b/>
    </w:rPr>
  </w:style>
  <w:style w:type="paragraph" w:styleId="Heading3">
    <w:name w:val="heading 3"/>
    <w:basedOn w:val="Normal"/>
    <w:next w:val="ParaNum"/>
    <w:qFormat/>
    <w:rsid w:val="003E3CD4"/>
    <w:pPr>
      <w:keepNext/>
      <w:numPr>
        <w:ilvl w:val="2"/>
        <w:numId w:val="2"/>
      </w:numPr>
      <w:tabs>
        <w:tab w:val="left" w:pos="2160"/>
      </w:tabs>
      <w:spacing w:after="120"/>
      <w:outlineLvl w:val="2"/>
    </w:pPr>
    <w:rPr>
      <w:b/>
    </w:rPr>
  </w:style>
  <w:style w:type="paragraph" w:styleId="Heading4">
    <w:name w:val="heading 4"/>
    <w:basedOn w:val="Normal"/>
    <w:next w:val="ParaNum"/>
    <w:qFormat/>
    <w:rsid w:val="003E3CD4"/>
    <w:pPr>
      <w:keepNext/>
      <w:numPr>
        <w:ilvl w:val="3"/>
        <w:numId w:val="2"/>
      </w:numPr>
      <w:tabs>
        <w:tab w:val="left" w:pos="2880"/>
      </w:tabs>
      <w:spacing w:after="120"/>
      <w:outlineLvl w:val="3"/>
    </w:pPr>
    <w:rPr>
      <w:b/>
    </w:rPr>
  </w:style>
  <w:style w:type="paragraph" w:styleId="Heading5">
    <w:name w:val="heading 5"/>
    <w:basedOn w:val="Normal"/>
    <w:next w:val="ParaNum"/>
    <w:qFormat/>
    <w:rsid w:val="003E3CD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3E3CD4"/>
    <w:pPr>
      <w:numPr>
        <w:ilvl w:val="5"/>
        <w:numId w:val="2"/>
      </w:numPr>
      <w:tabs>
        <w:tab w:val="left" w:pos="4320"/>
      </w:tabs>
      <w:spacing w:after="120"/>
      <w:outlineLvl w:val="5"/>
    </w:pPr>
    <w:rPr>
      <w:b/>
    </w:rPr>
  </w:style>
  <w:style w:type="paragraph" w:styleId="Heading7">
    <w:name w:val="heading 7"/>
    <w:basedOn w:val="Normal"/>
    <w:next w:val="ParaNum"/>
    <w:qFormat/>
    <w:rsid w:val="003E3CD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E3CD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E3CD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E3C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CD4"/>
  </w:style>
  <w:style w:type="paragraph" w:customStyle="1" w:styleId="ParaNum">
    <w:name w:val="ParaNum"/>
    <w:basedOn w:val="Normal"/>
    <w:link w:val="ParaNumChar"/>
    <w:rsid w:val="003E3CD4"/>
    <w:pPr>
      <w:numPr>
        <w:numId w:val="1"/>
      </w:numPr>
      <w:tabs>
        <w:tab w:val="clear" w:pos="1080"/>
        <w:tab w:val="num" w:pos="1440"/>
      </w:tabs>
      <w:spacing w:after="120"/>
    </w:pPr>
  </w:style>
  <w:style w:type="paragraph" w:styleId="EndnoteText">
    <w:name w:val="endnote text"/>
    <w:basedOn w:val="Normal"/>
    <w:semiHidden/>
    <w:rsid w:val="003E3CD4"/>
    <w:rPr>
      <w:sz w:val="20"/>
    </w:rPr>
  </w:style>
  <w:style w:type="character" w:styleId="EndnoteReference">
    <w:name w:val="endnote reference"/>
    <w:semiHidden/>
    <w:rsid w:val="003E3CD4"/>
    <w:rPr>
      <w:vertAlign w:val="superscript"/>
    </w:r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2,ALTS FOOTNOTE Char"/>
    <w:link w:val="FootnoteTextChar"/>
    <w:rsid w:val="003E3CD4"/>
    <w:pPr>
      <w:spacing w:after="120"/>
    </w:pPr>
  </w:style>
  <w:style w:type="character" w:styleId="FootnoteReference">
    <w:name w:val="footnote reference"/>
    <w:aliases w:val="Style 12,(NECG) Footnote Reference,Appel note de bas de p,Style 124,Style 4,fr,o,Style 13,Style 3,Footnote Reference1,FR,Style 17,Style 6,Footnote Reference/,Style 7,Style 34,Style 9"/>
    <w:rsid w:val="003E3CD4"/>
    <w:rPr>
      <w:rFonts w:ascii="Times New Roman" w:hAnsi="Times New Roman"/>
      <w:dstrike w:val="0"/>
      <w:color w:val="auto"/>
      <w:sz w:val="20"/>
      <w:vertAlign w:val="superscript"/>
    </w:rPr>
  </w:style>
  <w:style w:type="paragraph" w:styleId="TOC1">
    <w:name w:val="toc 1"/>
    <w:basedOn w:val="Normal"/>
    <w:next w:val="Normal"/>
    <w:semiHidden/>
    <w:rsid w:val="003E3CD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E3CD4"/>
    <w:pPr>
      <w:tabs>
        <w:tab w:val="left" w:pos="720"/>
        <w:tab w:val="right" w:leader="dot" w:pos="9360"/>
      </w:tabs>
      <w:suppressAutoHyphens/>
      <w:ind w:left="720" w:right="720" w:hanging="360"/>
    </w:pPr>
    <w:rPr>
      <w:noProof/>
    </w:rPr>
  </w:style>
  <w:style w:type="paragraph" w:styleId="TOC3">
    <w:name w:val="toc 3"/>
    <w:basedOn w:val="Normal"/>
    <w:next w:val="Normal"/>
    <w:semiHidden/>
    <w:rsid w:val="003E3CD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E3C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E3C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E3C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E3C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E3C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E3C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E3CD4"/>
    <w:pPr>
      <w:tabs>
        <w:tab w:val="right" w:pos="9360"/>
      </w:tabs>
      <w:suppressAutoHyphens/>
    </w:pPr>
  </w:style>
  <w:style w:type="character" w:customStyle="1" w:styleId="EquationCaption">
    <w:name w:val="_Equation Caption"/>
    <w:rsid w:val="003E3CD4"/>
  </w:style>
  <w:style w:type="paragraph" w:styleId="Header">
    <w:name w:val="header"/>
    <w:basedOn w:val="Normal"/>
    <w:link w:val="HeaderChar"/>
    <w:autoRedefine/>
    <w:rsid w:val="003E3CD4"/>
    <w:pPr>
      <w:tabs>
        <w:tab w:val="center" w:pos="4680"/>
        <w:tab w:val="right" w:pos="9360"/>
      </w:tabs>
    </w:pPr>
    <w:rPr>
      <w:b/>
    </w:rPr>
  </w:style>
  <w:style w:type="paragraph" w:styleId="Footer">
    <w:name w:val="footer"/>
    <w:basedOn w:val="Normal"/>
    <w:rsid w:val="003E3CD4"/>
    <w:pPr>
      <w:tabs>
        <w:tab w:val="center" w:pos="4320"/>
        <w:tab w:val="right" w:pos="8640"/>
      </w:tabs>
    </w:pPr>
  </w:style>
  <w:style w:type="character" w:styleId="PageNumber">
    <w:name w:val="page number"/>
    <w:basedOn w:val="DefaultParagraphFont"/>
    <w:rsid w:val="003E3CD4"/>
  </w:style>
  <w:style w:type="paragraph" w:styleId="BlockText">
    <w:name w:val="Block Text"/>
    <w:basedOn w:val="Normal"/>
    <w:rsid w:val="003E3CD4"/>
    <w:pPr>
      <w:spacing w:after="240"/>
      <w:ind w:left="1440" w:right="1440"/>
    </w:pPr>
  </w:style>
  <w:style w:type="paragraph" w:customStyle="1" w:styleId="Paratitle">
    <w:name w:val="Para title"/>
    <w:basedOn w:val="Normal"/>
    <w:rsid w:val="003E3CD4"/>
    <w:pPr>
      <w:tabs>
        <w:tab w:val="center" w:pos="9270"/>
      </w:tabs>
      <w:spacing w:after="240"/>
    </w:pPr>
    <w:rPr>
      <w:spacing w:val="-2"/>
    </w:rPr>
  </w:style>
  <w:style w:type="paragraph" w:customStyle="1" w:styleId="Bullet">
    <w:name w:val="Bullet"/>
    <w:basedOn w:val="Normal"/>
    <w:rsid w:val="003E3CD4"/>
    <w:pPr>
      <w:tabs>
        <w:tab w:val="left" w:pos="2160"/>
      </w:tabs>
      <w:spacing w:after="220"/>
      <w:ind w:left="2160" w:hanging="720"/>
    </w:pPr>
  </w:style>
  <w:style w:type="paragraph" w:customStyle="1" w:styleId="TableFormat">
    <w:name w:val="TableFormat"/>
    <w:basedOn w:val="Bullet"/>
    <w:rsid w:val="003E3CD4"/>
    <w:pPr>
      <w:tabs>
        <w:tab w:val="clear" w:pos="2160"/>
        <w:tab w:val="left" w:pos="5040"/>
      </w:tabs>
      <w:ind w:left="5040" w:hanging="3600"/>
    </w:pPr>
  </w:style>
  <w:style w:type="paragraph" w:customStyle="1" w:styleId="TOCTitle">
    <w:name w:val="TOC Title"/>
    <w:basedOn w:val="Normal"/>
    <w:rsid w:val="003E3C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E3CD4"/>
    <w:pPr>
      <w:jc w:val="center"/>
    </w:pPr>
    <w:rPr>
      <w:rFonts w:ascii="Times New Roman Bold" w:hAnsi="Times New Roman Bold"/>
      <w:b/>
      <w:bCs/>
      <w:caps/>
      <w:szCs w:val="22"/>
    </w:rPr>
  </w:style>
  <w:style w:type="character" w:styleId="Hyperlink">
    <w:name w:val="Hyperlink"/>
    <w:rsid w:val="003E3CD4"/>
    <w:rPr>
      <w:color w:val="0000FF"/>
      <w:u w:val="single"/>
    </w:rPr>
  </w:style>
  <w:style w:type="paragraph" w:styleId="BalloonText">
    <w:name w:val="Balloon Text"/>
    <w:basedOn w:val="Normal"/>
    <w:link w:val="BalloonTextChar"/>
    <w:rsid w:val="00F263E1"/>
    <w:rPr>
      <w:rFonts w:ascii="Tahoma" w:hAnsi="Tahoma" w:cs="Tahoma"/>
      <w:snapToGrid/>
      <w:sz w:val="16"/>
      <w:szCs w:val="16"/>
    </w:rPr>
  </w:style>
  <w:style w:type="character" w:customStyle="1" w:styleId="BalloonTextChar">
    <w:name w:val="Balloon Text Char"/>
    <w:basedOn w:val="DefaultParagraphFont"/>
    <w:link w:val="BalloonText"/>
    <w:rsid w:val="00F263E1"/>
    <w:rPr>
      <w:rFonts w:ascii="Tahoma" w:hAnsi="Tahoma" w:cs="Tahoma"/>
      <w:snapToGrid w:val="0"/>
      <w:kern w:val="28"/>
      <w:sz w:val="16"/>
      <w:szCs w:val="16"/>
    </w:rPr>
  </w:style>
  <w:style w:type="character" w:customStyle="1" w:styleId="FootnoteTextChar">
    <w:name w:val="Footnote Text Char"/>
    <w:aliases w:val="rrfootnote Char1,rrfootnote Char Char,Footnote Text Char1 Char Char,Footnote Text Char Char Char Char,Footnote Text Char2 Char Char Char Char,Footnote Text Char1 Char2 Char Char Char Char,Footnote Text Char2 Char"/>
    <w:basedOn w:val="DefaultParagraphFont"/>
    <w:link w:val="FootnoteText"/>
    <w:rsid w:val="009F639D"/>
  </w:style>
  <w:style w:type="character" w:customStyle="1" w:styleId="FootnoteTextChar1">
    <w:name w:val="Footnote Text Char1"/>
    <w:aliases w:val="rrfootnote Char2,Footnote Text Char Char1,rrfootnote Char Char1,Footnote Text Char1 Char Char2,Footnote Text Char Char Char Char1,Footnote Text Char2 Char Char Char Char1,Footnote Text Char1 Char2 Char Char Char Char1"/>
    <w:rsid w:val="00C83A89"/>
  </w:style>
  <w:style w:type="paragraph" w:customStyle="1" w:styleId="par1">
    <w:name w:val="par1"/>
    <w:basedOn w:val="Normal"/>
    <w:link w:val="par1Char"/>
    <w:uiPriority w:val="99"/>
    <w:rsid w:val="000344A5"/>
    <w:pPr>
      <w:numPr>
        <w:numId w:val="3"/>
      </w:numPr>
    </w:pPr>
  </w:style>
  <w:style w:type="character" w:customStyle="1" w:styleId="par1Char">
    <w:name w:val="par1 Char"/>
    <w:link w:val="par1"/>
    <w:uiPriority w:val="99"/>
    <w:locked/>
    <w:rsid w:val="000344A5"/>
    <w:rPr>
      <w:snapToGrid w:val="0"/>
      <w:kern w:val="28"/>
      <w:sz w:val="22"/>
    </w:rPr>
  </w:style>
  <w:style w:type="character" w:customStyle="1" w:styleId="Heading2Char">
    <w:name w:val="Heading 2 Char"/>
    <w:basedOn w:val="DefaultParagraphFont"/>
    <w:link w:val="Heading2"/>
    <w:rsid w:val="007C2263"/>
    <w:rPr>
      <w:b/>
      <w:snapToGrid w:val="0"/>
      <w:kern w:val="28"/>
      <w:sz w:val="22"/>
    </w:rPr>
  </w:style>
  <w:style w:type="character" w:customStyle="1" w:styleId="searchterm">
    <w:name w:val="searchterm"/>
    <w:rsid w:val="006C789B"/>
  </w:style>
  <w:style w:type="character" w:customStyle="1" w:styleId="ParaNumChar">
    <w:name w:val="ParaNum Char"/>
    <w:link w:val="ParaNum"/>
    <w:locked/>
    <w:rsid w:val="009B457B"/>
    <w:rPr>
      <w:snapToGrid w:val="0"/>
      <w:kern w:val="28"/>
      <w:sz w:val="22"/>
    </w:rPr>
  </w:style>
  <w:style w:type="character" w:styleId="CommentReference">
    <w:name w:val="annotation reference"/>
    <w:basedOn w:val="DefaultParagraphFont"/>
    <w:uiPriority w:val="99"/>
    <w:unhideWhenUsed/>
    <w:rsid w:val="0023545E"/>
    <w:rPr>
      <w:sz w:val="16"/>
      <w:szCs w:val="16"/>
    </w:rPr>
  </w:style>
  <w:style w:type="paragraph" w:styleId="CommentText">
    <w:name w:val="annotation text"/>
    <w:basedOn w:val="Normal"/>
    <w:link w:val="CommentTextChar"/>
    <w:uiPriority w:val="99"/>
    <w:unhideWhenUsed/>
    <w:rsid w:val="0023545E"/>
    <w:rPr>
      <w:rFonts w:eastAsiaTheme="minorEastAsia"/>
      <w:sz w:val="20"/>
    </w:rPr>
  </w:style>
  <w:style w:type="character" w:customStyle="1" w:styleId="CommentTextChar">
    <w:name w:val="Comment Text Char"/>
    <w:basedOn w:val="DefaultParagraphFont"/>
    <w:link w:val="CommentText"/>
    <w:uiPriority w:val="99"/>
    <w:rsid w:val="0023545E"/>
    <w:rPr>
      <w:rFonts w:asciiTheme="minorHAnsi" w:eastAsiaTheme="minorEastAsia" w:hAnsiTheme="minorHAnsi" w:cstheme="minorBidi"/>
    </w:rPr>
  </w:style>
  <w:style w:type="paragraph" w:styleId="CommentSubject">
    <w:name w:val="annotation subject"/>
    <w:basedOn w:val="CommentText"/>
    <w:next w:val="CommentText"/>
    <w:link w:val="CommentSubjectChar"/>
    <w:rsid w:val="00487D73"/>
    <w:rPr>
      <w:rFonts w:eastAsia="Times New Roman"/>
      <w:b/>
      <w:bCs/>
      <w:snapToGrid/>
    </w:rPr>
  </w:style>
  <w:style w:type="character" w:customStyle="1" w:styleId="CommentSubjectChar">
    <w:name w:val="Comment Subject Char"/>
    <w:basedOn w:val="CommentTextChar"/>
    <w:link w:val="CommentSubject"/>
    <w:rsid w:val="00487D73"/>
    <w:rPr>
      <w:rFonts w:asciiTheme="minorHAnsi" w:eastAsiaTheme="minorEastAsia" w:hAnsiTheme="minorHAnsi" w:cstheme="minorBidi"/>
      <w:b/>
      <w:bCs/>
      <w:snapToGrid w:val="0"/>
      <w:kern w:val="28"/>
    </w:rPr>
  </w:style>
  <w:style w:type="character" w:customStyle="1" w:styleId="ParaNumChar1">
    <w:name w:val="ParaNum Char1"/>
    <w:locked/>
    <w:rsid w:val="00010736"/>
    <w:rPr>
      <w:snapToGrid w:val="0"/>
      <w:kern w:val="28"/>
      <w:sz w:val="22"/>
    </w:rPr>
  </w:style>
  <w:style w:type="character" w:customStyle="1" w:styleId="Heading1Char">
    <w:name w:val="Heading 1 Char"/>
    <w:basedOn w:val="DefaultParagraphFont"/>
    <w:link w:val="Heading1"/>
    <w:rsid w:val="0013527D"/>
    <w:rPr>
      <w:rFonts w:ascii="Times New Roman Bold" w:hAnsi="Times New Roman Bold"/>
      <w:b/>
      <w:caps/>
      <w:snapToGrid w:val="0"/>
      <w:kern w:val="28"/>
      <w:sz w:val="22"/>
    </w:rPr>
  </w:style>
  <w:style w:type="paragraph" w:customStyle="1" w:styleId="Bullet1">
    <w:name w:val="Bullet 1"/>
    <w:basedOn w:val="Normal"/>
    <w:rsid w:val="00010736"/>
    <w:pPr>
      <w:numPr>
        <w:numId w:val="4"/>
      </w:numPr>
      <w:spacing w:after="220"/>
      <w:ind w:right="720"/>
    </w:pPr>
    <w:rPr>
      <w:snapToGrid/>
    </w:rPr>
  </w:style>
  <w:style w:type="character" w:customStyle="1" w:styleId="bestsection">
    <w:name w:val="bestsection"/>
    <w:basedOn w:val="DefaultParagraphFont"/>
    <w:rsid w:val="008467C0"/>
  </w:style>
  <w:style w:type="paragraph" w:styleId="Revision">
    <w:name w:val="Revision"/>
    <w:hidden/>
    <w:uiPriority w:val="99"/>
    <w:semiHidden/>
    <w:rsid w:val="00E81854"/>
    <w:rPr>
      <w:snapToGrid w:val="0"/>
      <w:kern w:val="28"/>
      <w:sz w:val="22"/>
    </w:rPr>
  </w:style>
  <w:style w:type="paragraph" w:styleId="ListParagraph">
    <w:name w:val="List Paragraph"/>
    <w:basedOn w:val="Normal"/>
    <w:qFormat/>
    <w:rsid w:val="0020646C"/>
    <w:pPr>
      <w:widowControl/>
      <w:ind w:left="720"/>
    </w:pPr>
    <w:rPr>
      <w:snapToGrid/>
      <w:kern w:val="0"/>
      <w:sz w:val="20"/>
    </w:rPr>
  </w:style>
  <w:style w:type="character" w:customStyle="1" w:styleId="documentbody1">
    <w:name w:val="documentbody1"/>
    <w:basedOn w:val="DefaultParagraphFont"/>
    <w:rsid w:val="005726E1"/>
    <w:rPr>
      <w:rFonts w:ascii="Verdana" w:hAnsi="Verdana" w:hint="default"/>
      <w:sz w:val="19"/>
      <w:szCs w:val="19"/>
      <w:shd w:val="clear" w:color="auto" w:fill="FFFFFF"/>
    </w:rPr>
  </w:style>
  <w:style w:type="character" w:customStyle="1" w:styleId="HeaderChar">
    <w:name w:val="Header Char"/>
    <w:basedOn w:val="DefaultParagraphFont"/>
    <w:link w:val="Header"/>
    <w:rsid w:val="00FC69DF"/>
    <w:rPr>
      <w:b/>
      <w:snapToGrid w:val="0"/>
      <w:kern w:val="28"/>
      <w:sz w:val="22"/>
    </w:rPr>
  </w:style>
  <w:style w:type="character" w:styleId="Emphasis">
    <w:name w:val="Emphasis"/>
    <w:basedOn w:val="DefaultParagraphFont"/>
    <w:uiPriority w:val="20"/>
    <w:qFormat/>
    <w:rsid w:val="004C7C3A"/>
    <w:rPr>
      <w:b/>
      <w:bCs/>
      <w:i w:val="0"/>
      <w:iCs w:val="0"/>
    </w:rPr>
  </w:style>
  <w:style w:type="character" w:customStyle="1" w:styleId="st">
    <w:name w:val="st"/>
    <w:basedOn w:val="DefaultParagraphFont"/>
    <w:rsid w:val="004C7C3A"/>
  </w:style>
  <w:style w:type="paragraph" w:styleId="PlainText">
    <w:name w:val="Plain Text"/>
    <w:basedOn w:val="Normal"/>
    <w:link w:val="PlainTextChar"/>
    <w:rsid w:val="00704BC9"/>
    <w:rPr>
      <w:rFonts w:ascii="Consolas" w:hAnsi="Consolas" w:cs="Consolas"/>
      <w:sz w:val="21"/>
      <w:szCs w:val="21"/>
    </w:rPr>
  </w:style>
  <w:style w:type="character" w:customStyle="1" w:styleId="PlainTextChar">
    <w:name w:val="Plain Text Char"/>
    <w:basedOn w:val="DefaultParagraphFont"/>
    <w:link w:val="PlainText"/>
    <w:rsid w:val="00704BC9"/>
    <w:rPr>
      <w:rFonts w:ascii="Consolas" w:hAnsi="Consolas" w:cs="Consolas"/>
      <w:snapToGrid w:val="0"/>
      <w:kern w:val="28"/>
      <w:sz w:val="21"/>
      <w:szCs w:val="21"/>
    </w:rPr>
  </w:style>
  <w:style w:type="character" w:customStyle="1" w:styleId="apple-converted-space">
    <w:name w:val="apple-converted-space"/>
    <w:basedOn w:val="DefaultParagraphFont"/>
    <w:rsid w:val="007B2328"/>
  </w:style>
  <w:style w:type="character" w:customStyle="1" w:styleId="cosearchterm">
    <w:name w:val="co_searchterm"/>
    <w:basedOn w:val="DefaultParagraphFont"/>
    <w:rsid w:val="007B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7916">
      <w:bodyDiv w:val="1"/>
      <w:marLeft w:val="0"/>
      <w:marRight w:val="0"/>
      <w:marTop w:val="0"/>
      <w:marBottom w:val="0"/>
      <w:divBdr>
        <w:top w:val="none" w:sz="0" w:space="0" w:color="auto"/>
        <w:left w:val="none" w:sz="0" w:space="0" w:color="auto"/>
        <w:bottom w:val="none" w:sz="0" w:space="0" w:color="auto"/>
        <w:right w:val="none" w:sz="0" w:space="0" w:color="auto"/>
      </w:divBdr>
    </w:div>
    <w:div w:id="49036756">
      <w:bodyDiv w:val="1"/>
      <w:marLeft w:val="0"/>
      <w:marRight w:val="0"/>
      <w:marTop w:val="0"/>
      <w:marBottom w:val="0"/>
      <w:divBdr>
        <w:top w:val="none" w:sz="0" w:space="0" w:color="auto"/>
        <w:left w:val="none" w:sz="0" w:space="0" w:color="auto"/>
        <w:bottom w:val="none" w:sz="0" w:space="0" w:color="auto"/>
        <w:right w:val="none" w:sz="0" w:space="0" w:color="auto"/>
      </w:divBdr>
      <w:divsChild>
        <w:div w:id="343287070">
          <w:marLeft w:val="0"/>
          <w:marRight w:val="0"/>
          <w:marTop w:val="0"/>
          <w:marBottom w:val="0"/>
          <w:divBdr>
            <w:top w:val="none" w:sz="0" w:space="0" w:color="auto"/>
            <w:left w:val="none" w:sz="0" w:space="0" w:color="auto"/>
            <w:bottom w:val="none" w:sz="0" w:space="0" w:color="auto"/>
            <w:right w:val="none" w:sz="0" w:space="0" w:color="auto"/>
          </w:divBdr>
          <w:divsChild>
            <w:div w:id="213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6144">
      <w:bodyDiv w:val="1"/>
      <w:marLeft w:val="0"/>
      <w:marRight w:val="0"/>
      <w:marTop w:val="0"/>
      <w:marBottom w:val="0"/>
      <w:divBdr>
        <w:top w:val="none" w:sz="0" w:space="0" w:color="auto"/>
        <w:left w:val="none" w:sz="0" w:space="0" w:color="auto"/>
        <w:bottom w:val="none" w:sz="0" w:space="0" w:color="auto"/>
        <w:right w:val="none" w:sz="0" w:space="0" w:color="auto"/>
      </w:divBdr>
      <w:divsChild>
        <w:div w:id="872381119">
          <w:marLeft w:val="0"/>
          <w:marRight w:val="0"/>
          <w:marTop w:val="0"/>
          <w:marBottom w:val="0"/>
          <w:divBdr>
            <w:top w:val="none" w:sz="0" w:space="0" w:color="auto"/>
            <w:left w:val="none" w:sz="0" w:space="0" w:color="auto"/>
            <w:bottom w:val="none" w:sz="0" w:space="0" w:color="auto"/>
            <w:right w:val="none" w:sz="0" w:space="0" w:color="auto"/>
          </w:divBdr>
          <w:divsChild>
            <w:div w:id="19511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5449">
      <w:bodyDiv w:val="1"/>
      <w:marLeft w:val="30"/>
      <w:marRight w:val="30"/>
      <w:marTop w:val="30"/>
      <w:marBottom w:val="30"/>
      <w:divBdr>
        <w:top w:val="none" w:sz="0" w:space="0" w:color="auto"/>
        <w:left w:val="none" w:sz="0" w:space="0" w:color="auto"/>
        <w:bottom w:val="none" w:sz="0" w:space="0" w:color="auto"/>
        <w:right w:val="none" w:sz="0" w:space="0" w:color="auto"/>
      </w:divBdr>
      <w:divsChild>
        <w:div w:id="788284695">
          <w:marLeft w:val="0"/>
          <w:marRight w:val="0"/>
          <w:marTop w:val="0"/>
          <w:marBottom w:val="0"/>
          <w:divBdr>
            <w:top w:val="none" w:sz="0" w:space="0" w:color="auto"/>
            <w:left w:val="none" w:sz="0" w:space="0" w:color="auto"/>
            <w:bottom w:val="none" w:sz="0" w:space="0" w:color="auto"/>
            <w:right w:val="none" w:sz="0" w:space="0" w:color="auto"/>
          </w:divBdr>
          <w:divsChild>
            <w:div w:id="167444745">
              <w:marLeft w:val="45"/>
              <w:marRight w:val="45"/>
              <w:marTop w:val="45"/>
              <w:marBottom w:val="45"/>
              <w:divBdr>
                <w:top w:val="none" w:sz="0" w:space="0" w:color="auto"/>
                <w:left w:val="none" w:sz="0" w:space="0" w:color="auto"/>
                <w:bottom w:val="none" w:sz="0" w:space="0" w:color="auto"/>
                <w:right w:val="none" w:sz="0" w:space="0" w:color="auto"/>
              </w:divBdr>
              <w:divsChild>
                <w:div w:id="2005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5326">
      <w:bodyDiv w:val="1"/>
      <w:marLeft w:val="0"/>
      <w:marRight w:val="0"/>
      <w:marTop w:val="0"/>
      <w:marBottom w:val="0"/>
      <w:divBdr>
        <w:top w:val="none" w:sz="0" w:space="0" w:color="auto"/>
        <w:left w:val="none" w:sz="0" w:space="0" w:color="auto"/>
        <w:bottom w:val="none" w:sz="0" w:space="0" w:color="auto"/>
        <w:right w:val="none" w:sz="0" w:space="0" w:color="auto"/>
      </w:divBdr>
    </w:div>
    <w:div w:id="921060314">
      <w:bodyDiv w:val="1"/>
      <w:marLeft w:val="30"/>
      <w:marRight w:val="30"/>
      <w:marTop w:val="30"/>
      <w:marBottom w:val="30"/>
      <w:divBdr>
        <w:top w:val="none" w:sz="0" w:space="0" w:color="auto"/>
        <w:left w:val="none" w:sz="0" w:space="0" w:color="auto"/>
        <w:bottom w:val="none" w:sz="0" w:space="0" w:color="auto"/>
        <w:right w:val="none" w:sz="0" w:space="0" w:color="auto"/>
      </w:divBdr>
      <w:divsChild>
        <w:div w:id="1141384366">
          <w:marLeft w:val="0"/>
          <w:marRight w:val="0"/>
          <w:marTop w:val="0"/>
          <w:marBottom w:val="0"/>
          <w:divBdr>
            <w:top w:val="none" w:sz="0" w:space="0" w:color="auto"/>
            <w:left w:val="none" w:sz="0" w:space="0" w:color="auto"/>
            <w:bottom w:val="none" w:sz="0" w:space="0" w:color="auto"/>
            <w:right w:val="none" w:sz="0" w:space="0" w:color="auto"/>
          </w:divBdr>
          <w:divsChild>
            <w:div w:id="1613510742">
              <w:marLeft w:val="45"/>
              <w:marRight w:val="45"/>
              <w:marTop w:val="45"/>
              <w:marBottom w:val="45"/>
              <w:divBdr>
                <w:top w:val="none" w:sz="0" w:space="0" w:color="auto"/>
                <w:left w:val="none" w:sz="0" w:space="0" w:color="auto"/>
                <w:bottom w:val="none" w:sz="0" w:space="0" w:color="auto"/>
                <w:right w:val="none" w:sz="0" w:space="0" w:color="auto"/>
              </w:divBdr>
              <w:divsChild>
                <w:div w:id="8524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1585">
      <w:bodyDiv w:val="1"/>
      <w:marLeft w:val="0"/>
      <w:marRight w:val="0"/>
      <w:marTop w:val="0"/>
      <w:marBottom w:val="0"/>
      <w:divBdr>
        <w:top w:val="none" w:sz="0" w:space="0" w:color="auto"/>
        <w:left w:val="none" w:sz="0" w:space="0" w:color="auto"/>
        <w:bottom w:val="none" w:sz="0" w:space="0" w:color="auto"/>
        <w:right w:val="none" w:sz="0" w:space="0" w:color="auto"/>
      </w:divBdr>
    </w:div>
    <w:div w:id="1066341528">
      <w:bodyDiv w:val="1"/>
      <w:marLeft w:val="0"/>
      <w:marRight w:val="0"/>
      <w:marTop w:val="0"/>
      <w:marBottom w:val="0"/>
      <w:divBdr>
        <w:top w:val="none" w:sz="0" w:space="0" w:color="auto"/>
        <w:left w:val="none" w:sz="0" w:space="0" w:color="auto"/>
        <w:bottom w:val="none" w:sz="0" w:space="0" w:color="auto"/>
        <w:right w:val="none" w:sz="0" w:space="0" w:color="auto"/>
      </w:divBdr>
    </w:div>
    <w:div w:id="1233273958">
      <w:bodyDiv w:val="1"/>
      <w:marLeft w:val="30"/>
      <w:marRight w:val="30"/>
      <w:marTop w:val="30"/>
      <w:marBottom w:val="30"/>
      <w:divBdr>
        <w:top w:val="none" w:sz="0" w:space="0" w:color="auto"/>
        <w:left w:val="none" w:sz="0" w:space="0" w:color="auto"/>
        <w:bottom w:val="none" w:sz="0" w:space="0" w:color="auto"/>
        <w:right w:val="none" w:sz="0" w:space="0" w:color="auto"/>
      </w:divBdr>
      <w:divsChild>
        <w:div w:id="363795142">
          <w:marLeft w:val="0"/>
          <w:marRight w:val="0"/>
          <w:marTop w:val="0"/>
          <w:marBottom w:val="0"/>
          <w:divBdr>
            <w:top w:val="none" w:sz="0" w:space="0" w:color="auto"/>
            <w:left w:val="none" w:sz="0" w:space="0" w:color="auto"/>
            <w:bottom w:val="none" w:sz="0" w:space="0" w:color="auto"/>
            <w:right w:val="none" w:sz="0" w:space="0" w:color="auto"/>
          </w:divBdr>
          <w:divsChild>
            <w:div w:id="1142768372">
              <w:marLeft w:val="45"/>
              <w:marRight w:val="45"/>
              <w:marTop w:val="45"/>
              <w:marBottom w:val="45"/>
              <w:divBdr>
                <w:top w:val="none" w:sz="0" w:space="0" w:color="auto"/>
                <w:left w:val="none" w:sz="0" w:space="0" w:color="auto"/>
                <w:bottom w:val="none" w:sz="0" w:space="0" w:color="auto"/>
                <w:right w:val="none" w:sz="0" w:space="0" w:color="auto"/>
              </w:divBdr>
              <w:divsChild>
                <w:div w:id="6061263">
                  <w:marLeft w:val="0"/>
                  <w:marRight w:val="0"/>
                  <w:marTop w:val="0"/>
                  <w:marBottom w:val="0"/>
                  <w:divBdr>
                    <w:top w:val="none" w:sz="0" w:space="0" w:color="auto"/>
                    <w:left w:val="none" w:sz="0" w:space="0" w:color="auto"/>
                    <w:bottom w:val="none" w:sz="0" w:space="0" w:color="auto"/>
                    <w:right w:val="none" w:sz="0" w:space="0" w:color="auto"/>
                  </w:divBdr>
                  <w:divsChild>
                    <w:div w:id="28346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0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23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2984708">
      <w:bodyDiv w:val="1"/>
      <w:marLeft w:val="30"/>
      <w:marRight w:val="30"/>
      <w:marTop w:val="30"/>
      <w:marBottom w:val="30"/>
      <w:divBdr>
        <w:top w:val="none" w:sz="0" w:space="0" w:color="auto"/>
        <w:left w:val="none" w:sz="0" w:space="0" w:color="auto"/>
        <w:bottom w:val="none" w:sz="0" w:space="0" w:color="auto"/>
        <w:right w:val="none" w:sz="0" w:space="0" w:color="auto"/>
      </w:divBdr>
      <w:divsChild>
        <w:div w:id="196360408">
          <w:marLeft w:val="0"/>
          <w:marRight w:val="0"/>
          <w:marTop w:val="0"/>
          <w:marBottom w:val="0"/>
          <w:divBdr>
            <w:top w:val="none" w:sz="0" w:space="0" w:color="auto"/>
            <w:left w:val="none" w:sz="0" w:space="0" w:color="auto"/>
            <w:bottom w:val="none" w:sz="0" w:space="0" w:color="auto"/>
            <w:right w:val="none" w:sz="0" w:space="0" w:color="auto"/>
          </w:divBdr>
          <w:divsChild>
            <w:div w:id="102462722">
              <w:marLeft w:val="45"/>
              <w:marRight w:val="45"/>
              <w:marTop w:val="45"/>
              <w:marBottom w:val="45"/>
              <w:divBdr>
                <w:top w:val="none" w:sz="0" w:space="0" w:color="auto"/>
                <w:left w:val="none" w:sz="0" w:space="0" w:color="auto"/>
                <w:bottom w:val="none" w:sz="0" w:space="0" w:color="auto"/>
                <w:right w:val="none" w:sz="0" w:space="0" w:color="auto"/>
              </w:divBdr>
              <w:divsChild>
                <w:div w:id="1438255191">
                  <w:marLeft w:val="0"/>
                  <w:marRight w:val="0"/>
                  <w:marTop w:val="0"/>
                  <w:marBottom w:val="0"/>
                  <w:divBdr>
                    <w:top w:val="none" w:sz="0" w:space="0" w:color="auto"/>
                    <w:left w:val="none" w:sz="0" w:space="0" w:color="auto"/>
                    <w:bottom w:val="none" w:sz="0" w:space="0" w:color="auto"/>
                    <w:right w:val="none" w:sz="0" w:space="0" w:color="auto"/>
                  </w:divBdr>
                  <w:divsChild>
                    <w:div w:id="568152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5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2255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05355754">
      <w:bodyDiv w:val="1"/>
      <w:marLeft w:val="0"/>
      <w:marRight w:val="0"/>
      <w:marTop w:val="0"/>
      <w:marBottom w:val="0"/>
      <w:divBdr>
        <w:top w:val="none" w:sz="0" w:space="0" w:color="auto"/>
        <w:left w:val="none" w:sz="0" w:space="0" w:color="auto"/>
        <w:bottom w:val="none" w:sz="0" w:space="0" w:color="auto"/>
        <w:right w:val="none" w:sz="0" w:space="0" w:color="auto"/>
      </w:divBdr>
      <w:divsChild>
        <w:div w:id="1743020074">
          <w:marLeft w:val="0"/>
          <w:marRight w:val="0"/>
          <w:marTop w:val="0"/>
          <w:marBottom w:val="0"/>
          <w:divBdr>
            <w:top w:val="none" w:sz="0" w:space="0" w:color="auto"/>
            <w:left w:val="none" w:sz="0" w:space="0" w:color="auto"/>
            <w:bottom w:val="none" w:sz="0" w:space="0" w:color="auto"/>
            <w:right w:val="none" w:sz="0" w:space="0" w:color="auto"/>
          </w:divBdr>
        </w:div>
        <w:div w:id="29109947">
          <w:marLeft w:val="0"/>
          <w:marRight w:val="0"/>
          <w:marTop w:val="240"/>
          <w:marBottom w:val="0"/>
          <w:divBdr>
            <w:top w:val="none" w:sz="0" w:space="0" w:color="auto"/>
            <w:left w:val="none" w:sz="0" w:space="0" w:color="auto"/>
            <w:bottom w:val="none" w:sz="0" w:space="0" w:color="auto"/>
            <w:right w:val="none" w:sz="0" w:space="0" w:color="auto"/>
          </w:divBdr>
          <w:divsChild>
            <w:div w:id="10219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9032">
      <w:bodyDiv w:val="1"/>
      <w:marLeft w:val="0"/>
      <w:marRight w:val="0"/>
      <w:marTop w:val="0"/>
      <w:marBottom w:val="0"/>
      <w:divBdr>
        <w:top w:val="none" w:sz="0" w:space="0" w:color="auto"/>
        <w:left w:val="none" w:sz="0" w:space="0" w:color="auto"/>
        <w:bottom w:val="none" w:sz="0" w:space="0" w:color="auto"/>
        <w:right w:val="none" w:sz="0" w:space="0" w:color="auto"/>
      </w:divBdr>
    </w:div>
    <w:div w:id="1452438639">
      <w:bodyDiv w:val="1"/>
      <w:marLeft w:val="30"/>
      <w:marRight w:val="30"/>
      <w:marTop w:val="30"/>
      <w:marBottom w:val="30"/>
      <w:divBdr>
        <w:top w:val="none" w:sz="0" w:space="0" w:color="auto"/>
        <w:left w:val="none" w:sz="0" w:space="0" w:color="auto"/>
        <w:bottom w:val="none" w:sz="0" w:space="0" w:color="auto"/>
        <w:right w:val="none" w:sz="0" w:space="0" w:color="auto"/>
      </w:divBdr>
      <w:divsChild>
        <w:div w:id="81031492">
          <w:marLeft w:val="0"/>
          <w:marRight w:val="0"/>
          <w:marTop w:val="0"/>
          <w:marBottom w:val="0"/>
          <w:divBdr>
            <w:top w:val="none" w:sz="0" w:space="0" w:color="auto"/>
            <w:left w:val="none" w:sz="0" w:space="0" w:color="auto"/>
            <w:bottom w:val="none" w:sz="0" w:space="0" w:color="auto"/>
            <w:right w:val="none" w:sz="0" w:space="0" w:color="auto"/>
          </w:divBdr>
          <w:divsChild>
            <w:div w:id="1076048209">
              <w:marLeft w:val="45"/>
              <w:marRight w:val="45"/>
              <w:marTop w:val="45"/>
              <w:marBottom w:val="45"/>
              <w:divBdr>
                <w:top w:val="none" w:sz="0" w:space="0" w:color="auto"/>
                <w:left w:val="none" w:sz="0" w:space="0" w:color="auto"/>
                <w:bottom w:val="none" w:sz="0" w:space="0" w:color="auto"/>
                <w:right w:val="none" w:sz="0" w:space="0" w:color="auto"/>
              </w:divBdr>
              <w:divsChild>
                <w:div w:id="1940023415">
                  <w:marLeft w:val="0"/>
                  <w:marRight w:val="0"/>
                  <w:marTop w:val="0"/>
                  <w:marBottom w:val="0"/>
                  <w:divBdr>
                    <w:top w:val="none" w:sz="0" w:space="0" w:color="auto"/>
                    <w:left w:val="none" w:sz="0" w:space="0" w:color="auto"/>
                    <w:bottom w:val="none" w:sz="0" w:space="0" w:color="auto"/>
                    <w:right w:val="none" w:sz="0" w:space="0" w:color="auto"/>
                  </w:divBdr>
                  <w:divsChild>
                    <w:div w:id="112230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8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477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71242359">
      <w:bodyDiv w:val="1"/>
      <w:marLeft w:val="0"/>
      <w:marRight w:val="0"/>
      <w:marTop w:val="0"/>
      <w:marBottom w:val="0"/>
      <w:divBdr>
        <w:top w:val="none" w:sz="0" w:space="0" w:color="auto"/>
        <w:left w:val="none" w:sz="0" w:space="0" w:color="auto"/>
        <w:bottom w:val="none" w:sz="0" w:space="0" w:color="auto"/>
        <w:right w:val="none" w:sz="0" w:space="0" w:color="auto"/>
      </w:divBdr>
    </w:div>
    <w:div w:id="1524712466">
      <w:bodyDiv w:val="1"/>
      <w:marLeft w:val="30"/>
      <w:marRight w:val="30"/>
      <w:marTop w:val="30"/>
      <w:marBottom w:val="30"/>
      <w:divBdr>
        <w:top w:val="none" w:sz="0" w:space="0" w:color="auto"/>
        <w:left w:val="none" w:sz="0" w:space="0" w:color="auto"/>
        <w:bottom w:val="none" w:sz="0" w:space="0" w:color="auto"/>
        <w:right w:val="none" w:sz="0" w:space="0" w:color="auto"/>
      </w:divBdr>
      <w:divsChild>
        <w:div w:id="1633248485">
          <w:marLeft w:val="0"/>
          <w:marRight w:val="0"/>
          <w:marTop w:val="0"/>
          <w:marBottom w:val="0"/>
          <w:divBdr>
            <w:top w:val="none" w:sz="0" w:space="0" w:color="auto"/>
            <w:left w:val="none" w:sz="0" w:space="0" w:color="auto"/>
            <w:bottom w:val="none" w:sz="0" w:space="0" w:color="auto"/>
            <w:right w:val="none" w:sz="0" w:space="0" w:color="auto"/>
          </w:divBdr>
          <w:divsChild>
            <w:div w:id="1373383822">
              <w:marLeft w:val="45"/>
              <w:marRight w:val="45"/>
              <w:marTop w:val="45"/>
              <w:marBottom w:val="45"/>
              <w:divBdr>
                <w:top w:val="none" w:sz="0" w:space="0" w:color="auto"/>
                <w:left w:val="none" w:sz="0" w:space="0" w:color="auto"/>
                <w:bottom w:val="none" w:sz="0" w:space="0" w:color="auto"/>
                <w:right w:val="none" w:sz="0" w:space="0" w:color="auto"/>
              </w:divBdr>
              <w:divsChild>
                <w:div w:id="1676346103">
                  <w:marLeft w:val="0"/>
                  <w:marRight w:val="0"/>
                  <w:marTop w:val="0"/>
                  <w:marBottom w:val="0"/>
                  <w:divBdr>
                    <w:top w:val="none" w:sz="0" w:space="0" w:color="auto"/>
                    <w:left w:val="none" w:sz="0" w:space="0" w:color="auto"/>
                    <w:bottom w:val="none" w:sz="0" w:space="0" w:color="auto"/>
                    <w:right w:val="none" w:sz="0" w:space="0" w:color="auto"/>
                  </w:divBdr>
                  <w:divsChild>
                    <w:div w:id="690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58041">
      <w:bodyDiv w:val="1"/>
      <w:marLeft w:val="30"/>
      <w:marRight w:val="30"/>
      <w:marTop w:val="30"/>
      <w:marBottom w:val="30"/>
      <w:divBdr>
        <w:top w:val="none" w:sz="0" w:space="0" w:color="auto"/>
        <w:left w:val="none" w:sz="0" w:space="0" w:color="auto"/>
        <w:bottom w:val="none" w:sz="0" w:space="0" w:color="auto"/>
        <w:right w:val="none" w:sz="0" w:space="0" w:color="auto"/>
      </w:divBdr>
      <w:divsChild>
        <w:div w:id="1128862884">
          <w:marLeft w:val="0"/>
          <w:marRight w:val="0"/>
          <w:marTop w:val="0"/>
          <w:marBottom w:val="0"/>
          <w:divBdr>
            <w:top w:val="none" w:sz="0" w:space="0" w:color="auto"/>
            <w:left w:val="none" w:sz="0" w:space="0" w:color="auto"/>
            <w:bottom w:val="none" w:sz="0" w:space="0" w:color="auto"/>
            <w:right w:val="none" w:sz="0" w:space="0" w:color="auto"/>
          </w:divBdr>
          <w:divsChild>
            <w:div w:id="695886586">
              <w:marLeft w:val="45"/>
              <w:marRight w:val="45"/>
              <w:marTop w:val="45"/>
              <w:marBottom w:val="45"/>
              <w:divBdr>
                <w:top w:val="none" w:sz="0" w:space="0" w:color="auto"/>
                <w:left w:val="none" w:sz="0" w:space="0" w:color="auto"/>
                <w:bottom w:val="none" w:sz="0" w:space="0" w:color="auto"/>
                <w:right w:val="none" w:sz="0" w:space="0" w:color="auto"/>
              </w:divBdr>
              <w:divsChild>
                <w:div w:id="6860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0418">
      <w:bodyDiv w:val="1"/>
      <w:marLeft w:val="0"/>
      <w:marRight w:val="0"/>
      <w:marTop w:val="0"/>
      <w:marBottom w:val="0"/>
      <w:divBdr>
        <w:top w:val="none" w:sz="0" w:space="0" w:color="auto"/>
        <w:left w:val="none" w:sz="0" w:space="0" w:color="auto"/>
        <w:bottom w:val="none" w:sz="0" w:space="0" w:color="auto"/>
        <w:right w:val="none" w:sz="0" w:space="0" w:color="auto"/>
      </w:divBdr>
      <w:divsChild>
        <w:div w:id="738600597">
          <w:marLeft w:val="0"/>
          <w:marRight w:val="0"/>
          <w:marTop w:val="0"/>
          <w:marBottom w:val="0"/>
          <w:divBdr>
            <w:top w:val="none" w:sz="0" w:space="0" w:color="auto"/>
            <w:left w:val="none" w:sz="0" w:space="0" w:color="auto"/>
            <w:bottom w:val="none" w:sz="0" w:space="0" w:color="auto"/>
            <w:right w:val="none" w:sz="0" w:space="0" w:color="auto"/>
          </w:divBdr>
        </w:div>
        <w:div w:id="1532962044">
          <w:marLeft w:val="0"/>
          <w:marRight w:val="0"/>
          <w:marTop w:val="240"/>
          <w:marBottom w:val="0"/>
          <w:divBdr>
            <w:top w:val="none" w:sz="0" w:space="0" w:color="auto"/>
            <w:left w:val="none" w:sz="0" w:space="0" w:color="auto"/>
            <w:bottom w:val="none" w:sz="0" w:space="0" w:color="auto"/>
            <w:right w:val="none" w:sz="0" w:space="0" w:color="auto"/>
          </w:divBdr>
          <w:divsChild>
            <w:div w:id="6418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7525">
      <w:bodyDiv w:val="1"/>
      <w:marLeft w:val="30"/>
      <w:marRight w:val="30"/>
      <w:marTop w:val="30"/>
      <w:marBottom w:val="30"/>
      <w:divBdr>
        <w:top w:val="none" w:sz="0" w:space="0" w:color="auto"/>
        <w:left w:val="none" w:sz="0" w:space="0" w:color="auto"/>
        <w:bottom w:val="none" w:sz="0" w:space="0" w:color="auto"/>
        <w:right w:val="none" w:sz="0" w:space="0" w:color="auto"/>
      </w:divBdr>
      <w:divsChild>
        <w:div w:id="1127776195">
          <w:marLeft w:val="0"/>
          <w:marRight w:val="0"/>
          <w:marTop w:val="0"/>
          <w:marBottom w:val="0"/>
          <w:divBdr>
            <w:top w:val="none" w:sz="0" w:space="0" w:color="auto"/>
            <w:left w:val="none" w:sz="0" w:space="0" w:color="auto"/>
            <w:bottom w:val="none" w:sz="0" w:space="0" w:color="auto"/>
            <w:right w:val="none" w:sz="0" w:space="0" w:color="auto"/>
          </w:divBdr>
          <w:divsChild>
            <w:div w:id="990403479">
              <w:marLeft w:val="45"/>
              <w:marRight w:val="45"/>
              <w:marTop w:val="45"/>
              <w:marBottom w:val="45"/>
              <w:divBdr>
                <w:top w:val="none" w:sz="0" w:space="0" w:color="auto"/>
                <w:left w:val="none" w:sz="0" w:space="0" w:color="auto"/>
                <w:bottom w:val="none" w:sz="0" w:space="0" w:color="auto"/>
                <w:right w:val="none" w:sz="0" w:space="0" w:color="auto"/>
              </w:divBdr>
              <w:divsChild>
                <w:div w:id="9778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rey.Gee@fcc.gov" TargetMode="External"/><Relationship Id="rId13" Type="http://schemas.openxmlformats.org/officeDocument/2006/relationships/hyperlink" Target="mailto:Jeffrey.Gee@fcc.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RINQUIRIES@fcc.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avid.Janas@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Janas@fc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rin.Boone@fcc.gov" TargetMode="External"/><Relationship Id="rId23" Type="http://schemas.openxmlformats.org/officeDocument/2006/relationships/fontTable" Target="fontTable.xml"/><Relationship Id="rId10" Type="http://schemas.openxmlformats.org/officeDocument/2006/relationships/hyperlink" Target="mailto:Erin.Boone@fc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lun.Lee@fcc.gov" TargetMode="External"/><Relationship Id="rId14" Type="http://schemas.openxmlformats.org/officeDocument/2006/relationships/hyperlink" Target="mailto:Kalun.Lee@fcc.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Forms/Form159/159.pdf" TargetMode="External"/><Relationship Id="rId2" Type="http://schemas.openxmlformats.org/officeDocument/2006/relationships/hyperlink" Target="https://www.fcc.gov/encyclopedia/contribution-factor-quarterly-filings-universal-service-fund-usf-management-support" TargetMode="External"/><Relationship Id="rId1" Type="http://schemas.openxmlformats.org/officeDocument/2006/relationships/hyperlink" Target="http://www.usac.org/about/tools/fcc/filing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1806</Words>
  <Characters>10353</Characters>
  <Application>Microsoft Office Word</Application>
  <DocSecurity>0</DocSecurity>
  <Lines>174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2016-09-14T19:44:00Z</dcterms:created>
  <dcterms:modified xsi:type="dcterms:W3CDTF">2016-09-14T19:44:00Z</dcterms:modified>
  <cp:category> </cp:category>
  <cp:contentStatus> </cp:contentStatus>
</cp:coreProperties>
</file>