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8A9" w:rsidRPr="00B20363" w:rsidRDefault="00B338A9" w:rsidP="00B338A9">
      <w:pPr>
        <w:spacing w:before="120" w:after="240"/>
        <w:rPr>
          <w:b/>
          <w:sz w:val="24"/>
        </w:rPr>
      </w:pPr>
      <w:bookmarkStart w:id="0" w:name="_GoBack"/>
      <w:bookmarkEnd w:id="0"/>
    </w:p>
    <w:p w:rsidR="004F7405" w:rsidRPr="004F7405" w:rsidRDefault="00A17DB5" w:rsidP="004F7405">
      <w:pPr>
        <w:widowControl/>
        <w:suppressAutoHyphens/>
        <w:jc w:val="right"/>
        <w:rPr>
          <w:b/>
          <w:color w:val="000000"/>
        </w:rPr>
      </w:pPr>
      <w:r>
        <w:rPr>
          <w:b/>
          <w:snapToGrid/>
          <w:color w:val="000000"/>
          <w:kern w:val="0"/>
          <w:sz w:val="24"/>
          <w:szCs w:val="24"/>
        </w:rPr>
        <w:t xml:space="preserve">               </w:t>
      </w:r>
      <w:r w:rsidR="004F7405" w:rsidRPr="004F7405">
        <w:rPr>
          <w:b/>
          <w:color w:val="000000"/>
        </w:rPr>
        <w:t>DA 16-</w:t>
      </w:r>
      <w:r w:rsidR="00A55390">
        <w:rPr>
          <w:b/>
          <w:color w:val="000000"/>
        </w:rPr>
        <w:t>1028</w:t>
      </w:r>
    </w:p>
    <w:p w:rsidR="004F7405" w:rsidRPr="004F7405" w:rsidRDefault="00866E5C" w:rsidP="004F7405">
      <w:pPr>
        <w:widowControl/>
        <w:suppressAutoHyphens/>
        <w:spacing w:after="240"/>
        <w:jc w:val="right"/>
        <w:rPr>
          <w:b/>
          <w:color w:val="000000"/>
        </w:rPr>
      </w:pPr>
      <w:r>
        <w:rPr>
          <w:b/>
          <w:color w:val="000000"/>
        </w:rPr>
        <w:t xml:space="preserve"> </w:t>
      </w:r>
      <w:r w:rsidR="004F7405" w:rsidRPr="004F7405">
        <w:rPr>
          <w:b/>
          <w:color w:val="000000"/>
        </w:rPr>
        <w:t xml:space="preserve">Released:  </w:t>
      </w:r>
      <w:r w:rsidR="00F315AF">
        <w:rPr>
          <w:b/>
          <w:color w:val="000000"/>
        </w:rPr>
        <w:t>September 12</w:t>
      </w:r>
      <w:r w:rsidR="004F7405" w:rsidRPr="004F7405">
        <w:rPr>
          <w:b/>
          <w:color w:val="000000"/>
        </w:rPr>
        <w:t>, 2016</w:t>
      </w:r>
    </w:p>
    <w:p w:rsidR="004F7405" w:rsidRPr="004F7405" w:rsidRDefault="004F7405" w:rsidP="008C5D67">
      <w:pPr>
        <w:widowControl/>
        <w:suppressAutoHyphens/>
        <w:jc w:val="center"/>
        <w:rPr>
          <w:b/>
          <w:szCs w:val="22"/>
        </w:rPr>
      </w:pPr>
      <w:r w:rsidRPr="004F7405">
        <w:rPr>
          <w:b/>
          <w:szCs w:val="22"/>
        </w:rPr>
        <w:t xml:space="preserve">DOMESTIC SECTION 214 APPLICATION GRANTED FOR THE TRANSFER OF CONTROL OF </w:t>
      </w:r>
      <w:r w:rsidR="008C5D67">
        <w:rPr>
          <w:b/>
          <w:szCs w:val="22"/>
        </w:rPr>
        <w:t>DSCI, LLC TO U.S. TELEPACIFIC CORP.</w:t>
      </w:r>
    </w:p>
    <w:p w:rsidR="004F7405" w:rsidRPr="004F7405" w:rsidRDefault="004F7405" w:rsidP="004F7405">
      <w:pPr>
        <w:widowControl/>
        <w:suppressAutoHyphens/>
        <w:jc w:val="center"/>
        <w:rPr>
          <w:b/>
          <w:color w:val="000000"/>
          <w:szCs w:val="22"/>
        </w:rPr>
      </w:pPr>
    </w:p>
    <w:p w:rsidR="004F7405" w:rsidRPr="004F7405" w:rsidRDefault="004F7405" w:rsidP="004F7405">
      <w:pPr>
        <w:widowControl/>
        <w:suppressAutoHyphens/>
        <w:spacing w:after="240"/>
        <w:jc w:val="center"/>
        <w:rPr>
          <w:b/>
          <w:color w:val="000000"/>
          <w:szCs w:val="22"/>
        </w:rPr>
      </w:pPr>
      <w:r w:rsidRPr="004F7405">
        <w:rPr>
          <w:b/>
          <w:color w:val="000000"/>
          <w:szCs w:val="22"/>
        </w:rPr>
        <w:t>WC Docket No. 1</w:t>
      </w:r>
      <w:r w:rsidR="00FC4E67">
        <w:rPr>
          <w:b/>
          <w:color w:val="000000"/>
          <w:szCs w:val="22"/>
        </w:rPr>
        <w:t>6-6</w:t>
      </w:r>
      <w:r w:rsidR="005D7FF0">
        <w:rPr>
          <w:b/>
          <w:color w:val="000000"/>
          <w:szCs w:val="22"/>
        </w:rPr>
        <w:t>7</w:t>
      </w:r>
    </w:p>
    <w:p w:rsidR="00084D40" w:rsidRDefault="00084D40" w:rsidP="00084D40">
      <w:pPr>
        <w:autoSpaceDE w:val="0"/>
        <w:autoSpaceDN w:val="0"/>
        <w:adjustRightInd w:val="0"/>
        <w:ind w:firstLine="720"/>
        <w:rPr>
          <w:snapToGrid/>
          <w:kern w:val="0"/>
          <w:szCs w:val="22"/>
        </w:rPr>
      </w:pPr>
      <w:r w:rsidRPr="00084D40">
        <w:rPr>
          <w:snapToGrid/>
          <w:kern w:val="0"/>
          <w:szCs w:val="22"/>
        </w:rPr>
        <w:t>DS</w:t>
      </w:r>
      <w:r w:rsidR="00866E5C">
        <w:rPr>
          <w:snapToGrid/>
          <w:kern w:val="0"/>
          <w:szCs w:val="22"/>
        </w:rPr>
        <w:t>CI Holdings Corporation</w:t>
      </w:r>
      <w:r w:rsidRPr="00084D40">
        <w:rPr>
          <w:snapToGrid/>
          <w:kern w:val="0"/>
          <w:szCs w:val="22"/>
        </w:rPr>
        <w:t xml:space="preserve">, DSCI, LLC, and U.S. TelePacific Corp. (TelePacific) (collectively, Applicants) filed an application pursuant to Section 214 of the Communications Act of 1934, as amended, and Section 63.03 of the Commission’s rules, requesting approval to </w:t>
      </w:r>
      <w:r w:rsidR="00866E5C">
        <w:rPr>
          <w:snapToGrid/>
          <w:kern w:val="0"/>
          <w:szCs w:val="22"/>
        </w:rPr>
        <w:t xml:space="preserve">transfer control of DSCI, LLC to </w:t>
      </w:r>
      <w:r w:rsidRPr="00084D40">
        <w:rPr>
          <w:snapToGrid/>
          <w:kern w:val="0"/>
          <w:szCs w:val="22"/>
        </w:rPr>
        <w:t>TelePacific.</w:t>
      </w:r>
      <w:r w:rsidRPr="00084D40">
        <w:rPr>
          <w:snapToGrid/>
          <w:kern w:val="0"/>
          <w:szCs w:val="22"/>
          <w:vertAlign w:val="superscript"/>
        </w:rPr>
        <w:footnoteReference w:id="2"/>
      </w:r>
    </w:p>
    <w:p w:rsidR="004F7405" w:rsidRPr="004F7405" w:rsidRDefault="004F7405" w:rsidP="00084D40">
      <w:pPr>
        <w:jc w:val="both"/>
        <w:rPr>
          <w:szCs w:val="22"/>
        </w:rPr>
      </w:pPr>
    </w:p>
    <w:p w:rsidR="004F7405" w:rsidRDefault="004F7405" w:rsidP="004F7405">
      <w:pPr>
        <w:ind w:firstLine="720"/>
        <w:rPr>
          <w:snapToGrid/>
          <w:kern w:val="0"/>
          <w:szCs w:val="22"/>
        </w:rPr>
      </w:pPr>
      <w:r w:rsidRPr="004F7405">
        <w:rPr>
          <w:szCs w:val="22"/>
        </w:rPr>
        <w:t xml:space="preserve">On </w:t>
      </w:r>
      <w:r w:rsidR="00084D40">
        <w:rPr>
          <w:szCs w:val="22"/>
        </w:rPr>
        <w:t>March 15</w:t>
      </w:r>
      <w:r w:rsidR="005D7FF0">
        <w:rPr>
          <w:szCs w:val="22"/>
        </w:rPr>
        <w:t>, 2016</w:t>
      </w:r>
      <w:r w:rsidRPr="004F7405">
        <w:rPr>
          <w:szCs w:val="22"/>
        </w:rPr>
        <w:t>, the Wireline Competition Bureau (Bureau) released a Public Notice requesting comment on the Application.</w:t>
      </w:r>
      <w:r w:rsidRPr="004F7405">
        <w:rPr>
          <w:szCs w:val="22"/>
          <w:vertAlign w:val="superscript"/>
        </w:rPr>
        <w:footnoteReference w:id="3"/>
      </w:r>
      <w:r w:rsidRPr="004F7405">
        <w:rPr>
          <w:szCs w:val="22"/>
        </w:rPr>
        <w:t xml:space="preserve">  On </w:t>
      </w:r>
      <w:r w:rsidR="00A96C5B">
        <w:rPr>
          <w:szCs w:val="22"/>
        </w:rPr>
        <w:t>March 29</w:t>
      </w:r>
      <w:r w:rsidR="002D633D">
        <w:rPr>
          <w:szCs w:val="22"/>
        </w:rPr>
        <w:t>, 2016</w:t>
      </w:r>
      <w:r w:rsidRPr="004F7405">
        <w:rPr>
          <w:szCs w:val="22"/>
        </w:rPr>
        <w:t xml:space="preserve">, the Department of Justice, </w:t>
      </w:r>
      <w:r w:rsidR="002D633D">
        <w:rPr>
          <w:szCs w:val="22"/>
        </w:rPr>
        <w:t xml:space="preserve">with the concurrence of </w:t>
      </w:r>
      <w:r w:rsidRPr="004F7405">
        <w:rPr>
          <w:szCs w:val="22"/>
        </w:rPr>
        <w:t xml:space="preserve">the U.S. Department of </w:t>
      </w:r>
      <w:r w:rsidR="002D633D">
        <w:rPr>
          <w:szCs w:val="22"/>
        </w:rPr>
        <w:t xml:space="preserve">Defense and the U.S. Department of </w:t>
      </w:r>
      <w:r w:rsidRPr="004F7405">
        <w:rPr>
          <w:szCs w:val="22"/>
        </w:rPr>
        <w:t>Homeland Security (collectively, the Executive Branch Agencies), filed a letter requesting that the Commission defer action on this proceeding while they completed their review of any national security, law enforcement, and public safety issues.</w:t>
      </w:r>
      <w:r w:rsidRPr="004F7405">
        <w:rPr>
          <w:szCs w:val="22"/>
          <w:vertAlign w:val="superscript"/>
        </w:rPr>
        <w:footnoteReference w:id="4"/>
      </w:r>
      <w:r w:rsidRPr="004F7405">
        <w:rPr>
          <w:szCs w:val="22"/>
        </w:rPr>
        <w:t xml:space="preserve">  </w:t>
      </w:r>
      <w:r w:rsidRPr="004F7405">
        <w:rPr>
          <w:color w:val="000000"/>
          <w:szCs w:val="22"/>
        </w:rPr>
        <w:t>We deferred action on the Application in response to the Executive Branch Agencies’ request.</w:t>
      </w:r>
      <w:r w:rsidR="008A4853">
        <w:rPr>
          <w:rStyle w:val="FootnoteReference"/>
          <w:szCs w:val="22"/>
        </w:rPr>
        <w:footnoteReference w:id="5"/>
      </w:r>
      <w:r w:rsidRPr="004F7405">
        <w:rPr>
          <w:snapToGrid/>
          <w:kern w:val="0"/>
          <w:szCs w:val="22"/>
        </w:rPr>
        <w:t xml:space="preserve">  </w:t>
      </w:r>
    </w:p>
    <w:p w:rsidR="00834342" w:rsidRDefault="00834342" w:rsidP="004F7405">
      <w:pPr>
        <w:ind w:firstLine="720"/>
        <w:rPr>
          <w:snapToGrid/>
          <w:kern w:val="0"/>
          <w:szCs w:val="22"/>
        </w:rPr>
      </w:pPr>
    </w:p>
    <w:p w:rsidR="00834342" w:rsidRDefault="00834342" w:rsidP="00834342">
      <w:pPr>
        <w:ind w:firstLine="720"/>
      </w:pPr>
      <w:r w:rsidRPr="00193AC3">
        <w:rPr>
          <w:szCs w:val="22"/>
        </w:rPr>
        <w:t xml:space="preserve">On </w:t>
      </w:r>
      <w:r>
        <w:rPr>
          <w:szCs w:val="22"/>
        </w:rPr>
        <w:t>September 9,</w:t>
      </w:r>
      <w:r w:rsidRPr="00193AC3">
        <w:rPr>
          <w:szCs w:val="22"/>
        </w:rPr>
        <w:t xml:space="preserve"> 201</w:t>
      </w:r>
      <w:r>
        <w:rPr>
          <w:szCs w:val="22"/>
        </w:rPr>
        <w:t>6</w:t>
      </w:r>
      <w:r w:rsidRPr="00193AC3">
        <w:rPr>
          <w:szCs w:val="22"/>
        </w:rPr>
        <w:t xml:space="preserve">, the </w:t>
      </w:r>
      <w:r>
        <w:rPr>
          <w:szCs w:val="22"/>
        </w:rPr>
        <w:t xml:space="preserve">Executive Branch Agencies </w:t>
      </w:r>
      <w:r w:rsidRPr="00193AC3">
        <w:rPr>
          <w:szCs w:val="22"/>
        </w:rPr>
        <w:t>submitted a Petition to Adopt Conditions to Authorizations and Licenses (Petition).</w:t>
      </w:r>
      <w:r w:rsidRPr="00193AC3">
        <w:rPr>
          <w:szCs w:val="22"/>
          <w:vertAlign w:val="superscript"/>
        </w:rPr>
        <w:footnoteReference w:id="6"/>
      </w:r>
      <w:r w:rsidRPr="00193AC3">
        <w:rPr>
          <w:szCs w:val="22"/>
        </w:rPr>
        <w:t xml:space="preserve">  In the Petition, the </w:t>
      </w:r>
      <w:r>
        <w:rPr>
          <w:szCs w:val="22"/>
        </w:rPr>
        <w:t>Executive Branch Agencies</w:t>
      </w:r>
      <w:r w:rsidRPr="00193AC3">
        <w:rPr>
          <w:szCs w:val="22"/>
        </w:rPr>
        <w:t xml:space="preserve"> advise the Commission that</w:t>
      </w:r>
      <w:r>
        <w:rPr>
          <w:szCs w:val="22"/>
        </w:rPr>
        <w:t xml:space="preserve"> they have no objection to the Commission approving the authority sought in this proceeding</w:t>
      </w:r>
      <w:r w:rsidRPr="00193AC3">
        <w:rPr>
          <w:szCs w:val="22"/>
        </w:rPr>
        <w:t xml:space="preserve">, provided the </w:t>
      </w:r>
      <w:r w:rsidRPr="00193AC3">
        <w:rPr>
          <w:color w:val="000000"/>
          <w:szCs w:val="22"/>
        </w:rPr>
        <w:t xml:space="preserve">Commission </w:t>
      </w:r>
      <w:r>
        <w:rPr>
          <w:color w:val="000000"/>
          <w:szCs w:val="22"/>
        </w:rPr>
        <w:t>“</w:t>
      </w:r>
      <w:r w:rsidRPr="00193AC3">
        <w:rPr>
          <w:color w:val="000000"/>
          <w:szCs w:val="22"/>
        </w:rPr>
        <w:t xml:space="preserve">conditions its </w:t>
      </w:r>
      <w:r>
        <w:rPr>
          <w:color w:val="000000"/>
          <w:szCs w:val="22"/>
        </w:rPr>
        <w:t>approval</w:t>
      </w:r>
      <w:r w:rsidRPr="00193AC3">
        <w:rPr>
          <w:color w:val="000000"/>
          <w:szCs w:val="22"/>
        </w:rPr>
        <w:t xml:space="preserve"> on the </w:t>
      </w:r>
      <w:r>
        <w:rPr>
          <w:color w:val="000000"/>
          <w:szCs w:val="22"/>
        </w:rPr>
        <w:t xml:space="preserve">assurance of U.S. TelePacific Corp. and U.S. TelePacific Holdings Corp. (together, TelePacific) to abide by the </w:t>
      </w:r>
      <w:r w:rsidRPr="00193AC3">
        <w:rPr>
          <w:color w:val="000000"/>
          <w:szCs w:val="22"/>
        </w:rPr>
        <w:t xml:space="preserve">commitments and </w:t>
      </w:r>
      <w:r w:rsidRPr="00193AC3">
        <w:rPr>
          <w:color w:val="000000"/>
          <w:szCs w:val="22"/>
        </w:rPr>
        <w:lastRenderedPageBreak/>
        <w:t xml:space="preserve">undertakings set forth in the </w:t>
      </w:r>
      <w:r>
        <w:rPr>
          <w:color w:val="000000"/>
          <w:szCs w:val="22"/>
        </w:rPr>
        <w:t>September 2, 2016</w:t>
      </w:r>
      <w:r w:rsidRPr="00193AC3">
        <w:rPr>
          <w:color w:val="000000"/>
          <w:szCs w:val="22"/>
        </w:rPr>
        <w:t xml:space="preserve"> Letter of A</w:t>
      </w:r>
      <w:r>
        <w:rPr>
          <w:color w:val="000000"/>
          <w:szCs w:val="22"/>
        </w:rPr>
        <w:t>ssurances (LOA).”</w:t>
      </w:r>
      <w:r w:rsidRPr="00193AC3">
        <w:rPr>
          <w:szCs w:val="22"/>
          <w:vertAlign w:val="superscript"/>
        </w:rPr>
        <w:footnoteReference w:id="7"/>
      </w:r>
      <w:r w:rsidRPr="00193AC3">
        <w:rPr>
          <w:color w:val="000000"/>
          <w:szCs w:val="22"/>
        </w:rPr>
        <w:t xml:space="preserve">  </w:t>
      </w:r>
      <w:r>
        <w:rPr>
          <w:color w:val="000000"/>
          <w:szCs w:val="22"/>
        </w:rPr>
        <w:t>The Department of Justice</w:t>
      </w:r>
      <w:r w:rsidRPr="00193AC3">
        <w:rPr>
          <w:color w:val="000000"/>
          <w:szCs w:val="22"/>
        </w:rPr>
        <w:t xml:space="preserve"> filed the </w:t>
      </w:r>
      <w:bookmarkStart w:id="1" w:name="SR;381"/>
      <w:bookmarkEnd w:id="1"/>
      <w:r w:rsidRPr="00193AC3">
        <w:rPr>
          <w:color w:val="000000"/>
          <w:szCs w:val="22"/>
        </w:rPr>
        <w:t xml:space="preserve">Petition and </w:t>
      </w:r>
      <w:r>
        <w:rPr>
          <w:color w:val="000000"/>
          <w:szCs w:val="22"/>
        </w:rPr>
        <w:t>LOA</w:t>
      </w:r>
      <w:bookmarkStart w:id="2" w:name="SR;383"/>
      <w:bookmarkEnd w:id="2"/>
      <w:r w:rsidRPr="00193AC3">
        <w:rPr>
          <w:color w:val="000000"/>
          <w:szCs w:val="22"/>
        </w:rPr>
        <w:t xml:space="preserve"> in WC Docket No. 1</w:t>
      </w:r>
      <w:r>
        <w:rPr>
          <w:color w:val="000000"/>
          <w:szCs w:val="22"/>
        </w:rPr>
        <w:t>6-67</w:t>
      </w:r>
      <w:r w:rsidRPr="00193AC3">
        <w:rPr>
          <w:color w:val="000000"/>
          <w:szCs w:val="22"/>
        </w:rPr>
        <w:t xml:space="preserve"> on </w:t>
      </w:r>
      <w:r>
        <w:rPr>
          <w:color w:val="000000"/>
          <w:szCs w:val="22"/>
        </w:rPr>
        <w:t>September 9</w:t>
      </w:r>
      <w:r w:rsidRPr="00193AC3">
        <w:rPr>
          <w:color w:val="000000"/>
          <w:szCs w:val="22"/>
        </w:rPr>
        <w:t>, 201</w:t>
      </w:r>
      <w:r>
        <w:rPr>
          <w:color w:val="000000"/>
          <w:szCs w:val="22"/>
        </w:rPr>
        <w:t>6</w:t>
      </w:r>
      <w:r w:rsidRPr="00193AC3">
        <w:rPr>
          <w:color w:val="000000"/>
          <w:szCs w:val="22"/>
        </w:rPr>
        <w:t>.</w:t>
      </w:r>
      <w:r>
        <w:rPr>
          <w:color w:val="000000"/>
          <w:szCs w:val="22"/>
        </w:rPr>
        <w:t xml:space="preserve">  </w:t>
      </w:r>
      <w:r w:rsidRPr="00193AC3">
        <w:rPr>
          <w:color w:val="000000"/>
          <w:szCs w:val="22"/>
        </w:rPr>
        <w:t>The Bureau finds, upon consideration of</w:t>
      </w:r>
      <w:r>
        <w:rPr>
          <w:color w:val="000000"/>
          <w:szCs w:val="22"/>
        </w:rPr>
        <w:t xml:space="preserve"> the record, that grant of the A</w:t>
      </w:r>
      <w:r w:rsidRPr="00193AC3">
        <w:rPr>
          <w:color w:val="000000"/>
          <w:szCs w:val="22"/>
        </w:rPr>
        <w:t xml:space="preserve">pplication, subject to compliance with the </w:t>
      </w:r>
      <w:r>
        <w:rPr>
          <w:color w:val="000000"/>
          <w:szCs w:val="22"/>
        </w:rPr>
        <w:t>LOA</w:t>
      </w:r>
      <w:bookmarkStart w:id="3" w:name="SR;414"/>
      <w:bookmarkStart w:id="4" w:name="SR;416"/>
      <w:bookmarkEnd w:id="3"/>
      <w:bookmarkEnd w:id="4"/>
      <w:r w:rsidRPr="00193AC3">
        <w:rPr>
          <w:color w:val="000000"/>
          <w:szCs w:val="22"/>
        </w:rPr>
        <w:t>, will serve the public interest, convenience, and necessity.  Consistent with Commission precedent, the Bureau accords the appropriate level of deference to the Executive Branch Agencies' expertise on national security and law enforcement issues.</w:t>
      </w:r>
      <w:bookmarkStart w:id="5" w:name="FN[FN9]"/>
      <w:bookmarkEnd w:id="5"/>
      <w:r w:rsidRPr="00193AC3">
        <w:rPr>
          <w:szCs w:val="22"/>
          <w:vertAlign w:val="superscript"/>
        </w:rPr>
        <w:t xml:space="preserve"> </w:t>
      </w:r>
      <w:r w:rsidRPr="00193AC3">
        <w:rPr>
          <w:szCs w:val="22"/>
          <w:vertAlign w:val="superscript"/>
        </w:rPr>
        <w:footnoteReference w:id="8"/>
      </w:r>
      <w:r w:rsidRPr="00193AC3">
        <w:rPr>
          <w:color w:val="000000"/>
          <w:szCs w:val="22"/>
        </w:rPr>
        <w:t xml:space="preserve">  Therefore, pursuant to section 214 of the Act, 47 U.S.C. § 214, and sections 0.91 and 0.291 of the Commission's rules, 47 C.F.R. §§ 0.91, 0.291, the Bureau hereby grants the Application discussed in this Public Notice subject to compliance with the </w:t>
      </w:r>
      <w:r>
        <w:rPr>
          <w:color w:val="000000"/>
          <w:szCs w:val="22"/>
        </w:rPr>
        <w:t>LOA</w:t>
      </w:r>
      <w:r w:rsidRPr="00193AC3">
        <w:rPr>
          <w:color w:val="000000"/>
          <w:szCs w:val="22"/>
        </w:rPr>
        <w:t xml:space="preserve"> described above.  </w:t>
      </w:r>
      <w:r w:rsidRPr="00193AC3">
        <w:t xml:space="preserve">A failure to comply with and/or remain in compliance with any of the provisions of the </w:t>
      </w:r>
      <w:r>
        <w:t xml:space="preserve">LOA </w:t>
      </w:r>
      <w:r w:rsidRPr="00193AC3">
        <w:t>shall constitute a failure to meet a condition of this authorization and thus grounds for declaring the underlying authorizations terminated without further action on the part of the Commission.  Failure to meet a condition of this authorization may also result in monetary sanctions or other enforcement action by the Commission.</w:t>
      </w:r>
    </w:p>
    <w:p w:rsidR="004F7405" w:rsidRPr="004F7405" w:rsidRDefault="004F7405" w:rsidP="004F7405">
      <w:pPr>
        <w:ind w:firstLine="720"/>
        <w:rPr>
          <w:color w:val="000000"/>
          <w:szCs w:val="22"/>
        </w:rPr>
      </w:pPr>
    </w:p>
    <w:p w:rsidR="004F7405" w:rsidRPr="004F7405" w:rsidRDefault="004F7405" w:rsidP="004F7405">
      <w:pPr>
        <w:ind w:firstLine="720"/>
        <w:rPr>
          <w:color w:val="000000"/>
          <w:szCs w:val="22"/>
        </w:rPr>
      </w:pPr>
      <w:bookmarkStart w:id="6" w:name="sp_999_1"/>
      <w:bookmarkStart w:id="7" w:name="SDU_1"/>
      <w:bookmarkStart w:id="8" w:name="SearchTerm"/>
      <w:bookmarkEnd w:id="6"/>
      <w:bookmarkEnd w:id="7"/>
      <w:r w:rsidRPr="004F7405">
        <w:rPr>
          <w:color w:val="000000"/>
          <w:szCs w:val="22"/>
        </w:rPr>
        <w:t>The Bureau finds, upon consideration of the record, that grant of the Application</w:t>
      </w:r>
      <w:bookmarkEnd w:id="8"/>
      <w:r w:rsidRPr="004F7405">
        <w:rPr>
          <w:color w:val="000000"/>
          <w:szCs w:val="22"/>
        </w:rPr>
        <w:t xml:space="preserve"> will serve the public interest, convenience, and necessity.</w:t>
      </w:r>
      <w:r w:rsidR="00C42190">
        <w:rPr>
          <w:rStyle w:val="FootnoteReference"/>
          <w:szCs w:val="22"/>
        </w:rPr>
        <w:footnoteReference w:id="9"/>
      </w:r>
      <w:r w:rsidRPr="004F7405">
        <w:rPr>
          <w:color w:val="000000"/>
          <w:szCs w:val="22"/>
        </w:rPr>
        <w:t xml:space="preserve">  </w:t>
      </w:r>
      <w:r w:rsidR="0017145C">
        <w:rPr>
          <w:color w:val="000000"/>
          <w:szCs w:val="22"/>
        </w:rPr>
        <w:t>Upon consummation of the transaction, the resulting entity will have a market share in the U.S. interstate interexchange market of less than 10 percent and will provide competitive telephone exchange services or exchange access services (if at all) exclusively in geographic areas served by a dominant local exchange carrier that is not a party to the transaction.  In addition, the Applicants are not dominant with respect to any domestic service.</w:t>
      </w:r>
      <w:r w:rsidR="0017145C">
        <w:rPr>
          <w:rStyle w:val="FootnoteReference"/>
          <w:color w:val="000000"/>
        </w:rPr>
        <w:footnoteReference w:id="10"/>
      </w:r>
    </w:p>
    <w:p w:rsidR="004F7405" w:rsidRPr="004F7405" w:rsidRDefault="004F7405" w:rsidP="004F7405">
      <w:pPr>
        <w:ind w:firstLine="720"/>
        <w:rPr>
          <w:color w:val="000000"/>
          <w:szCs w:val="22"/>
        </w:rPr>
      </w:pPr>
    </w:p>
    <w:p w:rsidR="004F7405" w:rsidRPr="004F7405" w:rsidRDefault="004F7405" w:rsidP="004F7405">
      <w:pPr>
        <w:ind w:firstLine="720"/>
        <w:rPr>
          <w:color w:val="000000"/>
          <w:szCs w:val="22"/>
        </w:rPr>
      </w:pPr>
      <w:r w:rsidRPr="004F7405">
        <w:rPr>
          <w:color w:val="000000"/>
          <w:szCs w:val="22"/>
        </w:rPr>
        <w:t>Pursuant to section 1.103 of the Commission's rules, 47 C.F.R. § 1.103, the grant is effective upon release of this Public Notice.</w:t>
      </w:r>
      <w:bookmarkStart w:id="9" w:name="FN[FN11]"/>
      <w:bookmarkEnd w:id="9"/>
      <w:r w:rsidRPr="004F7405">
        <w:rPr>
          <w:color w:val="000000"/>
          <w:szCs w:val="22"/>
        </w:rPr>
        <w:t xml:space="preserve">  Petitions for reconsideration under section 1.106 or applications for review under section 1.115 of the Commission's rules, 47 C.F.R. §§ 1.106, 1.115, may be filed within 30 days of the date of this Public Notice.</w:t>
      </w:r>
      <w:bookmarkStart w:id="10" w:name="FN[FN12]"/>
      <w:bookmarkEnd w:id="10"/>
    </w:p>
    <w:p w:rsidR="004F7405" w:rsidRPr="004F7405" w:rsidRDefault="004F7405" w:rsidP="004F7405">
      <w:pPr>
        <w:ind w:firstLine="720"/>
        <w:rPr>
          <w:color w:val="000000"/>
          <w:szCs w:val="22"/>
        </w:rPr>
      </w:pPr>
      <w:bookmarkStart w:id="11" w:name="sp_999_2"/>
      <w:bookmarkStart w:id="12" w:name="SDU_2"/>
      <w:bookmarkEnd w:id="11"/>
      <w:bookmarkEnd w:id="12"/>
    </w:p>
    <w:p w:rsidR="004F7405" w:rsidRDefault="004F7405" w:rsidP="004F7405">
      <w:pPr>
        <w:ind w:firstLine="720"/>
        <w:rPr>
          <w:color w:val="000000"/>
          <w:szCs w:val="22"/>
        </w:rPr>
      </w:pPr>
      <w:r w:rsidRPr="00834342">
        <w:rPr>
          <w:color w:val="000000"/>
          <w:szCs w:val="22"/>
        </w:rPr>
        <w:t xml:space="preserve">For further information, please contact </w:t>
      </w:r>
      <w:r w:rsidR="0017145C" w:rsidRPr="00834342">
        <w:rPr>
          <w:color w:val="000000"/>
          <w:szCs w:val="22"/>
        </w:rPr>
        <w:t>Dennis Johnson</w:t>
      </w:r>
      <w:r w:rsidRPr="00834342">
        <w:rPr>
          <w:color w:val="000000"/>
          <w:szCs w:val="22"/>
        </w:rPr>
        <w:t>, Wireline Competition Bureau, Competition Policy Division, (202) 418-0809.</w:t>
      </w:r>
    </w:p>
    <w:p w:rsidR="00834342" w:rsidRDefault="00834342" w:rsidP="004F7405">
      <w:pPr>
        <w:ind w:firstLine="720"/>
        <w:rPr>
          <w:color w:val="000000"/>
          <w:szCs w:val="22"/>
        </w:rPr>
      </w:pPr>
    </w:p>
    <w:p w:rsidR="00834342" w:rsidRPr="005D5053" w:rsidRDefault="00834342" w:rsidP="00834342">
      <w:pPr>
        <w:jc w:val="center"/>
        <w:rPr>
          <w:szCs w:val="22"/>
        </w:rPr>
      </w:pPr>
      <w:r w:rsidRPr="005D5053">
        <w:rPr>
          <w:szCs w:val="22"/>
        </w:rPr>
        <w:t xml:space="preserve">- </w:t>
      </w:r>
      <w:r w:rsidRPr="001D00BE">
        <w:rPr>
          <w:b/>
          <w:szCs w:val="22"/>
        </w:rPr>
        <w:t>FCC</w:t>
      </w:r>
      <w:r w:rsidRPr="005D5053">
        <w:rPr>
          <w:szCs w:val="22"/>
        </w:rPr>
        <w:t xml:space="preserve"> -</w:t>
      </w:r>
    </w:p>
    <w:p w:rsidR="00834342" w:rsidRPr="00834342" w:rsidRDefault="00834342" w:rsidP="00834342">
      <w:pPr>
        <w:ind w:firstLine="720"/>
        <w:jc w:val="center"/>
        <w:rPr>
          <w:color w:val="000000"/>
          <w:szCs w:val="22"/>
        </w:rPr>
      </w:pPr>
    </w:p>
    <w:p w:rsidR="006A1F49" w:rsidRDefault="006A1F49" w:rsidP="004F7405">
      <w:pPr>
        <w:widowControl/>
        <w:ind w:left="7200"/>
        <w:rPr>
          <w:sz w:val="24"/>
        </w:rPr>
      </w:pPr>
    </w:p>
    <w:sectPr w:rsidR="006A1F49" w:rsidSect="00DF0810">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1B6" w:rsidRDefault="00FA41B6">
      <w:pPr>
        <w:spacing w:line="20" w:lineRule="exact"/>
      </w:pPr>
    </w:p>
  </w:endnote>
  <w:endnote w:type="continuationSeparator" w:id="0">
    <w:p w:rsidR="00FA41B6" w:rsidRDefault="00FA41B6">
      <w:r>
        <w:t xml:space="preserve"> </w:t>
      </w:r>
    </w:p>
  </w:endnote>
  <w:endnote w:type="continuationNotice" w:id="1">
    <w:p w:rsidR="00FA41B6" w:rsidRDefault="00FA41B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00022FF" w:usb1="C000205B" w:usb2="00000009" w:usb3="00000000" w:csb0="000001D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p w:rsidR="003660ED" w:rsidRDefault="003660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0F6BCE">
      <w:rPr>
        <w:noProof/>
      </w:rPr>
      <w:t>2</w:t>
    </w:r>
    <w:r>
      <w:fldChar w:fldCharType="end"/>
    </w:r>
  </w:p>
  <w:p w:rsidR="003660ED" w:rsidRDefault="003660ED"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1B6" w:rsidRDefault="00FA41B6">
      <w:r>
        <w:separator/>
      </w:r>
    </w:p>
  </w:footnote>
  <w:footnote w:type="continuationSeparator" w:id="0">
    <w:p w:rsidR="00FA41B6" w:rsidRDefault="00FA41B6" w:rsidP="00C721AC">
      <w:pPr>
        <w:spacing w:before="120"/>
        <w:rPr>
          <w:sz w:val="20"/>
        </w:rPr>
      </w:pPr>
      <w:r>
        <w:rPr>
          <w:sz w:val="20"/>
        </w:rPr>
        <w:t xml:space="preserve">(Continued from previous page)  </w:t>
      </w:r>
      <w:r>
        <w:rPr>
          <w:sz w:val="20"/>
        </w:rPr>
        <w:separator/>
      </w:r>
    </w:p>
  </w:footnote>
  <w:footnote w:type="continuationNotice" w:id="1">
    <w:p w:rsidR="00FA41B6" w:rsidRDefault="00FA41B6" w:rsidP="00C721AC">
      <w:pPr>
        <w:jc w:val="right"/>
        <w:rPr>
          <w:sz w:val="20"/>
        </w:rPr>
      </w:pPr>
      <w:r>
        <w:rPr>
          <w:sz w:val="20"/>
        </w:rPr>
        <w:t>(continued….)</w:t>
      </w:r>
    </w:p>
  </w:footnote>
  <w:footnote w:id="2">
    <w:p w:rsidR="00084D40" w:rsidRPr="00393C16" w:rsidRDefault="00084D40" w:rsidP="00084D40">
      <w:pPr>
        <w:pStyle w:val="FootnoteText"/>
      </w:pPr>
      <w:r w:rsidRPr="00393C16">
        <w:rPr>
          <w:rStyle w:val="FootnoteReference"/>
        </w:rPr>
        <w:footnoteRef/>
      </w:r>
      <w:r w:rsidRPr="00393C16">
        <w:t xml:space="preserve"> </w:t>
      </w:r>
      <w:r w:rsidRPr="00393C16">
        <w:rPr>
          <w:i/>
        </w:rPr>
        <w:t xml:space="preserve">See </w:t>
      </w:r>
      <w:r w:rsidRPr="00393C16">
        <w:t xml:space="preserve">47 C.F.R § 63.03; 47 U.S.C. § 214.  Applicants also filed applications for the transfer of authorizations associated with international services.  Any action on this domestic </w:t>
      </w:r>
      <w:r>
        <w:t>S</w:t>
      </w:r>
      <w:r w:rsidRPr="00393C16">
        <w:t xml:space="preserve">ection 214 application is without prejudice to Commission action on other related, pending applications.  </w:t>
      </w:r>
      <w:r>
        <w:t>Applicants filed a supplement to their domestic Section 214 application on March 10, 2016.  Letter from Danielle Burt, Counsel for Te</w:t>
      </w:r>
      <w:r w:rsidR="00A96C5B">
        <w:t>lePacific</w:t>
      </w:r>
      <w:r>
        <w:t>, and Michael P. Donahue, Counsel for Parent and DSCI, LLC, to Marlene H. Dortch, Secretary, FCC, WC Docket No. 16-67 (fi</w:t>
      </w:r>
      <w:r w:rsidR="005921A5">
        <w:t>led Mar. 10, 2016)</w:t>
      </w:r>
      <w:r>
        <w:t>.</w:t>
      </w:r>
    </w:p>
  </w:footnote>
  <w:footnote w:id="3">
    <w:p w:rsidR="004F7405" w:rsidRPr="00E2398D" w:rsidRDefault="004F7405" w:rsidP="004F7405">
      <w:pPr>
        <w:pStyle w:val="FootnoteText"/>
        <w:rPr>
          <w:i/>
        </w:rPr>
      </w:pPr>
      <w:r>
        <w:rPr>
          <w:rStyle w:val="FootnoteReference"/>
        </w:rPr>
        <w:footnoteRef/>
      </w:r>
      <w:r>
        <w:t xml:space="preserve"> </w:t>
      </w:r>
      <w:r w:rsidRPr="001B3BF7">
        <w:rPr>
          <w:i/>
        </w:rPr>
        <w:t xml:space="preserve">Domestic Section 214 Application Filed for the Transfer of Control of </w:t>
      </w:r>
      <w:r w:rsidR="00084D40">
        <w:rPr>
          <w:i/>
        </w:rPr>
        <w:t>DSCI, LLC</w:t>
      </w:r>
      <w:r w:rsidR="005D7FF0">
        <w:rPr>
          <w:i/>
        </w:rPr>
        <w:t xml:space="preserve"> to </w:t>
      </w:r>
      <w:r w:rsidR="00084D40">
        <w:rPr>
          <w:i/>
        </w:rPr>
        <w:t>U.S. TelePacific Corp</w:t>
      </w:r>
      <w:r w:rsidR="005D7FF0">
        <w:t>.</w:t>
      </w:r>
      <w:r>
        <w:t>, Public Notice, 3</w:t>
      </w:r>
      <w:r w:rsidR="005D7FF0">
        <w:t>1</w:t>
      </w:r>
      <w:r>
        <w:t xml:space="preserve"> FCC Rcd </w:t>
      </w:r>
      <w:r w:rsidR="00084D40">
        <w:t>2016</w:t>
      </w:r>
      <w:r w:rsidRPr="001B3BF7">
        <w:t xml:space="preserve"> (</w:t>
      </w:r>
      <w:r>
        <w:t>WCB</w:t>
      </w:r>
      <w:r w:rsidRPr="001B3BF7">
        <w:t xml:space="preserve"> 201</w:t>
      </w:r>
      <w:r w:rsidR="003A783A">
        <w:t>6</w:t>
      </w:r>
      <w:r w:rsidRPr="001B3BF7">
        <w:t>)</w:t>
      </w:r>
      <w:r>
        <w:t>.</w:t>
      </w:r>
    </w:p>
  </w:footnote>
  <w:footnote w:id="4">
    <w:p w:rsidR="004F7405" w:rsidRDefault="004F7405" w:rsidP="004F7405">
      <w:pPr>
        <w:pStyle w:val="FootnoteText"/>
      </w:pPr>
      <w:r>
        <w:rPr>
          <w:rStyle w:val="FootnoteReference"/>
        </w:rPr>
        <w:footnoteRef/>
      </w:r>
      <w:r w:rsidR="00A94510">
        <w:t xml:space="preserve"> </w:t>
      </w:r>
      <w:r>
        <w:rPr>
          <w:i/>
        </w:rPr>
        <w:t>See</w:t>
      </w:r>
      <w:r>
        <w:t xml:space="preserve"> </w:t>
      </w:r>
      <w:r>
        <w:rPr>
          <w:rFonts w:ascii="Times New (W1)" w:hAnsi="Times New (W1)"/>
        </w:rPr>
        <w:t xml:space="preserve">Letter from </w:t>
      </w:r>
      <w:r w:rsidR="002D633D">
        <w:rPr>
          <w:rFonts w:ascii="Times New (W1)" w:hAnsi="Times New (W1)"/>
        </w:rPr>
        <w:t>Bermel R. Paz</w:t>
      </w:r>
      <w:r>
        <w:rPr>
          <w:rFonts w:ascii="Times New (W1)" w:hAnsi="Times New (W1)"/>
        </w:rPr>
        <w:t>, U.S. Department of Justice, to Marlene H. Dortch, FCC, WC</w:t>
      </w:r>
      <w:r w:rsidR="00866C48">
        <w:t xml:space="preserve"> Docket No. 16</w:t>
      </w:r>
      <w:r>
        <w:t>-</w:t>
      </w:r>
      <w:r w:rsidR="00A96C5B">
        <w:t>6</w:t>
      </w:r>
      <w:r w:rsidR="00866C48">
        <w:t>7</w:t>
      </w:r>
      <w:r>
        <w:t xml:space="preserve"> </w:t>
      </w:r>
      <w:r>
        <w:rPr>
          <w:rFonts w:ascii="Times New (W1)" w:hAnsi="Times New (W1)"/>
        </w:rPr>
        <w:t xml:space="preserve">(filed </w:t>
      </w:r>
      <w:r w:rsidR="00084D40">
        <w:rPr>
          <w:rFonts w:ascii="Times New (W1)" w:hAnsi="Times New (W1)"/>
        </w:rPr>
        <w:t>Mar. 29</w:t>
      </w:r>
      <w:r w:rsidR="00982136">
        <w:rPr>
          <w:rFonts w:ascii="Times New (W1)" w:hAnsi="Times New (W1)"/>
        </w:rPr>
        <w:t>,</w:t>
      </w:r>
      <w:r>
        <w:rPr>
          <w:rFonts w:ascii="Times New (W1)" w:hAnsi="Times New (W1)"/>
        </w:rPr>
        <w:t xml:space="preserve"> 201</w:t>
      </w:r>
      <w:r w:rsidR="00982136">
        <w:rPr>
          <w:rFonts w:ascii="Times New (W1)" w:hAnsi="Times New (W1)"/>
        </w:rPr>
        <w:t>6</w:t>
      </w:r>
      <w:r>
        <w:rPr>
          <w:rFonts w:ascii="Times New (W1)" w:hAnsi="Times New (W1)"/>
        </w:rPr>
        <w:t>).</w:t>
      </w:r>
    </w:p>
  </w:footnote>
  <w:footnote w:id="5">
    <w:p w:rsidR="008A4853" w:rsidRPr="008A4853" w:rsidRDefault="008A4853">
      <w:pPr>
        <w:pStyle w:val="FootnoteText"/>
      </w:pPr>
      <w:r>
        <w:rPr>
          <w:rStyle w:val="FootnoteReference"/>
        </w:rPr>
        <w:footnoteRef/>
      </w:r>
      <w:r>
        <w:t xml:space="preserve"> </w:t>
      </w:r>
      <w:r>
        <w:rPr>
          <w:i/>
        </w:rPr>
        <w:t>Notice of Removal of Domestic Section 214 Application from Streamlined Treatment</w:t>
      </w:r>
      <w:r>
        <w:t>, Public Notice, 31 FCC Rcd 3392</w:t>
      </w:r>
      <w:r w:rsidR="007B0699">
        <w:t xml:space="preserve"> (WCB 2016).</w:t>
      </w:r>
    </w:p>
  </w:footnote>
  <w:footnote w:id="6">
    <w:p w:rsidR="00834342" w:rsidRDefault="00834342" w:rsidP="00834342">
      <w:pPr>
        <w:pStyle w:val="FootnoteText"/>
      </w:pPr>
      <w:r>
        <w:rPr>
          <w:rStyle w:val="FootnoteReference"/>
        </w:rPr>
        <w:footnoteRef/>
      </w:r>
      <w:r>
        <w:t xml:space="preserve"> Petition to Adopt Conditions to Authorizations and Licenses, WC Docket No. 16-67 and File No. ITC-T/C-20160307-00115 (filed Sept. 9, 2016).</w:t>
      </w:r>
    </w:p>
  </w:footnote>
  <w:footnote w:id="7">
    <w:p w:rsidR="00834342" w:rsidRPr="00BD7F40" w:rsidRDefault="00834342" w:rsidP="00834342">
      <w:pPr>
        <w:pStyle w:val="FootnoteText"/>
      </w:pPr>
      <w:r>
        <w:rPr>
          <w:rStyle w:val="FootnoteReference"/>
        </w:rPr>
        <w:footnoteRef/>
      </w:r>
      <w:r>
        <w:t xml:space="preserve"> </w:t>
      </w:r>
      <w:r>
        <w:rPr>
          <w:i/>
        </w:rPr>
        <w:t>Id</w:t>
      </w:r>
      <w:r>
        <w:t>. at 1.</w:t>
      </w:r>
    </w:p>
  </w:footnote>
  <w:footnote w:id="8">
    <w:p w:rsidR="00834342" w:rsidRDefault="00834342" w:rsidP="00834342">
      <w:pPr>
        <w:pStyle w:val="FootnoteText"/>
      </w:pPr>
      <w:r>
        <w:rPr>
          <w:rStyle w:val="FootnoteReference"/>
        </w:rPr>
        <w:footnoteRef/>
      </w:r>
      <w:r>
        <w:t xml:space="preserve"> The Commission considers national security, law enforcement, foreign policy, and trade policy concerns when analyzing a transfer of control or assignment application in which foreign ownership is an issue.  </w:t>
      </w:r>
      <w:r>
        <w:rPr>
          <w:i/>
        </w:rPr>
        <w:t>See Amendment of the Commission’s Regulatory Policies to Allow Non-U.S. Licensed Satellites Providing Domestic and International Service in the United States</w:t>
      </w:r>
      <w:r>
        <w:t xml:space="preserve">, Report and Order, 12 FCC Rcd 24094, 24170-72, paras. 178-82 (1997); </w:t>
      </w:r>
      <w:r>
        <w:rPr>
          <w:i/>
        </w:rPr>
        <w:t xml:space="preserve">Rules and Policies on Foreign Participation in the U.S. </w:t>
      </w:r>
      <w:smartTag w:uri="urn:schemas-microsoft-com:office:smarttags" w:element="PersonName">
        <w:r>
          <w:rPr>
            <w:i/>
          </w:rPr>
          <w:t>Telecommunications</w:t>
        </w:r>
      </w:smartTag>
      <w:r>
        <w:rPr>
          <w:i/>
        </w:rPr>
        <w:t xml:space="preserve"> Market</w:t>
      </w:r>
      <w:r>
        <w:t>, IB Docket No. 97-142, Market Entry and Regulation of Foreign Affiliated Entities, IB Docket No. 95-22, Report and Order and Order on Reconsideration, 12 FCC Rcd 23891, 23919-21, paras. 61-66 (1997) (</w:t>
      </w:r>
      <w:r>
        <w:rPr>
          <w:i/>
        </w:rPr>
        <w:t>Foreign Participation Order</w:t>
      </w:r>
      <w:r>
        <w:t xml:space="preserve">), Order on Reconsideration, 15 FCC Rcd 18158 (2000).  In assessing the public interest, the Commission considers the record and accords the appropriate level of deference to Executive Branch expertise on national security and law enforcement issues.  </w:t>
      </w:r>
      <w:r>
        <w:rPr>
          <w:i/>
        </w:rPr>
        <w:t>See Foreign Participation Order</w:t>
      </w:r>
      <w:r>
        <w:t>, 12 FCC Rcd at 23919-21, paras. 61-66.</w:t>
      </w:r>
    </w:p>
  </w:footnote>
  <w:footnote w:id="9">
    <w:p w:rsidR="00C42190" w:rsidRDefault="00C42190">
      <w:pPr>
        <w:pStyle w:val="FootnoteText"/>
      </w:pPr>
      <w:r>
        <w:rPr>
          <w:rStyle w:val="FootnoteReference"/>
        </w:rPr>
        <w:footnoteRef/>
      </w:r>
      <w:r>
        <w:t xml:space="preserve"> </w:t>
      </w:r>
      <w:r>
        <w:rPr>
          <w:i/>
        </w:rPr>
        <w:t xml:space="preserve">See </w:t>
      </w:r>
      <w:r>
        <w:t>47 C.F.R. § 63.03(b).</w:t>
      </w:r>
    </w:p>
  </w:footnote>
  <w:footnote w:id="10">
    <w:p w:rsidR="0017145C" w:rsidRDefault="0017145C" w:rsidP="0017145C">
      <w:pPr>
        <w:pStyle w:val="FootnoteText"/>
        <w:rPr>
          <w:color w:val="000000"/>
        </w:rPr>
      </w:pPr>
      <w:r>
        <w:rPr>
          <w:rStyle w:val="FootnoteReference"/>
          <w:color w:val="000000"/>
        </w:rPr>
        <w:footnoteRef/>
      </w:r>
      <w:r>
        <w:rPr>
          <w:color w:val="000000"/>
        </w:rPr>
        <w:t xml:space="preserve"> 47 C.F.R. 63.03(b)(2)(i).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A23" w:rsidRDefault="00510A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A23" w:rsidRDefault="00510A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505" w:rsidRPr="00B338A9" w:rsidRDefault="00B20363" w:rsidP="00B338A9">
    <w:pPr>
      <w:pStyle w:val="Header"/>
    </w:pPr>
    <w:r>
      <w:rPr>
        <w:b w:val="0"/>
        <w:noProof/>
      </w:rPr>
      <mc:AlternateContent>
        <mc:Choice Requires="wps">
          <w:drawing>
            <wp:anchor distT="0" distB="0" distL="114300" distR="114300" simplePos="0" relativeHeight="251656192" behindDoc="0" locked="0" layoutInCell="0" allowOverlap="1" wp14:anchorId="3CEC94F5" wp14:editId="5B1B60C1">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CEC94F5" id="_x0000_t202" coordsize="21600,21600" o:spt="202" path="m,l,21600r21600,l21600,xe">
              <v:stroke joinstyle="miter"/>
              <v:path gradientshapeok="t" o:connecttype="rect"/>
            </v:shapetype>
            <v:shape id="Text Box 3" o:spid="_x0000_s1026" type="#_x0000_t202" style="position:absolute;margin-left:-4.5pt;margin-top:58.35pt;width:244.8pt;height:50.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sz w:val="24"/>
                      </w:rPr>
                    </w:pPr>
                    <w:r>
                      <w:rPr>
                        <w:rFonts w:ascii="Arial" w:hAnsi="Arial"/>
                        <w:b/>
                      </w:rPr>
                      <w:t>Washington, D.C. 20554</w:t>
                    </w:r>
                  </w:p>
                </w:txbxContent>
              </v:textbox>
              <w10:wrap anchorx="margin"/>
            </v:shape>
          </w:pict>
        </mc:Fallback>
      </mc:AlternateContent>
    </w:r>
    <w:r w:rsidR="00AF46DC" w:rsidRPr="00B338A9">
      <w:rPr>
        <w:noProof/>
        <w:sz w:val="24"/>
      </w:rPr>
      <w:drawing>
        <wp:anchor distT="0" distB="0" distL="114300" distR="114300" simplePos="0" relativeHeight="251659264" behindDoc="0" locked="0" layoutInCell="0" allowOverlap="1" wp14:anchorId="0A89EDC2" wp14:editId="6872DA74">
          <wp:simplePos x="0" y="0"/>
          <wp:positionH relativeFrom="column">
            <wp:posOffset>-650875</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47505" w:rsidRPr="00B338A9">
      <w:t>PUBLIC NOTICE</w:t>
    </w:r>
  </w:p>
  <w:p w:rsidR="00D47505" w:rsidRDefault="00B338A9" w:rsidP="00B338A9">
    <w:pPr>
      <w:pStyle w:val="Header"/>
    </w:pPr>
    <w:r>
      <w:rPr>
        <w:b w:val="0"/>
        <w:noProof/>
      </w:rPr>
      <mc:AlternateContent>
        <mc:Choice Requires="wps">
          <w:drawing>
            <wp:anchor distT="0" distB="0" distL="114300" distR="114300" simplePos="0" relativeHeight="251657216" behindDoc="0" locked="0" layoutInCell="0" allowOverlap="1" wp14:anchorId="19339013" wp14:editId="6A2AED03">
              <wp:simplePos x="0" y="0"/>
              <wp:positionH relativeFrom="margin">
                <wp:align>right</wp:align>
              </wp:positionH>
              <wp:positionV relativeFrom="paragraph">
                <wp:posOffset>720090</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04F6A72" id="Line 4"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mc:Fallback>
      </mc:AlternateContent>
    </w:r>
    <w:r>
      <w:rPr>
        <w:b w:val="0"/>
        <w:noProof/>
      </w:rPr>
      <mc:AlternateContent>
        <mc:Choice Requires="wps">
          <w:drawing>
            <wp:anchor distT="0" distB="0" distL="114300" distR="114300" simplePos="0" relativeHeight="251658240" behindDoc="0" locked="0" layoutInCell="0" allowOverlap="1" wp14:anchorId="0BD36A34" wp14:editId="489E05C3">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505" w:rsidRDefault="00D47505" w:rsidP="00D47505">
                          <w:pPr>
                            <w:spacing w:before="40"/>
                            <w:jc w:val="right"/>
                            <w:rPr>
                              <w:rFonts w:ascii="Arial" w:hAnsi="Arial"/>
                              <w:b/>
                              <w:sz w:val="16"/>
                            </w:rPr>
                          </w:pPr>
                          <w:r>
                            <w:rPr>
                              <w:rFonts w:ascii="Arial" w:hAnsi="Arial"/>
                              <w:b/>
                              <w:sz w:val="16"/>
                            </w:rPr>
                            <w:t>News Media Information 202 / 418-0500</w:t>
                          </w:r>
                        </w:p>
                        <w:p w:rsidR="00D47505" w:rsidRDefault="00D47505" w:rsidP="00D47505">
                          <w:pPr>
                            <w:jc w:val="right"/>
                            <w:rPr>
                              <w:rFonts w:ascii="Arial" w:hAnsi="Arial"/>
                              <w:b/>
                              <w:sz w:val="16"/>
                            </w:rPr>
                          </w:pPr>
                          <w:r>
                            <w:rPr>
                              <w:rFonts w:ascii="Arial" w:hAnsi="Arial"/>
                              <w:b/>
                              <w:sz w:val="16"/>
                            </w:rPr>
                            <w:t xml:space="preserve">Internet: </w:t>
                          </w:r>
                          <w:bookmarkStart w:id="13" w:name="_Hlt233824"/>
                          <w:r w:rsidR="007F413A">
                            <w:rPr>
                              <w:rFonts w:ascii="Arial" w:hAnsi="Arial"/>
                              <w:b/>
                              <w:sz w:val="16"/>
                            </w:rPr>
                            <w:fldChar w:fldCharType="begin"/>
                          </w:r>
                          <w:r w:rsidR="000F6BCE">
                            <w:rPr>
                              <w:rFonts w:ascii="Arial" w:hAnsi="Arial"/>
                              <w:b/>
                              <w:sz w:val="16"/>
                            </w:rPr>
                            <w:instrText>HYPERLINK "https://www.fcc.gov/"</w:instrText>
                          </w:r>
                          <w:r w:rsidR="000F6BCE">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13"/>
                          <w:r w:rsidR="007F413A" w:rsidRPr="00D216CD">
                            <w:rPr>
                              <w:rStyle w:val="Hyperlink"/>
                              <w:rFonts w:ascii="Arial" w:hAnsi="Arial"/>
                              <w:b/>
                              <w:sz w:val="16"/>
                            </w:rPr>
                            <w:t>ttps://www.fcc.gov</w:t>
                          </w:r>
                          <w:r w:rsidR="007F413A">
                            <w:rPr>
                              <w:rFonts w:ascii="Arial" w:hAnsi="Arial"/>
                              <w:b/>
                              <w:sz w:val="16"/>
                            </w:rPr>
                            <w:fldChar w:fldCharType="end"/>
                          </w:r>
                        </w:p>
                        <w:p w:rsidR="00D47505" w:rsidRDefault="00D47505" w:rsidP="00B338A9">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63.25pt;margin-top:14.05pt;width:207.9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rsidR="00D47505" w:rsidRDefault="00D47505" w:rsidP="00D47505">
                    <w:pPr>
                      <w:spacing w:before="40"/>
                      <w:jc w:val="right"/>
                      <w:rPr>
                        <w:rFonts w:ascii="Arial" w:hAnsi="Arial"/>
                        <w:b/>
                        <w:sz w:val="16"/>
                      </w:rPr>
                    </w:pPr>
                    <w:r>
                      <w:rPr>
                        <w:rFonts w:ascii="Arial" w:hAnsi="Arial"/>
                        <w:b/>
                        <w:sz w:val="16"/>
                      </w:rPr>
                      <w:t>News Media Information 202 / 418-0500</w:t>
                    </w:r>
                  </w:p>
                  <w:p w:rsidR="00D47505" w:rsidRDefault="00D47505" w:rsidP="00D47505">
                    <w:pPr>
                      <w:jc w:val="right"/>
                      <w:rPr>
                        <w:rFonts w:ascii="Arial" w:hAnsi="Arial"/>
                        <w:b/>
                        <w:sz w:val="16"/>
                      </w:rPr>
                    </w:pPr>
                    <w:r>
                      <w:rPr>
                        <w:rFonts w:ascii="Arial" w:hAnsi="Arial"/>
                        <w:b/>
                        <w:sz w:val="16"/>
                      </w:rPr>
                      <w:t xml:space="preserve">Internet: </w:t>
                    </w:r>
                    <w:bookmarkStart w:id="14" w:name="_Hlt233824"/>
                    <w:r w:rsidR="007F413A">
                      <w:rPr>
                        <w:rFonts w:ascii="Arial" w:hAnsi="Arial"/>
                        <w:b/>
                        <w:sz w:val="16"/>
                      </w:rPr>
                      <w:fldChar w:fldCharType="begin"/>
                    </w:r>
                    <w:r w:rsidR="000F6BCE">
                      <w:rPr>
                        <w:rFonts w:ascii="Arial" w:hAnsi="Arial"/>
                        <w:b/>
                        <w:sz w:val="16"/>
                      </w:rPr>
                      <w:instrText>HYPERLINK "https://www.fcc.gov/"</w:instrText>
                    </w:r>
                    <w:r w:rsidR="000F6BCE">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14"/>
                    <w:r w:rsidR="007F413A" w:rsidRPr="00D216CD">
                      <w:rPr>
                        <w:rStyle w:val="Hyperlink"/>
                        <w:rFonts w:ascii="Arial" w:hAnsi="Arial"/>
                        <w:b/>
                        <w:sz w:val="16"/>
                      </w:rPr>
                      <w:t>ttps://www.fcc.gov</w:t>
                    </w:r>
                    <w:r w:rsidR="007F413A">
                      <w:rPr>
                        <w:rFonts w:ascii="Arial" w:hAnsi="Arial"/>
                        <w:b/>
                        <w:sz w:val="16"/>
                      </w:rPr>
                      <w:fldChar w:fldCharType="end"/>
                    </w:r>
                  </w:p>
                  <w:p w:rsidR="00D47505" w:rsidRDefault="00D47505"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891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1B6"/>
    <w:rsid w:val="00036039"/>
    <w:rsid w:val="00037F90"/>
    <w:rsid w:val="00084D40"/>
    <w:rsid w:val="000875BF"/>
    <w:rsid w:val="00096D8C"/>
    <w:rsid w:val="000A6F9D"/>
    <w:rsid w:val="000C0B65"/>
    <w:rsid w:val="000E05FE"/>
    <w:rsid w:val="000E3D42"/>
    <w:rsid w:val="000F6BCE"/>
    <w:rsid w:val="001170B5"/>
    <w:rsid w:val="00122BD5"/>
    <w:rsid w:val="00133F79"/>
    <w:rsid w:val="00150D30"/>
    <w:rsid w:val="0017145C"/>
    <w:rsid w:val="001745E1"/>
    <w:rsid w:val="00192AF3"/>
    <w:rsid w:val="00194A66"/>
    <w:rsid w:val="001C7BBB"/>
    <w:rsid w:val="001D6BCF"/>
    <w:rsid w:val="001E01CA"/>
    <w:rsid w:val="00266CB2"/>
    <w:rsid w:val="00275CF5"/>
    <w:rsid w:val="0028301F"/>
    <w:rsid w:val="00285017"/>
    <w:rsid w:val="002A2D2E"/>
    <w:rsid w:val="002C00E8"/>
    <w:rsid w:val="002D633D"/>
    <w:rsid w:val="00343749"/>
    <w:rsid w:val="00363648"/>
    <w:rsid w:val="003660ED"/>
    <w:rsid w:val="003A783A"/>
    <w:rsid w:val="003B0550"/>
    <w:rsid w:val="003B694F"/>
    <w:rsid w:val="003F171C"/>
    <w:rsid w:val="00412FC5"/>
    <w:rsid w:val="00422276"/>
    <w:rsid w:val="004242F1"/>
    <w:rsid w:val="00445A00"/>
    <w:rsid w:val="00451B0F"/>
    <w:rsid w:val="00481C18"/>
    <w:rsid w:val="004C2EE3"/>
    <w:rsid w:val="004E4A22"/>
    <w:rsid w:val="004F7405"/>
    <w:rsid w:val="00510A23"/>
    <w:rsid w:val="00511968"/>
    <w:rsid w:val="0055614C"/>
    <w:rsid w:val="005921A5"/>
    <w:rsid w:val="005D7FF0"/>
    <w:rsid w:val="005E14C2"/>
    <w:rsid w:val="00607919"/>
    <w:rsid w:val="00607BA5"/>
    <w:rsid w:val="0061180A"/>
    <w:rsid w:val="006166B4"/>
    <w:rsid w:val="00626EB6"/>
    <w:rsid w:val="00655D03"/>
    <w:rsid w:val="00683388"/>
    <w:rsid w:val="00683F84"/>
    <w:rsid w:val="00690FF6"/>
    <w:rsid w:val="006A1F49"/>
    <w:rsid w:val="006A6A81"/>
    <w:rsid w:val="006B1456"/>
    <w:rsid w:val="006F7393"/>
    <w:rsid w:val="0070224F"/>
    <w:rsid w:val="007115F7"/>
    <w:rsid w:val="00774FDC"/>
    <w:rsid w:val="00785689"/>
    <w:rsid w:val="0079754B"/>
    <w:rsid w:val="007A1E6D"/>
    <w:rsid w:val="007B0699"/>
    <w:rsid w:val="007B0EB2"/>
    <w:rsid w:val="007D0528"/>
    <w:rsid w:val="007D568C"/>
    <w:rsid w:val="007F413A"/>
    <w:rsid w:val="00810B6F"/>
    <w:rsid w:val="00822CE0"/>
    <w:rsid w:val="00834342"/>
    <w:rsid w:val="00841AB1"/>
    <w:rsid w:val="00866C48"/>
    <w:rsid w:val="00866E5C"/>
    <w:rsid w:val="00881426"/>
    <w:rsid w:val="00890BD3"/>
    <w:rsid w:val="008A4853"/>
    <w:rsid w:val="008C5D67"/>
    <w:rsid w:val="008C68F1"/>
    <w:rsid w:val="00921803"/>
    <w:rsid w:val="00926503"/>
    <w:rsid w:val="009726D8"/>
    <w:rsid w:val="00982136"/>
    <w:rsid w:val="009F76DB"/>
    <w:rsid w:val="00A17DB5"/>
    <w:rsid w:val="00A32C3B"/>
    <w:rsid w:val="00A45F4F"/>
    <w:rsid w:val="00A55390"/>
    <w:rsid w:val="00A600A9"/>
    <w:rsid w:val="00A94510"/>
    <w:rsid w:val="00A96C5B"/>
    <w:rsid w:val="00AA55B7"/>
    <w:rsid w:val="00AA5B9E"/>
    <w:rsid w:val="00AA7A3F"/>
    <w:rsid w:val="00AB2407"/>
    <w:rsid w:val="00AB53DF"/>
    <w:rsid w:val="00AC424B"/>
    <w:rsid w:val="00AF46DC"/>
    <w:rsid w:val="00B07E5C"/>
    <w:rsid w:val="00B20363"/>
    <w:rsid w:val="00B338A9"/>
    <w:rsid w:val="00B679AB"/>
    <w:rsid w:val="00B76DB8"/>
    <w:rsid w:val="00B811F7"/>
    <w:rsid w:val="00BA5DC6"/>
    <w:rsid w:val="00BA6196"/>
    <w:rsid w:val="00BC2965"/>
    <w:rsid w:val="00BC4A89"/>
    <w:rsid w:val="00BC6D8C"/>
    <w:rsid w:val="00C34006"/>
    <w:rsid w:val="00C42190"/>
    <w:rsid w:val="00C426B1"/>
    <w:rsid w:val="00C66160"/>
    <w:rsid w:val="00C721AC"/>
    <w:rsid w:val="00C90D6A"/>
    <w:rsid w:val="00CA247E"/>
    <w:rsid w:val="00CC72B6"/>
    <w:rsid w:val="00CC776F"/>
    <w:rsid w:val="00D0218D"/>
    <w:rsid w:val="00D22E95"/>
    <w:rsid w:val="00D25FB5"/>
    <w:rsid w:val="00D44223"/>
    <w:rsid w:val="00D47505"/>
    <w:rsid w:val="00DA2529"/>
    <w:rsid w:val="00DB130A"/>
    <w:rsid w:val="00DB2EBB"/>
    <w:rsid w:val="00DC10A1"/>
    <w:rsid w:val="00DC655F"/>
    <w:rsid w:val="00DD0B59"/>
    <w:rsid w:val="00DD7EBD"/>
    <w:rsid w:val="00DE4C8D"/>
    <w:rsid w:val="00DF0810"/>
    <w:rsid w:val="00DF62B6"/>
    <w:rsid w:val="00E07225"/>
    <w:rsid w:val="00E11C94"/>
    <w:rsid w:val="00E5409F"/>
    <w:rsid w:val="00EB4ACC"/>
    <w:rsid w:val="00EE6488"/>
    <w:rsid w:val="00F021FA"/>
    <w:rsid w:val="00F221D2"/>
    <w:rsid w:val="00F315AF"/>
    <w:rsid w:val="00F62E97"/>
    <w:rsid w:val="00F64209"/>
    <w:rsid w:val="00F8591E"/>
    <w:rsid w:val="00F93BF5"/>
    <w:rsid w:val="00FA41B6"/>
    <w:rsid w:val="00FB7AEF"/>
    <w:rsid w:val="00FC4E67"/>
    <w:rsid w:val="00FE2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link w:val="FootnoteTextChar1"/>
    <w:rsid w:val="000E3D42"/>
    <w:pPr>
      <w:spacing w:after="120"/>
    </w:pPr>
  </w:style>
  <w:style w:type="character" w:styleId="FootnoteReference">
    <w:name w:val="footnote reference"/>
    <w:aliases w:val="o,fr,Style 3,Appel note de bas de p,(NECG) Footnote Reference,Style 17,FR,Style 12,Style 124"/>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locked/>
    <w:rsid w:val="001714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link w:val="FootnoteTextChar1"/>
    <w:rsid w:val="000E3D42"/>
    <w:pPr>
      <w:spacing w:after="120"/>
    </w:pPr>
  </w:style>
  <w:style w:type="character" w:styleId="FootnoteReference">
    <w:name w:val="footnote reference"/>
    <w:aliases w:val="o,fr,Style 3,Appel note de bas de p,(NECG) Footnote Reference,Style 17,FR,Style 12,Style 124"/>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locked/>
    <w:rsid w:val="001714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2</Pages>
  <Words>589</Words>
  <Characters>3280</Characters>
  <Application>Microsoft Office Word</Application>
  <DocSecurity>0</DocSecurity>
  <Lines>56</Lines>
  <Paragraphs>11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3890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2016-08-26T14:25:00Z</cp:lastPrinted>
  <dcterms:created xsi:type="dcterms:W3CDTF">2016-09-20T13:12:00Z</dcterms:created>
  <dcterms:modified xsi:type="dcterms:W3CDTF">2016-09-20T13:12:00Z</dcterms:modified>
  <cp:category> </cp:category>
  <cp:contentStatus> </cp:contentStatus>
</cp:coreProperties>
</file>