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5A8" w:rsidRPr="0006262F" w:rsidRDefault="004365A8" w:rsidP="004365A8">
      <w:pPr>
        <w:jc w:val="right"/>
        <w:rPr>
          <w:color w:val="000000" w:themeColor="text1"/>
          <w:szCs w:val="22"/>
        </w:rPr>
      </w:pPr>
      <w:bookmarkStart w:id="0" w:name="_GoBack"/>
      <w:bookmarkEnd w:id="0"/>
      <w:r w:rsidRPr="0006262F">
        <w:rPr>
          <w:color w:val="000000" w:themeColor="text1"/>
          <w:szCs w:val="22"/>
        </w:rPr>
        <w:t xml:space="preserve">DA </w:t>
      </w:r>
      <w:r w:rsidR="001A7896" w:rsidRPr="001A7896">
        <w:rPr>
          <w:color w:val="000000" w:themeColor="text1"/>
          <w:szCs w:val="22"/>
        </w:rPr>
        <w:t>16-1034</w:t>
      </w:r>
    </w:p>
    <w:p w:rsidR="004365A8" w:rsidRPr="0006262F" w:rsidRDefault="004365A8" w:rsidP="004365A8">
      <w:pPr>
        <w:jc w:val="right"/>
        <w:rPr>
          <w:color w:val="000000" w:themeColor="text1"/>
          <w:szCs w:val="22"/>
        </w:rPr>
      </w:pPr>
      <w:r w:rsidRPr="0006262F">
        <w:rPr>
          <w:color w:val="000000" w:themeColor="text1"/>
          <w:szCs w:val="22"/>
        </w:rPr>
        <w:t>OMB Control No. 1161</w:t>
      </w:r>
    </w:p>
    <w:p w:rsidR="004365A8" w:rsidRPr="0006262F" w:rsidRDefault="004365A8" w:rsidP="004365A8">
      <w:pPr>
        <w:tabs>
          <w:tab w:val="left" w:pos="6712"/>
          <w:tab w:val="right" w:pos="9450"/>
        </w:tabs>
        <w:rPr>
          <w:color w:val="000000" w:themeColor="text1"/>
          <w:szCs w:val="22"/>
        </w:rPr>
      </w:pPr>
      <w:r w:rsidRPr="0006262F">
        <w:rPr>
          <w:color w:val="000000" w:themeColor="text1"/>
          <w:szCs w:val="22"/>
        </w:rPr>
        <w:tab/>
      </w:r>
      <w:r w:rsidRPr="0006262F">
        <w:rPr>
          <w:color w:val="000000" w:themeColor="text1"/>
          <w:szCs w:val="22"/>
        </w:rPr>
        <w:tab/>
      </w:r>
      <w:r w:rsidR="006C482B" w:rsidRPr="00C75887">
        <w:rPr>
          <w:color w:val="000000" w:themeColor="text1"/>
          <w:szCs w:val="22"/>
        </w:rPr>
        <w:t xml:space="preserve">September </w:t>
      </w:r>
      <w:r w:rsidR="00376DC8">
        <w:rPr>
          <w:color w:val="000000" w:themeColor="text1"/>
          <w:szCs w:val="22"/>
        </w:rPr>
        <w:t>23</w:t>
      </w:r>
      <w:r w:rsidRPr="00C75887">
        <w:rPr>
          <w:color w:val="000000" w:themeColor="text1"/>
          <w:szCs w:val="22"/>
        </w:rPr>
        <w:t>, 2016</w:t>
      </w:r>
    </w:p>
    <w:p w:rsidR="004365A8" w:rsidRPr="0006262F" w:rsidRDefault="004365A8" w:rsidP="004365A8">
      <w:pPr>
        <w:tabs>
          <w:tab w:val="left" w:pos="6060"/>
        </w:tabs>
        <w:rPr>
          <w:color w:val="000000" w:themeColor="text1"/>
          <w:szCs w:val="22"/>
        </w:rPr>
      </w:pPr>
      <w:r w:rsidRPr="0006262F">
        <w:rPr>
          <w:color w:val="000000" w:themeColor="text1"/>
          <w:szCs w:val="22"/>
        </w:rPr>
        <w:tab/>
      </w:r>
    </w:p>
    <w:p w:rsidR="004C7B1E" w:rsidRDefault="004B64E7" w:rsidP="00B10B47">
      <w:pPr>
        <w:jc w:val="center"/>
        <w:rPr>
          <w:b/>
          <w:color w:val="000000" w:themeColor="text1"/>
          <w:szCs w:val="22"/>
        </w:rPr>
      </w:pPr>
      <w:r w:rsidRPr="0006262F">
        <w:rPr>
          <w:b/>
          <w:color w:val="000000" w:themeColor="text1"/>
          <w:szCs w:val="22"/>
        </w:rPr>
        <w:t>CONSTRUCTION FILING GUIDANCE FOR CERTAIN</w:t>
      </w:r>
    </w:p>
    <w:p w:rsidR="004365A8" w:rsidRPr="0006262F" w:rsidRDefault="004B64E7" w:rsidP="00B10B47">
      <w:pPr>
        <w:jc w:val="center"/>
        <w:rPr>
          <w:b/>
          <w:color w:val="000000" w:themeColor="text1"/>
          <w:szCs w:val="22"/>
        </w:rPr>
      </w:pPr>
      <w:r w:rsidRPr="0006262F">
        <w:rPr>
          <w:b/>
          <w:color w:val="000000" w:themeColor="text1"/>
          <w:szCs w:val="22"/>
        </w:rPr>
        <w:t>LOWER 700 MHZ A AND B BLOCK LICENSEES</w:t>
      </w:r>
    </w:p>
    <w:p w:rsidR="004365A8" w:rsidRPr="0006262F" w:rsidRDefault="004365A8" w:rsidP="004365A8">
      <w:pPr>
        <w:jc w:val="center"/>
        <w:rPr>
          <w:b/>
          <w:color w:val="000000" w:themeColor="text1"/>
          <w:szCs w:val="22"/>
        </w:rPr>
      </w:pPr>
    </w:p>
    <w:p w:rsidR="004C7B1E" w:rsidRDefault="004C7B1E" w:rsidP="004365A8">
      <w:pPr>
        <w:ind w:firstLine="720"/>
        <w:rPr>
          <w:color w:val="000000" w:themeColor="text1"/>
          <w:szCs w:val="22"/>
        </w:rPr>
      </w:pPr>
      <w:r>
        <w:rPr>
          <w:color w:val="000000" w:themeColor="text1"/>
          <w:szCs w:val="22"/>
        </w:rPr>
        <w:t>In response to questions received in the course of reviewing construction notifications, this Public Notice provides additional guidance to Lower 700 MHz A and B Block licensees</w:t>
      </w:r>
      <w:r w:rsidRPr="0006262F">
        <w:rPr>
          <w:rStyle w:val="FootnoteReference"/>
          <w:color w:val="000000" w:themeColor="text1"/>
          <w:szCs w:val="22"/>
        </w:rPr>
        <w:footnoteReference w:id="1"/>
      </w:r>
      <w:r>
        <w:rPr>
          <w:color w:val="000000" w:themeColor="text1"/>
          <w:szCs w:val="22"/>
        </w:rPr>
        <w:t xml:space="preserve"> who must file electronic maps demonstrating compliance with their December 13, 2016, construction deadline.  </w:t>
      </w:r>
      <w:r w:rsidRPr="0006262F">
        <w:rPr>
          <w:color w:val="000000" w:themeColor="text1"/>
          <w:szCs w:val="22"/>
        </w:rPr>
        <w:t xml:space="preserve">We encourage licensees to review the information in the 2015 </w:t>
      </w:r>
      <w:r w:rsidRPr="0006262F">
        <w:rPr>
          <w:i/>
          <w:szCs w:val="22"/>
        </w:rPr>
        <w:t xml:space="preserve">700 MHZ Band Licensee Construction Notification </w:t>
      </w:r>
      <w:r w:rsidRPr="0006262F">
        <w:rPr>
          <w:i/>
          <w:color w:val="000000" w:themeColor="text1"/>
          <w:szCs w:val="22"/>
        </w:rPr>
        <w:t>Public Notice</w:t>
      </w:r>
      <w:r w:rsidRPr="0006262F">
        <w:rPr>
          <w:rStyle w:val="FootnoteReference"/>
          <w:szCs w:val="22"/>
        </w:rPr>
        <w:footnoteReference w:id="2"/>
      </w:r>
      <w:r w:rsidRPr="0006262F">
        <w:rPr>
          <w:color w:val="000000" w:themeColor="text1"/>
          <w:szCs w:val="22"/>
        </w:rPr>
        <w:t xml:space="preserve"> and </w:t>
      </w:r>
      <w:r>
        <w:rPr>
          <w:color w:val="000000" w:themeColor="text1"/>
          <w:szCs w:val="22"/>
        </w:rPr>
        <w:t xml:space="preserve">2016 </w:t>
      </w:r>
      <w:r>
        <w:rPr>
          <w:i/>
        </w:rPr>
        <w:t>700 MHz Filing Reminder Public Notice</w:t>
      </w:r>
      <w:r>
        <w:rPr>
          <w:rStyle w:val="FootnoteReference"/>
          <w:color w:val="000000" w:themeColor="text1"/>
          <w:szCs w:val="22"/>
        </w:rPr>
        <w:footnoteReference w:id="3"/>
      </w:r>
      <w:r w:rsidRPr="0006262F">
        <w:rPr>
          <w:color w:val="000000" w:themeColor="text1"/>
          <w:szCs w:val="22"/>
        </w:rPr>
        <w:t xml:space="preserve"> </w:t>
      </w:r>
      <w:r>
        <w:rPr>
          <w:color w:val="000000" w:themeColor="text1"/>
          <w:szCs w:val="22"/>
        </w:rPr>
        <w:t xml:space="preserve">and to </w:t>
      </w:r>
      <w:r w:rsidRPr="0006262F">
        <w:rPr>
          <w:color w:val="000000" w:themeColor="text1"/>
          <w:szCs w:val="22"/>
        </w:rPr>
        <w:t xml:space="preserve">follow the guidance below to help ensure successful filings by licensees and an efficient review by staff.  </w:t>
      </w:r>
    </w:p>
    <w:p w:rsidR="004C7B1E" w:rsidRDefault="004C7B1E" w:rsidP="004365A8">
      <w:pPr>
        <w:ind w:firstLine="720"/>
        <w:rPr>
          <w:color w:val="000000" w:themeColor="text1"/>
          <w:szCs w:val="22"/>
        </w:rPr>
      </w:pPr>
    </w:p>
    <w:p w:rsidR="001B264A" w:rsidRPr="0006262F" w:rsidRDefault="001B264A" w:rsidP="004365A8">
      <w:pPr>
        <w:rPr>
          <w:b/>
          <w:color w:val="000000" w:themeColor="text1"/>
          <w:szCs w:val="22"/>
          <w:u w:val="single"/>
        </w:rPr>
      </w:pPr>
      <w:r w:rsidRPr="0006262F">
        <w:rPr>
          <w:b/>
          <w:color w:val="000000" w:themeColor="text1"/>
          <w:szCs w:val="22"/>
          <w:u w:val="single"/>
        </w:rPr>
        <w:t>Background</w:t>
      </w:r>
    </w:p>
    <w:p w:rsidR="001B264A" w:rsidRPr="0006262F" w:rsidRDefault="001B264A" w:rsidP="004365A8">
      <w:pPr>
        <w:rPr>
          <w:b/>
          <w:color w:val="000000" w:themeColor="text1"/>
          <w:szCs w:val="22"/>
          <w:u w:val="single"/>
        </w:rPr>
      </w:pPr>
    </w:p>
    <w:p w:rsidR="00FA1880" w:rsidRPr="0006262F" w:rsidRDefault="004365A8" w:rsidP="001B264A">
      <w:pPr>
        <w:ind w:firstLine="720"/>
        <w:rPr>
          <w:color w:val="000000" w:themeColor="text1"/>
          <w:szCs w:val="22"/>
        </w:rPr>
      </w:pPr>
      <w:r w:rsidRPr="0006262F">
        <w:rPr>
          <w:color w:val="000000" w:themeColor="text1"/>
          <w:szCs w:val="22"/>
        </w:rPr>
        <w:t xml:space="preserve">In </w:t>
      </w:r>
      <w:r w:rsidR="003D4F94" w:rsidRPr="0006262F">
        <w:rPr>
          <w:color w:val="000000" w:themeColor="text1"/>
          <w:szCs w:val="22"/>
        </w:rPr>
        <w:t xml:space="preserve">the </w:t>
      </w:r>
      <w:r w:rsidRPr="0006262F">
        <w:rPr>
          <w:color w:val="000000" w:themeColor="text1"/>
          <w:szCs w:val="22"/>
        </w:rPr>
        <w:t xml:space="preserve">2007 </w:t>
      </w:r>
      <w:r w:rsidRPr="0006262F">
        <w:rPr>
          <w:i/>
          <w:color w:val="000000" w:themeColor="text1"/>
          <w:szCs w:val="22"/>
        </w:rPr>
        <w:t>700 MHz Second Report and Order</w:t>
      </w:r>
      <w:r w:rsidRPr="0006262F">
        <w:rPr>
          <w:color w:val="000000" w:themeColor="text1"/>
          <w:szCs w:val="22"/>
        </w:rPr>
        <w:t>,</w:t>
      </w:r>
      <w:r w:rsidRPr="0006262F">
        <w:rPr>
          <w:i/>
          <w:color w:val="000000" w:themeColor="text1"/>
          <w:szCs w:val="22"/>
        </w:rPr>
        <w:t xml:space="preserve"> </w:t>
      </w:r>
      <w:r w:rsidRPr="0006262F">
        <w:rPr>
          <w:color w:val="000000" w:themeColor="text1"/>
          <w:szCs w:val="22"/>
        </w:rPr>
        <w:t>the Commission established rules governing wireless licenses in the 700 MHz Band that, among other things, established interim and end-of-term construction benchmarks.</w:t>
      </w:r>
      <w:r w:rsidRPr="0006262F">
        <w:rPr>
          <w:rStyle w:val="FootnoteReference"/>
          <w:color w:val="000000" w:themeColor="text1"/>
          <w:szCs w:val="22"/>
        </w:rPr>
        <w:footnoteReference w:id="4"/>
      </w:r>
      <w:r w:rsidRPr="0006262F">
        <w:rPr>
          <w:color w:val="000000" w:themeColor="text1"/>
          <w:szCs w:val="22"/>
        </w:rPr>
        <w:t xml:space="preserve">  These rules require Lower 700 MHz A, B, and E Block licensees to provide service sufficient to cover 35 percent of the geographic area of their licenses within four years, and 70 percent of this area within ten years (the license term). </w:t>
      </w:r>
      <w:r w:rsidR="003D4F94" w:rsidRPr="0006262F">
        <w:rPr>
          <w:color w:val="000000" w:themeColor="text1"/>
          <w:szCs w:val="22"/>
        </w:rPr>
        <w:t xml:space="preserve"> </w:t>
      </w:r>
      <w:r w:rsidRPr="0006262F">
        <w:rPr>
          <w:color w:val="000000" w:themeColor="text1"/>
          <w:szCs w:val="22"/>
        </w:rPr>
        <w:t>For licensees that fail to meet the applicable interim benchmark, the rules specif</w:t>
      </w:r>
      <w:r w:rsidR="00E91441">
        <w:rPr>
          <w:color w:val="000000" w:themeColor="text1"/>
          <w:szCs w:val="22"/>
        </w:rPr>
        <w:t>y</w:t>
      </w:r>
      <w:r w:rsidRPr="0006262F">
        <w:rPr>
          <w:color w:val="000000" w:themeColor="text1"/>
          <w:szCs w:val="22"/>
        </w:rPr>
        <w:t xml:space="preserve"> that the license term </w:t>
      </w:r>
      <w:r w:rsidR="00E91441">
        <w:rPr>
          <w:color w:val="000000" w:themeColor="text1"/>
          <w:szCs w:val="22"/>
        </w:rPr>
        <w:t>will</w:t>
      </w:r>
      <w:r w:rsidRPr="0006262F">
        <w:rPr>
          <w:color w:val="000000" w:themeColor="text1"/>
          <w:szCs w:val="22"/>
        </w:rPr>
        <w:t xml:space="preserve"> be reduced by two years and that the end-of-term benchmark must be met</w:t>
      </w:r>
      <w:r w:rsidRPr="0006262F">
        <w:rPr>
          <w:b/>
          <w:bCs/>
          <w:i/>
          <w:iCs/>
          <w:color w:val="000000" w:themeColor="text1"/>
          <w:szCs w:val="22"/>
        </w:rPr>
        <w:t xml:space="preserve"> </w:t>
      </w:r>
      <w:r w:rsidRPr="0006262F">
        <w:rPr>
          <w:color w:val="000000" w:themeColor="text1"/>
          <w:szCs w:val="22"/>
        </w:rPr>
        <w:t>within eight years.</w:t>
      </w:r>
      <w:r w:rsidRPr="0006262F">
        <w:rPr>
          <w:rStyle w:val="FootnoteReference"/>
          <w:color w:val="000000" w:themeColor="text1"/>
          <w:szCs w:val="22"/>
        </w:rPr>
        <w:footnoteReference w:id="5"/>
      </w:r>
      <w:r w:rsidRPr="0006262F">
        <w:rPr>
          <w:color w:val="000000" w:themeColor="text1"/>
          <w:szCs w:val="22"/>
        </w:rPr>
        <w:t xml:space="preserve"> </w:t>
      </w:r>
      <w:r w:rsidR="001B264A" w:rsidRPr="0006262F">
        <w:rPr>
          <w:color w:val="000000" w:themeColor="text1"/>
          <w:szCs w:val="22"/>
        </w:rPr>
        <w:t xml:space="preserve"> </w:t>
      </w:r>
      <w:r w:rsidR="00FA1880" w:rsidRPr="0006262F">
        <w:rPr>
          <w:color w:val="000000" w:themeColor="text1"/>
          <w:szCs w:val="22"/>
        </w:rPr>
        <w:br/>
      </w:r>
    </w:p>
    <w:p w:rsidR="004365A8" w:rsidRPr="0006262F" w:rsidRDefault="004365A8" w:rsidP="001B264A">
      <w:pPr>
        <w:ind w:firstLine="720"/>
        <w:rPr>
          <w:color w:val="000000" w:themeColor="text1"/>
          <w:szCs w:val="22"/>
        </w:rPr>
      </w:pPr>
      <w:r w:rsidRPr="0006262F">
        <w:rPr>
          <w:color w:val="000000" w:themeColor="text1"/>
          <w:szCs w:val="22"/>
        </w:rPr>
        <w:t xml:space="preserve">As part of its efforts to promote interoperability in the Lower 700 MHz Band, the Commission released the </w:t>
      </w:r>
      <w:r w:rsidRPr="0006262F">
        <w:rPr>
          <w:i/>
          <w:color w:val="000000" w:themeColor="text1"/>
          <w:szCs w:val="22"/>
        </w:rPr>
        <w:t xml:space="preserve">Interoperability Report and Order </w:t>
      </w:r>
      <w:r w:rsidRPr="0006262F">
        <w:rPr>
          <w:color w:val="000000" w:themeColor="text1"/>
          <w:szCs w:val="22"/>
        </w:rPr>
        <w:t xml:space="preserve">in 2013, which extended the interim construction deadline </w:t>
      </w:r>
      <w:r w:rsidRPr="0006262F">
        <w:rPr>
          <w:color w:val="000000" w:themeColor="text1"/>
          <w:szCs w:val="22"/>
        </w:rPr>
        <w:lastRenderedPageBreak/>
        <w:t xml:space="preserve">for Lower 700 MHz A and B Block licensees </w:t>
      </w:r>
      <w:r w:rsidR="001B264A" w:rsidRPr="0006262F">
        <w:rPr>
          <w:color w:val="000000" w:themeColor="text1"/>
          <w:szCs w:val="22"/>
        </w:rPr>
        <w:t>to December 13, 2016</w:t>
      </w:r>
      <w:r w:rsidR="00FA1880" w:rsidRPr="0006262F">
        <w:rPr>
          <w:color w:val="000000" w:themeColor="text1"/>
          <w:szCs w:val="22"/>
        </w:rPr>
        <w:t>,</w:t>
      </w:r>
      <w:r w:rsidR="001B264A" w:rsidRPr="0006262F">
        <w:rPr>
          <w:rStyle w:val="FootnoteReference"/>
          <w:color w:val="000000" w:themeColor="text1"/>
          <w:szCs w:val="22"/>
        </w:rPr>
        <w:footnoteReference w:id="6"/>
      </w:r>
      <w:r w:rsidR="001B264A" w:rsidRPr="0006262F">
        <w:rPr>
          <w:color w:val="000000" w:themeColor="text1"/>
          <w:szCs w:val="22"/>
        </w:rPr>
        <w:t xml:space="preserve"> </w:t>
      </w:r>
      <w:r w:rsidRPr="0006262F">
        <w:rPr>
          <w:color w:val="000000" w:themeColor="text1"/>
          <w:szCs w:val="22"/>
        </w:rPr>
        <w:t>and removed the interim construction deadline for certain A Block licensees adjacent to Channel 51 operations.</w:t>
      </w:r>
      <w:r w:rsidRPr="0006262F">
        <w:rPr>
          <w:rStyle w:val="FootnoteReference"/>
          <w:color w:val="000000" w:themeColor="text1"/>
          <w:szCs w:val="22"/>
        </w:rPr>
        <w:footnoteReference w:id="7"/>
      </w:r>
      <w:r w:rsidRPr="0006262F">
        <w:rPr>
          <w:color w:val="000000" w:themeColor="text1"/>
          <w:szCs w:val="22"/>
        </w:rPr>
        <w:t xml:space="preserve">  </w:t>
      </w:r>
    </w:p>
    <w:p w:rsidR="004365A8" w:rsidRPr="0006262F" w:rsidRDefault="004365A8" w:rsidP="004365A8">
      <w:pPr>
        <w:rPr>
          <w:b/>
          <w:color w:val="000000" w:themeColor="text1"/>
          <w:szCs w:val="22"/>
          <w:u w:val="single"/>
        </w:rPr>
      </w:pPr>
    </w:p>
    <w:p w:rsidR="00A80A0C" w:rsidRPr="0006262F" w:rsidRDefault="00A80A0C" w:rsidP="00AE3D0B">
      <w:pPr>
        <w:rPr>
          <w:b/>
          <w:szCs w:val="22"/>
          <w:u w:val="single"/>
        </w:rPr>
      </w:pPr>
      <w:r w:rsidRPr="0006262F">
        <w:rPr>
          <w:b/>
          <w:szCs w:val="22"/>
          <w:u w:val="single"/>
        </w:rPr>
        <w:t>Filing Guidance</w:t>
      </w:r>
    </w:p>
    <w:p w:rsidR="00A80A0C" w:rsidRPr="0006262F" w:rsidRDefault="00A80A0C" w:rsidP="00A80A0C">
      <w:pPr>
        <w:pStyle w:val="CommentText"/>
        <w:rPr>
          <w:sz w:val="22"/>
          <w:szCs w:val="22"/>
        </w:rPr>
      </w:pPr>
    </w:p>
    <w:p w:rsidR="00A80A0C" w:rsidRPr="0006262F" w:rsidRDefault="00D46693" w:rsidP="00A80A0C">
      <w:pPr>
        <w:pStyle w:val="CommentText"/>
        <w:ind w:firstLine="720"/>
        <w:rPr>
          <w:sz w:val="22"/>
          <w:szCs w:val="22"/>
        </w:rPr>
      </w:pPr>
      <w:r>
        <w:rPr>
          <w:sz w:val="22"/>
          <w:szCs w:val="22"/>
        </w:rPr>
        <w:t>The information below provides</w:t>
      </w:r>
      <w:r w:rsidR="00A80A0C" w:rsidRPr="0006262F">
        <w:rPr>
          <w:sz w:val="22"/>
          <w:szCs w:val="22"/>
        </w:rPr>
        <w:t xml:space="preserve"> </w:t>
      </w:r>
      <w:r w:rsidR="00E108F3">
        <w:rPr>
          <w:sz w:val="22"/>
          <w:szCs w:val="22"/>
        </w:rPr>
        <w:t xml:space="preserve">licensees with </w:t>
      </w:r>
      <w:r>
        <w:rPr>
          <w:sz w:val="22"/>
          <w:szCs w:val="22"/>
        </w:rPr>
        <w:t>additional</w:t>
      </w:r>
      <w:r w:rsidR="00B41F40">
        <w:rPr>
          <w:sz w:val="22"/>
          <w:szCs w:val="22"/>
        </w:rPr>
        <w:t xml:space="preserve"> </w:t>
      </w:r>
      <w:r w:rsidR="00A80A0C" w:rsidRPr="0006262F">
        <w:rPr>
          <w:sz w:val="22"/>
          <w:szCs w:val="22"/>
        </w:rPr>
        <w:t>clarity on issues related to demonstrating geographic coverage, leveraging the exception for Government Lands, and providing certain technical data.</w:t>
      </w:r>
    </w:p>
    <w:p w:rsidR="00A80A0C" w:rsidRPr="0006262F" w:rsidRDefault="00A80A0C" w:rsidP="00AE3D0B">
      <w:pPr>
        <w:rPr>
          <w:b/>
          <w:szCs w:val="22"/>
          <w:u w:val="single"/>
        </w:rPr>
      </w:pPr>
    </w:p>
    <w:p w:rsidR="00FA1880" w:rsidRPr="0006262F" w:rsidRDefault="006719EF" w:rsidP="00A80A0C">
      <w:pPr>
        <w:ind w:firstLine="720"/>
        <w:rPr>
          <w:szCs w:val="22"/>
          <w:u w:val="single"/>
        </w:rPr>
      </w:pPr>
      <w:r w:rsidRPr="0006262F">
        <w:rPr>
          <w:szCs w:val="22"/>
          <w:u w:val="single"/>
        </w:rPr>
        <w:t xml:space="preserve">Geographic </w:t>
      </w:r>
      <w:r w:rsidR="00F71E89" w:rsidRPr="0006262F">
        <w:rPr>
          <w:szCs w:val="22"/>
          <w:u w:val="single"/>
        </w:rPr>
        <w:t>Coverage</w:t>
      </w:r>
    </w:p>
    <w:p w:rsidR="00AE3D0B" w:rsidRPr="0006262F" w:rsidRDefault="00AE3D0B" w:rsidP="00AE3D0B">
      <w:pPr>
        <w:rPr>
          <w:color w:val="000000" w:themeColor="text1"/>
          <w:szCs w:val="22"/>
        </w:rPr>
      </w:pPr>
    </w:p>
    <w:p w:rsidR="0088568C" w:rsidRPr="00D76A09" w:rsidRDefault="0081109F" w:rsidP="00915D9A">
      <w:pPr>
        <w:ind w:firstLine="720"/>
        <w:rPr>
          <w:szCs w:val="22"/>
        </w:rPr>
      </w:pPr>
      <w:r w:rsidRPr="00D76A09">
        <w:rPr>
          <w:b/>
          <w:bCs/>
        </w:rPr>
        <w:t xml:space="preserve">When </w:t>
      </w:r>
      <w:r w:rsidR="00D46693">
        <w:rPr>
          <w:b/>
          <w:bCs/>
        </w:rPr>
        <w:t>demonstrating</w:t>
      </w:r>
      <w:r w:rsidRPr="00D76A09">
        <w:rPr>
          <w:b/>
          <w:bCs/>
        </w:rPr>
        <w:t xml:space="preserve"> compliance with a geographic benchmark, are the </w:t>
      </w:r>
      <w:r w:rsidRPr="00C669B5">
        <w:rPr>
          <w:b/>
          <w:bCs/>
        </w:rPr>
        <w:t>population benchmark file attributes (</w:t>
      </w:r>
      <w:r w:rsidRPr="00C669B5">
        <w:rPr>
          <w:b/>
          <w:bCs/>
          <w:i/>
        </w:rPr>
        <w:t>i.e.</w:t>
      </w:r>
      <w:r w:rsidRPr="00C669B5">
        <w:rPr>
          <w:b/>
          <w:bCs/>
        </w:rPr>
        <w:t xml:space="preserve">, </w:t>
      </w:r>
      <w:r w:rsidRPr="00D76A09">
        <w:rPr>
          <w:b/>
          <w:bCs/>
        </w:rPr>
        <w:t>“Pop Covered,</w:t>
      </w:r>
      <w:r w:rsidRPr="00C669B5">
        <w:rPr>
          <w:b/>
          <w:bCs/>
        </w:rPr>
        <w:t>” “Total Population,” and “Percentage of Population Covered”) required to be included in the coverage shapefile?</w:t>
      </w:r>
      <w:r w:rsidRPr="00C669B5">
        <w:t>  No.  G</w:t>
      </w:r>
      <w:r w:rsidRPr="00D76A09">
        <w:t xml:space="preserve">eographic benchmark coverage showings should include an attribute table that contains the </w:t>
      </w:r>
      <w:r w:rsidRPr="00C669B5">
        <w:t xml:space="preserve">geographic </w:t>
      </w:r>
      <w:r w:rsidRPr="00D76A09">
        <w:t>coverage area, total area, and the percentage of area covered.</w:t>
      </w:r>
      <w:r w:rsidR="00AD1509" w:rsidRPr="00D76A09">
        <w:rPr>
          <w:rStyle w:val="FootnoteReference"/>
          <w:szCs w:val="22"/>
        </w:rPr>
        <w:footnoteReference w:id="8"/>
      </w:r>
      <w:r w:rsidR="00AD1509" w:rsidRPr="00D76A09">
        <w:rPr>
          <w:szCs w:val="22"/>
        </w:rPr>
        <w:t xml:space="preserve"> </w:t>
      </w:r>
      <w:r w:rsidR="0088568C" w:rsidRPr="00D76A09">
        <w:rPr>
          <w:szCs w:val="22"/>
        </w:rPr>
        <w:t xml:space="preserve">  </w:t>
      </w:r>
    </w:p>
    <w:p w:rsidR="00202F7C" w:rsidRPr="0006262F" w:rsidRDefault="00202F7C" w:rsidP="00AD1509">
      <w:pPr>
        <w:rPr>
          <w:color w:val="000000" w:themeColor="text1"/>
          <w:szCs w:val="22"/>
        </w:rPr>
      </w:pPr>
    </w:p>
    <w:p w:rsidR="00F71E89" w:rsidRPr="0006262F" w:rsidRDefault="006C482B" w:rsidP="00915D9A">
      <w:pPr>
        <w:ind w:firstLine="720"/>
        <w:rPr>
          <w:szCs w:val="22"/>
        </w:rPr>
      </w:pPr>
      <w:r>
        <w:rPr>
          <w:b/>
          <w:szCs w:val="22"/>
        </w:rPr>
        <w:t xml:space="preserve">When </w:t>
      </w:r>
      <w:r w:rsidR="00D46693">
        <w:rPr>
          <w:b/>
          <w:szCs w:val="22"/>
        </w:rPr>
        <w:t>demonstrating coverage within</w:t>
      </w:r>
      <w:r>
        <w:rPr>
          <w:b/>
          <w:szCs w:val="22"/>
        </w:rPr>
        <w:t xml:space="preserve"> a particular </w:t>
      </w:r>
      <w:r w:rsidR="00246FC9">
        <w:rPr>
          <w:b/>
          <w:szCs w:val="22"/>
        </w:rPr>
        <w:t xml:space="preserve">licensed </w:t>
      </w:r>
      <w:r>
        <w:rPr>
          <w:b/>
          <w:szCs w:val="22"/>
        </w:rPr>
        <w:t>market, can the demonstration</w:t>
      </w:r>
      <w:r w:rsidR="001F4F37">
        <w:rPr>
          <w:b/>
          <w:szCs w:val="22"/>
        </w:rPr>
        <w:t xml:space="preserve"> </w:t>
      </w:r>
      <w:r w:rsidR="00202F7C" w:rsidRPr="0006262F">
        <w:rPr>
          <w:b/>
          <w:szCs w:val="22"/>
        </w:rPr>
        <w:t xml:space="preserve">extend </w:t>
      </w:r>
      <w:r>
        <w:rPr>
          <w:b/>
          <w:szCs w:val="22"/>
        </w:rPr>
        <w:t>into other markets</w:t>
      </w:r>
      <w:r w:rsidR="00202F7C" w:rsidRPr="0006262F">
        <w:rPr>
          <w:b/>
          <w:szCs w:val="22"/>
        </w:rPr>
        <w:t>?</w:t>
      </w:r>
      <w:r w:rsidR="00202F7C" w:rsidRPr="0006262F">
        <w:rPr>
          <w:szCs w:val="22"/>
        </w:rPr>
        <w:t xml:space="preserve">  </w:t>
      </w:r>
      <w:r>
        <w:rPr>
          <w:szCs w:val="22"/>
        </w:rPr>
        <w:t xml:space="preserve">No.  </w:t>
      </w:r>
      <w:r w:rsidR="00202F7C" w:rsidRPr="0006262F">
        <w:rPr>
          <w:szCs w:val="22"/>
        </w:rPr>
        <w:t xml:space="preserve">Each </w:t>
      </w:r>
      <w:r>
        <w:rPr>
          <w:szCs w:val="22"/>
        </w:rPr>
        <w:t>filing</w:t>
      </w:r>
      <w:r w:rsidR="00202F7C" w:rsidRPr="0006262F">
        <w:rPr>
          <w:szCs w:val="22"/>
        </w:rPr>
        <w:t xml:space="preserve"> must provide a coverage shapefile that shows where service is provided </w:t>
      </w:r>
      <w:r w:rsidR="00202F7C" w:rsidRPr="0006262F">
        <w:rPr>
          <w:i/>
          <w:szCs w:val="22"/>
        </w:rPr>
        <w:t>only</w:t>
      </w:r>
      <w:r w:rsidR="00202F7C" w:rsidRPr="0006262F">
        <w:rPr>
          <w:szCs w:val="22"/>
        </w:rPr>
        <w:t xml:space="preserve"> within the licensed </w:t>
      </w:r>
      <w:r w:rsidR="00246FC9">
        <w:rPr>
          <w:szCs w:val="22"/>
        </w:rPr>
        <w:t>market</w:t>
      </w:r>
      <w:r w:rsidR="00202F7C" w:rsidRPr="0006262F">
        <w:rPr>
          <w:szCs w:val="22"/>
        </w:rPr>
        <w:t xml:space="preserve">.  </w:t>
      </w:r>
      <w:r w:rsidR="00301A6C">
        <w:rPr>
          <w:szCs w:val="22"/>
        </w:rPr>
        <w:t>For example, if showing construction in Market 1, do not show coverage in adjacent Markets 2 and 3.</w:t>
      </w:r>
    </w:p>
    <w:p w:rsidR="00F71E89" w:rsidRPr="0006262F" w:rsidRDefault="00F71E89" w:rsidP="00AD1509">
      <w:pPr>
        <w:ind w:firstLine="720"/>
        <w:rPr>
          <w:szCs w:val="22"/>
        </w:rPr>
      </w:pPr>
    </w:p>
    <w:p w:rsidR="00F71E89" w:rsidRPr="0006262F" w:rsidRDefault="008139F2" w:rsidP="0028463F">
      <w:pPr>
        <w:ind w:firstLine="720"/>
        <w:rPr>
          <w:szCs w:val="22"/>
        </w:rPr>
      </w:pPr>
      <w:r w:rsidRPr="0006262F">
        <w:rPr>
          <w:b/>
          <w:szCs w:val="22"/>
        </w:rPr>
        <w:t xml:space="preserve">Should </w:t>
      </w:r>
      <w:r w:rsidR="00202F7C" w:rsidRPr="0006262F">
        <w:rPr>
          <w:b/>
          <w:szCs w:val="22"/>
        </w:rPr>
        <w:t xml:space="preserve">all transmitter sites that contribute to the market coverage be shown even if they </w:t>
      </w:r>
      <w:r w:rsidR="00D46693">
        <w:rPr>
          <w:b/>
          <w:szCs w:val="22"/>
        </w:rPr>
        <w:t>are located</w:t>
      </w:r>
      <w:r w:rsidR="00202F7C" w:rsidRPr="0006262F">
        <w:rPr>
          <w:b/>
          <w:szCs w:val="22"/>
        </w:rPr>
        <w:t xml:space="preserve"> outside the </w:t>
      </w:r>
      <w:r w:rsidR="00246FC9">
        <w:rPr>
          <w:b/>
          <w:szCs w:val="22"/>
        </w:rPr>
        <w:t xml:space="preserve">licensed </w:t>
      </w:r>
      <w:r w:rsidR="00202F7C" w:rsidRPr="0006262F">
        <w:rPr>
          <w:b/>
          <w:szCs w:val="22"/>
        </w:rPr>
        <w:t>market?</w:t>
      </w:r>
      <w:r w:rsidR="00202F7C" w:rsidRPr="0006262F">
        <w:rPr>
          <w:szCs w:val="22"/>
        </w:rPr>
        <w:t xml:space="preserve">  </w:t>
      </w:r>
      <w:r w:rsidR="006C482B">
        <w:rPr>
          <w:szCs w:val="22"/>
        </w:rPr>
        <w:t xml:space="preserve">Yes.  </w:t>
      </w:r>
      <w:r w:rsidR="00202F7C" w:rsidRPr="0006262F">
        <w:rPr>
          <w:szCs w:val="22"/>
        </w:rPr>
        <w:t xml:space="preserve">Service from </w:t>
      </w:r>
      <w:r w:rsidR="00D46693">
        <w:rPr>
          <w:szCs w:val="22"/>
        </w:rPr>
        <w:t xml:space="preserve">a licensee’s </w:t>
      </w:r>
      <w:r w:rsidR="00202F7C" w:rsidRPr="0006262F">
        <w:rPr>
          <w:szCs w:val="22"/>
        </w:rPr>
        <w:t>neighboring transmitters should be included in the coverage shapefile.</w:t>
      </w:r>
      <w:r w:rsidR="006C482B">
        <w:rPr>
          <w:szCs w:val="22"/>
        </w:rPr>
        <w:t xml:space="preserve">  However, the filing </w:t>
      </w:r>
      <w:r w:rsidR="00D46693">
        <w:rPr>
          <w:szCs w:val="22"/>
        </w:rPr>
        <w:t>may</w:t>
      </w:r>
      <w:r w:rsidR="006C482B">
        <w:rPr>
          <w:szCs w:val="22"/>
        </w:rPr>
        <w:t xml:space="preserve"> only </w:t>
      </w:r>
      <w:r w:rsidR="00D46693">
        <w:rPr>
          <w:szCs w:val="22"/>
        </w:rPr>
        <w:t>include</w:t>
      </w:r>
      <w:r w:rsidR="006C482B">
        <w:rPr>
          <w:szCs w:val="22"/>
        </w:rPr>
        <w:t xml:space="preserve"> coverage within the license</w:t>
      </w:r>
      <w:r w:rsidR="00246FC9">
        <w:rPr>
          <w:szCs w:val="22"/>
        </w:rPr>
        <w:t>d market</w:t>
      </w:r>
      <w:r w:rsidR="00D46693">
        <w:rPr>
          <w:szCs w:val="22"/>
        </w:rPr>
        <w:t xml:space="preserve"> that is the subject of the filing</w:t>
      </w:r>
      <w:r w:rsidR="006C482B">
        <w:rPr>
          <w:szCs w:val="22"/>
        </w:rPr>
        <w:t>.</w:t>
      </w:r>
    </w:p>
    <w:p w:rsidR="00F71E89" w:rsidRPr="0006262F" w:rsidRDefault="00F71E89" w:rsidP="00AD1509">
      <w:pPr>
        <w:ind w:firstLine="720"/>
        <w:rPr>
          <w:szCs w:val="22"/>
        </w:rPr>
      </w:pPr>
    </w:p>
    <w:p w:rsidR="00202F7C" w:rsidRPr="0006262F" w:rsidRDefault="00202F7C" w:rsidP="00915D9A">
      <w:pPr>
        <w:ind w:firstLine="720"/>
        <w:rPr>
          <w:b/>
          <w:szCs w:val="22"/>
        </w:rPr>
      </w:pPr>
      <w:r w:rsidRPr="0006262F">
        <w:rPr>
          <w:b/>
          <w:szCs w:val="22"/>
        </w:rPr>
        <w:t xml:space="preserve">Can </w:t>
      </w:r>
      <w:r w:rsidR="006C482B">
        <w:rPr>
          <w:b/>
          <w:szCs w:val="22"/>
        </w:rPr>
        <w:t>coverage of government lands be included as part of the demonstration</w:t>
      </w:r>
      <w:r w:rsidR="00915D9A" w:rsidRPr="0006262F">
        <w:rPr>
          <w:b/>
          <w:szCs w:val="22"/>
        </w:rPr>
        <w:t xml:space="preserve">?  </w:t>
      </w:r>
      <w:r w:rsidR="006C482B" w:rsidRPr="00D77677">
        <w:rPr>
          <w:szCs w:val="22"/>
        </w:rPr>
        <w:t>Yes.</w:t>
      </w:r>
      <w:r w:rsidR="006C482B">
        <w:rPr>
          <w:b/>
          <w:szCs w:val="22"/>
        </w:rPr>
        <w:t xml:space="preserve">  </w:t>
      </w:r>
      <w:r w:rsidRPr="0006262F">
        <w:rPr>
          <w:szCs w:val="22"/>
        </w:rPr>
        <w:t>Licensees may count covered government land for purposes of meeting their geographic construction benchmark</w:t>
      </w:r>
      <w:r w:rsidR="00094BB4">
        <w:rPr>
          <w:szCs w:val="22"/>
        </w:rPr>
        <w:t>s</w:t>
      </w:r>
      <w:r w:rsidRPr="0006262F">
        <w:rPr>
          <w:szCs w:val="22"/>
        </w:rPr>
        <w:t xml:space="preserve">, but </w:t>
      </w:r>
      <w:r w:rsidR="004910FC">
        <w:rPr>
          <w:szCs w:val="22"/>
        </w:rPr>
        <w:t xml:space="preserve">if they do so they </w:t>
      </w:r>
      <w:r w:rsidRPr="0006262F">
        <w:rPr>
          <w:szCs w:val="22"/>
        </w:rPr>
        <w:t xml:space="preserve">are </w:t>
      </w:r>
      <w:r w:rsidR="004910FC">
        <w:rPr>
          <w:szCs w:val="22"/>
        </w:rPr>
        <w:t xml:space="preserve">also </w:t>
      </w:r>
      <w:r w:rsidRPr="0006262F">
        <w:rPr>
          <w:szCs w:val="22"/>
        </w:rPr>
        <w:t xml:space="preserve">required to </w:t>
      </w:r>
      <w:r w:rsidR="008139F2" w:rsidRPr="0006262F">
        <w:rPr>
          <w:szCs w:val="22"/>
        </w:rPr>
        <w:t>include</w:t>
      </w:r>
      <w:r w:rsidRPr="0006262F">
        <w:rPr>
          <w:szCs w:val="22"/>
        </w:rPr>
        <w:t xml:space="preserve"> </w:t>
      </w:r>
      <w:r w:rsidR="006C482B">
        <w:rPr>
          <w:szCs w:val="22"/>
        </w:rPr>
        <w:t>that</w:t>
      </w:r>
      <w:r w:rsidR="006C482B" w:rsidRPr="0006262F">
        <w:rPr>
          <w:szCs w:val="22"/>
        </w:rPr>
        <w:t xml:space="preserve"> </w:t>
      </w:r>
      <w:r w:rsidRPr="0006262F">
        <w:rPr>
          <w:szCs w:val="22"/>
        </w:rPr>
        <w:t xml:space="preserve">covered government land </w:t>
      </w:r>
      <w:r w:rsidR="008139F2" w:rsidRPr="0006262F">
        <w:rPr>
          <w:szCs w:val="22"/>
        </w:rPr>
        <w:t>with</w:t>
      </w:r>
      <w:r w:rsidR="006C482B">
        <w:rPr>
          <w:szCs w:val="22"/>
        </w:rPr>
        <w:t>in</w:t>
      </w:r>
      <w:r w:rsidRPr="0006262F">
        <w:rPr>
          <w:szCs w:val="22"/>
        </w:rPr>
        <w:t xml:space="preserve"> the total geographic area </w:t>
      </w:r>
      <w:r w:rsidR="006C482B">
        <w:rPr>
          <w:szCs w:val="22"/>
        </w:rPr>
        <w:t>for purposes of calculating percent covered</w:t>
      </w:r>
      <w:r w:rsidRPr="0006262F">
        <w:rPr>
          <w:szCs w:val="22"/>
        </w:rPr>
        <w:t>.</w:t>
      </w:r>
      <w:r w:rsidRPr="0006262F">
        <w:rPr>
          <w:rStyle w:val="FootnoteReference"/>
          <w:szCs w:val="22"/>
        </w:rPr>
        <w:footnoteReference w:id="9"/>
      </w:r>
      <w:r w:rsidRPr="0006262F">
        <w:rPr>
          <w:szCs w:val="22"/>
        </w:rPr>
        <w:t xml:space="preserve">  </w:t>
      </w:r>
    </w:p>
    <w:p w:rsidR="00202F7C" w:rsidRPr="0006262F" w:rsidRDefault="00202F7C" w:rsidP="00202F7C">
      <w:pPr>
        <w:rPr>
          <w:szCs w:val="22"/>
        </w:rPr>
      </w:pPr>
    </w:p>
    <w:p w:rsidR="00202F7C" w:rsidRPr="00413F18" w:rsidRDefault="00202F7C" w:rsidP="00413F18">
      <w:pPr>
        <w:ind w:firstLine="720"/>
        <w:rPr>
          <w:szCs w:val="22"/>
          <w:u w:val="single"/>
        </w:rPr>
      </w:pPr>
      <w:r w:rsidRPr="00413F18">
        <w:rPr>
          <w:szCs w:val="22"/>
          <w:u w:val="single"/>
        </w:rPr>
        <w:t>Government Lands</w:t>
      </w:r>
    </w:p>
    <w:p w:rsidR="00202F7C" w:rsidRPr="0006262F" w:rsidRDefault="00202F7C" w:rsidP="00202F7C">
      <w:pPr>
        <w:rPr>
          <w:szCs w:val="22"/>
        </w:rPr>
      </w:pPr>
    </w:p>
    <w:p w:rsidR="00915D9A" w:rsidRPr="0006262F" w:rsidRDefault="00202F7C" w:rsidP="004C15B5">
      <w:pPr>
        <w:ind w:firstLine="720"/>
        <w:rPr>
          <w:szCs w:val="22"/>
        </w:rPr>
      </w:pPr>
      <w:r w:rsidRPr="0006262F">
        <w:rPr>
          <w:szCs w:val="22"/>
        </w:rPr>
        <w:t xml:space="preserve">Government lands may be excluded from the total licensed area when </w:t>
      </w:r>
      <w:r w:rsidR="00094BB4">
        <w:rPr>
          <w:szCs w:val="22"/>
        </w:rPr>
        <w:t>demonstrating compliance with</w:t>
      </w:r>
      <w:r w:rsidRPr="0006262F">
        <w:rPr>
          <w:szCs w:val="22"/>
        </w:rPr>
        <w:t xml:space="preserve"> geographic benchmarks.</w:t>
      </w:r>
      <w:r w:rsidR="00675A5E">
        <w:rPr>
          <w:szCs w:val="22"/>
        </w:rPr>
        <w:t xml:space="preserve"> </w:t>
      </w:r>
      <w:r w:rsidRPr="0006262F">
        <w:rPr>
          <w:szCs w:val="22"/>
        </w:rPr>
        <w:t xml:space="preserve"> Government lands include areas that are owned or administered by the Federal Government, including the Bureau of Land Management, the Bureau of Reclamation, the U.S. Department of Agriculture’s Forest Service, the Department of Defense, the U.S. Fish and Wildlife Service, the National Park Service, the Tennessee Valley Authority, and other agencies and governmental entities, as well as areas that are owned or managed by individual states.</w:t>
      </w:r>
      <w:r w:rsidRPr="0006262F">
        <w:rPr>
          <w:rStyle w:val="FootnoteReference"/>
          <w:szCs w:val="22"/>
        </w:rPr>
        <w:footnoteReference w:id="10"/>
      </w:r>
      <w:r w:rsidRPr="0006262F">
        <w:rPr>
          <w:szCs w:val="22"/>
        </w:rPr>
        <w:t xml:space="preserve">  The FCC uses a government land shapefile downloaded from </w:t>
      </w:r>
      <w:hyperlink r:id="rId8" w:history="1">
        <w:r w:rsidRPr="0006262F">
          <w:rPr>
            <w:rStyle w:val="Hyperlink"/>
            <w:szCs w:val="22"/>
          </w:rPr>
          <w:t>http://gapanalysis.usgs.gov/padus/data/download/</w:t>
        </w:r>
      </w:hyperlink>
      <w:r w:rsidRPr="0006262F">
        <w:rPr>
          <w:szCs w:val="22"/>
        </w:rPr>
        <w:t xml:space="preserve">.  </w:t>
      </w:r>
    </w:p>
    <w:p w:rsidR="00915D9A" w:rsidRPr="0006262F" w:rsidRDefault="00915D9A" w:rsidP="004C15B5">
      <w:pPr>
        <w:ind w:firstLine="720"/>
        <w:rPr>
          <w:szCs w:val="22"/>
        </w:rPr>
      </w:pPr>
    </w:p>
    <w:p w:rsidR="00915D9A" w:rsidRPr="0006262F" w:rsidRDefault="000146AF" w:rsidP="00915D9A">
      <w:pPr>
        <w:ind w:firstLine="720"/>
        <w:rPr>
          <w:szCs w:val="22"/>
        </w:rPr>
      </w:pPr>
      <w:r w:rsidRPr="0006262F">
        <w:rPr>
          <w:b/>
          <w:szCs w:val="22"/>
        </w:rPr>
        <w:t xml:space="preserve">Should </w:t>
      </w:r>
      <w:r w:rsidR="00094BB4">
        <w:rPr>
          <w:b/>
          <w:szCs w:val="22"/>
        </w:rPr>
        <w:t xml:space="preserve">the coverage demonstration include </w:t>
      </w:r>
      <w:r w:rsidR="00202F7C" w:rsidRPr="0006262F">
        <w:rPr>
          <w:b/>
          <w:szCs w:val="22"/>
        </w:rPr>
        <w:t xml:space="preserve">government </w:t>
      </w:r>
      <w:r w:rsidR="00094BB4">
        <w:rPr>
          <w:b/>
          <w:szCs w:val="22"/>
        </w:rPr>
        <w:t>lands</w:t>
      </w:r>
      <w:r w:rsidR="00202F7C" w:rsidRPr="0006262F">
        <w:rPr>
          <w:b/>
          <w:szCs w:val="22"/>
        </w:rPr>
        <w:t xml:space="preserve"> </w:t>
      </w:r>
      <w:r w:rsidR="00094BB4">
        <w:rPr>
          <w:b/>
          <w:szCs w:val="22"/>
        </w:rPr>
        <w:t xml:space="preserve">that </w:t>
      </w:r>
      <w:r w:rsidR="00202F7C" w:rsidRPr="0006262F">
        <w:rPr>
          <w:b/>
          <w:szCs w:val="22"/>
        </w:rPr>
        <w:t xml:space="preserve">extend over the </w:t>
      </w:r>
      <w:r w:rsidR="00094BB4">
        <w:rPr>
          <w:b/>
          <w:szCs w:val="22"/>
        </w:rPr>
        <w:t xml:space="preserve">licensed </w:t>
      </w:r>
      <w:r w:rsidR="00202F7C" w:rsidRPr="0006262F">
        <w:rPr>
          <w:b/>
          <w:szCs w:val="22"/>
        </w:rPr>
        <w:t xml:space="preserve">market </w:t>
      </w:r>
      <w:r w:rsidR="00094BB4">
        <w:rPr>
          <w:b/>
          <w:szCs w:val="22"/>
        </w:rPr>
        <w:t>boundary</w:t>
      </w:r>
      <w:r w:rsidR="00202F7C" w:rsidRPr="0006262F">
        <w:rPr>
          <w:b/>
          <w:szCs w:val="22"/>
        </w:rPr>
        <w:t>?</w:t>
      </w:r>
      <w:r w:rsidR="00202F7C" w:rsidRPr="0006262F">
        <w:rPr>
          <w:szCs w:val="22"/>
        </w:rPr>
        <w:t xml:space="preserve">  </w:t>
      </w:r>
      <w:r w:rsidR="00094BB4">
        <w:rPr>
          <w:szCs w:val="22"/>
        </w:rPr>
        <w:t>Only include those portions of government lands within the licensed market</w:t>
      </w:r>
      <w:r w:rsidR="00202F7C" w:rsidRPr="0006262F">
        <w:rPr>
          <w:szCs w:val="22"/>
        </w:rPr>
        <w:t xml:space="preserve"> for purpose</w:t>
      </w:r>
      <w:r w:rsidR="00094BB4">
        <w:rPr>
          <w:szCs w:val="22"/>
        </w:rPr>
        <w:t>s</w:t>
      </w:r>
      <w:r w:rsidR="00202F7C" w:rsidRPr="0006262F">
        <w:rPr>
          <w:szCs w:val="22"/>
        </w:rPr>
        <w:t xml:space="preserve"> of submi</w:t>
      </w:r>
      <w:r w:rsidR="00094BB4">
        <w:rPr>
          <w:szCs w:val="22"/>
        </w:rPr>
        <w:t>tting</w:t>
      </w:r>
      <w:r w:rsidR="00202F7C" w:rsidRPr="0006262F">
        <w:rPr>
          <w:szCs w:val="22"/>
        </w:rPr>
        <w:t xml:space="preserve"> shapefiles and </w:t>
      </w:r>
      <w:r w:rsidR="00094BB4">
        <w:rPr>
          <w:szCs w:val="22"/>
        </w:rPr>
        <w:t xml:space="preserve">making coverage </w:t>
      </w:r>
      <w:r w:rsidR="00202F7C" w:rsidRPr="0006262F">
        <w:rPr>
          <w:szCs w:val="22"/>
        </w:rPr>
        <w:t xml:space="preserve">calculations.  </w:t>
      </w:r>
    </w:p>
    <w:p w:rsidR="00915D9A" w:rsidRPr="0006262F" w:rsidRDefault="00915D9A" w:rsidP="004C15B5">
      <w:pPr>
        <w:ind w:firstLine="720"/>
        <w:rPr>
          <w:szCs w:val="22"/>
        </w:rPr>
      </w:pPr>
    </w:p>
    <w:p w:rsidR="00202F7C" w:rsidRPr="0006262F" w:rsidRDefault="00202F7C" w:rsidP="004C15B5">
      <w:pPr>
        <w:ind w:firstLine="720"/>
        <w:rPr>
          <w:szCs w:val="22"/>
        </w:rPr>
      </w:pPr>
      <w:r w:rsidRPr="0006262F">
        <w:rPr>
          <w:b/>
          <w:szCs w:val="22"/>
        </w:rPr>
        <w:t xml:space="preserve">If the physical layers of federal and state government lands overlap, which physical layers should be included in the attribute table?  </w:t>
      </w:r>
      <w:r w:rsidR="00947FC5" w:rsidRPr="00947FC5">
        <w:t>The attribute table should include all government lands that are being excluded.  If there is an overlap, include all federal lands and the non-overlapping state</w:t>
      </w:r>
      <w:r w:rsidR="00675A5E">
        <w:t xml:space="preserve"> lands (or vice versa</w:t>
      </w:r>
      <w:r w:rsidR="00E75FCF">
        <w:t>)</w:t>
      </w:r>
      <w:r w:rsidR="00675A5E">
        <w:t>.</w:t>
      </w:r>
      <w:r w:rsidR="00E75FCF">
        <w:t xml:space="preserve">  Note: </w:t>
      </w:r>
      <w:r w:rsidR="00947FC5" w:rsidRPr="00947FC5">
        <w:t>when calculating the square mileage of government lands for exclusion, lands that overlap cannot be counted twice.  For example, if a 10 square mile state government land overlaps a 10 square mile federal government land by 5 square miles, then you may count the 10 square miles of federal land and the 5 square miles of state land that do not overlap (or vice versa); this must then be properly reflected in the attribute table.  In addition, each of the excluded government lands in the attribute table should include the primary designation name, for example, Yellowstone National Park.</w:t>
      </w:r>
    </w:p>
    <w:p w:rsidR="00202F7C" w:rsidRPr="0006262F" w:rsidRDefault="00202F7C" w:rsidP="00202F7C">
      <w:pPr>
        <w:rPr>
          <w:szCs w:val="22"/>
        </w:rPr>
      </w:pPr>
    </w:p>
    <w:p w:rsidR="00D611DC" w:rsidRDefault="00202F7C" w:rsidP="004B1517">
      <w:pPr>
        <w:ind w:firstLine="720"/>
        <w:rPr>
          <w:szCs w:val="22"/>
          <w:u w:val="single"/>
        </w:rPr>
      </w:pPr>
      <w:r w:rsidRPr="00413F18">
        <w:rPr>
          <w:szCs w:val="22"/>
          <w:u w:val="single"/>
        </w:rPr>
        <w:t>Exhibits</w:t>
      </w:r>
      <w:r w:rsidR="001A7896">
        <w:rPr>
          <w:szCs w:val="22"/>
          <w:u w:val="single"/>
        </w:rPr>
        <w:t xml:space="preserve"> and </w:t>
      </w:r>
      <w:r w:rsidRPr="00413F18">
        <w:rPr>
          <w:szCs w:val="22"/>
          <w:u w:val="single"/>
        </w:rPr>
        <w:t xml:space="preserve">Information </w:t>
      </w:r>
    </w:p>
    <w:p w:rsidR="004B1517" w:rsidRPr="004B1517" w:rsidRDefault="004B1517" w:rsidP="004B1517">
      <w:pPr>
        <w:ind w:firstLine="720"/>
        <w:rPr>
          <w:szCs w:val="22"/>
          <w:u w:val="single"/>
        </w:rPr>
      </w:pPr>
    </w:p>
    <w:p w:rsidR="002A5CBB" w:rsidRPr="00D76A09" w:rsidRDefault="002A5CBB" w:rsidP="00D76A09">
      <w:pPr>
        <w:spacing w:after="160" w:line="259" w:lineRule="auto"/>
        <w:ind w:firstLine="720"/>
        <w:rPr>
          <w:szCs w:val="22"/>
        </w:rPr>
      </w:pPr>
      <w:r w:rsidRPr="0006262F">
        <w:rPr>
          <w:b/>
          <w:szCs w:val="22"/>
        </w:rPr>
        <w:t xml:space="preserve">The </w:t>
      </w:r>
      <w:r w:rsidRPr="0006262F">
        <w:rPr>
          <w:b/>
          <w:i/>
          <w:szCs w:val="22"/>
        </w:rPr>
        <w:t>700 MH</w:t>
      </w:r>
      <w:r>
        <w:rPr>
          <w:b/>
          <w:i/>
          <w:szCs w:val="22"/>
        </w:rPr>
        <w:t>z</w:t>
      </w:r>
      <w:r w:rsidRPr="0006262F">
        <w:rPr>
          <w:b/>
          <w:i/>
          <w:szCs w:val="22"/>
        </w:rPr>
        <w:t xml:space="preserve"> Band Licensee Construction Notification Public Notice</w:t>
      </w:r>
      <w:r w:rsidRPr="0006262F">
        <w:rPr>
          <w:b/>
          <w:szCs w:val="22"/>
        </w:rPr>
        <w:t xml:space="preserve"> states </w:t>
      </w:r>
      <w:r>
        <w:rPr>
          <w:b/>
          <w:szCs w:val="22"/>
        </w:rPr>
        <w:t xml:space="preserve">that </w:t>
      </w:r>
      <w:r w:rsidRPr="002A5CBB">
        <w:rPr>
          <w:b/>
          <w:szCs w:val="22"/>
        </w:rPr>
        <w:t xml:space="preserve">when a licensee seeks confidentiality of a shapefile map, the PDF version of the map will </w:t>
      </w:r>
      <w:r w:rsidR="00094BB4">
        <w:rPr>
          <w:b/>
          <w:szCs w:val="22"/>
        </w:rPr>
        <w:t xml:space="preserve">serve as the publicly-available, </w:t>
      </w:r>
      <w:r w:rsidRPr="002A5CBB">
        <w:rPr>
          <w:b/>
          <w:szCs w:val="22"/>
        </w:rPr>
        <w:t>redacted version</w:t>
      </w:r>
      <w:r w:rsidR="00094BB4">
        <w:rPr>
          <w:b/>
          <w:szCs w:val="22"/>
        </w:rPr>
        <w:t xml:space="preserve"> </w:t>
      </w:r>
      <w:r w:rsidRPr="002A5CBB">
        <w:rPr>
          <w:b/>
          <w:szCs w:val="22"/>
        </w:rPr>
        <w:t>of the shapefile.</w:t>
      </w:r>
      <w:r w:rsidR="00A32263">
        <w:rPr>
          <w:rStyle w:val="FootnoteReference"/>
          <w:b/>
          <w:szCs w:val="22"/>
        </w:rPr>
        <w:footnoteReference w:id="11"/>
      </w:r>
      <w:r w:rsidR="00D46CD6">
        <w:rPr>
          <w:b/>
          <w:szCs w:val="22"/>
        </w:rPr>
        <w:t xml:space="preserve">  Must the PDF version of </w:t>
      </w:r>
      <w:r w:rsidR="00094BB4">
        <w:rPr>
          <w:b/>
          <w:szCs w:val="22"/>
        </w:rPr>
        <w:t xml:space="preserve">the </w:t>
      </w:r>
      <w:r w:rsidRPr="002A5CBB">
        <w:rPr>
          <w:b/>
          <w:szCs w:val="22"/>
        </w:rPr>
        <w:t xml:space="preserve">map </w:t>
      </w:r>
      <w:r w:rsidR="00D46CD6">
        <w:rPr>
          <w:b/>
          <w:szCs w:val="22"/>
        </w:rPr>
        <w:t>include</w:t>
      </w:r>
      <w:r w:rsidRPr="002A5CBB">
        <w:rPr>
          <w:b/>
          <w:szCs w:val="22"/>
        </w:rPr>
        <w:t xml:space="preserve"> </w:t>
      </w:r>
      <w:r w:rsidR="00D46CD6">
        <w:rPr>
          <w:b/>
          <w:szCs w:val="22"/>
        </w:rPr>
        <w:t>t</w:t>
      </w:r>
      <w:r w:rsidRPr="002A5CBB">
        <w:rPr>
          <w:b/>
          <w:szCs w:val="22"/>
        </w:rPr>
        <w:t xml:space="preserve">ransmitter </w:t>
      </w:r>
      <w:r w:rsidR="00D46CD6">
        <w:rPr>
          <w:b/>
          <w:szCs w:val="22"/>
        </w:rPr>
        <w:t>s</w:t>
      </w:r>
      <w:r w:rsidRPr="002A5CBB">
        <w:rPr>
          <w:b/>
          <w:szCs w:val="22"/>
        </w:rPr>
        <w:t>ite</w:t>
      </w:r>
      <w:r w:rsidR="00D46CD6">
        <w:rPr>
          <w:b/>
          <w:szCs w:val="22"/>
        </w:rPr>
        <w:t>s</w:t>
      </w:r>
      <w:r w:rsidRPr="002A5CBB">
        <w:rPr>
          <w:b/>
          <w:szCs w:val="22"/>
        </w:rPr>
        <w:t>?</w:t>
      </w:r>
      <w:r w:rsidR="00D46CD6">
        <w:rPr>
          <w:b/>
          <w:szCs w:val="22"/>
        </w:rPr>
        <w:t xml:space="preserve">  </w:t>
      </w:r>
      <w:r w:rsidR="00D46CD6">
        <w:rPr>
          <w:szCs w:val="22"/>
        </w:rPr>
        <w:t xml:space="preserve">Yes.  </w:t>
      </w:r>
      <w:r w:rsidR="003B0AD2">
        <w:rPr>
          <w:szCs w:val="22"/>
        </w:rPr>
        <w:t>This approach discloses for public inspection basic information on the extent of coverage and transmitter locations, while allowing licensees to seek confidential treatment of highly accurate and machine-readable location information contained in the shapefile map.</w:t>
      </w:r>
    </w:p>
    <w:p w:rsidR="00202F7C" w:rsidRPr="0006262F" w:rsidRDefault="003B0AD2" w:rsidP="002A5CBB">
      <w:pPr>
        <w:spacing w:after="160" w:line="259" w:lineRule="auto"/>
        <w:ind w:firstLine="720"/>
        <w:rPr>
          <w:szCs w:val="22"/>
        </w:rPr>
      </w:pPr>
      <w:r>
        <w:rPr>
          <w:b/>
          <w:szCs w:val="22"/>
        </w:rPr>
        <w:t>With respect to submitting shapefiles, c</w:t>
      </w:r>
      <w:r w:rsidR="00202F7C" w:rsidRPr="0006262F">
        <w:rPr>
          <w:b/>
          <w:szCs w:val="22"/>
        </w:rPr>
        <w:t xml:space="preserve">an all three files </w:t>
      </w:r>
      <w:r w:rsidR="000146AF" w:rsidRPr="0006262F">
        <w:rPr>
          <w:b/>
          <w:szCs w:val="22"/>
        </w:rPr>
        <w:t xml:space="preserve">be zipped </w:t>
      </w:r>
      <w:r w:rsidR="00202F7C" w:rsidRPr="0006262F">
        <w:rPr>
          <w:b/>
          <w:szCs w:val="22"/>
        </w:rPr>
        <w:t xml:space="preserve">together or </w:t>
      </w:r>
      <w:r w:rsidR="000146AF" w:rsidRPr="0006262F">
        <w:rPr>
          <w:b/>
          <w:szCs w:val="22"/>
        </w:rPr>
        <w:t>should</w:t>
      </w:r>
      <w:r w:rsidR="00202F7C" w:rsidRPr="0006262F">
        <w:rPr>
          <w:b/>
          <w:szCs w:val="22"/>
        </w:rPr>
        <w:t xml:space="preserve"> we create a separate </w:t>
      </w:r>
      <w:r w:rsidR="006C482B">
        <w:rPr>
          <w:b/>
          <w:szCs w:val="22"/>
        </w:rPr>
        <w:t>“</w:t>
      </w:r>
      <w:r w:rsidR="00202F7C" w:rsidRPr="0006262F">
        <w:rPr>
          <w:b/>
          <w:szCs w:val="22"/>
        </w:rPr>
        <w:t>.region</w:t>
      </w:r>
      <w:r w:rsidR="006C482B">
        <w:rPr>
          <w:b/>
          <w:szCs w:val="22"/>
        </w:rPr>
        <w:t>”</w:t>
      </w:r>
      <w:r w:rsidR="00202F7C" w:rsidRPr="0006262F">
        <w:rPr>
          <w:b/>
          <w:szCs w:val="22"/>
        </w:rPr>
        <w:t xml:space="preserve"> file and a </w:t>
      </w:r>
      <w:r>
        <w:rPr>
          <w:b/>
          <w:szCs w:val="22"/>
        </w:rPr>
        <w:t>“</w:t>
      </w:r>
      <w:r w:rsidR="00202F7C" w:rsidRPr="0006262F">
        <w:rPr>
          <w:b/>
          <w:szCs w:val="22"/>
        </w:rPr>
        <w:t>.point file</w:t>
      </w:r>
      <w:r>
        <w:rPr>
          <w:b/>
          <w:szCs w:val="22"/>
        </w:rPr>
        <w:t>”</w:t>
      </w:r>
      <w:r w:rsidR="00202F7C" w:rsidRPr="0006262F">
        <w:rPr>
          <w:b/>
          <w:szCs w:val="22"/>
        </w:rPr>
        <w:t>?</w:t>
      </w:r>
      <w:r w:rsidR="00202F7C" w:rsidRPr="0006262F">
        <w:rPr>
          <w:szCs w:val="22"/>
        </w:rPr>
        <w:t xml:space="preserve">  </w:t>
      </w:r>
      <w:r>
        <w:rPr>
          <w:szCs w:val="22"/>
        </w:rPr>
        <w:t xml:space="preserve">Yes.  </w:t>
      </w:r>
      <w:r w:rsidR="00202F7C" w:rsidRPr="0006262F">
        <w:rPr>
          <w:szCs w:val="22"/>
        </w:rPr>
        <w:t xml:space="preserve">When uploading shapefiles in ULS, you </w:t>
      </w:r>
      <w:r w:rsidR="000146AF" w:rsidRPr="0006262F">
        <w:rPr>
          <w:szCs w:val="22"/>
        </w:rPr>
        <w:t>may</w:t>
      </w:r>
      <w:r w:rsidR="00202F7C" w:rsidRPr="0006262F">
        <w:rPr>
          <w:szCs w:val="22"/>
        </w:rPr>
        <w:t xml:space="preserve"> zip the Signal Coverage file, Excluded Federal/State Government Lands file, and Transmitter Site(s) file into </w:t>
      </w:r>
      <w:r>
        <w:rPr>
          <w:szCs w:val="22"/>
        </w:rPr>
        <w:t>a single</w:t>
      </w:r>
      <w:r w:rsidR="00202F7C" w:rsidRPr="0006262F">
        <w:rPr>
          <w:szCs w:val="22"/>
        </w:rPr>
        <w:t xml:space="preserve"> zip file labeled as </w:t>
      </w:r>
      <w:r>
        <w:rPr>
          <w:szCs w:val="22"/>
        </w:rPr>
        <w:t>“</w:t>
      </w:r>
      <w:r w:rsidR="00202F7C" w:rsidRPr="0006262F">
        <w:rPr>
          <w:szCs w:val="22"/>
        </w:rPr>
        <w:t>Shapefiles</w:t>
      </w:r>
      <w:r>
        <w:rPr>
          <w:szCs w:val="22"/>
        </w:rPr>
        <w:t>”</w:t>
      </w:r>
      <w:r w:rsidR="00202F7C" w:rsidRPr="0006262F">
        <w:rPr>
          <w:szCs w:val="22"/>
        </w:rPr>
        <w:t>.</w:t>
      </w:r>
    </w:p>
    <w:p w:rsidR="00350A80" w:rsidRPr="0006262F" w:rsidRDefault="00350A80" w:rsidP="006431FB">
      <w:pPr>
        <w:ind w:firstLine="720"/>
        <w:rPr>
          <w:b/>
          <w:szCs w:val="22"/>
        </w:rPr>
      </w:pPr>
      <w:r w:rsidRPr="0006262F">
        <w:rPr>
          <w:b/>
          <w:szCs w:val="22"/>
        </w:rPr>
        <w:t xml:space="preserve">The </w:t>
      </w:r>
      <w:r w:rsidR="0006262F" w:rsidRPr="0006262F">
        <w:rPr>
          <w:b/>
          <w:i/>
          <w:szCs w:val="22"/>
        </w:rPr>
        <w:t>700 MH</w:t>
      </w:r>
      <w:r w:rsidR="006C482B">
        <w:rPr>
          <w:b/>
          <w:i/>
          <w:szCs w:val="22"/>
        </w:rPr>
        <w:t>z</w:t>
      </w:r>
      <w:r w:rsidR="0006262F" w:rsidRPr="0006262F">
        <w:rPr>
          <w:b/>
          <w:i/>
          <w:szCs w:val="22"/>
        </w:rPr>
        <w:t xml:space="preserve"> Band Licensee Construction Notification Public Notice</w:t>
      </w:r>
      <w:r w:rsidR="00C922CF" w:rsidRPr="0006262F">
        <w:rPr>
          <w:b/>
          <w:szCs w:val="22"/>
        </w:rPr>
        <w:t xml:space="preserve"> </w:t>
      </w:r>
      <w:r w:rsidRPr="0006262F">
        <w:rPr>
          <w:b/>
          <w:szCs w:val="22"/>
        </w:rPr>
        <w:t xml:space="preserve">states we must show </w:t>
      </w:r>
      <w:r w:rsidR="006431FB" w:rsidRPr="0006262F">
        <w:rPr>
          <w:b/>
          <w:szCs w:val="22"/>
        </w:rPr>
        <w:t>Received Signal Strength Indicator (RSSI)</w:t>
      </w:r>
      <w:r w:rsidRPr="0006262F">
        <w:rPr>
          <w:b/>
          <w:szCs w:val="22"/>
        </w:rPr>
        <w:t xml:space="preserve"> on the maps.</w:t>
      </w:r>
      <w:r w:rsidR="00D112EA" w:rsidRPr="00D112EA">
        <w:rPr>
          <w:rStyle w:val="FootnoteReference"/>
          <w:b/>
        </w:rPr>
        <w:footnoteReference w:id="12"/>
      </w:r>
      <w:r w:rsidRPr="0006262F">
        <w:rPr>
          <w:b/>
          <w:szCs w:val="22"/>
        </w:rPr>
        <w:t xml:space="preserve">  However, </w:t>
      </w:r>
      <w:r w:rsidR="000146AF" w:rsidRPr="0006262F">
        <w:rPr>
          <w:b/>
          <w:szCs w:val="22"/>
        </w:rPr>
        <w:t xml:space="preserve">if </w:t>
      </w:r>
      <w:r w:rsidR="005153FB" w:rsidRPr="0006262F">
        <w:rPr>
          <w:b/>
          <w:szCs w:val="22"/>
        </w:rPr>
        <w:t>RSSI</w:t>
      </w:r>
      <w:r w:rsidRPr="0006262F">
        <w:rPr>
          <w:b/>
          <w:szCs w:val="22"/>
        </w:rPr>
        <w:t xml:space="preserve"> doesn’t accurately reflect our system</w:t>
      </w:r>
      <w:r w:rsidR="000146AF" w:rsidRPr="0006262F">
        <w:rPr>
          <w:b/>
          <w:szCs w:val="22"/>
        </w:rPr>
        <w:t>,</w:t>
      </w:r>
      <w:r w:rsidRPr="0006262F">
        <w:rPr>
          <w:b/>
          <w:szCs w:val="22"/>
        </w:rPr>
        <w:t xml:space="preserve"> </w:t>
      </w:r>
      <w:r w:rsidR="000146AF" w:rsidRPr="0006262F">
        <w:rPr>
          <w:b/>
          <w:szCs w:val="22"/>
        </w:rPr>
        <w:t>c</w:t>
      </w:r>
      <w:r w:rsidRPr="0006262F">
        <w:rPr>
          <w:b/>
          <w:szCs w:val="22"/>
        </w:rPr>
        <w:t>an we show an alternative</w:t>
      </w:r>
      <w:r w:rsidR="005153FB" w:rsidRPr="0006262F">
        <w:rPr>
          <w:b/>
          <w:szCs w:val="22"/>
        </w:rPr>
        <w:t xml:space="preserve"> measurement</w:t>
      </w:r>
      <w:r w:rsidRPr="0006262F">
        <w:rPr>
          <w:b/>
          <w:szCs w:val="22"/>
        </w:rPr>
        <w:t xml:space="preserve">? </w:t>
      </w:r>
      <w:r w:rsidR="002B7E60" w:rsidRPr="0006262F">
        <w:rPr>
          <w:b/>
          <w:szCs w:val="22"/>
        </w:rPr>
        <w:t xml:space="preserve"> </w:t>
      </w:r>
      <w:r w:rsidRPr="0006262F">
        <w:rPr>
          <w:b/>
          <w:szCs w:val="22"/>
        </w:rPr>
        <w:t>If yes, what is required?</w:t>
      </w:r>
      <w:r w:rsidR="006431FB" w:rsidRPr="0006262F">
        <w:rPr>
          <w:b/>
          <w:szCs w:val="22"/>
        </w:rPr>
        <w:t xml:space="preserve">  </w:t>
      </w:r>
      <w:r w:rsidRPr="0006262F">
        <w:rPr>
          <w:szCs w:val="22"/>
        </w:rPr>
        <w:t xml:space="preserve">Use the most appropriate metric to accurately show the received signal level obtained in the downlink by the user equipment (UE).  RSSI </w:t>
      </w:r>
      <w:r w:rsidR="003B0AD2">
        <w:rPr>
          <w:szCs w:val="22"/>
        </w:rPr>
        <w:t>is a</w:t>
      </w:r>
      <w:r w:rsidRPr="0006262F">
        <w:rPr>
          <w:szCs w:val="22"/>
        </w:rPr>
        <w:t xml:space="preserve"> conventional metric (primarily used in 2G and 3G systems) to display signal strength.  However, </w:t>
      </w:r>
      <w:r w:rsidR="006431FB" w:rsidRPr="0006262F">
        <w:rPr>
          <w:szCs w:val="22"/>
        </w:rPr>
        <w:t>Reference Signal Received Power (RSRP)</w:t>
      </w:r>
      <w:r w:rsidRPr="0006262F">
        <w:rPr>
          <w:szCs w:val="22"/>
        </w:rPr>
        <w:t xml:space="preserve"> </w:t>
      </w:r>
      <w:r w:rsidR="003B0AD2">
        <w:rPr>
          <w:szCs w:val="22"/>
        </w:rPr>
        <w:t>may be more appropriate for a</w:t>
      </w:r>
      <w:r w:rsidRPr="0006262F">
        <w:rPr>
          <w:szCs w:val="22"/>
        </w:rPr>
        <w:t xml:space="preserve"> 4G LTE</w:t>
      </w:r>
      <w:r w:rsidR="003B0AD2">
        <w:rPr>
          <w:szCs w:val="22"/>
        </w:rPr>
        <w:t xml:space="preserve"> </w:t>
      </w:r>
      <w:r w:rsidRPr="0006262F">
        <w:rPr>
          <w:szCs w:val="22"/>
        </w:rPr>
        <w:t>system.</w:t>
      </w:r>
      <w:r w:rsidR="006431FB" w:rsidRPr="0006262F">
        <w:rPr>
          <w:b/>
          <w:szCs w:val="22"/>
        </w:rPr>
        <w:t xml:space="preserve">  </w:t>
      </w:r>
      <w:r w:rsidR="003B0AD2">
        <w:rPr>
          <w:szCs w:val="22"/>
        </w:rPr>
        <w:t>In sum, t</w:t>
      </w:r>
      <w:r w:rsidRPr="0006262F">
        <w:rPr>
          <w:szCs w:val="22"/>
        </w:rPr>
        <w:t xml:space="preserve">he metric used should represent the required minimum signal from </w:t>
      </w:r>
      <w:r w:rsidR="008325F1">
        <w:rPr>
          <w:szCs w:val="22"/>
        </w:rPr>
        <w:t xml:space="preserve">the </w:t>
      </w:r>
      <w:r w:rsidRPr="0006262F">
        <w:rPr>
          <w:szCs w:val="22"/>
        </w:rPr>
        <w:t xml:space="preserve">serving base station at a given point to allow data communication at minimum target rate. </w:t>
      </w:r>
      <w:r w:rsidR="006431FB" w:rsidRPr="0006262F">
        <w:rPr>
          <w:szCs w:val="22"/>
        </w:rPr>
        <w:t xml:space="preserve"> </w:t>
      </w:r>
      <w:r w:rsidRPr="0006262F">
        <w:rPr>
          <w:szCs w:val="22"/>
        </w:rPr>
        <w:t>For example</w:t>
      </w:r>
      <w:r w:rsidR="006431FB" w:rsidRPr="0006262F">
        <w:rPr>
          <w:szCs w:val="22"/>
        </w:rPr>
        <w:t>,</w:t>
      </w:r>
      <w:r w:rsidRPr="0006262F">
        <w:rPr>
          <w:szCs w:val="22"/>
        </w:rPr>
        <w:t xml:space="preserve"> in</w:t>
      </w:r>
      <w:r w:rsidR="006431FB" w:rsidRPr="0006262F">
        <w:rPr>
          <w:szCs w:val="22"/>
        </w:rPr>
        <w:t xml:space="preserve"> the </w:t>
      </w:r>
      <w:r w:rsidRPr="0006262F">
        <w:rPr>
          <w:szCs w:val="22"/>
        </w:rPr>
        <w:t>case of LTE</w:t>
      </w:r>
      <w:r w:rsidR="006431FB" w:rsidRPr="0006262F">
        <w:rPr>
          <w:szCs w:val="22"/>
        </w:rPr>
        <w:t>,</w:t>
      </w:r>
      <w:r w:rsidRPr="0006262F">
        <w:rPr>
          <w:szCs w:val="22"/>
        </w:rPr>
        <w:t xml:space="preserve"> the minimum </w:t>
      </w:r>
      <w:r w:rsidR="006431FB" w:rsidRPr="0006262F">
        <w:rPr>
          <w:szCs w:val="22"/>
        </w:rPr>
        <w:t>RSRP</w:t>
      </w:r>
      <w:r w:rsidRPr="0006262F">
        <w:rPr>
          <w:szCs w:val="22"/>
        </w:rPr>
        <w:t xml:space="preserve"> </w:t>
      </w:r>
      <w:r w:rsidR="006431FB" w:rsidRPr="0006262F">
        <w:rPr>
          <w:szCs w:val="22"/>
        </w:rPr>
        <w:t xml:space="preserve">that </w:t>
      </w:r>
      <w:r w:rsidRPr="0006262F">
        <w:rPr>
          <w:szCs w:val="22"/>
        </w:rPr>
        <w:t xml:space="preserve">is independent of carrier bandwidth or the minimum total received signal from </w:t>
      </w:r>
      <w:r w:rsidR="000146AF" w:rsidRPr="0006262F">
        <w:rPr>
          <w:szCs w:val="22"/>
        </w:rPr>
        <w:t xml:space="preserve">the </w:t>
      </w:r>
      <w:r w:rsidRPr="0006262F">
        <w:rPr>
          <w:szCs w:val="22"/>
        </w:rPr>
        <w:t>serving cell</w:t>
      </w:r>
      <w:r w:rsidR="006431FB" w:rsidRPr="0006262F">
        <w:rPr>
          <w:szCs w:val="22"/>
        </w:rPr>
        <w:t>,</w:t>
      </w:r>
      <w:r w:rsidRPr="0006262F">
        <w:rPr>
          <w:szCs w:val="22"/>
        </w:rPr>
        <w:t xml:space="preserve"> </w:t>
      </w:r>
      <w:r w:rsidRPr="0006262F">
        <w:rPr>
          <w:i/>
          <w:szCs w:val="22"/>
        </w:rPr>
        <w:t>i.e.</w:t>
      </w:r>
      <w:r w:rsidR="006431FB" w:rsidRPr="0006262F">
        <w:rPr>
          <w:szCs w:val="22"/>
        </w:rPr>
        <w:t>,</w:t>
      </w:r>
      <w:r w:rsidRPr="0006262F">
        <w:rPr>
          <w:szCs w:val="22"/>
        </w:rPr>
        <w:t xml:space="preserve"> RSRP scaled to carrier bandwidth, may be appropriate as </w:t>
      </w:r>
      <w:r w:rsidR="006431FB" w:rsidRPr="0006262F">
        <w:rPr>
          <w:szCs w:val="22"/>
        </w:rPr>
        <w:t xml:space="preserve">a </w:t>
      </w:r>
      <w:r w:rsidRPr="0006262F">
        <w:rPr>
          <w:szCs w:val="22"/>
        </w:rPr>
        <w:t xml:space="preserve">metric for downlink coverage. </w:t>
      </w:r>
    </w:p>
    <w:p w:rsidR="00350A80" w:rsidRPr="0006262F" w:rsidRDefault="00350A80" w:rsidP="00350A80">
      <w:pPr>
        <w:rPr>
          <w:szCs w:val="22"/>
        </w:rPr>
      </w:pPr>
    </w:p>
    <w:p w:rsidR="00C75887" w:rsidRPr="00C75887" w:rsidRDefault="00C75887" w:rsidP="006431FB">
      <w:pPr>
        <w:ind w:firstLine="720"/>
        <w:rPr>
          <w:szCs w:val="22"/>
        </w:rPr>
      </w:pPr>
      <w:r w:rsidRPr="00C75887">
        <w:rPr>
          <w:b/>
          <w:bCs/>
        </w:rPr>
        <w:t>We are designing a</w:t>
      </w:r>
      <w:r>
        <w:rPr>
          <w:b/>
          <w:bCs/>
        </w:rPr>
        <w:t>n</w:t>
      </w:r>
      <w:r w:rsidRPr="00C75887">
        <w:rPr>
          <w:b/>
          <w:bCs/>
        </w:rPr>
        <w:t xml:space="preserve"> LTE</w:t>
      </w:r>
      <w:r w:rsidR="003B0AD2">
        <w:rPr>
          <w:b/>
          <w:bCs/>
        </w:rPr>
        <w:t>-</w:t>
      </w:r>
      <w:r w:rsidRPr="00C75887">
        <w:rPr>
          <w:b/>
          <w:bCs/>
        </w:rPr>
        <w:t>based system.  Although the system is being designed to support data rates achievable in LTE</w:t>
      </w:r>
      <w:r w:rsidR="003B0AD2">
        <w:rPr>
          <w:b/>
          <w:bCs/>
        </w:rPr>
        <w:t>-</w:t>
      </w:r>
      <w:r w:rsidRPr="00C75887">
        <w:rPr>
          <w:b/>
          <w:bCs/>
        </w:rPr>
        <w:t>based networks, should the link budget show the minimum level accepted if loaded</w:t>
      </w:r>
      <w:r w:rsidR="003B0AD2">
        <w:rPr>
          <w:b/>
          <w:bCs/>
        </w:rPr>
        <w:t xml:space="preserve">, </w:t>
      </w:r>
      <w:r w:rsidRPr="00C75887">
        <w:rPr>
          <w:b/>
          <w:bCs/>
        </w:rPr>
        <w:t>or the target data rate?</w:t>
      </w:r>
      <w:r w:rsidRPr="00C75887">
        <w:t xml:space="preserve">  Minimum data rate in this context refers to minimum design target data rate, which may be much higher than the minimum data rates offered by </w:t>
      </w:r>
      <w:r w:rsidR="003B0AD2">
        <w:t xml:space="preserve">the </w:t>
      </w:r>
      <w:r w:rsidRPr="00C75887">
        <w:t>radio technology.</w:t>
      </w:r>
    </w:p>
    <w:p w:rsidR="00350A80" w:rsidRPr="0006262F" w:rsidRDefault="00350A80" w:rsidP="00350A80">
      <w:pPr>
        <w:rPr>
          <w:szCs w:val="22"/>
        </w:rPr>
      </w:pPr>
    </w:p>
    <w:p w:rsidR="00D611DC" w:rsidRPr="0006262F" w:rsidRDefault="00350A80" w:rsidP="006C7C46">
      <w:pPr>
        <w:ind w:firstLine="720"/>
        <w:rPr>
          <w:szCs w:val="22"/>
        </w:rPr>
      </w:pPr>
      <w:r w:rsidRPr="0006262F">
        <w:rPr>
          <w:b/>
          <w:szCs w:val="22"/>
        </w:rPr>
        <w:t xml:space="preserve">What information </w:t>
      </w:r>
      <w:r w:rsidR="005D5E55" w:rsidRPr="0006262F">
        <w:rPr>
          <w:b/>
          <w:szCs w:val="22"/>
        </w:rPr>
        <w:t>should</w:t>
      </w:r>
      <w:r w:rsidRPr="0006262F">
        <w:rPr>
          <w:b/>
          <w:szCs w:val="22"/>
        </w:rPr>
        <w:t xml:space="preserve"> we provide if we are using the 700 MHz system as backhaul?</w:t>
      </w:r>
      <w:r w:rsidR="006C7C46" w:rsidRPr="0006262F">
        <w:rPr>
          <w:b/>
          <w:szCs w:val="22"/>
        </w:rPr>
        <w:t xml:space="preserve">  </w:t>
      </w:r>
      <w:r w:rsidRPr="0006262F">
        <w:rPr>
          <w:szCs w:val="22"/>
        </w:rPr>
        <w:t>The information outlined in</w:t>
      </w:r>
      <w:r w:rsidR="00520221" w:rsidRPr="0006262F">
        <w:rPr>
          <w:szCs w:val="22"/>
        </w:rPr>
        <w:t xml:space="preserve"> the</w:t>
      </w:r>
      <w:r w:rsidRPr="0006262F">
        <w:rPr>
          <w:szCs w:val="22"/>
        </w:rPr>
        <w:t xml:space="preserve"> </w:t>
      </w:r>
      <w:r w:rsidR="006C7C46" w:rsidRPr="0006262F">
        <w:rPr>
          <w:i/>
          <w:szCs w:val="22"/>
        </w:rPr>
        <w:t>700 MHz Filing Reminder</w:t>
      </w:r>
      <w:r w:rsidR="006C7C46" w:rsidRPr="0006262F">
        <w:rPr>
          <w:szCs w:val="22"/>
        </w:rPr>
        <w:t xml:space="preserve"> and </w:t>
      </w:r>
      <w:r w:rsidR="005272A1" w:rsidRPr="0006262F">
        <w:rPr>
          <w:i/>
          <w:szCs w:val="22"/>
        </w:rPr>
        <w:t xml:space="preserve">700 MHZ Band Licensee Construction Notification </w:t>
      </w:r>
      <w:r w:rsidR="006C7C46" w:rsidRPr="0006262F">
        <w:rPr>
          <w:i/>
          <w:szCs w:val="22"/>
        </w:rPr>
        <w:t>Public Notices</w:t>
      </w:r>
      <w:r w:rsidR="006C7C46" w:rsidRPr="0006262F">
        <w:rPr>
          <w:szCs w:val="22"/>
        </w:rPr>
        <w:t xml:space="preserve"> </w:t>
      </w:r>
      <w:r w:rsidRPr="0006262F">
        <w:rPr>
          <w:szCs w:val="22"/>
        </w:rPr>
        <w:t>is required for all construction notifications submitted to satisfy the 700 MHz construction requirements.</w:t>
      </w:r>
      <w:r w:rsidR="006431FB" w:rsidRPr="0006262F">
        <w:rPr>
          <w:szCs w:val="22"/>
        </w:rPr>
        <w:t xml:space="preserve">  </w:t>
      </w:r>
      <w:r w:rsidRPr="0006262F">
        <w:rPr>
          <w:szCs w:val="22"/>
        </w:rPr>
        <w:t xml:space="preserve">Full downlink and uplink budget </w:t>
      </w:r>
      <w:r w:rsidR="005D5E55" w:rsidRPr="0006262F">
        <w:rPr>
          <w:szCs w:val="22"/>
        </w:rPr>
        <w:t>analyses (</w:t>
      </w:r>
      <w:r w:rsidRPr="0006262F">
        <w:rPr>
          <w:szCs w:val="22"/>
        </w:rPr>
        <w:t>taking all antenna configurations on both side</w:t>
      </w:r>
      <w:r w:rsidR="005D5E55" w:rsidRPr="0006262F">
        <w:rPr>
          <w:szCs w:val="22"/>
        </w:rPr>
        <w:t>s</w:t>
      </w:r>
      <w:r w:rsidRPr="0006262F">
        <w:rPr>
          <w:szCs w:val="22"/>
        </w:rPr>
        <w:t xml:space="preserve"> and target data rates</w:t>
      </w:r>
      <w:r w:rsidR="005D5E55" w:rsidRPr="0006262F">
        <w:rPr>
          <w:szCs w:val="22"/>
        </w:rPr>
        <w:t>)</w:t>
      </w:r>
      <w:r w:rsidRPr="0006262F">
        <w:rPr>
          <w:szCs w:val="22"/>
        </w:rPr>
        <w:t xml:space="preserve"> are </w:t>
      </w:r>
      <w:r w:rsidR="005D5E55" w:rsidRPr="0006262F">
        <w:rPr>
          <w:szCs w:val="22"/>
        </w:rPr>
        <w:t>required</w:t>
      </w:r>
      <w:r w:rsidRPr="0006262F">
        <w:rPr>
          <w:szCs w:val="22"/>
        </w:rPr>
        <w:t>.</w:t>
      </w:r>
    </w:p>
    <w:p w:rsidR="006C7C46" w:rsidRPr="0006262F" w:rsidRDefault="006C7C46" w:rsidP="006C7C46">
      <w:pPr>
        <w:ind w:firstLine="720"/>
        <w:rPr>
          <w:b/>
          <w:szCs w:val="22"/>
        </w:rPr>
      </w:pPr>
    </w:p>
    <w:p w:rsidR="002424B3" w:rsidRPr="00857854" w:rsidRDefault="00857854" w:rsidP="00202F7C">
      <w:pPr>
        <w:rPr>
          <w:b/>
          <w:szCs w:val="22"/>
        </w:rPr>
      </w:pPr>
      <w:r>
        <w:rPr>
          <w:szCs w:val="22"/>
        </w:rPr>
        <w:tab/>
      </w:r>
      <w:r>
        <w:rPr>
          <w:b/>
          <w:szCs w:val="22"/>
        </w:rPr>
        <w:t>What are some examples of successful submission</w:t>
      </w:r>
      <w:r w:rsidR="00DB3C31">
        <w:rPr>
          <w:b/>
          <w:szCs w:val="22"/>
        </w:rPr>
        <w:t>s</w:t>
      </w:r>
      <w:r>
        <w:rPr>
          <w:b/>
          <w:szCs w:val="22"/>
        </w:rPr>
        <w:t xml:space="preserve"> you have received</w:t>
      </w:r>
      <w:r w:rsidR="00622EC2">
        <w:rPr>
          <w:b/>
          <w:szCs w:val="22"/>
        </w:rPr>
        <w:t xml:space="preserve"> to date</w:t>
      </w:r>
      <w:r>
        <w:rPr>
          <w:b/>
          <w:szCs w:val="22"/>
        </w:rPr>
        <w:t>?</w:t>
      </w:r>
    </w:p>
    <w:p w:rsidR="00202F7C" w:rsidRPr="0006262F" w:rsidRDefault="00202F7C" w:rsidP="002424B3">
      <w:pPr>
        <w:ind w:firstLine="720"/>
        <w:rPr>
          <w:bCs/>
          <w:szCs w:val="22"/>
        </w:rPr>
      </w:pPr>
      <w:r w:rsidRPr="0006262F">
        <w:rPr>
          <w:szCs w:val="22"/>
        </w:rPr>
        <w:t>Examples of successful submissions can found in ULS by searching</w:t>
      </w:r>
      <w:r w:rsidR="00831525" w:rsidRPr="0006262F">
        <w:rPr>
          <w:szCs w:val="22"/>
        </w:rPr>
        <w:t xml:space="preserve"> under advanced applications at </w:t>
      </w:r>
      <w:hyperlink r:id="rId9" w:history="1">
        <w:r w:rsidRPr="0006262F">
          <w:rPr>
            <w:rStyle w:val="Hyperlink"/>
            <w:szCs w:val="22"/>
          </w:rPr>
          <w:t>http://wireless2.fcc.gov/UlsApp/ApplicationSearch/searchAdvanced.jsp;JSESSIONID_APPSEARCH=gM6nXWKRtYfGv4JZpWRRhdBywqWR5FyByhvynw61Nl9vk2FMh6Rt!2129332733!1946076554</w:t>
        </w:r>
      </w:hyperlink>
      <w:r w:rsidRPr="0006262F">
        <w:rPr>
          <w:szCs w:val="22"/>
        </w:rPr>
        <w:t xml:space="preserve">.  Select </w:t>
      </w:r>
      <w:r w:rsidRPr="0006262F">
        <w:rPr>
          <w:b/>
          <w:bCs/>
          <w:szCs w:val="22"/>
        </w:rPr>
        <w:t xml:space="preserve">Radio Service Code: </w:t>
      </w:r>
      <w:r w:rsidRPr="0006262F">
        <w:rPr>
          <w:bCs/>
          <w:szCs w:val="22"/>
        </w:rPr>
        <w:t xml:space="preserve">WY, </w:t>
      </w:r>
      <w:r w:rsidRPr="0006262F">
        <w:rPr>
          <w:b/>
          <w:bCs/>
          <w:szCs w:val="22"/>
        </w:rPr>
        <w:t xml:space="preserve">Status: </w:t>
      </w:r>
      <w:r w:rsidRPr="0006262F">
        <w:rPr>
          <w:bCs/>
          <w:szCs w:val="22"/>
        </w:rPr>
        <w:t xml:space="preserve">Q-Accepted, </w:t>
      </w:r>
      <w:r w:rsidRPr="0006262F">
        <w:rPr>
          <w:b/>
          <w:bCs/>
          <w:szCs w:val="22"/>
        </w:rPr>
        <w:t xml:space="preserve">Purpose: </w:t>
      </w:r>
      <w:r w:rsidRPr="0006262F">
        <w:rPr>
          <w:bCs/>
          <w:szCs w:val="22"/>
        </w:rPr>
        <w:t xml:space="preserve">NT-Required Notification of Coverage/Construction, </w:t>
      </w:r>
      <w:r w:rsidRPr="0006262F">
        <w:rPr>
          <w:b/>
          <w:bCs/>
          <w:szCs w:val="22"/>
        </w:rPr>
        <w:t xml:space="preserve">Authorization Type: </w:t>
      </w:r>
      <w:r w:rsidRPr="0006262F">
        <w:rPr>
          <w:bCs/>
          <w:szCs w:val="22"/>
        </w:rPr>
        <w:t xml:space="preserve">Regular and then select </w:t>
      </w:r>
      <w:r w:rsidRPr="0006262F">
        <w:rPr>
          <w:b/>
          <w:bCs/>
          <w:szCs w:val="22"/>
        </w:rPr>
        <w:t>Search</w:t>
      </w:r>
      <w:r w:rsidRPr="0006262F">
        <w:rPr>
          <w:bCs/>
          <w:szCs w:val="22"/>
        </w:rPr>
        <w:t xml:space="preserve">.  </w:t>
      </w:r>
    </w:p>
    <w:p w:rsidR="00A906D2" w:rsidRPr="0006262F" w:rsidRDefault="00A906D2" w:rsidP="00202F7C">
      <w:pPr>
        <w:rPr>
          <w:szCs w:val="22"/>
        </w:rPr>
      </w:pPr>
    </w:p>
    <w:p w:rsidR="00202F7C" w:rsidRPr="0006262F" w:rsidRDefault="00202F7C" w:rsidP="00A906D2">
      <w:pPr>
        <w:ind w:firstLine="720"/>
        <w:rPr>
          <w:szCs w:val="22"/>
        </w:rPr>
      </w:pPr>
      <w:r w:rsidRPr="0006262F">
        <w:rPr>
          <w:szCs w:val="22"/>
        </w:rPr>
        <w:t xml:space="preserve">For further information, contact </w:t>
      </w:r>
      <w:r w:rsidRPr="004F694D">
        <w:rPr>
          <w:bCs/>
          <w:szCs w:val="22"/>
        </w:rPr>
        <w:t>Jeremy Reynolds</w:t>
      </w:r>
      <w:r w:rsidRPr="0006262F">
        <w:rPr>
          <w:szCs w:val="22"/>
        </w:rPr>
        <w:t>, Mobility Division, Wireless Telecommunications Bureau, at (202) 418-0447, Jeremy.Reynolds@fcc.gov.</w:t>
      </w:r>
    </w:p>
    <w:p w:rsidR="004365A8" w:rsidRPr="0006262F" w:rsidRDefault="004365A8" w:rsidP="004365A8">
      <w:pPr>
        <w:rPr>
          <w:color w:val="000000" w:themeColor="text1"/>
          <w:szCs w:val="22"/>
        </w:rPr>
      </w:pPr>
    </w:p>
    <w:p w:rsidR="004365A8" w:rsidRPr="0006262F" w:rsidRDefault="004365A8" w:rsidP="004365A8">
      <w:pPr>
        <w:rPr>
          <w:color w:val="000000" w:themeColor="text1"/>
          <w:szCs w:val="22"/>
        </w:rPr>
      </w:pPr>
      <w:r w:rsidRPr="0006262F">
        <w:rPr>
          <w:color w:val="000000" w:themeColor="text1"/>
          <w:szCs w:val="22"/>
        </w:rPr>
        <w:tab/>
        <w:t>By the Chief, Mobility Division, Wireless Telecommunications Bureau.</w:t>
      </w:r>
    </w:p>
    <w:p w:rsidR="004365A8" w:rsidRPr="0006262F" w:rsidRDefault="004365A8" w:rsidP="004365A8">
      <w:pPr>
        <w:rPr>
          <w:color w:val="000000" w:themeColor="text1"/>
          <w:szCs w:val="22"/>
        </w:rPr>
      </w:pPr>
    </w:p>
    <w:p w:rsidR="004365A8" w:rsidRPr="0006262F" w:rsidRDefault="004365A8" w:rsidP="00836D8A">
      <w:pPr>
        <w:jc w:val="center"/>
        <w:rPr>
          <w:b/>
          <w:color w:val="000000" w:themeColor="text1"/>
          <w:szCs w:val="22"/>
        </w:rPr>
      </w:pPr>
      <w:r w:rsidRPr="0006262F">
        <w:rPr>
          <w:color w:val="000000" w:themeColor="text1"/>
          <w:szCs w:val="22"/>
        </w:rPr>
        <w:t>-FCC-</w:t>
      </w:r>
      <w:r w:rsidRPr="0006262F">
        <w:rPr>
          <w:b/>
          <w:color w:val="000000" w:themeColor="text1"/>
          <w:szCs w:val="22"/>
        </w:rPr>
        <w:t xml:space="preserve"> </w:t>
      </w:r>
    </w:p>
    <w:sectPr w:rsidR="004365A8" w:rsidRPr="0006262F" w:rsidSect="004365A8">
      <w:headerReference w:type="even" r:id="rId10"/>
      <w:headerReference w:type="default" r:id="rId11"/>
      <w:footerReference w:type="even" r:id="rId12"/>
      <w:footerReference w:type="default" r:id="rId13"/>
      <w:headerReference w:type="first" r:id="rId14"/>
      <w:footerReference w:type="first" r:id="rId15"/>
      <w:pgSz w:w="12240" w:h="15840" w:code="1"/>
      <w:pgMar w:top="126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339" w:rsidRDefault="00A13339">
      <w:r>
        <w:separator/>
      </w:r>
    </w:p>
  </w:endnote>
  <w:endnote w:type="continuationSeparator" w:id="0">
    <w:p w:rsidR="00A13339" w:rsidRDefault="00A13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771" w:rsidRDefault="000F57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9CB" w:rsidRDefault="006C79CB" w:rsidP="006C79CB">
    <w:pPr>
      <w:pStyle w:val="Footer"/>
      <w:jc w:val="center"/>
    </w:pPr>
    <w:r>
      <w:fldChar w:fldCharType="begin"/>
    </w:r>
    <w:r>
      <w:instrText xml:space="preserve"> PAGE   \* MERGEFORMAT </w:instrText>
    </w:r>
    <w:r>
      <w:fldChar w:fldCharType="separate"/>
    </w:r>
    <w:r w:rsidR="00D06B5C">
      <w:rPr>
        <w:noProof/>
      </w:rPr>
      <w:t>4</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771" w:rsidRDefault="000F57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339" w:rsidRDefault="00A13339">
      <w:r>
        <w:separator/>
      </w:r>
    </w:p>
  </w:footnote>
  <w:footnote w:type="continuationSeparator" w:id="0">
    <w:p w:rsidR="00A13339" w:rsidRDefault="00A13339">
      <w:r>
        <w:continuationSeparator/>
      </w:r>
    </w:p>
  </w:footnote>
  <w:footnote w:id="1">
    <w:p w:rsidR="004C7B1E" w:rsidRPr="00D363BB" w:rsidRDefault="004C7B1E" w:rsidP="004C7B1E">
      <w:pPr>
        <w:pStyle w:val="FootnoteText"/>
      </w:pPr>
      <w:r>
        <w:rPr>
          <w:rStyle w:val="FootnoteReference"/>
        </w:rPr>
        <w:footnoteRef/>
      </w:r>
      <w:r>
        <w:t xml:space="preserve"> This interim construction benchmark deadline was waived for certain </w:t>
      </w:r>
      <w:r>
        <w:rPr>
          <w:color w:val="000000" w:themeColor="text1"/>
          <w:szCs w:val="22"/>
        </w:rPr>
        <w:t>l</w:t>
      </w:r>
      <w:r w:rsidRPr="003D4F94">
        <w:rPr>
          <w:color w:val="000000" w:themeColor="text1"/>
          <w:szCs w:val="22"/>
        </w:rPr>
        <w:t>ower 700 MHz A Block licensees</w:t>
      </w:r>
      <w:r w:rsidRPr="009A0FDA">
        <w:rPr>
          <w:color w:val="000000" w:themeColor="text1"/>
          <w:szCs w:val="22"/>
        </w:rPr>
        <w:t xml:space="preserve"> </w:t>
      </w:r>
      <w:r>
        <w:rPr>
          <w:color w:val="000000" w:themeColor="text1"/>
          <w:szCs w:val="22"/>
        </w:rPr>
        <w:t xml:space="preserve">adjacent to channel 51 operations.  </w:t>
      </w:r>
      <w:r w:rsidRPr="00D363BB">
        <w:rPr>
          <w:i/>
          <w:color w:val="000000" w:themeColor="text1"/>
          <w:szCs w:val="22"/>
        </w:rPr>
        <w:t xml:space="preserve">See Promoting Interoperability in the 700 MHz Commercial Spectrum, </w:t>
      </w:r>
      <w:r w:rsidRPr="00D363BB">
        <w:rPr>
          <w:color w:val="000000" w:themeColor="text1"/>
          <w:szCs w:val="22"/>
        </w:rPr>
        <w:t>Report and Order and Order of Proposed Modification, 28 FCC Rcd 15122, 15151-52, para. 65 (2013)</w:t>
      </w:r>
      <w:r w:rsidRPr="00D363BB">
        <w:rPr>
          <w:i/>
          <w:color w:val="000000" w:themeColor="text1"/>
          <w:szCs w:val="22"/>
        </w:rPr>
        <w:t xml:space="preserve"> (Interoperability Report and</w:t>
      </w:r>
      <w:r>
        <w:rPr>
          <w:i/>
          <w:color w:val="000000" w:themeColor="text1"/>
          <w:szCs w:val="22"/>
        </w:rPr>
        <w:t xml:space="preserve"> Order); </w:t>
      </w:r>
      <w:r w:rsidRPr="00D363BB">
        <w:rPr>
          <w:i/>
          <w:color w:val="000000" w:themeColor="text1"/>
          <w:szCs w:val="22"/>
        </w:rPr>
        <w:t>WTB Updates 700 MHz ULS Records Pursuant to Interoperability R&amp;O</w:t>
      </w:r>
      <w:r>
        <w:rPr>
          <w:color w:val="000000" w:themeColor="text1"/>
          <w:szCs w:val="22"/>
        </w:rPr>
        <w:t xml:space="preserve">, Public Notice, </w:t>
      </w:r>
      <w:r w:rsidRPr="00D363BB">
        <w:rPr>
          <w:color w:val="000000" w:themeColor="text1"/>
          <w:szCs w:val="22"/>
        </w:rPr>
        <w:t>28 FCC Rcd 16832</w:t>
      </w:r>
      <w:r>
        <w:rPr>
          <w:color w:val="000000" w:themeColor="text1"/>
          <w:szCs w:val="22"/>
        </w:rPr>
        <w:t xml:space="preserve"> (WTB 2013).</w:t>
      </w:r>
    </w:p>
  </w:footnote>
  <w:footnote w:id="2">
    <w:p w:rsidR="004C7B1E" w:rsidRDefault="004C7B1E" w:rsidP="004C7B1E">
      <w:pPr>
        <w:pStyle w:val="FootnoteText"/>
      </w:pPr>
      <w:r>
        <w:rPr>
          <w:rStyle w:val="FootnoteReference"/>
        </w:rPr>
        <w:footnoteRef/>
      </w:r>
      <w:r>
        <w:t xml:space="preserve"> </w:t>
      </w:r>
      <w:r w:rsidRPr="00C922CF">
        <w:rPr>
          <w:i/>
        </w:rPr>
        <w:t>Wireless Telecommunications Bureau Establishes Electronic Map Format for Covered 700 MHZ Band Licensee Construction Notifications</w:t>
      </w:r>
      <w:r>
        <w:t>,</w:t>
      </w:r>
      <w:r w:rsidRPr="00C922CF">
        <w:t xml:space="preserve"> Public Notice</w:t>
      </w:r>
      <w:r>
        <w:t xml:space="preserve">, </w:t>
      </w:r>
      <w:r w:rsidRPr="00C922CF">
        <w:t>30 FCC Rcd 11407</w:t>
      </w:r>
      <w:r>
        <w:t xml:space="preserve"> (WTB 2015) (</w:t>
      </w:r>
      <w:r w:rsidRPr="00EB2795">
        <w:rPr>
          <w:i/>
        </w:rPr>
        <w:t>700 MHZ Band Licensee Construction Notification Public Notice</w:t>
      </w:r>
      <w:r>
        <w:t>).</w:t>
      </w:r>
    </w:p>
  </w:footnote>
  <w:footnote w:id="3">
    <w:p w:rsidR="004C7B1E" w:rsidRDefault="004C7B1E" w:rsidP="004C7B1E">
      <w:pPr>
        <w:pStyle w:val="FootnoteText"/>
      </w:pPr>
      <w:r>
        <w:rPr>
          <w:rStyle w:val="FootnoteReference"/>
        </w:rPr>
        <w:footnoteRef/>
      </w:r>
      <w:r>
        <w:t xml:space="preserve"> </w:t>
      </w:r>
      <w:r w:rsidRPr="00E462FF">
        <w:rPr>
          <w:i/>
        </w:rPr>
        <w:t>700 MHz Construction and Reporting Requirements and Related Deadlines</w:t>
      </w:r>
      <w:r>
        <w:t xml:space="preserve">, Public Notice, </w:t>
      </w:r>
      <w:r w:rsidRPr="00E462FF">
        <w:t>31 FCC Rcd 5297</w:t>
      </w:r>
      <w:r>
        <w:t xml:space="preserve"> (WTB </w:t>
      </w:r>
      <w:r w:rsidRPr="00350A80">
        <w:t>2016</w:t>
      </w:r>
      <w:r>
        <w:t>) (</w:t>
      </w:r>
      <w:r>
        <w:rPr>
          <w:i/>
        </w:rPr>
        <w:t>700 MHz Filing Reminder Public Notice</w:t>
      </w:r>
      <w:r>
        <w:t>).</w:t>
      </w:r>
    </w:p>
  </w:footnote>
  <w:footnote w:id="4">
    <w:p w:rsidR="004365A8" w:rsidRPr="009A0FDA" w:rsidRDefault="004365A8" w:rsidP="0006262F">
      <w:pPr>
        <w:pStyle w:val="FootnoteText"/>
      </w:pPr>
      <w:r w:rsidRPr="009A0FDA">
        <w:rPr>
          <w:rStyle w:val="FootnoteReference"/>
        </w:rPr>
        <w:footnoteRef/>
      </w:r>
      <w:r w:rsidRPr="009A0FDA">
        <w:t xml:space="preserve"> </w:t>
      </w:r>
      <w:r w:rsidRPr="009A0FDA">
        <w:rPr>
          <w:i/>
        </w:rPr>
        <w:t>See Service Rules for 698-746, 747-762, and 777-792 MHz Bands</w:t>
      </w:r>
      <w:r w:rsidRPr="009A0FDA">
        <w:t>, Second Report and Order, 22 FCC Rcd 15289 (2007) (</w:t>
      </w:r>
      <w:r w:rsidRPr="009A0FDA">
        <w:rPr>
          <w:i/>
        </w:rPr>
        <w:t>700 MHz Second Report and Order</w:t>
      </w:r>
      <w:r w:rsidRPr="009A0FDA">
        <w:t>).</w:t>
      </w:r>
    </w:p>
  </w:footnote>
  <w:footnote w:id="5">
    <w:p w:rsidR="004365A8" w:rsidRPr="009A0FDA" w:rsidRDefault="004365A8" w:rsidP="0006262F">
      <w:pPr>
        <w:pStyle w:val="FootnoteText"/>
      </w:pPr>
      <w:r w:rsidRPr="009A0FDA">
        <w:rPr>
          <w:rStyle w:val="FootnoteReference"/>
        </w:rPr>
        <w:footnoteRef/>
      </w:r>
      <w:r w:rsidRPr="009A0FDA">
        <w:t xml:space="preserve"> </w:t>
      </w:r>
      <w:r w:rsidRPr="009A0FDA">
        <w:rPr>
          <w:i/>
        </w:rPr>
        <w:t xml:space="preserve">Id. </w:t>
      </w:r>
      <w:r w:rsidRPr="009A0FDA">
        <w:t xml:space="preserve">at 27.14(g)(1), (h)(1).  In cases where the end-of-term benchmark is not met, portions of the license where service is not provided terminate automatically.  </w:t>
      </w:r>
      <w:r w:rsidRPr="009A0FDA">
        <w:rPr>
          <w:i/>
        </w:rPr>
        <w:t xml:space="preserve">Id. </w:t>
      </w:r>
      <w:r w:rsidRPr="009A0FDA">
        <w:t>at 27.14 (g)(2), (h)(2).</w:t>
      </w:r>
    </w:p>
  </w:footnote>
  <w:footnote w:id="6">
    <w:p w:rsidR="001B264A" w:rsidRPr="009A0FDA" w:rsidRDefault="001B264A" w:rsidP="0006262F">
      <w:pPr>
        <w:pStyle w:val="FootnoteText"/>
      </w:pPr>
      <w:r w:rsidRPr="009A0FDA">
        <w:rPr>
          <w:rStyle w:val="FootnoteReference"/>
        </w:rPr>
        <w:footnoteRef/>
      </w:r>
      <w:r w:rsidRPr="009A0FDA">
        <w:t xml:space="preserve"> </w:t>
      </w:r>
      <w:r w:rsidRPr="009A0FDA">
        <w:rPr>
          <w:i/>
        </w:rPr>
        <w:t xml:space="preserve">700 MHz Second Report and Order, </w:t>
      </w:r>
      <w:r w:rsidRPr="009A0FDA">
        <w:t xml:space="preserve">22 FCC Rcd at 15348, 15349, paras. 153, 157; </w:t>
      </w:r>
      <w:r w:rsidRPr="009A0FDA">
        <w:rPr>
          <w:i/>
        </w:rPr>
        <w:t xml:space="preserve">Interoperability Report and Order, </w:t>
      </w:r>
      <w:r w:rsidRPr="009A0FDA">
        <w:t>28 FCC Rcd</w:t>
      </w:r>
      <w:r w:rsidRPr="009A0FDA">
        <w:rPr>
          <w:i/>
        </w:rPr>
        <w:t xml:space="preserve"> </w:t>
      </w:r>
      <w:r w:rsidRPr="009A0FDA">
        <w:t xml:space="preserve">at 15151, para. 64.  </w:t>
      </w:r>
    </w:p>
  </w:footnote>
  <w:footnote w:id="7">
    <w:p w:rsidR="004365A8" w:rsidRPr="009A0FDA" w:rsidRDefault="004365A8" w:rsidP="0006262F">
      <w:pPr>
        <w:pStyle w:val="FootnoteText"/>
      </w:pPr>
      <w:r w:rsidRPr="009A0FDA">
        <w:rPr>
          <w:rStyle w:val="FootnoteReference"/>
        </w:rPr>
        <w:footnoteRef/>
      </w:r>
      <w:r w:rsidRPr="009A0FDA">
        <w:t xml:space="preserve"> </w:t>
      </w:r>
      <w:r w:rsidRPr="009A0FDA">
        <w:rPr>
          <w:i/>
        </w:rPr>
        <w:t xml:space="preserve">See </w:t>
      </w:r>
      <w:r w:rsidR="00D363BB" w:rsidRPr="009A0FDA">
        <w:rPr>
          <w:i/>
        </w:rPr>
        <w:t>Interoperability Report and Order</w:t>
      </w:r>
      <w:r w:rsidRPr="009A0FDA">
        <w:rPr>
          <w:i/>
        </w:rPr>
        <w:t xml:space="preserve">, </w:t>
      </w:r>
      <w:r w:rsidRPr="009A0FDA">
        <w:t xml:space="preserve">28 FCC Rcd </w:t>
      </w:r>
      <w:r w:rsidR="00D363BB">
        <w:t>at 15151-52, para. 65.</w:t>
      </w:r>
    </w:p>
  </w:footnote>
  <w:footnote w:id="8">
    <w:p w:rsidR="00AD1509" w:rsidRPr="00E462FF" w:rsidRDefault="00AD1509" w:rsidP="0006262F">
      <w:pPr>
        <w:pStyle w:val="FootnoteText"/>
      </w:pPr>
      <w:r>
        <w:rPr>
          <w:rStyle w:val="FootnoteReference"/>
        </w:rPr>
        <w:footnoteRef/>
      </w:r>
      <w:r>
        <w:t xml:space="preserve"> </w:t>
      </w:r>
      <w:r>
        <w:rPr>
          <w:i/>
        </w:rPr>
        <w:t xml:space="preserve">See </w:t>
      </w:r>
      <w:r w:rsidR="00A32263">
        <w:rPr>
          <w:i/>
        </w:rPr>
        <w:t>700 MHz Filing Reminder Public Notice</w:t>
      </w:r>
      <w:r>
        <w:t xml:space="preserve">, </w:t>
      </w:r>
      <w:r w:rsidRPr="00E462FF">
        <w:t xml:space="preserve">31 FCC Rcd </w:t>
      </w:r>
      <w:r w:rsidR="00A32263">
        <w:t>at</w:t>
      </w:r>
      <w:r>
        <w:t xml:space="preserve"> </w:t>
      </w:r>
      <w:r w:rsidRPr="00A754ED">
        <w:t>Attach</w:t>
      </w:r>
      <w:r>
        <w:t>. A.</w:t>
      </w:r>
    </w:p>
  </w:footnote>
  <w:footnote w:id="9">
    <w:p w:rsidR="00202F7C" w:rsidRDefault="00202F7C" w:rsidP="0006262F">
      <w:pPr>
        <w:pStyle w:val="FootnoteText"/>
      </w:pPr>
      <w:r>
        <w:rPr>
          <w:rStyle w:val="FootnoteReference"/>
        </w:rPr>
        <w:footnoteRef/>
      </w:r>
      <w:r>
        <w:t xml:space="preserve"> </w:t>
      </w:r>
      <w:r w:rsidR="0067108A">
        <w:t xml:space="preserve">47 C.F.R. </w:t>
      </w:r>
      <w:r w:rsidRPr="00E17B68">
        <w:t>§ 27.14(g)(1)</w:t>
      </w:r>
      <w:r w:rsidR="0067108A">
        <w:t>.</w:t>
      </w:r>
    </w:p>
  </w:footnote>
  <w:footnote w:id="10">
    <w:p w:rsidR="00202F7C" w:rsidRDefault="00202F7C" w:rsidP="0006262F">
      <w:pPr>
        <w:pStyle w:val="FootnoteText"/>
      </w:pPr>
      <w:r>
        <w:rPr>
          <w:rStyle w:val="FootnoteReference"/>
        </w:rPr>
        <w:footnoteRef/>
      </w:r>
      <w:r>
        <w:t xml:space="preserve"> </w:t>
      </w:r>
      <w:r w:rsidR="007407E4" w:rsidRPr="009A0FDA">
        <w:rPr>
          <w:i/>
        </w:rPr>
        <w:t>700 MHz Second Report and Order</w:t>
      </w:r>
      <w:r w:rsidR="007407E4">
        <w:t xml:space="preserve">, 22 FCC Rcd </w:t>
      </w:r>
      <w:r w:rsidR="00593559">
        <w:t xml:space="preserve">at </w:t>
      </w:r>
      <w:r w:rsidR="00593559" w:rsidRPr="00593559">
        <w:t>15350</w:t>
      </w:r>
      <w:r w:rsidRPr="009129CC">
        <w:t xml:space="preserve">, </w:t>
      </w:r>
      <w:r w:rsidR="00593559">
        <w:t xml:space="preserve">para. </w:t>
      </w:r>
      <w:r w:rsidRPr="009129CC">
        <w:t>160</w:t>
      </w:r>
      <w:r w:rsidR="00593559">
        <w:t>.</w:t>
      </w:r>
    </w:p>
  </w:footnote>
  <w:footnote w:id="11">
    <w:p w:rsidR="00A32263" w:rsidRDefault="00A32263">
      <w:pPr>
        <w:pStyle w:val="FootnoteText"/>
      </w:pPr>
      <w:r>
        <w:rPr>
          <w:rStyle w:val="FootnoteReference"/>
        </w:rPr>
        <w:footnoteRef/>
      </w:r>
      <w:r>
        <w:t xml:space="preserve"> </w:t>
      </w:r>
      <w:r>
        <w:rPr>
          <w:i/>
        </w:rPr>
        <w:t>700 MHz Filing Reminder Public Notice</w:t>
      </w:r>
      <w:r>
        <w:t xml:space="preserve">, </w:t>
      </w:r>
      <w:r w:rsidRPr="00E462FF">
        <w:t xml:space="preserve">31 FCC Rcd </w:t>
      </w:r>
      <w:r>
        <w:t xml:space="preserve">at </w:t>
      </w:r>
      <w:r w:rsidRPr="00A32263">
        <w:t>5301</w:t>
      </w:r>
      <w:r>
        <w:t xml:space="preserve">, </w:t>
      </w:r>
      <w:r w:rsidRPr="00A32263">
        <w:t>5308</w:t>
      </w:r>
      <w:r>
        <w:t>.</w:t>
      </w:r>
    </w:p>
  </w:footnote>
  <w:footnote w:id="12">
    <w:p w:rsidR="00D112EA" w:rsidRDefault="00D112EA" w:rsidP="00D112EA">
      <w:pPr>
        <w:pStyle w:val="FootnoteText"/>
      </w:pPr>
      <w:r>
        <w:rPr>
          <w:rStyle w:val="FootnoteReference"/>
        </w:rPr>
        <w:footnoteRef/>
      </w:r>
      <w:r>
        <w:t xml:space="preserve"> </w:t>
      </w:r>
      <w:r w:rsidRPr="00D112EA">
        <w:rPr>
          <w:i/>
          <w:szCs w:val="22"/>
        </w:rPr>
        <w:t>700 MHZ Band Licensee Construction Notification Public Notice</w:t>
      </w:r>
      <w:r>
        <w:t xml:space="preserve">, </w:t>
      </w:r>
      <w:r w:rsidRPr="00C922CF">
        <w:t xml:space="preserve">30 FCC Rcd </w:t>
      </w:r>
      <w:r>
        <w:t>at</w:t>
      </w:r>
      <w:r w:rsidRPr="00C922CF">
        <w:t xml:space="preserve"> 11409</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771" w:rsidRDefault="000F57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771" w:rsidRDefault="000F57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731" w:rsidRDefault="002B6478" w:rsidP="002B6478">
    <w:pPr>
      <w:pStyle w:val="Header"/>
      <w:tabs>
        <w:tab w:val="clear" w:pos="4320"/>
        <w:tab w:val="clear" w:pos="8640"/>
      </w:tabs>
      <w:spacing w:before="4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0" allowOverlap="1" wp14:anchorId="08EDEDF9" wp14:editId="2ACF270D">
              <wp:simplePos x="0" y="0"/>
              <wp:positionH relativeFrom="column">
                <wp:posOffset>-67734</wp:posOffset>
              </wp:positionH>
              <wp:positionV relativeFrom="paragraph">
                <wp:posOffset>732367</wp:posOffset>
              </wp:positionV>
              <wp:extent cx="3557693" cy="640080"/>
              <wp:effectExtent l="0" t="0" r="508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693"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8EDEDF9" id="_x0000_t202" coordsize="21600,21600" o:spt="202" path="m,l,21600r21600,l21600,xe">
              <v:stroke joinstyle="miter"/>
              <v:path gradientshapeok="t" o:connecttype="rect"/>
            </v:shapetype>
            <v:shape id="Text Box 2" o:spid="_x0000_s1026" type="#_x0000_t202" style="position:absolute;margin-left:-5.35pt;margin-top:57.65pt;width:280.15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wo/gw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" o:allowincell="f" stroked="f">
              <v:textbox>
                <w:txbxContent>
                  <w:p w14:paraId="2949C04E" w14:textId="77777777" w:rsidR="00602577" w:rsidRDefault="00602577">
                    <w:pPr>
                      <w:rPr>
                        <w:rFonts w:ascii="Arial" w:hAnsi="Arial"/>
                        <w:b/>
                      </w:rPr>
                    </w:pPr>
                    <w:r>
                      <w:rPr>
                        <w:rFonts w:ascii="Arial" w:hAnsi="Arial"/>
                        <w:b/>
                      </w:rPr>
                      <w:t>Federal Communications Commission</w:t>
                    </w:r>
                  </w:p>
                  <w:p w14:paraId="0D63490E" w14:textId="77777777"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34F653F6" w14:textId="77777777" w:rsidR="00602577" w:rsidRDefault="00602577">
                    <w:pPr>
                      <w:rPr>
                        <w:rFonts w:ascii="Arial" w:hAnsi="Arial"/>
                        <w:sz w:val="24"/>
                      </w:rPr>
                    </w:pPr>
                    <w:r>
                      <w:rPr>
                        <w:rFonts w:ascii="Arial" w:hAnsi="Arial"/>
                        <w:b/>
                      </w:rPr>
                      <w:t>Washington, D.C. 20554</w:t>
                    </w:r>
                  </w:p>
                </w:txbxContent>
              </v:textbox>
            </v:shape>
          </w:pict>
        </mc:Fallback>
      </mc:AlternateContent>
    </w:r>
    <w:r w:rsidR="000D5731">
      <w:rPr>
        <w:rFonts w:ascii="News Gothic MT" w:hAnsi="News Gothic MT"/>
        <w:b/>
        <w:noProof/>
        <w:sz w:val="24"/>
      </w:rPr>
      <w:drawing>
        <wp:inline distT="0" distB="0" distL="0" distR="0" wp14:anchorId="6819DD09" wp14:editId="43418EC4">
          <wp:extent cx="530225" cy="530225"/>
          <wp:effectExtent l="0" t="0" r="3175" b="3175"/>
          <wp:docPr id="24" name="Picture 2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cc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inline>
      </w:drawing>
    </w:r>
    <w:r w:rsidR="00E72D84" w:rsidRPr="00E72D84">
      <w:rPr>
        <w:rFonts w:ascii="News Gothic MT" w:hAnsi="News Gothic MT"/>
        <w:b/>
        <w:kern w:val="28"/>
        <w:sz w:val="24"/>
        <w:szCs w:val="24"/>
      </w:rPr>
      <w:t xml:space="preserve"> </w:t>
    </w:r>
    <w:r w:rsidR="000D5731" w:rsidRPr="007B00E4">
      <w:rPr>
        <w:rFonts w:ascii="News Gothic MT" w:hAnsi="News Gothic MT"/>
        <w:b/>
        <w:kern w:val="28"/>
        <w:position w:val="8"/>
        <w:sz w:val="96"/>
      </w:rPr>
      <w:t>PUBLIC NOTICE</w:t>
    </w:r>
  </w:p>
  <w:p w:rsidR="00602577" w:rsidRDefault="002B6478">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0" allowOverlap="1" wp14:anchorId="450ECFA4" wp14:editId="6440A9A2">
              <wp:simplePos x="0" y="0"/>
              <wp:positionH relativeFrom="column">
                <wp:posOffset>3826738</wp:posOffset>
              </wp:positionH>
              <wp:positionV relativeFrom="paragraph">
                <wp:posOffset>132462</wp:posOffset>
              </wp:positionV>
              <wp:extent cx="2161789" cy="548640"/>
              <wp:effectExtent l="0" t="0" r="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1789"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50ECFA4" id="Text Box 5" o:spid="_x0000_s1027" type="#_x0000_t202" style="position:absolute;left:0;text-align:left;margin-left:301.3pt;margin-top:10.45pt;width:170.2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" o:allowincell="f" stroked="f">
              <v:textbox inset=",0,,0">
                <w:txbxContent>
                  <w:p w14:paraId="38AF2370" w14:textId="77777777" w:rsidR="00602577" w:rsidRDefault="00602577">
                    <w:pPr>
                      <w:spacing w:before="40"/>
                      <w:jc w:val="right"/>
                      <w:rPr>
                        <w:rFonts w:ascii="Arial" w:hAnsi="Arial"/>
                        <w:b/>
                        <w:sz w:val="16"/>
                      </w:rPr>
                    </w:pPr>
                    <w:r>
                      <w:rPr>
                        <w:rFonts w:ascii="Arial" w:hAnsi="Arial"/>
                        <w:b/>
                        <w:sz w:val="16"/>
                      </w:rPr>
                      <w:t>News Media Information 202 / 418-0500</w:t>
                    </w:r>
                  </w:p>
                  <w:p w14:paraId="31EF59E7" w14:textId="77777777" w:rsidR="00602577" w:rsidRDefault="00602577">
                    <w:pPr>
                      <w:jc w:val="right"/>
                      <w:rPr>
                        <w:rFonts w:ascii="Arial" w:hAnsi="Arial"/>
                        <w:b/>
                        <w:sz w:val="16"/>
                      </w:rPr>
                    </w:pPr>
                    <w:r>
                      <w:rPr>
                        <w:rFonts w:ascii="Arial" w:hAnsi="Arial"/>
                        <w:b/>
                        <w:sz w:val="16"/>
                      </w:rPr>
                      <w:tab/>
                      <w:t xml:space="preserve">Internet: </w:t>
                    </w:r>
                    <w:bookmarkStart w:id="116" w:name="_Hlt233824"/>
                    <w:r>
                      <w:rPr>
                        <w:rFonts w:ascii="Arial" w:hAnsi="Arial"/>
                        <w:b/>
                        <w:sz w:val="16"/>
                      </w:rPr>
                      <w:t>h</w:t>
                    </w:r>
                    <w:bookmarkEnd w:id="116"/>
                    <w:r>
                      <w:rPr>
                        <w:rFonts w:ascii="Arial" w:hAnsi="Arial"/>
                        <w:b/>
                        <w:sz w:val="16"/>
                      </w:rPr>
                      <w:t>ttp://www.fcc.gov</w:t>
                    </w:r>
                  </w:p>
                  <w:p w14:paraId="4658C111" w14:textId="77777777" w:rsidR="00602577" w:rsidRDefault="00602577">
                    <w:pPr>
                      <w:jc w:val="right"/>
                      <w:rPr>
                        <w:rFonts w:ascii="Arial" w:hAnsi="Arial"/>
                        <w:b/>
                        <w:sz w:val="16"/>
                      </w:rPr>
                    </w:pPr>
                    <w:r>
                      <w:rPr>
                        <w:rFonts w:ascii="Arial" w:hAnsi="Arial"/>
                        <w:b/>
                        <w:sz w:val="16"/>
                      </w:rPr>
                      <w:t>TTY: 1-888-835-5322</w:t>
                    </w:r>
                  </w:p>
                  <w:p w14:paraId="55F39452" w14:textId="77777777" w:rsidR="00602577" w:rsidRDefault="00602577">
                    <w:pPr>
                      <w:jc w:val="right"/>
                    </w:pPr>
                  </w:p>
                </w:txbxContent>
              </v:textbox>
            </v:shape>
          </w:pict>
        </mc:Fallback>
      </mc:AlternateContent>
    </w:r>
    <w:r w:rsidR="007A67C8">
      <w:rPr>
        <w:rFonts w:ascii="Arial" w:hAnsi="Arial"/>
        <w:b/>
        <w:noProof/>
      </w:rPr>
      <mc:AlternateContent>
        <mc:Choice Requires="wps">
          <w:drawing>
            <wp:anchor distT="0" distB="0" distL="114300" distR="114300" simplePos="0" relativeHeight="251657216" behindDoc="0" locked="0" layoutInCell="0" allowOverlap="1" wp14:anchorId="1FB88AA3" wp14:editId="05AB6071">
              <wp:simplePos x="0" y="0"/>
              <wp:positionH relativeFrom="column">
                <wp:posOffset>0</wp:posOffset>
              </wp:positionH>
              <wp:positionV relativeFrom="paragraph">
                <wp:posOffset>698015</wp:posOffset>
              </wp:positionV>
              <wp:extent cx="5914335" cy="0"/>
              <wp:effectExtent l="0" t="0" r="29845"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4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5152CB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465.7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7Jy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" o:allowincell="f"/>
          </w:pict>
        </mc:Fallback>
      </mc:AlternateContent>
    </w:r>
  </w:p>
  <w:p w:rsidR="00602577" w:rsidRDefault="00602577" w:rsidP="002B6478">
    <w:pPr>
      <w:pStyle w:val="Header"/>
      <w:tabs>
        <w:tab w:val="clear" w:pos="4320"/>
        <w:tab w:val="clear" w:pos="8640"/>
        <w:tab w:val="left" w:pos="1080"/>
      </w:tabs>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nsid w:val="03963A0E"/>
    <w:multiLevelType w:val="hybridMultilevel"/>
    <w:tmpl w:val="D39CAA58"/>
    <w:lvl w:ilvl="0" w:tplc="44085690">
      <w:start w:val="1"/>
      <w:numFmt w:val="bullet"/>
      <w:lvlText w:val=""/>
      <w:lvlJc w:val="left"/>
      <w:pPr>
        <w:tabs>
          <w:tab w:val="num" w:pos="576"/>
        </w:tabs>
        <w:ind w:left="576" w:hanging="288"/>
      </w:pPr>
      <w:rPr>
        <w:rFonts w:ascii="Symbol" w:hAnsi="Symbol" w:hint="default"/>
        <w:color w:val="auto"/>
      </w:rPr>
    </w:lvl>
    <w:lvl w:ilvl="1" w:tplc="FFFFFFFF" w:tentative="1">
      <w:start w:val="1"/>
      <w:numFmt w:val="bullet"/>
      <w:lvlText w:val="o"/>
      <w:lvlJc w:val="left"/>
      <w:pPr>
        <w:tabs>
          <w:tab w:val="num" w:pos="1728"/>
        </w:tabs>
        <w:ind w:left="1728" w:hanging="360"/>
      </w:pPr>
      <w:rPr>
        <w:rFonts w:ascii="Courier New" w:hAnsi="Courier New" w:cs="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cs="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cs="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1">
    <w:nsid w:val="05357658"/>
    <w:multiLevelType w:val="hybridMultilevel"/>
    <w:tmpl w:val="A59E262C"/>
    <w:lvl w:ilvl="0" w:tplc="04090005">
      <w:start w:val="1"/>
      <w:numFmt w:val="bullet"/>
      <w:lvlText w:val=""/>
      <w:lvlJc w:val="left"/>
      <w:pPr>
        <w:tabs>
          <w:tab w:val="num" w:pos="1020"/>
        </w:tabs>
        <w:ind w:left="1020" w:hanging="360"/>
      </w:pPr>
      <w:rPr>
        <w:rFonts w:ascii="Wingdings" w:hAnsi="Wingdings" w:hint="default"/>
      </w:rPr>
    </w:lvl>
    <w:lvl w:ilvl="1" w:tplc="2F8C687A">
      <w:start w:val="1"/>
      <w:numFmt w:val="decimal"/>
      <w:lvlText w:val="(%2)"/>
      <w:lvlJc w:val="left"/>
      <w:pPr>
        <w:tabs>
          <w:tab w:val="num" w:pos="1740"/>
        </w:tabs>
        <w:ind w:left="1740" w:hanging="360"/>
      </w:pPr>
      <w:rPr>
        <w:rFonts w:cs="Times New Roman"/>
      </w:rPr>
    </w:lvl>
    <w:lvl w:ilvl="2" w:tplc="0409001B">
      <w:start w:val="1"/>
      <w:numFmt w:val="lowerRoman"/>
      <w:lvlText w:val="%3."/>
      <w:lvlJc w:val="right"/>
      <w:pPr>
        <w:tabs>
          <w:tab w:val="num" w:pos="2460"/>
        </w:tabs>
        <w:ind w:left="2460" w:hanging="180"/>
      </w:pPr>
      <w:rPr>
        <w:rFonts w:cs="Times New Roman"/>
      </w:rPr>
    </w:lvl>
    <w:lvl w:ilvl="3" w:tplc="0409000F">
      <w:start w:val="1"/>
      <w:numFmt w:val="decimal"/>
      <w:lvlText w:val="%4."/>
      <w:lvlJc w:val="left"/>
      <w:pPr>
        <w:tabs>
          <w:tab w:val="num" w:pos="3180"/>
        </w:tabs>
        <w:ind w:left="3180" w:hanging="360"/>
      </w:pPr>
      <w:rPr>
        <w:rFonts w:cs="Times New Roman"/>
      </w:rPr>
    </w:lvl>
    <w:lvl w:ilvl="4" w:tplc="04090019">
      <w:start w:val="1"/>
      <w:numFmt w:val="lowerLetter"/>
      <w:lvlText w:val="%5."/>
      <w:lvlJc w:val="left"/>
      <w:pPr>
        <w:tabs>
          <w:tab w:val="num" w:pos="3900"/>
        </w:tabs>
        <w:ind w:left="3900" w:hanging="360"/>
      </w:pPr>
      <w:rPr>
        <w:rFonts w:cs="Times New Roman"/>
      </w:rPr>
    </w:lvl>
    <w:lvl w:ilvl="5" w:tplc="0409001B">
      <w:start w:val="1"/>
      <w:numFmt w:val="lowerRoman"/>
      <w:lvlText w:val="%6."/>
      <w:lvlJc w:val="right"/>
      <w:pPr>
        <w:tabs>
          <w:tab w:val="num" w:pos="4620"/>
        </w:tabs>
        <w:ind w:left="4620" w:hanging="180"/>
      </w:pPr>
      <w:rPr>
        <w:rFonts w:cs="Times New Roman"/>
      </w:rPr>
    </w:lvl>
    <w:lvl w:ilvl="6" w:tplc="0409000F">
      <w:start w:val="1"/>
      <w:numFmt w:val="decimal"/>
      <w:lvlText w:val="%7."/>
      <w:lvlJc w:val="left"/>
      <w:pPr>
        <w:tabs>
          <w:tab w:val="num" w:pos="5340"/>
        </w:tabs>
        <w:ind w:left="5340" w:hanging="360"/>
      </w:pPr>
      <w:rPr>
        <w:rFonts w:cs="Times New Roman"/>
      </w:rPr>
    </w:lvl>
    <w:lvl w:ilvl="7" w:tplc="04090019">
      <w:start w:val="1"/>
      <w:numFmt w:val="lowerLetter"/>
      <w:lvlText w:val="%8."/>
      <w:lvlJc w:val="left"/>
      <w:pPr>
        <w:tabs>
          <w:tab w:val="num" w:pos="6060"/>
        </w:tabs>
        <w:ind w:left="6060" w:hanging="360"/>
      </w:pPr>
      <w:rPr>
        <w:rFonts w:cs="Times New Roman"/>
      </w:rPr>
    </w:lvl>
    <w:lvl w:ilvl="8" w:tplc="0409001B">
      <w:start w:val="1"/>
      <w:numFmt w:val="lowerRoman"/>
      <w:lvlText w:val="%9."/>
      <w:lvlJc w:val="right"/>
      <w:pPr>
        <w:tabs>
          <w:tab w:val="num" w:pos="6780"/>
        </w:tabs>
        <w:ind w:left="6780" w:hanging="180"/>
      </w:pPr>
      <w:rPr>
        <w:rFonts w:cs="Times New Roman"/>
      </w:rPr>
    </w:lvl>
  </w:abstractNum>
  <w:abstractNum w:abstractNumId="2">
    <w:nsid w:val="06094545"/>
    <w:multiLevelType w:val="hybridMultilevel"/>
    <w:tmpl w:val="6B005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DB0C85"/>
    <w:multiLevelType w:val="hybridMultilevel"/>
    <w:tmpl w:val="7486B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506BB4"/>
    <w:multiLevelType w:val="hybridMultilevel"/>
    <w:tmpl w:val="167E2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30D34A5B"/>
    <w:multiLevelType w:val="hybridMultilevel"/>
    <w:tmpl w:val="8870D1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3AF004F"/>
    <w:multiLevelType w:val="multilevel"/>
    <w:tmpl w:val="0B168CA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DD7956"/>
    <w:multiLevelType w:val="hybridMultilevel"/>
    <w:tmpl w:val="4D6EE7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333CB5"/>
    <w:multiLevelType w:val="hybridMultilevel"/>
    <w:tmpl w:val="7B9A5D02"/>
    <w:lvl w:ilvl="0" w:tplc="04090005">
      <w:start w:val="1"/>
      <w:numFmt w:val="bullet"/>
      <w:lvlText w:val=""/>
      <w:lvlJc w:val="left"/>
      <w:pPr>
        <w:tabs>
          <w:tab w:val="num" w:pos="1020"/>
        </w:tabs>
        <w:ind w:left="1020" w:hanging="360"/>
      </w:pPr>
      <w:rPr>
        <w:rFonts w:ascii="Wingdings" w:hAnsi="Wingdings" w:hint="default"/>
      </w:rPr>
    </w:lvl>
    <w:lvl w:ilvl="1" w:tplc="04090003">
      <w:start w:val="1"/>
      <w:numFmt w:val="bullet"/>
      <w:lvlText w:val="o"/>
      <w:lvlJc w:val="left"/>
      <w:pPr>
        <w:tabs>
          <w:tab w:val="num" w:pos="1740"/>
        </w:tabs>
        <w:ind w:left="1740" w:hanging="360"/>
      </w:pPr>
      <w:rPr>
        <w:rFonts w:ascii="Courier New" w:hAnsi="Courier New" w:cs="Times New Roman" w:hint="default"/>
      </w:rPr>
    </w:lvl>
    <w:lvl w:ilvl="2" w:tplc="04090005">
      <w:start w:val="1"/>
      <w:numFmt w:val="bullet"/>
      <w:lvlText w:val=""/>
      <w:lvlJc w:val="left"/>
      <w:pPr>
        <w:tabs>
          <w:tab w:val="num" w:pos="2460"/>
        </w:tabs>
        <w:ind w:left="2460" w:hanging="360"/>
      </w:pPr>
      <w:rPr>
        <w:rFonts w:ascii="Wingdings" w:hAnsi="Wingdings" w:hint="default"/>
      </w:rPr>
    </w:lvl>
    <w:lvl w:ilvl="3" w:tplc="04090001">
      <w:start w:val="1"/>
      <w:numFmt w:val="bullet"/>
      <w:lvlText w:val=""/>
      <w:lvlJc w:val="left"/>
      <w:pPr>
        <w:tabs>
          <w:tab w:val="num" w:pos="3180"/>
        </w:tabs>
        <w:ind w:left="3180" w:hanging="360"/>
      </w:pPr>
      <w:rPr>
        <w:rFonts w:ascii="Symbol" w:hAnsi="Symbol" w:hint="default"/>
      </w:rPr>
    </w:lvl>
    <w:lvl w:ilvl="4" w:tplc="04090003">
      <w:start w:val="1"/>
      <w:numFmt w:val="bullet"/>
      <w:lvlText w:val="o"/>
      <w:lvlJc w:val="left"/>
      <w:pPr>
        <w:tabs>
          <w:tab w:val="num" w:pos="3900"/>
        </w:tabs>
        <w:ind w:left="3900" w:hanging="360"/>
      </w:pPr>
      <w:rPr>
        <w:rFonts w:ascii="Courier New" w:hAnsi="Courier New" w:cs="Times New Roman" w:hint="default"/>
      </w:rPr>
    </w:lvl>
    <w:lvl w:ilvl="5" w:tplc="04090005">
      <w:start w:val="1"/>
      <w:numFmt w:val="bullet"/>
      <w:lvlText w:val=""/>
      <w:lvlJc w:val="left"/>
      <w:pPr>
        <w:tabs>
          <w:tab w:val="num" w:pos="4620"/>
        </w:tabs>
        <w:ind w:left="4620" w:hanging="360"/>
      </w:pPr>
      <w:rPr>
        <w:rFonts w:ascii="Wingdings" w:hAnsi="Wingdings" w:hint="default"/>
      </w:rPr>
    </w:lvl>
    <w:lvl w:ilvl="6" w:tplc="04090001">
      <w:start w:val="1"/>
      <w:numFmt w:val="bullet"/>
      <w:lvlText w:val=""/>
      <w:lvlJc w:val="left"/>
      <w:pPr>
        <w:tabs>
          <w:tab w:val="num" w:pos="5340"/>
        </w:tabs>
        <w:ind w:left="5340" w:hanging="360"/>
      </w:pPr>
      <w:rPr>
        <w:rFonts w:ascii="Symbol" w:hAnsi="Symbol" w:hint="default"/>
      </w:rPr>
    </w:lvl>
    <w:lvl w:ilvl="7" w:tplc="04090003">
      <w:start w:val="1"/>
      <w:numFmt w:val="bullet"/>
      <w:lvlText w:val="o"/>
      <w:lvlJc w:val="left"/>
      <w:pPr>
        <w:tabs>
          <w:tab w:val="num" w:pos="6060"/>
        </w:tabs>
        <w:ind w:left="6060" w:hanging="360"/>
      </w:pPr>
      <w:rPr>
        <w:rFonts w:ascii="Courier New" w:hAnsi="Courier New" w:cs="Times New Roman" w:hint="default"/>
      </w:rPr>
    </w:lvl>
    <w:lvl w:ilvl="8" w:tplc="04090005">
      <w:start w:val="1"/>
      <w:numFmt w:val="bullet"/>
      <w:lvlText w:val=""/>
      <w:lvlJc w:val="left"/>
      <w:pPr>
        <w:tabs>
          <w:tab w:val="num" w:pos="6780"/>
        </w:tabs>
        <w:ind w:left="6780" w:hanging="360"/>
      </w:pPr>
      <w:rPr>
        <w:rFonts w:ascii="Wingdings" w:hAnsi="Wingdings" w:hint="default"/>
      </w:rPr>
    </w:lvl>
  </w:abstractNum>
  <w:abstractNum w:abstractNumId="10">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41CC721D"/>
    <w:multiLevelType w:val="hybridMultilevel"/>
    <w:tmpl w:val="C396F3D6"/>
    <w:lvl w:ilvl="0" w:tplc="E236C62A">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2">
    <w:nsid w:val="4D7F4511"/>
    <w:multiLevelType w:val="hybridMultilevel"/>
    <w:tmpl w:val="D13C78B6"/>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5">
    <w:nsid w:val="54F15663"/>
    <w:multiLevelType w:val="hybridMultilevel"/>
    <w:tmpl w:val="838408CC"/>
    <w:lvl w:ilvl="0" w:tplc="237EF4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8">
    <w:nsid w:val="5F2259D9"/>
    <w:multiLevelType w:val="hybridMultilevel"/>
    <w:tmpl w:val="695A2F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95037A"/>
    <w:multiLevelType w:val="hybridMultilevel"/>
    <w:tmpl w:val="0AAEF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884042"/>
    <w:multiLevelType w:val="hybridMultilevel"/>
    <w:tmpl w:val="D0CCDD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8B94221"/>
    <w:multiLevelType w:val="hybridMultilevel"/>
    <w:tmpl w:val="09BCF55C"/>
    <w:lvl w:ilvl="0" w:tplc="77E40070">
      <w:start w:val="1"/>
      <w:numFmt w:val="decimal"/>
      <w:lvlText w:val="%1."/>
      <w:lvlJc w:val="left"/>
      <w:pPr>
        <w:ind w:left="720" w:hanging="360"/>
      </w:pPr>
      <w:rPr>
        <w:rFonts w:hint="default"/>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8622B6"/>
    <w:multiLevelType w:val="hybridMultilevel"/>
    <w:tmpl w:val="938E3FE4"/>
    <w:lvl w:ilvl="0" w:tplc="64600D98">
      <w:start w:val="5"/>
      <w:numFmt w:val="decimal"/>
      <w:lvlText w:val="%1."/>
      <w:lvlJc w:val="left"/>
      <w:pPr>
        <w:ind w:left="1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7E4FCE"/>
    <w:multiLevelType w:val="hybridMultilevel"/>
    <w:tmpl w:val="954890F6"/>
    <w:lvl w:ilvl="0" w:tplc="04090017">
      <w:start w:val="1"/>
      <w:numFmt w:val="lowerLetter"/>
      <w:lvlText w:val="%1)"/>
      <w:lvlJc w:val="left"/>
      <w:pPr>
        <w:ind w:left="2880" w:hanging="360"/>
      </w:pPr>
    </w:lvl>
    <w:lvl w:ilvl="1" w:tplc="D3CA69D6">
      <w:start w:val="1"/>
      <w:numFmt w:val="decimal"/>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nsid w:val="7A7F3E2C"/>
    <w:multiLevelType w:val="hybridMultilevel"/>
    <w:tmpl w:val="A7FAA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cs="Times New Roman" w:hint="default"/>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num w:numId="1">
    <w:abstractNumId w:val="16"/>
  </w:num>
  <w:num w:numId="2">
    <w:abstractNumId w:val="14"/>
  </w:num>
  <w:num w:numId="3">
    <w:abstractNumId w:val="17"/>
  </w:num>
  <w:num w:numId="4">
    <w:abstractNumId w:val="5"/>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13"/>
  </w:num>
  <w:num w:numId="12">
    <w:abstractNumId w:val="10"/>
  </w:num>
  <w:num w:numId="13">
    <w:abstractNumId w:val="2"/>
  </w:num>
  <w:num w:numId="14">
    <w:abstractNumId w:val="0"/>
  </w:num>
  <w:num w:numId="15">
    <w:abstractNumId w:val="4"/>
  </w:num>
  <w:num w:numId="16">
    <w:abstractNumId w:val="1"/>
  </w:num>
  <w:num w:numId="17">
    <w:abstractNumId w:val="25"/>
  </w:num>
  <w:num w:numId="18">
    <w:abstractNumId w:val="9"/>
  </w:num>
  <w:num w:numId="19">
    <w:abstractNumId w:val="6"/>
  </w:num>
  <w:num w:numId="20">
    <w:abstractNumId w:val="7"/>
  </w:num>
  <w:num w:numId="21">
    <w:abstractNumId w:val="3"/>
  </w:num>
  <w:num w:numId="22">
    <w:abstractNumId w:val="23"/>
  </w:num>
  <w:num w:numId="23">
    <w:abstractNumId w:val="21"/>
  </w:num>
  <w:num w:numId="24">
    <w:abstractNumId w:val="8"/>
  </w:num>
  <w:num w:numId="25">
    <w:abstractNumId w:val="19"/>
  </w:num>
  <w:num w:numId="26">
    <w:abstractNumId w:val="24"/>
  </w:num>
  <w:num w:numId="27">
    <w:abstractNumId w:val="12"/>
  </w:num>
  <w:num w:numId="28">
    <w:abstractNumId w:val="22"/>
  </w:num>
  <w:num w:numId="29">
    <w:abstractNumId w:val="15"/>
  </w:num>
  <w:num w:numId="30">
    <w:abstractNumId w:val="11"/>
  </w:num>
  <w:num w:numId="31">
    <w:abstractNumId w:val="18"/>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5F9"/>
    <w:rsid w:val="000146AF"/>
    <w:rsid w:val="000265AE"/>
    <w:rsid w:val="0006262F"/>
    <w:rsid w:val="00074712"/>
    <w:rsid w:val="00094BB4"/>
    <w:rsid w:val="000B654E"/>
    <w:rsid w:val="000C759B"/>
    <w:rsid w:val="000D5731"/>
    <w:rsid w:val="000E22AF"/>
    <w:rsid w:val="000F5771"/>
    <w:rsid w:val="00112BBE"/>
    <w:rsid w:val="001370AC"/>
    <w:rsid w:val="00144BD1"/>
    <w:rsid w:val="001474C5"/>
    <w:rsid w:val="00163B87"/>
    <w:rsid w:val="001909C1"/>
    <w:rsid w:val="00194C55"/>
    <w:rsid w:val="001A7896"/>
    <w:rsid w:val="001B264A"/>
    <w:rsid w:val="001B7904"/>
    <w:rsid w:val="001C50A3"/>
    <w:rsid w:val="001E709B"/>
    <w:rsid w:val="001F4246"/>
    <w:rsid w:val="001F4F37"/>
    <w:rsid w:val="00202F7C"/>
    <w:rsid w:val="0021596E"/>
    <w:rsid w:val="00231A9C"/>
    <w:rsid w:val="00235C25"/>
    <w:rsid w:val="002424B3"/>
    <w:rsid w:val="00246FC9"/>
    <w:rsid w:val="0028463F"/>
    <w:rsid w:val="00292CAA"/>
    <w:rsid w:val="002A5CBB"/>
    <w:rsid w:val="002B6478"/>
    <w:rsid w:val="002B7E60"/>
    <w:rsid w:val="002D010A"/>
    <w:rsid w:val="002E3EED"/>
    <w:rsid w:val="002F4B1B"/>
    <w:rsid w:val="00301A6C"/>
    <w:rsid w:val="0031154D"/>
    <w:rsid w:val="00347882"/>
    <w:rsid w:val="00350A80"/>
    <w:rsid w:val="003748B3"/>
    <w:rsid w:val="00376DC8"/>
    <w:rsid w:val="00382AC5"/>
    <w:rsid w:val="00384E9A"/>
    <w:rsid w:val="003B0AD2"/>
    <w:rsid w:val="003D4F94"/>
    <w:rsid w:val="003E7B5F"/>
    <w:rsid w:val="0040592F"/>
    <w:rsid w:val="00413F18"/>
    <w:rsid w:val="004365A8"/>
    <w:rsid w:val="00483510"/>
    <w:rsid w:val="004910FC"/>
    <w:rsid w:val="004B1517"/>
    <w:rsid w:val="004B64E7"/>
    <w:rsid w:val="004C15B5"/>
    <w:rsid w:val="004C7B1E"/>
    <w:rsid w:val="004F694D"/>
    <w:rsid w:val="004F77AA"/>
    <w:rsid w:val="005153FB"/>
    <w:rsid w:val="00520221"/>
    <w:rsid w:val="005272A1"/>
    <w:rsid w:val="00530586"/>
    <w:rsid w:val="005377B1"/>
    <w:rsid w:val="005426B8"/>
    <w:rsid w:val="00543585"/>
    <w:rsid w:val="00556567"/>
    <w:rsid w:val="0056269B"/>
    <w:rsid w:val="00582AF8"/>
    <w:rsid w:val="00593559"/>
    <w:rsid w:val="005C5E37"/>
    <w:rsid w:val="005D5E55"/>
    <w:rsid w:val="005F3252"/>
    <w:rsid w:val="00602577"/>
    <w:rsid w:val="00602DD9"/>
    <w:rsid w:val="006145DF"/>
    <w:rsid w:val="006225C0"/>
    <w:rsid w:val="00622EC2"/>
    <w:rsid w:val="006431FB"/>
    <w:rsid w:val="0067108A"/>
    <w:rsid w:val="006719EF"/>
    <w:rsid w:val="00675A5E"/>
    <w:rsid w:val="00684939"/>
    <w:rsid w:val="006C0585"/>
    <w:rsid w:val="006C482B"/>
    <w:rsid w:val="006C79CB"/>
    <w:rsid w:val="006C7C46"/>
    <w:rsid w:val="006D1260"/>
    <w:rsid w:val="006E2ED3"/>
    <w:rsid w:val="006E4393"/>
    <w:rsid w:val="006F6FB1"/>
    <w:rsid w:val="00702185"/>
    <w:rsid w:val="00716D55"/>
    <w:rsid w:val="007341CA"/>
    <w:rsid w:val="007407E4"/>
    <w:rsid w:val="007665F9"/>
    <w:rsid w:val="00771588"/>
    <w:rsid w:val="00776B39"/>
    <w:rsid w:val="00784CF9"/>
    <w:rsid w:val="0079242E"/>
    <w:rsid w:val="007A67C8"/>
    <w:rsid w:val="007B00E4"/>
    <w:rsid w:val="007B3539"/>
    <w:rsid w:val="007B79E1"/>
    <w:rsid w:val="007D1992"/>
    <w:rsid w:val="007D3D11"/>
    <w:rsid w:val="007D40C3"/>
    <w:rsid w:val="0081109F"/>
    <w:rsid w:val="008139F2"/>
    <w:rsid w:val="00831525"/>
    <w:rsid w:val="008325F1"/>
    <w:rsid w:val="00836D8A"/>
    <w:rsid w:val="00841064"/>
    <w:rsid w:val="00857854"/>
    <w:rsid w:val="00861DCD"/>
    <w:rsid w:val="0086529F"/>
    <w:rsid w:val="0088568C"/>
    <w:rsid w:val="008979AB"/>
    <w:rsid w:val="008E3B5C"/>
    <w:rsid w:val="00912068"/>
    <w:rsid w:val="00915D9A"/>
    <w:rsid w:val="00923A25"/>
    <w:rsid w:val="00927FFA"/>
    <w:rsid w:val="009328ED"/>
    <w:rsid w:val="0093751F"/>
    <w:rsid w:val="00937599"/>
    <w:rsid w:val="00946884"/>
    <w:rsid w:val="00947FC5"/>
    <w:rsid w:val="00951D22"/>
    <w:rsid w:val="00955B02"/>
    <w:rsid w:val="00963E40"/>
    <w:rsid w:val="009A0A4D"/>
    <w:rsid w:val="009A0B74"/>
    <w:rsid w:val="009F6622"/>
    <w:rsid w:val="00A13339"/>
    <w:rsid w:val="00A137A5"/>
    <w:rsid w:val="00A31FC8"/>
    <w:rsid w:val="00A32263"/>
    <w:rsid w:val="00A32663"/>
    <w:rsid w:val="00A670B1"/>
    <w:rsid w:val="00A754ED"/>
    <w:rsid w:val="00A80A0C"/>
    <w:rsid w:val="00A906D2"/>
    <w:rsid w:val="00AC3A2C"/>
    <w:rsid w:val="00AD1509"/>
    <w:rsid w:val="00AD71C2"/>
    <w:rsid w:val="00AE3D0B"/>
    <w:rsid w:val="00B10477"/>
    <w:rsid w:val="00B10B47"/>
    <w:rsid w:val="00B27C2A"/>
    <w:rsid w:val="00B41F40"/>
    <w:rsid w:val="00B63AD7"/>
    <w:rsid w:val="00B64131"/>
    <w:rsid w:val="00B841E7"/>
    <w:rsid w:val="00BA0723"/>
    <w:rsid w:val="00BA4AFD"/>
    <w:rsid w:val="00BB493B"/>
    <w:rsid w:val="00BC01C4"/>
    <w:rsid w:val="00BC47CF"/>
    <w:rsid w:val="00BD7CDF"/>
    <w:rsid w:val="00BE2AED"/>
    <w:rsid w:val="00BF7452"/>
    <w:rsid w:val="00C05E99"/>
    <w:rsid w:val="00C3318B"/>
    <w:rsid w:val="00C36E9F"/>
    <w:rsid w:val="00C42CE2"/>
    <w:rsid w:val="00C56CEC"/>
    <w:rsid w:val="00C669B5"/>
    <w:rsid w:val="00C75887"/>
    <w:rsid w:val="00C774C5"/>
    <w:rsid w:val="00C85E15"/>
    <w:rsid w:val="00C922CF"/>
    <w:rsid w:val="00CB17E2"/>
    <w:rsid w:val="00D06B5C"/>
    <w:rsid w:val="00D112EA"/>
    <w:rsid w:val="00D165C7"/>
    <w:rsid w:val="00D17DC0"/>
    <w:rsid w:val="00D363BB"/>
    <w:rsid w:val="00D42AD8"/>
    <w:rsid w:val="00D46693"/>
    <w:rsid w:val="00D46CD6"/>
    <w:rsid w:val="00D52610"/>
    <w:rsid w:val="00D60EFF"/>
    <w:rsid w:val="00D611DC"/>
    <w:rsid w:val="00D76A09"/>
    <w:rsid w:val="00D77677"/>
    <w:rsid w:val="00D93553"/>
    <w:rsid w:val="00DB3C31"/>
    <w:rsid w:val="00DF41A0"/>
    <w:rsid w:val="00DF465E"/>
    <w:rsid w:val="00E108F3"/>
    <w:rsid w:val="00E41F2A"/>
    <w:rsid w:val="00E462FF"/>
    <w:rsid w:val="00E72D84"/>
    <w:rsid w:val="00E75FCF"/>
    <w:rsid w:val="00E86F74"/>
    <w:rsid w:val="00E91441"/>
    <w:rsid w:val="00EA506D"/>
    <w:rsid w:val="00EB0AC5"/>
    <w:rsid w:val="00EB2795"/>
    <w:rsid w:val="00EC73AC"/>
    <w:rsid w:val="00ED2670"/>
    <w:rsid w:val="00ED6218"/>
    <w:rsid w:val="00EE07E6"/>
    <w:rsid w:val="00F17528"/>
    <w:rsid w:val="00F71E89"/>
    <w:rsid w:val="00F86656"/>
    <w:rsid w:val="00FA1880"/>
    <w:rsid w:val="00FF3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067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semiHidden="0" w:uiPriority="35" w:unhideWhenUsed="0"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5A8"/>
    <w:rPr>
      <w:sz w:val="22"/>
    </w:rPr>
  </w:style>
  <w:style w:type="paragraph" w:styleId="Heading1">
    <w:name w:val="heading 1"/>
    <w:basedOn w:val="Normal"/>
    <w:next w:val="Normal"/>
    <w:link w:val="Heading1Char"/>
    <w:qFormat/>
    <w:pPr>
      <w:keepNext/>
      <w:widowControl w:val="0"/>
      <w:numPr>
        <w:numId w:val="2"/>
      </w:numPr>
      <w:suppressAutoHyphens/>
      <w:spacing w:after="220"/>
      <w:jc w:val="both"/>
      <w:outlineLvl w:val="0"/>
    </w:pPr>
    <w:rPr>
      <w:b/>
      <w:caps/>
    </w:rPr>
  </w:style>
  <w:style w:type="paragraph" w:styleId="Heading2">
    <w:name w:val="heading 2"/>
    <w:basedOn w:val="Normal"/>
    <w:next w:val="Normal"/>
    <w:link w:val="Heading2Char"/>
    <w:qFormat/>
    <w:pPr>
      <w:keepNext/>
      <w:widowControl w:val="0"/>
      <w:numPr>
        <w:ilvl w:val="1"/>
        <w:numId w:val="2"/>
      </w:numPr>
      <w:spacing w:after="220"/>
      <w:jc w:val="both"/>
      <w:outlineLvl w:val="1"/>
    </w:pPr>
    <w:rPr>
      <w:b/>
    </w:rPr>
  </w:style>
  <w:style w:type="paragraph" w:styleId="Heading3">
    <w:name w:val="heading 3"/>
    <w:basedOn w:val="Normal"/>
    <w:next w:val="Normal"/>
    <w:link w:val="Heading3Char"/>
    <w:qFormat/>
    <w:pPr>
      <w:keepNext/>
      <w:widowControl w:val="0"/>
      <w:numPr>
        <w:ilvl w:val="2"/>
        <w:numId w:val="2"/>
      </w:numPr>
      <w:spacing w:after="220"/>
      <w:jc w:val="both"/>
      <w:outlineLvl w:val="2"/>
    </w:pPr>
    <w:rPr>
      <w:b/>
    </w:rPr>
  </w:style>
  <w:style w:type="paragraph" w:styleId="Heading4">
    <w:name w:val="heading 4"/>
    <w:basedOn w:val="Normal"/>
    <w:next w:val="Normal"/>
    <w:link w:val="Heading4Char"/>
    <w:qFormat/>
    <w:pPr>
      <w:keepNext/>
      <w:widowControl w:val="0"/>
      <w:numPr>
        <w:ilvl w:val="3"/>
        <w:numId w:val="2"/>
      </w:numPr>
      <w:spacing w:after="220"/>
      <w:jc w:val="both"/>
      <w:outlineLvl w:val="3"/>
    </w:pPr>
    <w:rPr>
      <w:b/>
    </w:rPr>
  </w:style>
  <w:style w:type="paragraph" w:styleId="Heading5">
    <w:name w:val="heading 5"/>
    <w:basedOn w:val="Normal"/>
    <w:next w:val="Normal"/>
    <w:link w:val="Heading5Char"/>
    <w:qFormat/>
    <w:pPr>
      <w:keepNext/>
      <w:widowControl w:val="0"/>
      <w:numPr>
        <w:ilvl w:val="4"/>
        <w:numId w:val="2"/>
      </w:numPr>
      <w:suppressAutoHyphens/>
      <w:spacing w:after="220"/>
      <w:jc w:val="both"/>
      <w:outlineLvl w:val="4"/>
    </w:pPr>
    <w:rPr>
      <w:b/>
    </w:rPr>
  </w:style>
  <w:style w:type="paragraph" w:styleId="Heading6">
    <w:name w:val="heading 6"/>
    <w:basedOn w:val="Normal"/>
    <w:next w:val="Normal"/>
    <w:link w:val="Heading6Char"/>
    <w:qFormat/>
    <w:pPr>
      <w:widowControl w:val="0"/>
      <w:numPr>
        <w:ilvl w:val="5"/>
        <w:numId w:val="2"/>
      </w:numPr>
      <w:spacing w:after="220"/>
      <w:jc w:val="both"/>
      <w:outlineLvl w:val="5"/>
    </w:pPr>
    <w:rPr>
      <w:b/>
    </w:rPr>
  </w:style>
  <w:style w:type="paragraph" w:styleId="Heading7">
    <w:name w:val="heading 7"/>
    <w:basedOn w:val="Normal"/>
    <w:next w:val="Normal"/>
    <w:link w:val="Heading7Char"/>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link w:val="Heading9Char"/>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Style 13,Style 6,Footnote Reference/,Style 7,Style 4,Footnote Reference1"/>
    <w:uiPriority w:val="99"/>
    <w:qFormat/>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uiPriority w:val="99"/>
    <w:qFormat/>
    <w:rsid w:val="00235C25"/>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uiPriority w:val="99"/>
    <w:semiHidden/>
    <w:rPr>
      <w:color w:val="800080"/>
      <w:u w:val="single"/>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uiPriority w:val="99"/>
    <w:rsid w:val="00235C25"/>
  </w:style>
  <w:style w:type="character" w:customStyle="1" w:styleId="Normal1">
    <w:name w:val="Normal1"/>
    <w:rsid w:val="008979AB"/>
    <w:rPr>
      <w:rFonts w:ascii="Times New Roman" w:hAnsi="Times New Roman"/>
      <w:noProof w:val="0"/>
      <w:sz w:val="20"/>
      <w:lang w:val="en-US"/>
    </w:rPr>
  </w:style>
  <w:style w:type="paragraph" w:customStyle="1" w:styleId="StyleParaNumTimesNewRoman11pt">
    <w:name w:val="Style ParaNum + Times New Roman 11 pt"/>
    <w:basedOn w:val="Normal"/>
    <w:link w:val="StyleParaNumTimesNewRoman11ptChar"/>
    <w:autoRedefine/>
    <w:rsid w:val="00E86F74"/>
    <w:pPr>
      <w:tabs>
        <w:tab w:val="num" w:pos="360"/>
        <w:tab w:val="left" w:pos="1440"/>
      </w:tabs>
      <w:spacing w:after="120"/>
      <w:ind w:left="360" w:hanging="360"/>
    </w:pPr>
    <w:rPr>
      <w:kern w:val="28"/>
    </w:rPr>
  </w:style>
  <w:style w:type="character" w:customStyle="1" w:styleId="StyleParaNumTimesNewRoman11ptChar">
    <w:name w:val="Style ParaNum + Times New Roman 11 pt Char"/>
    <w:link w:val="StyleParaNumTimesNewRoman11pt"/>
    <w:locked/>
    <w:rsid w:val="00E86F74"/>
    <w:rPr>
      <w:kern w:val="28"/>
      <w:sz w:val="22"/>
    </w:rPr>
  </w:style>
  <w:style w:type="character" w:customStyle="1" w:styleId="Normal10">
    <w:name w:val="Normal1"/>
    <w:rsid w:val="00144BD1"/>
    <w:rPr>
      <w:rFonts w:ascii="Times New Roman" w:hAnsi="Times New Roman"/>
      <w:noProof w:val="0"/>
      <w:sz w:val="20"/>
      <w:lang w:val="en-US"/>
    </w:rPr>
  </w:style>
  <w:style w:type="character" w:customStyle="1" w:styleId="StyleTimesNewRomanBold11ptBold">
    <w:name w:val="Style Times New Roman Bold 11 pt Bold"/>
    <w:rsid w:val="00144BD1"/>
    <w:rPr>
      <w:rFonts w:hAnsi="Times New Roman Bold"/>
      <w:b/>
      <w:bCs/>
      <w:caps/>
      <w:sz w:val="22"/>
      <w:szCs w:val="22"/>
    </w:rPr>
  </w:style>
  <w:style w:type="paragraph" w:styleId="BodyText">
    <w:name w:val="Body Text"/>
    <w:basedOn w:val="Normal"/>
    <w:link w:val="BodyTextChar"/>
    <w:rsid w:val="00702185"/>
    <w:pPr>
      <w:widowControl w:val="0"/>
      <w:tabs>
        <w:tab w:val="center" w:pos="4680"/>
      </w:tabs>
      <w:suppressAutoHyphens/>
      <w:jc w:val="center"/>
    </w:pPr>
    <w:rPr>
      <w:b/>
      <w:bCs/>
      <w:snapToGrid w:val="0"/>
      <w:sz w:val="24"/>
      <w:szCs w:val="24"/>
    </w:rPr>
  </w:style>
  <w:style w:type="character" w:customStyle="1" w:styleId="BodyTextChar">
    <w:name w:val="Body Text Char"/>
    <w:basedOn w:val="DefaultParagraphFont"/>
    <w:link w:val="BodyText"/>
    <w:rsid w:val="00702185"/>
    <w:rPr>
      <w:b/>
      <w:bCs/>
      <w:snapToGrid w:val="0"/>
      <w:sz w:val="24"/>
      <w:szCs w:val="24"/>
    </w:rPr>
  </w:style>
  <w:style w:type="paragraph" w:styleId="ListParagraph">
    <w:name w:val="List Paragraph"/>
    <w:basedOn w:val="Normal"/>
    <w:uiPriority w:val="34"/>
    <w:qFormat/>
    <w:rsid w:val="00A31FC8"/>
    <w:pPr>
      <w:ind w:left="720"/>
      <w:contextualSpacing/>
    </w:pPr>
  </w:style>
  <w:style w:type="paragraph" w:styleId="BalloonText">
    <w:name w:val="Balloon Text"/>
    <w:basedOn w:val="Normal"/>
    <w:link w:val="BalloonTextChar"/>
    <w:uiPriority w:val="99"/>
    <w:semiHidden/>
    <w:unhideWhenUsed/>
    <w:rsid w:val="00927F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FFA"/>
    <w:rPr>
      <w:rFonts w:ascii="Segoe UI" w:hAnsi="Segoe UI" w:cs="Segoe UI"/>
      <w:sz w:val="18"/>
      <w:szCs w:val="18"/>
    </w:rPr>
  </w:style>
  <w:style w:type="table" w:styleId="TableGrid">
    <w:name w:val="Table Grid"/>
    <w:basedOn w:val="TableNormal"/>
    <w:uiPriority w:val="59"/>
    <w:rsid w:val="006E43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4365A8"/>
    <w:rPr>
      <w:b/>
      <w:caps/>
      <w:sz w:val="22"/>
    </w:rPr>
  </w:style>
  <w:style w:type="character" w:customStyle="1" w:styleId="Heading2Char">
    <w:name w:val="Heading 2 Char"/>
    <w:basedOn w:val="DefaultParagraphFont"/>
    <w:link w:val="Heading2"/>
    <w:rsid w:val="004365A8"/>
    <w:rPr>
      <w:b/>
      <w:sz w:val="22"/>
    </w:rPr>
  </w:style>
  <w:style w:type="character" w:customStyle="1" w:styleId="Heading3Char">
    <w:name w:val="Heading 3 Char"/>
    <w:basedOn w:val="DefaultParagraphFont"/>
    <w:link w:val="Heading3"/>
    <w:rsid w:val="004365A8"/>
    <w:rPr>
      <w:b/>
      <w:sz w:val="22"/>
    </w:rPr>
  </w:style>
  <w:style w:type="character" w:customStyle="1" w:styleId="Heading4Char">
    <w:name w:val="Heading 4 Char"/>
    <w:basedOn w:val="DefaultParagraphFont"/>
    <w:link w:val="Heading4"/>
    <w:rsid w:val="004365A8"/>
    <w:rPr>
      <w:b/>
      <w:sz w:val="22"/>
    </w:rPr>
  </w:style>
  <w:style w:type="character" w:customStyle="1" w:styleId="Heading5Char">
    <w:name w:val="Heading 5 Char"/>
    <w:basedOn w:val="DefaultParagraphFont"/>
    <w:link w:val="Heading5"/>
    <w:rsid w:val="004365A8"/>
    <w:rPr>
      <w:b/>
      <w:sz w:val="22"/>
    </w:rPr>
  </w:style>
  <w:style w:type="character" w:customStyle="1" w:styleId="Heading6Char">
    <w:name w:val="Heading 6 Char"/>
    <w:basedOn w:val="DefaultParagraphFont"/>
    <w:link w:val="Heading6"/>
    <w:rsid w:val="004365A8"/>
    <w:rPr>
      <w:b/>
      <w:sz w:val="22"/>
    </w:rPr>
  </w:style>
  <w:style w:type="character" w:customStyle="1" w:styleId="Heading7Char">
    <w:name w:val="Heading 7 Char"/>
    <w:basedOn w:val="DefaultParagraphFont"/>
    <w:link w:val="Heading7"/>
    <w:rsid w:val="004365A8"/>
    <w:rPr>
      <w:b/>
      <w:sz w:val="22"/>
    </w:rPr>
  </w:style>
  <w:style w:type="character" w:customStyle="1" w:styleId="Heading9Char">
    <w:name w:val="Heading 9 Char"/>
    <w:basedOn w:val="DefaultParagraphFont"/>
    <w:link w:val="Heading9"/>
    <w:rsid w:val="004365A8"/>
    <w:rPr>
      <w:b/>
      <w:sz w:val="22"/>
    </w:rPr>
  </w:style>
  <w:style w:type="character" w:customStyle="1" w:styleId="HeaderChar">
    <w:name w:val="Header Char"/>
    <w:basedOn w:val="DefaultParagraphFont"/>
    <w:link w:val="Header"/>
    <w:uiPriority w:val="99"/>
    <w:rsid w:val="004365A8"/>
    <w:rPr>
      <w:sz w:val="22"/>
    </w:rPr>
  </w:style>
  <w:style w:type="character" w:customStyle="1" w:styleId="FooterChar">
    <w:name w:val="Footer Char"/>
    <w:basedOn w:val="DefaultParagraphFont"/>
    <w:link w:val="Footer"/>
    <w:uiPriority w:val="99"/>
    <w:rsid w:val="004365A8"/>
    <w:rPr>
      <w:sz w:val="22"/>
    </w:rPr>
  </w:style>
  <w:style w:type="character" w:styleId="PageNumber">
    <w:name w:val="page number"/>
    <w:basedOn w:val="DefaultParagraphFont"/>
    <w:rsid w:val="004365A8"/>
  </w:style>
  <w:style w:type="paragraph" w:customStyle="1" w:styleId="ParaNum0">
    <w:name w:val="ParaNum"/>
    <w:basedOn w:val="Normal"/>
    <w:rsid w:val="004365A8"/>
    <w:pPr>
      <w:widowControl w:val="0"/>
      <w:tabs>
        <w:tab w:val="left" w:pos="1440"/>
      </w:tabs>
      <w:spacing w:after="220"/>
      <w:ind w:firstLine="720"/>
      <w:jc w:val="both"/>
    </w:pPr>
  </w:style>
  <w:style w:type="paragraph" w:customStyle="1" w:styleId="text2">
    <w:name w:val="text2"/>
    <w:basedOn w:val="Normal"/>
    <w:rsid w:val="004365A8"/>
    <w:pPr>
      <w:spacing w:line="240" w:lineRule="atLeast"/>
    </w:pPr>
    <w:rPr>
      <w:sz w:val="19"/>
      <w:szCs w:val="19"/>
    </w:rPr>
  </w:style>
  <w:style w:type="character" w:customStyle="1" w:styleId="text-black-small">
    <w:name w:val="text-black-small"/>
    <w:basedOn w:val="DefaultParagraphFont"/>
    <w:rsid w:val="004365A8"/>
  </w:style>
  <w:style w:type="character" w:styleId="Emphasis">
    <w:name w:val="Emphasis"/>
    <w:basedOn w:val="DefaultParagraphFont"/>
    <w:uiPriority w:val="20"/>
    <w:qFormat/>
    <w:rsid w:val="004365A8"/>
    <w:rPr>
      <w:i/>
      <w:iCs/>
    </w:rPr>
  </w:style>
  <w:style w:type="character" w:styleId="CommentReference">
    <w:name w:val="annotation reference"/>
    <w:basedOn w:val="DefaultParagraphFont"/>
    <w:uiPriority w:val="99"/>
    <w:semiHidden/>
    <w:unhideWhenUsed/>
    <w:rsid w:val="004365A8"/>
    <w:rPr>
      <w:sz w:val="16"/>
      <w:szCs w:val="16"/>
    </w:rPr>
  </w:style>
  <w:style w:type="paragraph" w:styleId="CommentText">
    <w:name w:val="annotation text"/>
    <w:basedOn w:val="Normal"/>
    <w:link w:val="CommentTextChar"/>
    <w:uiPriority w:val="99"/>
    <w:unhideWhenUsed/>
    <w:rsid w:val="004365A8"/>
    <w:rPr>
      <w:sz w:val="20"/>
    </w:rPr>
  </w:style>
  <w:style w:type="character" w:customStyle="1" w:styleId="CommentTextChar">
    <w:name w:val="Comment Text Char"/>
    <w:basedOn w:val="DefaultParagraphFont"/>
    <w:link w:val="CommentText"/>
    <w:uiPriority w:val="99"/>
    <w:rsid w:val="004365A8"/>
  </w:style>
  <w:style w:type="paragraph" w:styleId="CommentSubject">
    <w:name w:val="annotation subject"/>
    <w:basedOn w:val="CommentText"/>
    <w:next w:val="CommentText"/>
    <w:link w:val="CommentSubjectChar"/>
    <w:uiPriority w:val="99"/>
    <w:semiHidden/>
    <w:unhideWhenUsed/>
    <w:rsid w:val="004365A8"/>
    <w:rPr>
      <w:b/>
      <w:bCs/>
    </w:rPr>
  </w:style>
  <w:style w:type="character" w:customStyle="1" w:styleId="CommentSubjectChar">
    <w:name w:val="Comment Subject Char"/>
    <w:basedOn w:val="CommentTextChar"/>
    <w:link w:val="CommentSubject"/>
    <w:uiPriority w:val="99"/>
    <w:semiHidden/>
    <w:rsid w:val="004365A8"/>
    <w:rPr>
      <w:b/>
      <w:bCs/>
    </w:rPr>
  </w:style>
  <w:style w:type="character" w:customStyle="1" w:styleId="st">
    <w:name w:val="st"/>
    <w:basedOn w:val="DefaultParagraphFont"/>
    <w:rsid w:val="004365A8"/>
  </w:style>
  <w:style w:type="paragraph" w:customStyle="1" w:styleId="Default">
    <w:name w:val="Default"/>
    <w:rsid w:val="004365A8"/>
    <w:pPr>
      <w:autoSpaceDE w:val="0"/>
      <w:autoSpaceDN w:val="0"/>
      <w:adjustRightInd w:val="0"/>
    </w:pPr>
    <w:rPr>
      <w:rFonts w:eastAsiaTheme="minorHAnsi"/>
      <w:color w:val="000000"/>
      <w:sz w:val="24"/>
      <w:szCs w:val="24"/>
    </w:rPr>
  </w:style>
  <w:style w:type="paragraph" w:styleId="Revision">
    <w:name w:val="Revision"/>
    <w:hidden/>
    <w:uiPriority w:val="99"/>
    <w:semiHidden/>
    <w:rsid w:val="004365A8"/>
    <w:rPr>
      <w:sz w:val="22"/>
    </w:rPr>
  </w:style>
  <w:style w:type="paragraph" w:styleId="EndnoteText">
    <w:name w:val="endnote text"/>
    <w:basedOn w:val="Normal"/>
    <w:link w:val="EndnoteTextChar"/>
    <w:uiPriority w:val="99"/>
    <w:semiHidden/>
    <w:unhideWhenUsed/>
    <w:rsid w:val="004365A8"/>
    <w:rPr>
      <w:sz w:val="20"/>
    </w:rPr>
  </w:style>
  <w:style w:type="character" w:customStyle="1" w:styleId="EndnoteTextChar">
    <w:name w:val="Endnote Text Char"/>
    <w:basedOn w:val="DefaultParagraphFont"/>
    <w:link w:val="EndnoteText"/>
    <w:uiPriority w:val="99"/>
    <w:semiHidden/>
    <w:rsid w:val="004365A8"/>
  </w:style>
  <w:style w:type="character" w:styleId="EndnoteReference">
    <w:name w:val="endnote reference"/>
    <w:basedOn w:val="DefaultParagraphFont"/>
    <w:uiPriority w:val="99"/>
    <w:semiHidden/>
    <w:unhideWhenUsed/>
    <w:rsid w:val="004365A8"/>
    <w:rPr>
      <w:vertAlign w:val="superscript"/>
    </w:rPr>
  </w:style>
  <w:style w:type="paragraph" w:styleId="NoSpacing">
    <w:name w:val="No Spacing"/>
    <w:uiPriority w:val="1"/>
    <w:qFormat/>
    <w:rsid w:val="004365A8"/>
    <w:pPr>
      <w:widowControl w:val="0"/>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semiHidden="0" w:uiPriority="35" w:unhideWhenUsed="0"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5A8"/>
    <w:rPr>
      <w:sz w:val="22"/>
    </w:rPr>
  </w:style>
  <w:style w:type="paragraph" w:styleId="Heading1">
    <w:name w:val="heading 1"/>
    <w:basedOn w:val="Normal"/>
    <w:next w:val="Normal"/>
    <w:link w:val="Heading1Char"/>
    <w:qFormat/>
    <w:pPr>
      <w:keepNext/>
      <w:widowControl w:val="0"/>
      <w:numPr>
        <w:numId w:val="2"/>
      </w:numPr>
      <w:suppressAutoHyphens/>
      <w:spacing w:after="220"/>
      <w:jc w:val="both"/>
      <w:outlineLvl w:val="0"/>
    </w:pPr>
    <w:rPr>
      <w:b/>
      <w:caps/>
    </w:rPr>
  </w:style>
  <w:style w:type="paragraph" w:styleId="Heading2">
    <w:name w:val="heading 2"/>
    <w:basedOn w:val="Normal"/>
    <w:next w:val="Normal"/>
    <w:link w:val="Heading2Char"/>
    <w:qFormat/>
    <w:pPr>
      <w:keepNext/>
      <w:widowControl w:val="0"/>
      <w:numPr>
        <w:ilvl w:val="1"/>
        <w:numId w:val="2"/>
      </w:numPr>
      <w:spacing w:after="220"/>
      <w:jc w:val="both"/>
      <w:outlineLvl w:val="1"/>
    </w:pPr>
    <w:rPr>
      <w:b/>
    </w:rPr>
  </w:style>
  <w:style w:type="paragraph" w:styleId="Heading3">
    <w:name w:val="heading 3"/>
    <w:basedOn w:val="Normal"/>
    <w:next w:val="Normal"/>
    <w:link w:val="Heading3Char"/>
    <w:qFormat/>
    <w:pPr>
      <w:keepNext/>
      <w:widowControl w:val="0"/>
      <w:numPr>
        <w:ilvl w:val="2"/>
        <w:numId w:val="2"/>
      </w:numPr>
      <w:spacing w:after="220"/>
      <w:jc w:val="both"/>
      <w:outlineLvl w:val="2"/>
    </w:pPr>
    <w:rPr>
      <w:b/>
    </w:rPr>
  </w:style>
  <w:style w:type="paragraph" w:styleId="Heading4">
    <w:name w:val="heading 4"/>
    <w:basedOn w:val="Normal"/>
    <w:next w:val="Normal"/>
    <w:link w:val="Heading4Char"/>
    <w:qFormat/>
    <w:pPr>
      <w:keepNext/>
      <w:widowControl w:val="0"/>
      <w:numPr>
        <w:ilvl w:val="3"/>
        <w:numId w:val="2"/>
      </w:numPr>
      <w:spacing w:after="220"/>
      <w:jc w:val="both"/>
      <w:outlineLvl w:val="3"/>
    </w:pPr>
    <w:rPr>
      <w:b/>
    </w:rPr>
  </w:style>
  <w:style w:type="paragraph" w:styleId="Heading5">
    <w:name w:val="heading 5"/>
    <w:basedOn w:val="Normal"/>
    <w:next w:val="Normal"/>
    <w:link w:val="Heading5Char"/>
    <w:qFormat/>
    <w:pPr>
      <w:keepNext/>
      <w:widowControl w:val="0"/>
      <w:numPr>
        <w:ilvl w:val="4"/>
        <w:numId w:val="2"/>
      </w:numPr>
      <w:suppressAutoHyphens/>
      <w:spacing w:after="220"/>
      <w:jc w:val="both"/>
      <w:outlineLvl w:val="4"/>
    </w:pPr>
    <w:rPr>
      <w:b/>
    </w:rPr>
  </w:style>
  <w:style w:type="paragraph" w:styleId="Heading6">
    <w:name w:val="heading 6"/>
    <w:basedOn w:val="Normal"/>
    <w:next w:val="Normal"/>
    <w:link w:val="Heading6Char"/>
    <w:qFormat/>
    <w:pPr>
      <w:widowControl w:val="0"/>
      <w:numPr>
        <w:ilvl w:val="5"/>
        <w:numId w:val="2"/>
      </w:numPr>
      <w:spacing w:after="220"/>
      <w:jc w:val="both"/>
      <w:outlineLvl w:val="5"/>
    </w:pPr>
    <w:rPr>
      <w:b/>
    </w:rPr>
  </w:style>
  <w:style w:type="paragraph" w:styleId="Heading7">
    <w:name w:val="heading 7"/>
    <w:basedOn w:val="Normal"/>
    <w:next w:val="Normal"/>
    <w:link w:val="Heading7Char"/>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link w:val="Heading9Char"/>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Style 13,Style 6,Footnote Reference/,Style 7,Style 4,Footnote Reference1"/>
    <w:uiPriority w:val="99"/>
    <w:qFormat/>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uiPriority w:val="99"/>
    <w:qFormat/>
    <w:rsid w:val="00235C25"/>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uiPriority w:val="99"/>
    <w:semiHidden/>
    <w:rPr>
      <w:color w:val="800080"/>
      <w:u w:val="single"/>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uiPriority w:val="99"/>
    <w:rsid w:val="00235C25"/>
  </w:style>
  <w:style w:type="character" w:customStyle="1" w:styleId="Normal1">
    <w:name w:val="Normal1"/>
    <w:rsid w:val="008979AB"/>
    <w:rPr>
      <w:rFonts w:ascii="Times New Roman" w:hAnsi="Times New Roman"/>
      <w:noProof w:val="0"/>
      <w:sz w:val="20"/>
      <w:lang w:val="en-US"/>
    </w:rPr>
  </w:style>
  <w:style w:type="paragraph" w:customStyle="1" w:styleId="StyleParaNumTimesNewRoman11pt">
    <w:name w:val="Style ParaNum + Times New Roman 11 pt"/>
    <w:basedOn w:val="Normal"/>
    <w:link w:val="StyleParaNumTimesNewRoman11ptChar"/>
    <w:autoRedefine/>
    <w:rsid w:val="00E86F74"/>
    <w:pPr>
      <w:tabs>
        <w:tab w:val="num" w:pos="360"/>
        <w:tab w:val="left" w:pos="1440"/>
      </w:tabs>
      <w:spacing w:after="120"/>
      <w:ind w:left="360" w:hanging="360"/>
    </w:pPr>
    <w:rPr>
      <w:kern w:val="28"/>
    </w:rPr>
  </w:style>
  <w:style w:type="character" w:customStyle="1" w:styleId="StyleParaNumTimesNewRoman11ptChar">
    <w:name w:val="Style ParaNum + Times New Roman 11 pt Char"/>
    <w:link w:val="StyleParaNumTimesNewRoman11pt"/>
    <w:locked/>
    <w:rsid w:val="00E86F74"/>
    <w:rPr>
      <w:kern w:val="28"/>
      <w:sz w:val="22"/>
    </w:rPr>
  </w:style>
  <w:style w:type="character" w:customStyle="1" w:styleId="Normal10">
    <w:name w:val="Normal1"/>
    <w:rsid w:val="00144BD1"/>
    <w:rPr>
      <w:rFonts w:ascii="Times New Roman" w:hAnsi="Times New Roman"/>
      <w:noProof w:val="0"/>
      <w:sz w:val="20"/>
      <w:lang w:val="en-US"/>
    </w:rPr>
  </w:style>
  <w:style w:type="character" w:customStyle="1" w:styleId="StyleTimesNewRomanBold11ptBold">
    <w:name w:val="Style Times New Roman Bold 11 pt Bold"/>
    <w:rsid w:val="00144BD1"/>
    <w:rPr>
      <w:rFonts w:hAnsi="Times New Roman Bold"/>
      <w:b/>
      <w:bCs/>
      <w:caps/>
      <w:sz w:val="22"/>
      <w:szCs w:val="22"/>
    </w:rPr>
  </w:style>
  <w:style w:type="paragraph" w:styleId="BodyText">
    <w:name w:val="Body Text"/>
    <w:basedOn w:val="Normal"/>
    <w:link w:val="BodyTextChar"/>
    <w:rsid w:val="00702185"/>
    <w:pPr>
      <w:widowControl w:val="0"/>
      <w:tabs>
        <w:tab w:val="center" w:pos="4680"/>
      </w:tabs>
      <w:suppressAutoHyphens/>
      <w:jc w:val="center"/>
    </w:pPr>
    <w:rPr>
      <w:b/>
      <w:bCs/>
      <w:snapToGrid w:val="0"/>
      <w:sz w:val="24"/>
      <w:szCs w:val="24"/>
    </w:rPr>
  </w:style>
  <w:style w:type="character" w:customStyle="1" w:styleId="BodyTextChar">
    <w:name w:val="Body Text Char"/>
    <w:basedOn w:val="DefaultParagraphFont"/>
    <w:link w:val="BodyText"/>
    <w:rsid w:val="00702185"/>
    <w:rPr>
      <w:b/>
      <w:bCs/>
      <w:snapToGrid w:val="0"/>
      <w:sz w:val="24"/>
      <w:szCs w:val="24"/>
    </w:rPr>
  </w:style>
  <w:style w:type="paragraph" w:styleId="ListParagraph">
    <w:name w:val="List Paragraph"/>
    <w:basedOn w:val="Normal"/>
    <w:uiPriority w:val="34"/>
    <w:qFormat/>
    <w:rsid w:val="00A31FC8"/>
    <w:pPr>
      <w:ind w:left="720"/>
      <w:contextualSpacing/>
    </w:pPr>
  </w:style>
  <w:style w:type="paragraph" w:styleId="BalloonText">
    <w:name w:val="Balloon Text"/>
    <w:basedOn w:val="Normal"/>
    <w:link w:val="BalloonTextChar"/>
    <w:uiPriority w:val="99"/>
    <w:semiHidden/>
    <w:unhideWhenUsed/>
    <w:rsid w:val="00927F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FFA"/>
    <w:rPr>
      <w:rFonts w:ascii="Segoe UI" w:hAnsi="Segoe UI" w:cs="Segoe UI"/>
      <w:sz w:val="18"/>
      <w:szCs w:val="18"/>
    </w:rPr>
  </w:style>
  <w:style w:type="table" w:styleId="TableGrid">
    <w:name w:val="Table Grid"/>
    <w:basedOn w:val="TableNormal"/>
    <w:uiPriority w:val="59"/>
    <w:rsid w:val="006E43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4365A8"/>
    <w:rPr>
      <w:b/>
      <w:caps/>
      <w:sz w:val="22"/>
    </w:rPr>
  </w:style>
  <w:style w:type="character" w:customStyle="1" w:styleId="Heading2Char">
    <w:name w:val="Heading 2 Char"/>
    <w:basedOn w:val="DefaultParagraphFont"/>
    <w:link w:val="Heading2"/>
    <w:rsid w:val="004365A8"/>
    <w:rPr>
      <w:b/>
      <w:sz w:val="22"/>
    </w:rPr>
  </w:style>
  <w:style w:type="character" w:customStyle="1" w:styleId="Heading3Char">
    <w:name w:val="Heading 3 Char"/>
    <w:basedOn w:val="DefaultParagraphFont"/>
    <w:link w:val="Heading3"/>
    <w:rsid w:val="004365A8"/>
    <w:rPr>
      <w:b/>
      <w:sz w:val="22"/>
    </w:rPr>
  </w:style>
  <w:style w:type="character" w:customStyle="1" w:styleId="Heading4Char">
    <w:name w:val="Heading 4 Char"/>
    <w:basedOn w:val="DefaultParagraphFont"/>
    <w:link w:val="Heading4"/>
    <w:rsid w:val="004365A8"/>
    <w:rPr>
      <w:b/>
      <w:sz w:val="22"/>
    </w:rPr>
  </w:style>
  <w:style w:type="character" w:customStyle="1" w:styleId="Heading5Char">
    <w:name w:val="Heading 5 Char"/>
    <w:basedOn w:val="DefaultParagraphFont"/>
    <w:link w:val="Heading5"/>
    <w:rsid w:val="004365A8"/>
    <w:rPr>
      <w:b/>
      <w:sz w:val="22"/>
    </w:rPr>
  </w:style>
  <w:style w:type="character" w:customStyle="1" w:styleId="Heading6Char">
    <w:name w:val="Heading 6 Char"/>
    <w:basedOn w:val="DefaultParagraphFont"/>
    <w:link w:val="Heading6"/>
    <w:rsid w:val="004365A8"/>
    <w:rPr>
      <w:b/>
      <w:sz w:val="22"/>
    </w:rPr>
  </w:style>
  <w:style w:type="character" w:customStyle="1" w:styleId="Heading7Char">
    <w:name w:val="Heading 7 Char"/>
    <w:basedOn w:val="DefaultParagraphFont"/>
    <w:link w:val="Heading7"/>
    <w:rsid w:val="004365A8"/>
    <w:rPr>
      <w:b/>
      <w:sz w:val="22"/>
    </w:rPr>
  </w:style>
  <w:style w:type="character" w:customStyle="1" w:styleId="Heading9Char">
    <w:name w:val="Heading 9 Char"/>
    <w:basedOn w:val="DefaultParagraphFont"/>
    <w:link w:val="Heading9"/>
    <w:rsid w:val="004365A8"/>
    <w:rPr>
      <w:b/>
      <w:sz w:val="22"/>
    </w:rPr>
  </w:style>
  <w:style w:type="character" w:customStyle="1" w:styleId="HeaderChar">
    <w:name w:val="Header Char"/>
    <w:basedOn w:val="DefaultParagraphFont"/>
    <w:link w:val="Header"/>
    <w:uiPriority w:val="99"/>
    <w:rsid w:val="004365A8"/>
    <w:rPr>
      <w:sz w:val="22"/>
    </w:rPr>
  </w:style>
  <w:style w:type="character" w:customStyle="1" w:styleId="FooterChar">
    <w:name w:val="Footer Char"/>
    <w:basedOn w:val="DefaultParagraphFont"/>
    <w:link w:val="Footer"/>
    <w:uiPriority w:val="99"/>
    <w:rsid w:val="004365A8"/>
    <w:rPr>
      <w:sz w:val="22"/>
    </w:rPr>
  </w:style>
  <w:style w:type="character" w:styleId="PageNumber">
    <w:name w:val="page number"/>
    <w:basedOn w:val="DefaultParagraphFont"/>
    <w:rsid w:val="004365A8"/>
  </w:style>
  <w:style w:type="paragraph" w:customStyle="1" w:styleId="ParaNum0">
    <w:name w:val="ParaNum"/>
    <w:basedOn w:val="Normal"/>
    <w:rsid w:val="004365A8"/>
    <w:pPr>
      <w:widowControl w:val="0"/>
      <w:tabs>
        <w:tab w:val="left" w:pos="1440"/>
      </w:tabs>
      <w:spacing w:after="220"/>
      <w:ind w:firstLine="720"/>
      <w:jc w:val="both"/>
    </w:pPr>
  </w:style>
  <w:style w:type="paragraph" w:customStyle="1" w:styleId="text2">
    <w:name w:val="text2"/>
    <w:basedOn w:val="Normal"/>
    <w:rsid w:val="004365A8"/>
    <w:pPr>
      <w:spacing w:line="240" w:lineRule="atLeast"/>
    </w:pPr>
    <w:rPr>
      <w:sz w:val="19"/>
      <w:szCs w:val="19"/>
    </w:rPr>
  </w:style>
  <w:style w:type="character" w:customStyle="1" w:styleId="text-black-small">
    <w:name w:val="text-black-small"/>
    <w:basedOn w:val="DefaultParagraphFont"/>
    <w:rsid w:val="004365A8"/>
  </w:style>
  <w:style w:type="character" w:styleId="Emphasis">
    <w:name w:val="Emphasis"/>
    <w:basedOn w:val="DefaultParagraphFont"/>
    <w:uiPriority w:val="20"/>
    <w:qFormat/>
    <w:rsid w:val="004365A8"/>
    <w:rPr>
      <w:i/>
      <w:iCs/>
    </w:rPr>
  </w:style>
  <w:style w:type="character" w:styleId="CommentReference">
    <w:name w:val="annotation reference"/>
    <w:basedOn w:val="DefaultParagraphFont"/>
    <w:uiPriority w:val="99"/>
    <w:semiHidden/>
    <w:unhideWhenUsed/>
    <w:rsid w:val="004365A8"/>
    <w:rPr>
      <w:sz w:val="16"/>
      <w:szCs w:val="16"/>
    </w:rPr>
  </w:style>
  <w:style w:type="paragraph" w:styleId="CommentText">
    <w:name w:val="annotation text"/>
    <w:basedOn w:val="Normal"/>
    <w:link w:val="CommentTextChar"/>
    <w:uiPriority w:val="99"/>
    <w:unhideWhenUsed/>
    <w:rsid w:val="004365A8"/>
    <w:rPr>
      <w:sz w:val="20"/>
    </w:rPr>
  </w:style>
  <w:style w:type="character" w:customStyle="1" w:styleId="CommentTextChar">
    <w:name w:val="Comment Text Char"/>
    <w:basedOn w:val="DefaultParagraphFont"/>
    <w:link w:val="CommentText"/>
    <w:uiPriority w:val="99"/>
    <w:rsid w:val="004365A8"/>
  </w:style>
  <w:style w:type="paragraph" w:styleId="CommentSubject">
    <w:name w:val="annotation subject"/>
    <w:basedOn w:val="CommentText"/>
    <w:next w:val="CommentText"/>
    <w:link w:val="CommentSubjectChar"/>
    <w:uiPriority w:val="99"/>
    <w:semiHidden/>
    <w:unhideWhenUsed/>
    <w:rsid w:val="004365A8"/>
    <w:rPr>
      <w:b/>
      <w:bCs/>
    </w:rPr>
  </w:style>
  <w:style w:type="character" w:customStyle="1" w:styleId="CommentSubjectChar">
    <w:name w:val="Comment Subject Char"/>
    <w:basedOn w:val="CommentTextChar"/>
    <w:link w:val="CommentSubject"/>
    <w:uiPriority w:val="99"/>
    <w:semiHidden/>
    <w:rsid w:val="004365A8"/>
    <w:rPr>
      <w:b/>
      <w:bCs/>
    </w:rPr>
  </w:style>
  <w:style w:type="character" w:customStyle="1" w:styleId="st">
    <w:name w:val="st"/>
    <w:basedOn w:val="DefaultParagraphFont"/>
    <w:rsid w:val="004365A8"/>
  </w:style>
  <w:style w:type="paragraph" w:customStyle="1" w:styleId="Default">
    <w:name w:val="Default"/>
    <w:rsid w:val="004365A8"/>
    <w:pPr>
      <w:autoSpaceDE w:val="0"/>
      <w:autoSpaceDN w:val="0"/>
      <w:adjustRightInd w:val="0"/>
    </w:pPr>
    <w:rPr>
      <w:rFonts w:eastAsiaTheme="minorHAnsi"/>
      <w:color w:val="000000"/>
      <w:sz w:val="24"/>
      <w:szCs w:val="24"/>
    </w:rPr>
  </w:style>
  <w:style w:type="paragraph" w:styleId="Revision">
    <w:name w:val="Revision"/>
    <w:hidden/>
    <w:uiPriority w:val="99"/>
    <w:semiHidden/>
    <w:rsid w:val="004365A8"/>
    <w:rPr>
      <w:sz w:val="22"/>
    </w:rPr>
  </w:style>
  <w:style w:type="paragraph" w:styleId="EndnoteText">
    <w:name w:val="endnote text"/>
    <w:basedOn w:val="Normal"/>
    <w:link w:val="EndnoteTextChar"/>
    <w:uiPriority w:val="99"/>
    <w:semiHidden/>
    <w:unhideWhenUsed/>
    <w:rsid w:val="004365A8"/>
    <w:rPr>
      <w:sz w:val="20"/>
    </w:rPr>
  </w:style>
  <w:style w:type="character" w:customStyle="1" w:styleId="EndnoteTextChar">
    <w:name w:val="Endnote Text Char"/>
    <w:basedOn w:val="DefaultParagraphFont"/>
    <w:link w:val="EndnoteText"/>
    <w:uiPriority w:val="99"/>
    <w:semiHidden/>
    <w:rsid w:val="004365A8"/>
  </w:style>
  <w:style w:type="character" w:styleId="EndnoteReference">
    <w:name w:val="endnote reference"/>
    <w:basedOn w:val="DefaultParagraphFont"/>
    <w:uiPriority w:val="99"/>
    <w:semiHidden/>
    <w:unhideWhenUsed/>
    <w:rsid w:val="004365A8"/>
    <w:rPr>
      <w:vertAlign w:val="superscript"/>
    </w:rPr>
  </w:style>
  <w:style w:type="paragraph" w:styleId="NoSpacing">
    <w:name w:val="No Spacing"/>
    <w:uiPriority w:val="1"/>
    <w:qFormat/>
    <w:rsid w:val="004365A8"/>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apanalysis.usgs.gov/padus/data/download/"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ireless2.fcc.gov/UlsApp/ApplicationSearch/searchAdvanced.jsp;JSESSIONID_APPSEARCH=gM6nXWKRtYfGv4JZpWRRhdBywqWR5FyByhvynw61Nl9vk2FMh6Rt!2129332733!1946076554"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1295</Words>
  <Characters>7460</Characters>
  <Application>Microsoft Office Word</Application>
  <DocSecurity>0</DocSecurity>
  <Lines>132</Lines>
  <Paragraphs>31</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8788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2016-09-14T13:32:00Z</cp:lastPrinted>
  <dcterms:created xsi:type="dcterms:W3CDTF">2016-09-23T12:42:00Z</dcterms:created>
  <dcterms:modified xsi:type="dcterms:W3CDTF">2016-09-23T12:42:00Z</dcterms:modified>
  <cp:category> </cp:category>
  <cp:contentStatus> </cp:contentStatus>
</cp:coreProperties>
</file>