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3B57E" w14:textId="77777777" w:rsidR="00DE21F6" w:rsidRPr="00C032C2" w:rsidRDefault="00DE21F6" w:rsidP="00DE21F6">
      <w:pPr>
        <w:jc w:val="center"/>
        <w:rPr>
          <w:b/>
          <w:szCs w:val="22"/>
        </w:rPr>
      </w:pPr>
      <w:bookmarkStart w:id="0" w:name="_GoBack"/>
      <w:bookmarkEnd w:id="0"/>
      <w:r w:rsidRPr="00C032C2">
        <w:rPr>
          <w:b/>
          <w:szCs w:val="22"/>
        </w:rPr>
        <w:t>Before the</w:t>
      </w:r>
    </w:p>
    <w:p w14:paraId="6AA6586B" w14:textId="77777777" w:rsidR="00DE21F6" w:rsidRPr="00C032C2" w:rsidRDefault="00DE21F6" w:rsidP="00DE21F6">
      <w:pPr>
        <w:pStyle w:val="StyleBoldCentered"/>
        <w:rPr>
          <w:rFonts w:ascii="Times New Roman" w:hAnsi="Times New Roman"/>
        </w:rPr>
      </w:pPr>
      <w:r w:rsidRPr="00C032C2">
        <w:rPr>
          <w:rFonts w:ascii="Times New Roman" w:hAnsi="Times New Roman"/>
        </w:rPr>
        <w:t>F</w:t>
      </w:r>
      <w:r w:rsidRPr="00C032C2">
        <w:rPr>
          <w:rFonts w:ascii="Times New Roman" w:hAnsi="Times New Roman"/>
          <w:caps w:val="0"/>
        </w:rPr>
        <w:t>ederal Communications Commission</w:t>
      </w:r>
    </w:p>
    <w:p w14:paraId="0A9B032D" w14:textId="77777777" w:rsidR="00DE21F6" w:rsidRPr="00C032C2" w:rsidRDefault="00DE21F6" w:rsidP="00DE21F6">
      <w:pPr>
        <w:pStyle w:val="StyleBoldCentered"/>
        <w:rPr>
          <w:rFonts w:ascii="Times New Roman" w:hAnsi="Times New Roman"/>
        </w:rPr>
      </w:pPr>
      <w:r w:rsidRPr="00C032C2">
        <w:rPr>
          <w:rFonts w:ascii="Times New Roman" w:hAnsi="Times New Roman"/>
          <w:caps w:val="0"/>
        </w:rPr>
        <w:t>Washington, D.C. 20554</w:t>
      </w:r>
    </w:p>
    <w:p w14:paraId="77D583F3" w14:textId="77777777" w:rsidR="00DE21F6" w:rsidRPr="00C032C2" w:rsidRDefault="00DE21F6" w:rsidP="00DE21F6">
      <w:pPr>
        <w:rPr>
          <w:szCs w:val="22"/>
        </w:rPr>
      </w:pPr>
    </w:p>
    <w:tbl>
      <w:tblPr>
        <w:tblW w:w="0" w:type="auto"/>
        <w:tblLayout w:type="fixed"/>
        <w:tblLook w:val="0000" w:firstRow="0" w:lastRow="0" w:firstColumn="0" w:lastColumn="0" w:noHBand="0" w:noVBand="0"/>
      </w:tblPr>
      <w:tblGrid>
        <w:gridCol w:w="4698"/>
        <w:gridCol w:w="630"/>
        <w:gridCol w:w="4248"/>
      </w:tblGrid>
      <w:tr w:rsidR="00DE21F6" w:rsidRPr="00C032C2" w14:paraId="5E85EC9B" w14:textId="77777777" w:rsidTr="00DA6D0C">
        <w:tc>
          <w:tcPr>
            <w:tcW w:w="4698" w:type="dxa"/>
          </w:tcPr>
          <w:p w14:paraId="553400BB" w14:textId="77777777" w:rsidR="00DE21F6" w:rsidRPr="00C032C2" w:rsidRDefault="00DE21F6" w:rsidP="00DA6D0C">
            <w:pPr>
              <w:tabs>
                <w:tab w:val="center" w:pos="4680"/>
              </w:tabs>
              <w:suppressAutoHyphens/>
              <w:rPr>
                <w:spacing w:val="-2"/>
                <w:szCs w:val="22"/>
              </w:rPr>
            </w:pPr>
            <w:r w:rsidRPr="00C032C2">
              <w:rPr>
                <w:spacing w:val="-2"/>
                <w:szCs w:val="22"/>
              </w:rPr>
              <w:t>In the Matter of</w:t>
            </w:r>
          </w:p>
          <w:p w14:paraId="470CDEB9" w14:textId="77777777" w:rsidR="00DE21F6" w:rsidRPr="00C032C2" w:rsidRDefault="00DE21F6" w:rsidP="00DA6D0C">
            <w:pPr>
              <w:tabs>
                <w:tab w:val="center" w:pos="4680"/>
              </w:tabs>
              <w:suppressAutoHyphens/>
              <w:rPr>
                <w:spacing w:val="-2"/>
                <w:szCs w:val="22"/>
              </w:rPr>
            </w:pPr>
          </w:p>
          <w:p w14:paraId="53C94269" w14:textId="77777777" w:rsidR="00DE21F6" w:rsidRPr="00C032C2" w:rsidRDefault="00DE21F6" w:rsidP="00DA6D0C">
            <w:pPr>
              <w:tabs>
                <w:tab w:val="center" w:pos="4680"/>
              </w:tabs>
              <w:suppressAutoHyphens/>
              <w:rPr>
                <w:spacing w:val="-2"/>
                <w:szCs w:val="22"/>
              </w:rPr>
            </w:pPr>
            <w:r w:rsidRPr="00C032C2">
              <w:rPr>
                <w:spacing w:val="-2"/>
                <w:szCs w:val="22"/>
              </w:rPr>
              <w:t>Maritime Communications/Land Mobile, LLC</w:t>
            </w:r>
          </w:p>
          <w:p w14:paraId="6B05A2DD" w14:textId="1C56F1F5" w:rsidR="00DE21F6" w:rsidRPr="00C032C2" w:rsidRDefault="00DE21F6" w:rsidP="00DA6D0C">
            <w:pPr>
              <w:tabs>
                <w:tab w:val="center" w:pos="4680"/>
              </w:tabs>
              <w:suppressAutoHyphens/>
              <w:rPr>
                <w:spacing w:val="-2"/>
                <w:szCs w:val="22"/>
              </w:rPr>
            </w:pPr>
            <w:r w:rsidRPr="00C032C2">
              <w:rPr>
                <w:spacing w:val="-2"/>
                <w:szCs w:val="22"/>
              </w:rPr>
              <w:t>and Southern California Regional Rail Authority File Applications to Modify License and Assign Spectrum for Positive Train Control</w:t>
            </w:r>
            <w:r w:rsidR="004059FE">
              <w:rPr>
                <w:spacing w:val="-2"/>
                <w:szCs w:val="22"/>
              </w:rPr>
              <w:t xml:space="preserve"> Use</w:t>
            </w:r>
            <w:r w:rsidRPr="00C032C2">
              <w:rPr>
                <w:spacing w:val="-2"/>
                <w:szCs w:val="22"/>
              </w:rPr>
              <w:t xml:space="preserve">, and Request Part 80 Waivers </w:t>
            </w:r>
          </w:p>
          <w:p w14:paraId="5245E7A1" w14:textId="77777777" w:rsidR="00DE21F6" w:rsidRPr="00C032C2" w:rsidRDefault="00DE21F6" w:rsidP="00DA6D0C">
            <w:pPr>
              <w:tabs>
                <w:tab w:val="center" w:pos="4680"/>
              </w:tabs>
              <w:suppressAutoHyphens/>
              <w:rPr>
                <w:spacing w:val="-2"/>
                <w:szCs w:val="22"/>
              </w:rPr>
            </w:pPr>
          </w:p>
          <w:p w14:paraId="5ED3E254" w14:textId="77777777" w:rsidR="00DE21F6" w:rsidRPr="00C032C2" w:rsidRDefault="00DE21F6" w:rsidP="00DA6D0C">
            <w:pPr>
              <w:tabs>
                <w:tab w:val="center" w:pos="4680"/>
              </w:tabs>
              <w:suppressAutoHyphens/>
              <w:rPr>
                <w:spacing w:val="-2"/>
                <w:szCs w:val="22"/>
              </w:rPr>
            </w:pPr>
          </w:p>
        </w:tc>
        <w:tc>
          <w:tcPr>
            <w:tcW w:w="630" w:type="dxa"/>
          </w:tcPr>
          <w:p w14:paraId="019E9E5D"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3D2E1433"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2BC9CE22"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77F5B8FA"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28C64BBA"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5A53F09E" w14:textId="77777777" w:rsidR="00DE21F6" w:rsidRPr="00C032C2" w:rsidRDefault="00DE21F6" w:rsidP="00DA6D0C">
            <w:pPr>
              <w:tabs>
                <w:tab w:val="center" w:pos="4680"/>
              </w:tabs>
              <w:suppressAutoHyphens/>
              <w:rPr>
                <w:b/>
                <w:spacing w:val="-2"/>
                <w:szCs w:val="22"/>
              </w:rPr>
            </w:pPr>
            <w:r w:rsidRPr="00C032C2">
              <w:rPr>
                <w:b/>
                <w:spacing w:val="-2"/>
                <w:szCs w:val="22"/>
              </w:rPr>
              <w:t>)</w:t>
            </w:r>
          </w:p>
          <w:p w14:paraId="6142B344" w14:textId="77777777" w:rsidR="00DE21F6" w:rsidRPr="00C032C2" w:rsidRDefault="00DE21F6" w:rsidP="00DA6D0C">
            <w:pPr>
              <w:tabs>
                <w:tab w:val="center" w:pos="4680"/>
              </w:tabs>
              <w:suppressAutoHyphens/>
              <w:rPr>
                <w:b/>
                <w:spacing w:val="-2"/>
                <w:szCs w:val="22"/>
              </w:rPr>
            </w:pPr>
            <w:r w:rsidRPr="00C032C2">
              <w:rPr>
                <w:b/>
                <w:spacing w:val="-2"/>
                <w:szCs w:val="22"/>
              </w:rPr>
              <w:t>)</w:t>
            </w:r>
          </w:p>
        </w:tc>
        <w:tc>
          <w:tcPr>
            <w:tcW w:w="4248" w:type="dxa"/>
          </w:tcPr>
          <w:p w14:paraId="56E417AF" w14:textId="77777777" w:rsidR="00DE21F6" w:rsidRPr="00C032C2" w:rsidRDefault="00DE21F6" w:rsidP="00DA6D0C">
            <w:pPr>
              <w:tabs>
                <w:tab w:val="center" w:pos="4680"/>
              </w:tabs>
              <w:suppressAutoHyphens/>
              <w:rPr>
                <w:spacing w:val="-2"/>
                <w:szCs w:val="22"/>
              </w:rPr>
            </w:pPr>
          </w:p>
          <w:p w14:paraId="076D8891" w14:textId="77777777" w:rsidR="00DE21F6" w:rsidRPr="00C032C2" w:rsidRDefault="00DE21F6" w:rsidP="00DA6D0C">
            <w:pPr>
              <w:pStyle w:val="TOAHeading"/>
              <w:tabs>
                <w:tab w:val="clear" w:pos="9360"/>
                <w:tab w:val="center" w:pos="4680"/>
              </w:tabs>
              <w:rPr>
                <w:spacing w:val="-2"/>
                <w:szCs w:val="22"/>
              </w:rPr>
            </w:pPr>
          </w:p>
          <w:p w14:paraId="101CDD0C" w14:textId="77777777" w:rsidR="00DE21F6" w:rsidRPr="00C032C2" w:rsidRDefault="00DE21F6" w:rsidP="00DA6D0C">
            <w:pPr>
              <w:tabs>
                <w:tab w:val="center" w:pos="4680"/>
              </w:tabs>
              <w:suppressAutoHyphens/>
              <w:rPr>
                <w:spacing w:val="-2"/>
                <w:szCs w:val="22"/>
              </w:rPr>
            </w:pPr>
            <w:r w:rsidRPr="00C032C2">
              <w:rPr>
                <w:spacing w:val="-2"/>
                <w:szCs w:val="22"/>
              </w:rPr>
              <w:t>WT Docket No. 10-83</w:t>
            </w:r>
          </w:p>
          <w:p w14:paraId="3E58DBF1" w14:textId="77777777" w:rsidR="00DE21F6" w:rsidRPr="00C032C2" w:rsidRDefault="00DE21F6" w:rsidP="00DA6D0C">
            <w:pPr>
              <w:tabs>
                <w:tab w:val="center" w:pos="4680"/>
              </w:tabs>
              <w:suppressAutoHyphens/>
              <w:rPr>
                <w:spacing w:val="-2"/>
                <w:szCs w:val="22"/>
              </w:rPr>
            </w:pPr>
          </w:p>
          <w:p w14:paraId="71FA8A6F" w14:textId="77777777" w:rsidR="00DE21F6" w:rsidRPr="00C032C2" w:rsidRDefault="00DE21F6" w:rsidP="00DA6D0C">
            <w:pPr>
              <w:tabs>
                <w:tab w:val="center" w:pos="4680"/>
              </w:tabs>
              <w:suppressAutoHyphens/>
              <w:rPr>
                <w:spacing w:val="-2"/>
                <w:szCs w:val="22"/>
              </w:rPr>
            </w:pPr>
            <w:r w:rsidRPr="00C032C2">
              <w:rPr>
                <w:spacing w:val="-2"/>
                <w:szCs w:val="22"/>
              </w:rPr>
              <w:t>File Nos. 0004144435 and 0004153701</w:t>
            </w:r>
          </w:p>
          <w:p w14:paraId="339DB504" w14:textId="77777777" w:rsidR="00DE21F6" w:rsidRPr="00C032C2" w:rsidRDefault="00DE21F6" w:rsidP="00DA6D0C">
            <w:pPr>
              <w:tabs>
                <w:tab w:val="center" w:pos="4680"/>
              </w:tabs>
              <w:suppressAutoHyphens/>
              <w:rPr>
                <w:spacing w:val="-2"/>
                <w:szCs w:val="22"/>
              </w:rPr>
            </w:pPr>
          </w:p>
          <w:p w14:paraId="44363B7C" w14:textId="77777777" w:rsidR="00DE21F6" w:rsidRPr="00C032C2" w:rsidRDefault="00DE21F6" w:rsidP="00DA6D0C">
            <w:pPr>
              <w:tabs>
                <w:tab w:val="center" w:pos="4680"/>
              </w:tabs>
              <w:suppressAutoHyphens/>
              <w:rPr>
                <w:spacing w:val="-2"/>
                <w:szCs w:val="22"/>
              </w:rPr>
            </w:pPr>
          </w:p>
          <w:p w14:paraId="6F94E680" w14:textId="77777777" w:rsidR="00DE21F6" w:rsidRPr="00C032C2" w:rsidRDefault="00DE21F6" w:rsidP="00DA6D0C">
            <w:pPr>
              <w:tabs>
                <w:tab w:val="center" w:pos="4680"/>
              </w:tabs>
              <w:suppressAutoHyphens/>
              <w:rPr>
                <w:spacing w:val="-2"/>
                <w:szCs w:val="22"/>
              </w:rPr>
            </w:pPr>
          </w:p>
          <w:p w14:paraId="3E5BB044" w14:textId="77777777" w:rsidR="00DE21F6" w:rsidRPr="00C032C2" w:rsidRDefault="00DE21F6" w:rsidP="00DA6D0C">
            <w:pPr>
              <w:tabs>
                <w:tab w:val="center" w:pos="4680"/>
              </w:tabs>
              <w:suppressAutoHyphens/>
              <w:rPr>
                <w:spacing w:val="-2"/>
                <w:szCs w:val="22"/>
              </w:rPr>
            </w:pPr>
          </w:p>
        </w:tc>
      </w:tr>
    </w:tbl>
    <w:p w14:paraId="52D2D039" w14:textId="77777777" w:rsidR="00DE21F6" w:rsidRPr="00C032C2" w:rsidRDefault="00DE21F6" w:rsidP="00DE21F6">
      <w:pPr>
        <w:pStyle w:val="StyleBoldCentered"/>
        <w:rPr>
          <w:rFonts w:ascii="Times New Roman" w:hAnsi="Times New Roman"/>
        </w:rPr>
      </w:pPr>
      <w:r w:rsidRPr="00C032C2">
        <w:rPr>
          <w:rFonts w:ascii="Times New Roman" w:hAnsi="Times New Roman"/>
        </w:rPr>
        <w:t>order</w:t>
      </w:r>
    </w:p>
    <w:p w14:paraId="7C8AF358" w14:textId="77777777" w:rsidR="00DE21F6" w:rsidRPr="00C032C2" w:rsidRDefault="00DE21F6" w:rsidP="00DE21F6">
      <w:pPr>
        <w:tabs>
          <w:tab w:val="left" w:pos="-720"/>
        </w:tabs>
        <w:suppressAutoHyphens/>
        <w:spacing w:line="227" w:lineRule="auto"/>
        <w:rPr>
          <w:spacing w:val="-2"/>
          <w:szCs w:val="22"/>
        </w:rPr>
      </w:pPr>
    </w:p>
    <w:p w14:paraId="79A67299" w14:textId="3D4854DB" w:rsidR="00DE21F6" w:rsidRPr="00C032C2" w:rsidRDefault="00DE21F6" w:rsidP="00DE21F6">
      <w:pPr>
        <w:tabs>
          <w:tab w:val="left" w:pos="720"/>
          <w:tab w:val="right" w:pos="9360"/>
        </w:tabs>
        <w:suppressAutoHyphens/>
        <w:spacing w:line="227" w:lineRule="auto"/>
        <w:rPr>
          <w:spacing w:val="-2"/>
          <w:szCs w:val="22"/>
        </w:rPr>
      </w:pPr>
      <w:r w:rsidRPr="00C032C2">
        <w:rPr>
          <w:b/>
          <w:spacing w:val="-2"/>
          <w:szCs w:val="22"/>
        </w:rPr>
        <w:t xml:space="preserve">Adopted:  </w:t>
      </w:r>
      <w:r w:rsidR="00647B59">
        <w:rPr>
          <w:b/>
          <w:spacing w:val="-2"/>
          <w:szCs w:val="22"/>
        </w:rPr>
        <w:t xml:space="preserve">September </w:t>
      </w:r>
      <w:r w:rsidR="000D2E93">
        <w:rPr>
          <w:b/>
          <w:spacing w:val="-2"/>
          <w:szCs w:val="22"/>
        </w:rPr>
        <w:t>14</w:t>
      </w:r>
      <w:r w:rsidRPr="00C032C2">
        <w:rPr>
          <w:b/>
          <w:spacing w:val="-2"/>
          <w:szCs w:val="22"/>
        </w:rPr>
        <w:t>, 2016</w:t>
      </w:r>
      <w:r w:rsidRPr="00C032C2">
        <w:rPr>
          <w:b/>
          <w:spacing w:val="-2"/>
          <w:szCs w:val="22"/>
        </w:rPr>
        <w:tab/>
        <w:t xml:space="preserve">Released:  </w:t>
      </w:r>
      <w:r w:rsidR="00647B59">
        <w:rPr>
          <w:b/>
          <w:spacing w:val="-2"/>
          <w:szCs w:val="22"/>
        </w:rPr>
        <w:t xml:space="preserve">September </w:t>
      </w:r>
      <w:r w:rsidR="000D2E93">
        <w:rPr>
          <w:b/>
          <w:spacing w:val="-2"/>
          <w:szCs w:val="22"/>
        </w:rPr>
        <w:t>14</w:t>
      </w:r>
      <w:r w:rsidRPr="00C032C2">
        <w:rPr>
          <w:b/>
          <w:spacing w:val="-2"/>
          <w:szCs w:val="22"/>
        </w:rPr>
        <w:t>, 2016</w:t>
      </w:r>
    </w:p>
    <w:p w14:paraId="01874CB3" w14:textId="77777777" w:rsidR="00DE21F6" w:rsidRPr="00C032C2" w:rsidRDefault="00DE21F6" w:rsidP="00DE21F6">
      <w:pPr>
        <w:rPr>
          <w:szCs w:val="22"/>
        </w:rPr>
      </w:pPr>
    </w:p>
    <w:p w14:paraId="3E961EE8" w14:textId="77777777" w:rsidR="00DE21F6" w:rsidRPr="00C032C2" w:rsidRDefault="00DE21F6" w:rsidP="00DE21F6">
      <w:pPr>
        <w:rPr>
          <w:spacing w:val="-2"/>
          <w:szCs w:val="22"/>
        </w:rPr>
      </w:pPr>
      <w:r w:rsidRPr="00C032C2">
        <w:rPr>
          <w:szCs w:val="22"/>
        </w:rPr>
        <w:t>By the Chief, Mobility Division, Wireless Telecommunications Bureau</w:t>
      </w:r>
      <w:r w:rsidRPr="00C032C2">
        <w:rPr>
          <w:spacing w:val="-2"/>
          <w:szCs w:val="22"/>
        </w:rPr>
        <w:t>:</w:t>
      </w:r>
    </w:p>
    <w:p w14:paraId="202C86BF" w14:textId="77777777" w:rsidR="000545F9" w:rsidRPr="00C032C2" w:rsidRDefault="000545F9" w:rsidP="00DE21F6">
      <w:pPr>
        <w:rPr>
          <w:spacing w:val="-2"/>
          <w:szCs w:val="22"/>
        </w:rPr>
      </w:pPr>
    </w:p>
    <w:p w14:paraId="36B754ED" w14:textId="68A878A9" w:rsidR="00686CC4" w:rsidRDefault="00686CC4" w:rsidP="00686CC4">
      <w:pPr>
        <w:pStyle w:val="TOCTitle"/>
      </w:pPr>
      <w:bookmarkStart w:id="1" w:name="TOChere"/>
      <w:bookmarkStart w:id="2" w:name="_Toc367868782"/>
      <w:bookmarkStart w:id="3" w:name="_Toc367869630"/>
      <w:bookmarkStart w:id="4" w:name="_Toc371516596"/>
      <w:bookmarkStart w:id="5" w:name="_Toc371517056"/>
      <w:bookmarkStart w:id="6" w:name="_Toc450736709"/>
      <w:bookmarkStart w:id="7" w:name="_Toc451332482"/>
      <w:bookmarkStart w:id="8" w:name="_Toc451332586"/>
      <w:bookmarkStart w:id="9" w:name="_Toc451524263"/>
      <w:bookmarkStart w:id="10" w:name="_Toc455057494"/>
      <w:bookmarkStart w:id="11" w:name="_Toc455057589"/>
      <w:r>
        <w:t>Table of Contents</w:t>
      </w:r>
    </w:p>
    <w:p w14:paraId="2229C84F" w14:textId="7C48AA7F" w:rsidR="00686CC4" w:rsidRDefault="00686CC4" w:rsidP="00686CC4">
      <w:pPr>
        <w:pStyle w:val="Paratitle"/>
      </w:pPr>
      <w:r>
        <w:t>Heading</w:t>
      </w:r>
      <w:r>
        <w:tab/>
        <w:t>Paragraph #</w:t>
      </w:r>
      <w:bookmarkStart w:id="12" w:name="start_here"/>
      <w:bookmarkEnd w:id="12"/>
    </w:p>
    <w:p w14:paraId="19967423" w14:textId="3A357551" w:rsidR="00686CC4" w:rsidRDefault="00686CC4" w:rsidP="00686CC4">
      <w:pPr>
        <w:pStyle w:val="TOC1"/>
        <w:rPr>
          <w:rFonts w:asciiTheme="minorHAnsi" w:eastAsiaTheme="minorEastAsia" w:hAnsiTheme="minorHAnsi" w:cstheme="minorBidi"/>
          <w:caps w:val="0"/>
          <w:snapToGrid/>
          <w:kern w:val="0"/>
          <w:szCs w:val="22"/>
        </w:rPr>
      </w:pPr>
      <w:r w:rsidRPr="003D787F">
        <w:t>I.</w:t>
      </w:r>
      <w:r>
        <w:rPr>
          <w:rFonts w:asciiTheme="minorHAnsi" w:eastAsiaTheme="minorEastAsia" w:hAnsiTheme="minorHAnsi" w:cstheme="minorBidi"/>
          <w:caps w:val="0"/>
          <w:snapToGrid/>
          <w:kern w:val="0"/>
          <w:szCs w:val="22"/>
        </w:rPr>
        <w:tab/>
      </w:r>
      <w:r w:rsidRPr="003D787F">
        <w:t>introduction</w:t>
      </w:r>
      <w:r>
        <w:tab/>
      </w:r>
      <w:r w:rsidR="00152F55">
        <w:t>1</w:t>
      </w:r>
    </w:p>
    <w:p w14:paraId="3BF220D5" w14:textId="2FE289E1" w:rsidR="00686CC4" w:rsidRDefault="00686CC4" w:rsidP="00686CC4">
      <w:pPr>
        <w:pStyle w:val="TOC1"/>
        <w:rPr>
          <w:rFonts w:asciiTheme="minorHAnsi" w:eastAsiaTheme="minorEastAsia" w:hAnsiTheme="minorHAnsi" w:cstheme="minorBidi"/>
          <w:caps w:val="0"/>
          <w:snapToGrid/>
          <w:kern w:val="0"/>
          <w:szCs w:val="22"/>
        </w:rPr>
      </w:pPr>
      <w:r w:rsidRPr="003D787F">
        <w:t>II.</w:t>
      </w:r>
      <w:r>
        <w:rPr>
          <w:rFonts w:asciiTheme="minorHAnsi" w:eastAsiaTheme="minorEastAsia" w:hAnsiTheme="minorHAnsi" w:cstheme="minorBidi"/>
          <w:caps w:val="0"/>
          <w:snapToGrid/>
          <w:kern w:val="0"/>
          <w:szCs w:val="22"/>
        </w:rPr>
        <w:tab/>
      </w:r>
      <w:r w:rsidRPr="003D787F">
        <w:t>Background</w:t>
      </w:r>
      <w:r>
        <w:tab/>
      </w:r>
      <w:r w:rsidR="00152F55">
        <w:t>2</w:t>
      </w:r>
    </w:p>
    <w:p w14:paraId="52E2551C" w14:textId="20D05455" w:rsidR="00686CC4" w:rsidRDefault="00686CC4" w:rsidP="00686CC4">
      <w:pPr>
        <w:pStyle w:val="TOC1"/>
        <w:rPr>
          <w:rFonts w:asciiTheme="minorHAnsi" w:eastAsiaTheme="minorEastAsia" w:hAnsiTheme="minorHAnsi" w:cstheme="minorBidi"/>
          <w:caps w:val="0"/>
          <w:snapToGrid/>
          <w:kern w:val="0"/>
          <w:szCs w:val="22"/>
        </w:rPr>
      </w:pPr>
      <w:r w:rsidRPr="003D787F">
        <w:t>III.</w:t>
      </w:r>
      <w:r>
        <w:rPr>
          <w:rFonts w:asciiTheme="minorHAnsi" w:eastAsiaTheme="minorEastAsia" w:hAnsiTheme="minorHAnsi" w:cstheme="minorBidi"/>
          <w:caps w:val="0"/>
          <w:snapToGrid/>
          <w:kern w:val="0"/>
          <w:szCs w:val="22"/>
        </w:rPr>
        <w:tab/>
      </w:r>
      <w:r w:rsidRPr="003D787F">
        <w:t>discussion</w:t>
      </w:r>
      <w:r>
        <w:tab/>
      </w:r>
      <w:r w:rsidR="00152F55">
        <w:t>9</w:t>
      </w:r>
    </w:p>
    <w:p w14:paraId="4FE7E2D2" w14:textId="73400150" w:rsidR="00686CC4" w:rsidRDefault="00686CC4" w:rsidP="00686CC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Standing</w:t>
      </w:r>
      <w:r>
        <w:tab/>
      </w:r>
      <w:r w:rsidR="00152F55">
        <w:t>11</w:t>
      </w:r>
    </w:p>
    <w:p w14:paraId="0DF56F5A" w14:textId="797F625B" w:rsidR="00686CC4" w:rsidRDefault="00686CC4" w:rsidP="00686CC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Alleged Prejudice</w:t>
      </w:r>
      <w:r>
        <w:tab/>
      </w:r>
      <w:r w:rsidR="00152F55">
        <w:t>16</w:t>
      </w:r>
    </w:p>
    <w:p w14:paraId="1BBD9A1A" w14:textId="26ED267C" w:rsidR="00686CC4" w:rsidRDefault="00686CC4" w:rsidP="00686CC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MCLM’s Character Qualifications</w:t>
      </w:r>
      <w:r>
        <w:tab/>
      </w:r>
      <w:r w:rsidR="00152F55">
        <w:t>19</w:t>
      </w:r>
    </w:p>
    <w:p w14:paraId="53CD9915" w14:textId="72EA2C66" w:rsidR="00686CC4" w:rsidRDefault="00686CC4" w:rsidP="00686CC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Incorporation of Other Pleadings</w:t>
      </w:r>
      <w:r>
        <w:tab/>
      </w:r>
      <w:r w:rsidR="00152F55">
        <w:t>20</w:t>
      </w:r>
    </w:p>
    <w:p w14:paraId="117698F7" w14:textId="1CB63E97" w:rsidR="00686CC4" w:rsidRDefault="00686CC4" w:rsidP="00686CC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Part 80 Rule Waiver Requests</w:t>
      </w:r>
      <w:r>
        <w:tab/>
      </w:r>
      <w:r w:rsidR="00152F55">
        <w:t>22</w:t>
      </w:r>
    </w:p>
    <w:p w14:paraId="0DD70982" w14:textId="6ECDA7DA" w:rsidR="00686CC4" w:rsidRDefault="00686CC4" w:rsidP="00686CC4">
      <w:pPr>
        <w:pStyle w:val="TOC2"/>
        <w:tabs>
          <w:tab w:val="left" w:pos="360"/>
        </w:tabs>
        <w:rPr>
          <w:rFonts w:asciiTheme="minorHAnsi" w:eastAsiaTheme="minorEastAsia" w:hAnsiTheme="minorHAnsi" w:cstheme="minorBidi"/>
          <w:snapToGrid/>
          <w:kern w:val="0"/>
          <w:szCs w:val="22"/>
        </w:rPr>
      </w:pPr>
      <w:r w:rsidRPr="003D787F">
        <w:t>F.</w:t>
      </w:r>
      <w:r>
        <w:rPr>
          <w:rFonts w:asciiTheme="minorHAnsi" w:eastAsiaTheme="minorEastAsia" w:hAnsiTheme="minorHAnsi" w:cstheme="minorBidi"/>
          <w:snapToGrid/>
          <w:kern w:val="0"/>
          <w:szCs w:val="22"/>
        </w:rPr>
        <w:tab/>
      </w:r>
      <w:r>
        <w:t>Reclassification of AMTS Spectrum</w:t>
      </w:r>
      <w:r>
        <w:tab/>
      </w:r>
      <w:r w:rsidR="00FB688A">
        <w:t>41</w:t>
      </w:r>
    </w:p>
    <w:p w14:paraId="0D948889" w14:textId="62AD3C78" w:rsidR="00686CC4" w:rsidRDefault="00686CC4" w:rsidP="00686CC4">
      <w:pPr>
        <w:pStyle w:val="TOC1"/>
      </w:pPr>
      <w:r w:rsidRPr="003D787F">
        <w:t>IV.</w:t>
      </w:r>
      <w:r>
        <w:rPr>
          <w:rFonts w:asciiTheme="minorHAnsi" w:eastAsiaTheme="minorEastAsia" w:hAnsiTheme="minorHAnsi" w:cstheme="minorBidi"/>
          <w:caps w:val="0"/>
          <w:snapToGrid/>
          <w:kern w:val="0"/>
          <w:szCs w:val="22"/>
        </w:rPr>
        <w:tab/>
      </w:r>
      <w:r w:rsidRPr="003D787F">
        <w:t>conclusion and Ordering Clauses</w:t>
      </w:r>
      <w:r>
        <w:tab/>
      </w:r>
      <w:r w:rsidR="00FB688A">
        <w:t>47</w:t>
      </w:r>
    </w:p>
    <w:p w14:paraId="44EC0EAD" w14:textId="77777777" w:rsidR="00686CC4" w:rsidRPr="00686CC4" w:rsidRDefault="00686CC4" w:rsidP="00686CC4">
      <w:pPr>
        <w:rPr>
          <w:rFonts w:eastAsiaTheme="minorEastAsia"/>
        </w:rPr>
      </w:pPr>
    </w:p>
    <w:p w14:paraId="2D998035" w14:textId="5D9EF8B0" w:rsidR="00DE21F6" w:rsidRPr="00C032C2" w:rsidRDefault="00DE21F6" w:rsidP="00DE21F6">
      <w:pPr>
        <w:pStyle w:val="Heading1"/>
        <w:rPr>
          <w:rFonts w:ascii="Times New Roman" w:hAnsi="Times New Roman"/>
          <w:szCs w:val="22"/>
        </w:rPr>
      </w:pPr>
      <w:bookmarkStart w:id="13" w:name="_Toc457311037"/>
      <w:bookmarkEnd w:id="1"/>
      <w:r w:rsidRPr="00C032C2">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3"/>
    </w:p>
    <w:p w14:paraId="74D82A7F" w14:textId="7185AF14" w:rsidR="00DE21F6" w:rsidRPr="00C032C2" w:rsidRDefault="00DE21F6" w:rsidP="00C542E6">
      <w:pPr>
        <w:pStyle w:val="ParaNum"/>
        <w:tabs>
          <w:tab w:val="clear" w:pos="1080"/>
          <w:tab w:val="num" w:pos="1440"/>
        </w:tabs>
        <w:rPr>
          <w:szCs w:val="22"/>
        </w:rPr>
      </w:pPr>
      <w:r w:rsidRPr="00C032C2">
        <w:rPr>
          <w:szCs w:val="22"/>
        </w:rPr>
        <w:t xml:space="preserve">In this </w:t>
      </w:r>
      <w:r w:rsidRPr="00C032C2">
        <w:rPr>
          <w:i/>
          <w:szCs w:val="22"/>
        </w:rPr>
        <w:t>Order</w:t>
      </w:r>
      <w:r w:rsidR="005355B5">
        <w:rPr>
          <w:szCs w:val="22"/>
        </w:rPr>
        <w:t>,</w:t>
      </w:r>
      <w:r w:rsidRPr="00C032C2">
        <w:rPr>
          <w:szCs w:val="22"/>
        </w:rPr>
        <w:t xml:space="preserve"> we </w:t>
      </w:r>
      <w:r w:rsidR="005355B5">
        <w:rPr>
          <w:szCs w:val="22"/>
        </w:rPr>
        <w:t>grant</w:t>
      </w:r>
      <w:r w:rsidRPr="00C032C2">
        <w:rPr>
          <w:szCs w:val="22"/>
        </w:rPr>
        <w:t xml:space="preserve"> a</w:t>
      </w:r>
      <w:r w:rsidR="004815FD">
        <w:rPr>
          <w:szCs w:val="22"/>
        </w:rPr>
        <w:t xml:space="preserve">n application—as amended June 8, 2016—to assign spectrum </w:t>
      </w:r>
      <w:r w:rsidRPr="00C032C2">
        <w:rPr>
          <w:szCs w:val="22"/>
        </w:rPr>
        <w:t>to the Southern California Regional Rail Authority (SCRRA)</w:t>
      </w:r>
      <w:r w:rsidRPr="00C032C2">
        <w:rPr>
          <w:rStyle w:val="FootnoteReference"/>
          <w:sz w:val="22"/>
          <w:szCs w:val="22"/>
        </w:rPr>
        <w:footnoteReference w:id="2"/>
      </w:r>
      <w:r w:rsidRPr="00C032C2">
        <w:rPr>
          <w:szCs w:val="22"/>
        </w:rPr>
        <w:t xml:space="preserve"> </w:t>
      </w:r>
      <w:r w:rsidR="00601140" w:rsidRPr="00C032C2">
        <w:rPr>
          <w:szCs w:val="22"/>
        </w:rPr>
        <w:t xml:space="preserve">to </w:t>
      </w:r>
      <w:r w:rsidR="001D5338">
        <w:rPr>
          <w:szCs w:val="22"/>
        </w:rPr>
        <w:t>facilitate</w:t>
      </w:r>
      <w:r w:rsidR="003C2C1A">
        <w:rPr>
          <w:szCs w:val="22"/>
        </w:rPr>
        <w:t xml:space="preserve"> </w:t>
      </w:r>
      <w:r w:rsidR="00DA1B02">
        <w:rPr>
          <w:szCs w:val="22"/>
        </w:rPr>
        <w:t xml:space="preserve">its </w:t>
      </w:r>
      <w:r w:rsidRPr="00C032C2">
        <w:rPr>
          <w:szCs w:val="22"/>
        </w:rPr>
        <w:t>deploy</w:t>
      </w:r>
      <w:r w:rsidR="003C2C1A">
        <w:rPr>
          <w:szCs w:val="22"/>
        </w:rPr>
        <w:t>ment of</w:t>
      </w:r>
      <w:r w:rsidRPr="00C032C2">
        <w:rPr>
          <w:szCs w:val="22"/>
        </w:rPr>
        <w:t xml:space="preserve"> a positive train control (PTC) system</w:t>
      </w:r>
      <w:r w:rsidR="00601140" w:rsidRPr="00C032C2">
        <w:rPr>
          <w:szCs w:val="22"/>
        </w:rPr>
        <w:t xml:space="preserve"> </w:t>
      </w:r>
      <w:r w:rsidR="002D6E09">
        <w:rPr>
          <w:szCs w:val="22"/>
        </w:rPr>
        <w:t xml:space="preserve">for </w:t>
      </w:r>
      <w:r w:rsidR="00DA1B02">
        <w:rPr>
          <w:szCs w:val="22"/>
        </w:rPr>
        <w:t xml:space="preserve">the </w:t>
      </w:r>
      <w:r w:rsidRPr="00C032C2">
        <w:rPr>
          <w:szCs w:val="22"/>
        </w:rPr>
        <w:t xml:space="preserve">Metrolink commuter railroad (Metrolink). </w:t>
      </w:r>
      <w:r w:rsidR="00601140" w:rsidRPr="00C032C2">
        <w:rPr>
          <w:szCs w:val="22"/>
        </w:rPr>
        <w:t xml:space="preserve"> </w:t>
      </w:r>
      <w:r w:rsidRPr="00C032C2">
        <w:rPr>
          <w:szCs w:val="22"/>
        </w:rPr>
        <w:t xml:space="preserve">Specifically, we approve </w:t>
      </w:r>
      <w:r w:rsidR="00DA1B02">
        <w:rPr>
          <w:szCs w:val="22"/>
        </w:rPr>
        <w:t xml:space="preserve">the </w:t>
      </w:r>
      <w:r w:rsidRPr="00C032C2">
        <w:rPr>
          <w:szCs w:val="22"/>
        </w:rPr>
        <w:t>partition</w:t>
      </w:r>
      <w:r w:rsidR="00DA1B02">
        <w:rPr>
          <w:szCs w:val="22"/>
        </w:rPr>
        <w:t xml:space="preserve">ing of </w:t>
      </w:r>
      <w:r w:rsidRPr="00C032C2">
        <w:rPr>
          <w:szCs w:val="22"/>
        </w:rPr>
        <w:t xml:space="preserve">an area comprising Metrolink’s </w:t>
      </w:r>
      <w:r w:rsidR="00601140" w:rsidRPr="00C032C2">
        <w:rPr>
          <w:szCs w:val="22"/>
        </w:rPr>
        <w:t>six</w:t>
      </w:r>
      <w:r w:rsidRPr="00C032C2">
        <w:rPr>
          <w:szCs w:val="22"/>
        </w:rPr>
        <w:t xml:space="preserve">-county service </w:t>
      </w:r>
      <w:r w:rsidR="002D6E09">
        <w:rPr>
          <w:szCs w:val="22"/>
        </w:rPr>
        <w:t>territory</w:t>
      </w:r>
      <w:r w:rsidRPr="00C032C2">
        <w:rPr>
          <w:szCs w:val="22"/>
        </w:rPr>
        <w:t>,</w:t>
      </w:r>
      <w:r w:rsidRPr="00C032C2">
        <w:rPr>
          <w:rStyle w:val="FootnoteReference"/>
          <w:sz w:val="22"/>
          <w:szCs w:val="22"/>
        </w:rPr>
        <w:footnoteReference w:id="3"/>
      </w:r>
      <w:r w:rsidRPr="00C032C2">
        <w:rPr>
          <w:szCs w:val="22"/>
        </w:rPr>
        <w:t xml:space="preserve"> from Automated Maritime </w:t>
      </w:r>
      <w:r w:rsidRPr="00C032C2">
        <w:rPr>
          <w:szCs w:val="22"/>
        </w:rPr>
        <w:lastRenderedPageBreak/>
        <w:t xml:space="preserve">Telecommunications System (AMTS) </w:t>
      </w:r>
      <w:r w:rsidRPr="00C032C2">
        <w:rPr>
          <w:spacing w:val="-2"/>
          <w:szCs w:val="22"/>
        </w:rPr>
        <w:t>Station WQGF318,</w:t>
      </w:r>
      <w:r w:rsidRPr="00C032C2">
        <w:rPr>
          <w:rStyle w:val="FootnoteReference"/>
          <w:sz w:val="22"/>
          <w:szCs w:val="22"/>
        </w:rPr>
        <w:footnoteReference w:id="4"/>
      </w:r>
      <w:r w:rsidRPr="00C032C2">
        <w:rPr>
          <w:spacing w:val="-2"/>
          <w:szCs w:val="22"/>
        </w:rPr>
        <w:t xml:space="preserve"> licensed to </w:t>
      </w:r>
      <w:r w:rsidRPr="00C032C2">
        <w:rPr>
          <w:szCs w:val="22"/>
        </w:rPr>
        <w:t>Maritime Communications/Land Mobile, LLC (MCLM), Debtor-in-Possession</w:t>
      </w:r>
      <w:r w:rsidR="005355B5">
        <w:rPr>
          <w:szCs w:val="22"/>
        </w:rPr>
        <w:t xml:space="preserve">, </w:t>
      </w:r>
      <w:r w:rsidR="005355B5" w:rsidRPr="00C032C2">
        <w:rPr>
          <w:szCs w:val="22"/>
        </w:rPr>
        <w:t>to SCRRA</w:t>
      </w:r>
      <w:r w:rsidRPr="00C032C2">
        <w:rPr>
          <w:szCs w:val="22"/>
        </w:rPr>
        <w:t>.</w:t>
      </w:r>
      <w:r w:rsidRPr="00C032C2">
        <w:rPr>
          <w:rStyle w:val="FootnoteReference"/>
          <w:sz w:val="22"/>
          <w:szCs w:val="22"/>
        </w:rPr>
        <w:footnoteReference w:id="5"/>
      </w:r>
      <w:r w:rsidRPr="00C032C2">
        <w:rPr>
          <w:szCs w:val="22"/>
        </w:rPr>
        <w:t xml:space="preserve">  We </w:t>
      </w:r>
      <w:r w:rsidR="00392EC0">
        <w:rPr>
          <w:szCs w:val="22"/>
        </w:rPr>
        <w:t xml:space="preserve">also </w:t>
      </w:r>
      <w:r w:rsidRPr="00C032C2">
        <w:rPr>
          <w:szCs w:val="22"/>
        </w:rPr>
        <w:t xml:space="preserve">approve SCRRA’s </w:t>
      </w:r>
      <w:r w:rsidR="00601140" w:rsidRPr="00C032C2">
        <w:rPr>
          <w:szCs w:val="22"/>
        </w:rPr>
        <w:t xml:space="preserve">related </w:t>
      </w:r>
      <w:r w:rsidRPr="00C032C2">
        <w:rPr>
          <w:szCs w:val="22"/>
        </w:rPr>
        <w:t>request for waiver of certain AMTS rules to facilitate Metrolink’s PTC deployment,</w:t>
      </w:r>
      <w:r w:rsidRPr="00C032C2">
        <w:rPr>
          <w:rStyle w:val="FootnoteReference"/>
          <w:sz w:val="22"/>
          <w:szCs w:val="22"/>
        </w:rPr>
        <w:footnoteReference w:id="6"/>
      </w:r>
      <w:r w:rsidRPr="00C032C2">
        <w:rPr>
          <w:szCs w:val="22"/>
        </w:rPr>
        <w:t xml:space="preserve"> and we grant an application to modify the regulatory status of the AMTS spectrum for private PTC use.</w:t>
      </w:r>
      <w:r w:rsidRPr="00C032C2">
        <w:rPr>
          <w:rStyle w:val="FootnoteReference"/>
          <w:sz w:val="22"/>
          <w:szCs w:val="22"/>
        </w:rPr>
        <w:footnoteReference w:id="7"/>
      </w:r>
      <w:r w:rsidRPr="00C032C2">
        <w:rPr>
          <w:szCs w:val="22"/>
        </w:rPr>
        <w:t xml:space="preserve">         </w:t>
      </w:r>
    </w:p>
    <w:p w14:paraId="23E341A6" w14:textId="77777777" w:rsidR="00DE21F6" w:rsidRPr="00C032C2" w:rsidRDefault="00DE21F6" w:rsidP="00DE21F6">
      <w:pPr>
        <w:pStyle w:val="Heading1"/>
        <w:rPr>
          <w:rFonts w:ascii="Times New Roman" w:hAnsi="Times New Roman"/>
          <w:szCs w:val="22"/>
        </w:rPr>
      </w:pPr>
      <w:bookmarkStart w:id="14" w:name="_Toc367868783"/>
      <w:bookmarkStart w:id="15" w:name="_Toc367869631"/>
      <w:bookmarkStart w:id="16" w:name="_Toc371516597"/>
      <w:bookmarkStart w:id="17" w:name="_Toc371517057"/>
      <w:bookmarkStart w:id="18" w:name="_Toc450736710"/>
      <w:bookmarkStart w:id="19" w:name="_Toc451332483"/>
      <w:bookmarkStart w:id="20" w:name="_Toc451332587"/>
      <w:bookmarkStart w:id="21" w:name="_Toc451524264"/>
      <w:bookmarkStart w:id="22" w:name="_Toc455057495"/>
      <w:bookmarkStart w:id="23" w:name="_Toc455057590"/>
      <w:bookmarkStart w:id="24" w:name="_Toc457311038"/>
      <w:r w:rsidRPr="00C032C2">
        <w:rPr>
          <w:rFonts w:ascii="Times New Roman" w:hAnsi="Times New Roman"/>
          <w:szCs w:val="22"/>
        </w:rPr>
        <w:t>Background</w:t>
      </w:r>
      <w:bookmarkEnd w:id="14"/>
      <w:bookmarkEnd w:id="15"/>
      <w:bookmarkEnd w:id="16"/>
      <w:bookmarkEnd w:id="17"/>
      <w:bookmarkEnd w:id="18"/>
      <w:bookmarkEnd w:id="19"/>
      <w:bookmarkEnd w:id="20"/>
      <w:bookmarkEnd w:id="21"/>
      <w:bookmarkEnd w:id="22"/>
      <w:bookmarkEnd w:id="23"/>
      <w:bookmarkEnd w:id="24"/>
    </w:p>
    <w:p w14:paraId="605A4C5A" w14:textId="77777777" w:rsidR="00DE21F6" w:rsidRPr="00C032C2" w:rsidRDefault="00DE21F6" w:rsidP="00C542E6">
      <w:pPr>
        <w:pStyle w:val="ParaNum"/>
        <w:tabs>
          <w:tab w:val="clear" w:pos="1080"/>
          <w:tab w:val="num" w:pos="1440"/>
        </w:tabs>
        <w:rPr>
          <w:szCs w:val="22"/>
        </w:rPr>
      </w:pPr>
      <w:r w:rsidRPr="00C032C2">
        <w:rPr>
          <w:i/>
          <w:szCs w:val="22"/>
        </w:rPr>
        <w:t>SCRRA</w:t>
      </w:r>
      <w:r w:rsidRPr="00C032C2">
        <w:rPr>
          <w:szCs w:val="22"/>
        </w:rPr>
        <w:t>.  SCRRA oversees the Metrolink commuter railroad.</w:t>
      </w:r>
      <w:r w:rsidRPr="00C032C2">
        <w:rPr>
          <w:rStyle w:val="FootnoteReference"/>
          <w:sz w:val="22"/>
          <w:szCs w:val="22"/>
        </w:rPr>
        <w:footnoteReference w:id="8"/>
      </w:r>
      <w:r w:rsidRPr="00C032C2">
        <w:rPr>
          <w:szCs w:val="22"/>
        </w:rPr>
        <w:t xml:space="preserve">  Metrolink operates seven train lines serving 55 train stations on over 500 track miles.</w:t>
      </w:r>
      <w:r w:rsidRPr="00C032C2">
        <w:rPr>
          <w:rStyle w:val="FootnoteReference"/>
          <w:sz w:val="22"/>
          <w:szCs w:val="22"/>
        </w:rPr>
        <w:footnoteReference w:id="9"/>
      </w:r>
      <w:r w:rsidRPr="00C032C2">
        <w:rPr>
          <w:szCs w:val="22"/>
        </w:rPr>
        <w:t xml:space="preserve">  On an average weekday, Metrolink runs 165 trains and serves more than 40,000 commuters.</w:t>
      </w:r>
      <w:r w:rsidRPr="00C032C2">
        <w:rPr>
          <w:rStyle w:val="FootnoteReference"/>
          <w:sz w:val="22"/>
          <w:szCs w:val="22"/>
        </w:rPr>
        <w:footnoteReference w:id="10"/>
      </w:r>
      <w:r w:rsidRPr="00C032C2">
        <w:rPr>
          <w:szCs w:val="22"/>
        </w:rPr>
        <w:t xml:space="preserve">  Metrolink trains operate over rail rights-of-way owned by SCRRA member agencies,</w:t>
      </w:r>
      <w:r w:rsidRPr="00C032C2">
        <w:rPr>
          <w:rStyle w:val="FootnoteReference"/>
          <w:sz w:val="22"/>
          <w:szCs w:val="22"/>
        </w:rPr>
        <w:footnoteReference w:id="11"/>
      </w:r>
      <w:r w:rsidRPr="00C032C2">
        <w:rPr>
          <w:szCs w:val="22"/>
        </w:rPr>
        <w:t xml:space="preserve"> Burlington Northern Santa Fe Railroad, Union Pacific Railroad, and the North County Transit District (NCTD).</w:t>
      </w:r>
      <w:r w:rsidRPr="00C032C2">
        <w:rPr>
          <w:rStyle w:val="FootnoteReference"/>
          <w:sz w:val="22"/>
          <w:szCs w:val="22"/>
        </w:rPr>
        <w:footnoteReference w:id="12"/>
      </w:r>
      <w:r w:rsidRPr="00C032C2">
        <w:rPr>
          <w:szCs w:val="22"/>
        </w:rPr>
        <w:t xml:space="preserve">   </w:t>
      </w:r>
    </w:p>
    <w:p w14:paraId="03300ABD" w14:textId="5A878D8B" w:rsidR="00DE21F6" w:rsidRPr="00C032C2" w:rsidRDefault="00DE21F6" w:rsidP="00C542E6">
      <w:pPr>
        <w:pStyle w:val="ParaNum"/>
        <w:tabs>
          <w:tab w:val="clear" w:pos="1080"/>
          <w:tab w:val="num" w:pos="1440"/>
        </w:tabs>
        <w:rPr>
          <w:szCs w:val="22"/>
        </w:rPr>
      </w:pPr>
      <w:bookmarkStart w:id="25" w:name="_Toc367868784"/>
      <w:bookmarkStart w:id="26" w:name="_Toc367869632"/>
      <w:bookmarkStart w:id="27" w:name="_Toc371516598"/>
      <w:bookmarkStart w:id="28" w:name="_Toc371517058"/>
      <w:r w:rsidRPr="00C032C2">
        <w:rPr>
          <w:i/>
          <w:szCs w:val="22"/>
        </w:rPr>
        <w:t>Rail Safety Improvement Act of 2008</w:t>
      </w:r>
      <w:r w:rsidRPr="00C032C2">
        <w:rPr>
          <w:szCs w:val="22"/>
        </w:rPr>
        <w:t>.  Congress e</w:t>
      </w:r>
      <w:r w:rsidR="00A46198" w:rsidRPr="00C032C2">
        <w:rPr>
          <w:szCs w:val="22"/>
        </w:rPr>
        <w:t xml:space="preserve">stablished the PTC </w:t>
      </w:r>
      <w:r w:rsidR="00A77AB1">
        <w:rPr>
          <w:szCs w:val="22"/>
        </w:rPr>
        <w:t>m</w:t>
      </w:r>
      <w:r w:rsidR="00A46198" w:rsidRPr="00C032C2">
        <w:rPr>
          <w:szCs w:val="22"/>
        </w:rPr>
        <w:t xml:space="preserve">andate in the </w:t>
      </w:r>
      <w:r w:rsidRPr="00C032C2">
        <w:rPr>
          <w:szCs w:val="22"/>
        </w:rPr>
        <w:t>Rail Safety Improvement Act of 2008 (RSIA)</w:t>
      </w:r>
      <w:r w:rsidR="00DA1B02" w:rsidRPr="00C032C2">
        <w:rPr>
          <w:rStyle w:val="FootnoteReference"/>
          <w:sz w:val="22"/>
          <w:szCs w:val="22"/>
        </w:rPr>
        <w:footnoteReference w:id="13"/>
      </w:r>
      <w:r w:rsidRPr="00C032C2">
        <w:rPr>
          <w:szCs w:val="22"/>
        </w:rPr>
        <w:t xml:space="preserve"> following a catastrophic rail accident in Chatsworth, California</w:t>
      </w:r>
      <w:r w:rsidR="00163E5B">
        <w:rPr>
          <w:szCs w:val="22"/>
        </w:rPr>
        <w:t>,</w:t>
      </w:r>
      <w:r w:rsidRPr="00C032C2">
        <w:rPr>
          <w:szCs w:val="22"/>
        </w:rPr>
        <w:t xml:space="preserve"> where, on September 12, 2008, a Metrolink commuter train collided head-on with a Union Pacific freight train, killing 25 passengers and injuring more than 100 other passengers.</w:t>
      </w:r>
      <w:r w:rsidRPr="00C032C2">
        <w:rPr>
          <w:rStyle w:val="FootnoteReference"/>
          <w:sz w:val="22"/>
          <w:szCs w:val="22"/>
        </w:rPr>
        <w:footnoteReference w:id="14"/>
      </w:r>
      <w:r w:rsidRPr="00C032C2">
        <w:rPr>
          <w:szCs w:val="22"/>
        </w:rPr>
        <w:t xml:space="preserve">  The National Transportation Safety Board</w:t>
      </w:r>
      <w:r w:rsidR="00A46198" w:rsidRPr="00C032C2">
        <w:rPr>
          <w:szCs w:val="22"/>
        </w:rPr>
        <w:t xml:space="preserve"> (NTSB)</w:t>
      </w:r>
      <w:r w:rsidRPr="00C032C2">
        <w:rPr>
          <w:szCs w:val="22"/>
        </w:rPr>
        <w:t xml:space="preserve"> found that a Metrolink engineer failed to appropriately respond to a red signal, and that a PTC system</w:t>
      </w:r>
      <w:r w:rsidR="00F4665F">
        <w:rPr>
          <w:rStyle w:val="FootnoteReference"/>
          <w:szCs w:val="22"/>
        </w:rPr>
        <w:footnoteReference w:id="15"/>
      </w:r>
      <w:r w:rsidRPr="00C032C2">
        <w:rPr>
          <w:szCs w:val="22"/>
        </w:rPr>
        <w:t xml:space="preserve"> would have stopped the Metrolink train short of the red signal preventing the fatal collision.</w:t>
      </w:r>
      <w:r w:rsidRPr="00C032C2">
        <w:rPr>
          <w:rStyle w:val="FootnoteReference"/>
          <w:sz w:val="22"/>
          <w:szCs w:val="22"/>
        </w:rPr>
        <w:footnoteReference w:id="16"/>
      </w:r>
    </w:p>
    <w:p w14:paraId="6518B9AB" w14:textId="75E81F9B" w:rsidR="00DE21F6" w:rsidRPr="00FD5AE8" w:rsidRDefault="00831BD3" w:rsidP="00381600">
      <w:pPr>
        <w:pStyle w:val="ParaNum"/>
        <w:tabs>
          <w:tab w:val="clear" w:pos="1080"/>
          <w:tab w:val="num" w:pos="1440"/>
        </w:tabs>
        <w:rPr>
          <w:szCs w:val="22"/>
        </w:rPr>
      </w:pPr>
      <w:r w:rsidRPr="00FD5AE8">
        <w:rPr>
          <w:szCs w:val="22"/>
        </w:rPr>
        <w:t>The RSIA requires all trains providing passenger service and freight trains operating on lines carrying toxic and poisonous-by-inhalation hazardous materials to implement interoperable</w:t>
      </w:r>
      <w:r w:rsidRPr="00C032C2">
        <w:rPr>
          <w:szCs w:val="22"/>
          <w:vertAlign w:val="superscript"/>
        </w:rPr>
        <w:footnoteReference w:id="17"/>
      </w:r>
      <w:r w:rsidRPr="00FD5AE8">
        <w:rPr>
          <w:szCs w:val="22"/>
        </w:rPr>
        <w:t xml:space="preserve"> PTC systems by December 31, 2018.</w:t>
      </w:r>
      <w:r w:rsidRPr="00C032C2">
        <w:rPr>
          <w:rStyle w:val="FootnoteReference"/>
          <w:sz w:val="22"/>
          <w:szCs w:val="22"/>
        </w:rPr>
        <w:footnoteReference w:id="18"/>
      </w:r>
      <w:r w:rsidR="002D6E09" w:rsidRPr="00FD5AE8">
        <w:rPr>
          <w:szCs w:val="22"/>
        </w:rPr>
        <w:t xml:space="preserve">  </w:t>
      </w:r>
      <w:r w:rsidRPr="00FD5AE8">
        <w:rPr>
          <w:szCs w:val="22"/>
        </w:rPr>
        <w:t>The U.S. rail industry has chosen to implement PTC using radio spectrum that creates wireless networks with the capacity to enable real-time information sharing between trains, rail wayside devices, and “back office” applications, regarding train movement authorities, speed restrictions, train position and speed, and the state of signal and switch devices.</w:t>
      </w:r>
      <w:r w:rsidR="002D6E09" w:rsidRPr="00FD5AE8">
        <w:rPr>
          <w:szCs w:val="22"/>
        </w:rPr>
        <w:t xml:space="preserve">   </w:t>
      </w:r>
      <w:r w:rsidRPr="00FD5AE8">
        <w:rPr>
          <w:szCs w:val="22"/>
        </w:rPr>
        <w:t xml:space="preserve">  </w:t>
      </w:r>
      <w:r w:rsidR="00DE21F6" w:rsidRPr="00FD5AE8">
        <w:rPr>
          <w:szCs w:val="22"/>
        </w:rPr>
        <w:t xml:space="preserve">    </w:t>
      </w:r>
    </w:p>
    <w:p w14:paraId="0097BA22" w14:textId="77777777" w:rsidR="00DE21F6" w:rsidRPr="00C032C2" w:rsidRDefault="00DE21F6" w:rsidP="00C542E6">
      <w:pPr>
        <w:pStyle w:val="ParaNum"/>
        <w:tabs>
          <w:tab w:val="clear" w:pos="1080"/>
          <w:tab w:val="num" w:pos="1440"/>
        </w:tabs>
        <w:rPr>
          <w:szCs w:val="22"/>
        </w:rPr>
      </w:pPr>
      <w:r w:rsidRPr="00C032C2">
        <w:rPr>
          <w:i/>
          <w:szCs w:val="22"/>
        </w:rPr>
        <w:t>SCRRA Applications</w:t>
      </w:r>
      <w:r w:rsidRPr="00C032C2">
        <w:rPr>
          <w:szCs w:val="22"/>
        </w:rPr>
        <w:t>.  On March 29, 2010, the Wireless Telecommunications Bureau (Bureau) issued a public notice requesting comment on the SCRRA Applications.</w:t>
      </w:r>
      <w:r w:rsidRPr="00C032C2">
        <w:rPr>
          <w:rStyle w:val="FootnoteReference"/>
          <w:sz w:val="22"/>
          <w:szCs w:val="22"/>
        </w:rPr>
        <w:footnoteReference w:id="19"/>
      </w:r>
      <w:r w:rsidRPr="00C032C2">
        <w:rPr>
          <w:szCs w:val="22"/>
        </w:rPr>
        <w:t xml:space="preserve">  The Federal Railroad Administration (FRA),</w:t>
      </w:r>
      <w:r w:rsidRPr="00C032C2">
        <w:rPr>
          <w:rStyle w:val="FootnoteReference"/>
          <w:sz w:val="22"/>
          <w:szCs w:val="22"/>
        </w:rPr>
        <w:footnoteReference w:id="20"/>
      </w:r>
      <w:r w:rsidRPr="00C032C2">
        <w:rPr>
          <w:szCs w:val="22"/>
        </w:rPr>
        <w:t xml:space="preserve"> the Los Angeles County Board of Supervisors,</w:t>
      </w:r>
      <w:r w:rsidRPr="00C032C2">
        <w:rPr>
          <w:rStyle w:val="FootnoteReference"/>
          <w:sz w:val="22"/>
          <w:szCs w:val="22"/>
        </w:rPr>
        <w:footnoteReference w:id="21"/>
      </w:r>
      <w:r w:rsidRPr="00C032C2">
        <w:rPr>
          <w:szCs w:val="22"/>
        </w:rPr>
        <w:t xml:space="preserve"> PTC-220, LLC—a consortium of the nation’s Class I freight railroads</w:t>
      </w:r>
      <w:r w:rsidRPr="00C032C2">
        <w:rPr>
          <w:rStyle w:val="FootnoteReference"/>
          <w:sz w:val="22"/>
          <w:szCs w:val="22"/>
        </w:rPr>
        <w:footnoteReference w:id="22"/>
      </w:r>
      <w:r w:rsidRPr="00C032C2">
        <w:rPr>
          <w:szCs w:val="22"/>
        </w:rPr>
        <w:t>—the Riverside County Board of Supervisors,</w:t>
      </w:r>
      <w:r w:rsidRPr="00C032C2">
        <w:rPr>
          <w:rStyle w:val="FootnoteReference"/>
          <w:sz w:val="22"/>
          <w:szCs w:val="22"/>
        </w:rPr>
        <w:footnoteReference w:id="23"/>
      </w:r>
      <w:r w:rsidRPr="00C032C2">
        <w:rPr>
          <w:szCs w:val="22"/>
        </w:rPr>
        <w:t xml:space="preserve"> and the Ventura County Transportation Commission</w:t>
      </w:r>
      <w:r w:rsidRPr="00C032C2">
        <w:rPr>
          <w:rStyle w:val="FootnoteReference"/>
          <w:sz w:val="22"/>
          <w:szCs w:val="22"/>
        </w:rPr>
        <w:footnoteReference w:id="24"/>
      </w:r>
      <w:r w:rsidRPr="00C032C2">
        <w:rPr>
          <w:szCs w:val="22"/>
        </w:rPr>
        <w:t xml:space="preserve"> each filed comments supporting the SCRRA Applications.  Warren Havens (Havens) and five associated entities of which he is President (collectively, with Mr. Havens, the </w:t>
      </w:r>
      <w:r w:rsidRPr="0000058B">
        <w:rPr>
          <w:szCs w:val="22"/>
        </w:rPr>
        <w:t>“Havens Entities”)</w:t>
      </w:r>
      <w:r w:rsidRPr="0000058B">
        <w:rPr>
          <w:rStyle w:val="FootnoteReference"/>
          <w:sz w:val="22"/>
          <w:szCs w:val="22"/>
        </w:rPr>
        <w:footnoteReference w:id="25"/>
      </w:r>
      <w:r w:rsidRPr="0000058B">
        <w:rPr>
          <w:szCs w:val="22"/>
        </w:rPr>
        <w:t xml:space="preserve"> filed a Petition to Deny the SCRRA Applications.</w:t>
      </w:r>
      <w:r w:rsidRPr="0000058B">
        <w:rPr>
          <w:szCs w:val="22"/>
          <w:vertAlign w:val="superscript"/>
        </w:rPr>
        <w:footnoteReference w:id="26"/>
      </w:r>
      <w:r w:rsidRPr="0000058B">
        <w:rPr>
          <w:szCs w:val="22"/>
        </w:rPr>
        <w:t xml:space="preserve">  The Havens Entities also filed numerous other pleadings</w:t>
      </w:r>
      <w:r w:rsidRPr="00C032C2">
        <w:rPr>
          <w:szCs w:val="22"/>
        </w:rPr>
        <w:t xml:space="preserve"> opposing the SCRRA Applications.</w:t>
      </w:r>
      <w:r w:rsidRPr="00C032C2">
        <w:rPr>
          <w:rStyle w:val="FootnoteReference"/>
          <w:sz w:val="22"/>
          <w:szCs w:val="22"/>
        </w:rPr>
        <w:footnoteReference w:id="27"/>
      </w:r>
    </w:p>
    <w:p w14:paraId="57CC48C5" w14:textId="4E747B04" w:rsidR="00DE21F6" w:rsidRPr="00C032C2" w:rsidRDefault="00DE21F6" w:rsidP="00C542E6">
      <w:pPr>
        <w:pStyle w:val="ParaNum"/>
        <w:tabs>
          <w:tab w:val="clear" w:pos="1080"/>
          <w:tab w:val="num" w:pos="1440"/>
        </w:tabs>
        <w:rPr>
          <w:szCs w:val="22"/>
        </w:rPr>
      </w:pPr>
      <w:r w:rsidRPr="00C032C2">
        <w:rPr>
          <w:szCs w:val="22"/>
        </w:rPr>
        <w:t xml:space="preserve">Consideration of the SCRRA Applications was </w:t>
      </w:r>
      <w:r w:rsidR="0000058B">
        <w:rPr>
          <w:szCs w:val="22"/>
        </w:rPr>
        <w:t xml:space="preserve">impacted </w:t>
      </w:r>
      <w:r w:rsidRPr="00C032C2">
        <w:rPr>
          <w:szCs w:val="22"/>
        </w:rPr>
        <w:t>by the Commission’s decision, on April 18, 2011, to issue an</w:t>
      </w:r>
      <w:r w:rsidRPr="00C032C2">
        <w:rPr>
          <w:i/>
          <w:szCs w:val="22"/>
        </w:rPr>
        <w:t xml:space="preserve"> Order to Show Cause, Hearing Designation Order, and Notice of Opportunity for Hearing</w:t>
      </w:r>
      <w:r w:rsidRPr="00C032C2">
        <w:rPr>
          <w:szCs w:val="22"/>
        </w:rPr>
        <w:t xml:space="preserve"> (</w:t>
      </w:r>
      <w:r w:rsidRPr="00C032C2">
        <w:rPr>
          <w:i/>
          <w:szCs w:val="22"/>
        </w:rPr>
        <w:t>HDO</w:t>
      </w:r>
      <w:r w:rsidRPr="00C032C2">
        <w:rPr>
          <w:szCs w:val="22"/>
        </w:rPr>
        <w:t>).</w:t>
      </w:r>
      <w:r w:rsidRPr="00C032C2">
        <w:rPr>
          <w:rStyle w:val="FootnoteReference"/>
          <w:sz w:val="22"/>
          <w:szCs w:val="22"/>
        </w:rPr>
        <w:t xml:space="preserve"> </w:t>
      </w:r>
      <w:r w:rsidRPr="00C032C2">
        <w:rPr>
          <w:rStyle w:val="FootnoteReference"/>
          <w:sz w:val="22"/>
          <w:szCs w:val="22"/>
        </w:rPr>
        <w:footnoteReference w:id="28"/>
      </w:r>
      <w:r w:rsidRPr="00C032C2">
        <w:rPr>
          <w:szCs w:val="22"/>
        </w:rPr>
        <w:t xml:space="preserve">  The </w:t>
      </w:r>
      <w:r w:rsidRPr="00C032C2">
        <w:rPr>
          <w:i/>
          <w:szCs w:val="22"/>
        </w:rPr>
        <w:t>HDO</w:t>
      </w:r>
      <w:r w:rsidRPr="00C032C2">
        <w:rPr>
          <w:szCs w:val="22"/>
        </w:rPr>
        <w:t xml:space="preserve"> commenced a hearing before an Administrative Law Judge to determine whether MCLM</w:t>
      </w:r>
      <w:r w:rsidR="0000058B">
        <w:rPr>
          <w:szCs w:val="22"/>
        </w:rPr>
        <w:t xml:space="preserve"> </w:t>
      </w:r>
      <w:r w:rsidRPr="00C032C2">
        <w:rPr>
          <w:szCs w:val="22"/>
        </w:rPr>
        <w:t xml:space="preserve">has the requisite character qualifications to be a Commission licensee.  Issuance of the </w:t>
      </w:r>
      <w:r w:rsidRPr="00C032C2">
        <w:rPr>
          <w:i/>
          <w:szCs w:val="22"/>
        </w:rPr>
        <w:t xml:space="preserve">HDO </w:t>
      </w:r>
      <w:r w:rsidRPr="00C032C2">
        <w:rPr>
          <w:szCs w:val="22"/>
        </w:rPr>
        <w:t xml:space="preserve">ordinarily would have stayed consideration of the SCRRA Applications under the Commission’s </w:t>
      </w:r>
      <w:r w:rsidRPr="00C032C2">
        <w:rPr>
          <w:i/>
          <w:szCs w:val="22"/>
        </w:rPr>
        <w:t>Jefferson Radio</w:t>
      </w:r>
      <w:r w:rsidRPr="00C032C2">
        <w:rPr>
          <w:szCs w:val="22"/>
        </w:rPr>
        <w:t xml:space="preserve"> policy, which provides that a license may not be assigned or transferred when the licensee’s qualifications to hold it are at issue.</w:t>
      </w:r>
      <w:r w:rsidRPr="00C032C2">
        <w:rPr>
          <w:rStyle w:val="FootnoteReference"/>
          <w:sz w:val="22"/>
          <w:szCs w:val="22"/>
        </w:rPr>
        <w:footnoteReference w:id="29"/>
      </w:r>
      <w:r w:rsidRPr="00C032C2">
        <w:rPr>
          <w:szCs w:val="22"/>
        </w:rPr>
        <w:t xml:space="preserve">  The Commission</w:t>
      </w:r>
      <w:r w:rsidR="00FE7BF5">
        <w:rPr>
          <w:szCs w:val="22"/>
        </w:rPr>
        <w:t>,</w:t>
      </w:r>
      <w:r w:rsidRPr="00C032C2">
        <w:rPr>
          <w:szCs w:val="22"/>
        </w:rPr>
        <w:t xml:space="preserve"> however</w:t>
      </w:r>
      <w:r w:rsidR="00FE7BF5">
        <w:rPr>
          <w:szCs w:val="22"/>
        </w:rPr>
        <w:t>,</w:t>
      </w:r>
      <w:r w:rsidRPr="00C032C2">
        <w:rPr>
          <w:szCs w:val="22"/>
        </w:rPr>
        <w:t xml:space="preserve"> found that “the potential safety of life considerations involved in the positive train control area,” warranted possible removal of the SCRRA Applications from the hearing.</w:t>
      </w:r>
      <w:r w:rsidRPr="00C032C2">
        <w:rPr>
          <w:rStyle w:val="FootnoteReference"/>
          <w:sz w:val="22"/>
          <w:szCs w:val="22"/>
        </w:rPr>
        <w:footnoteReference w:id="30"/>
      </w:r>
      <w:r w:rsidRPr="00C032C2">
        <w:rPr>
          <w:szCs w:val="22"/>
        </w:rPr>
        <w:t xml:space="preserve">  The Commission stated that it would “upon an appropriate showing by the Parties, consider whether . . . the public interest would be served by allowing” removal of the SCRRA Applications from the hearing.</w:t>
      </w:r>
      <w:r w:rsidRPr="00C032C2">
        <w:rPr>
          <w:rStyle w:val="FootnoteReference"/>
          <w:sz w:val="22"/>
          <w:szCs w:val="22"/>
        </w:rPr>
        <w:footnoteReference w:id="31"/>
      </w:r>
      <w:r w:rsidRPr="00C032C2">
        <w:rPr>
          <w:szCs w:val="22"/>
        </w:rPr>
        <w:t xml:space="preserve">  Numerous pleadings were subsequently filed regarding possible removal of the SCRRA Applications from the hearing.</w:t>
      </w:r>
      <w:r w:rsidR="00D6270D">
        <w:rPr>
          <w:rStyle w:val="FootnoteReference"/>
          <w:szCs w:val="22"/>
        </w:rPr>
        <w:footnoteReference w:id="32"/>
      </w:r>
    </w:p>
    <w:p w14:paraId="5310A407" w14:textId="5A2F4C22" w:rsidR="00DE21F6" w:rsidRPr="00C032C2" w:rsidRDefault="00DE21F6" w:rsidP="00C542E6">
      <w:pPr>
        <w:pStyle w:val="ParaNum"/>
        <w:tabs>
          <w:tab w:val="clear" w:pos="1080"/>
          <w:tab w:val="num" w:pos="1440"/>
        </w:tabs>
        <w:rPr>
          <w:szCs w:val="22"/>
        </w:rPr>
      </w:pPr>
      <w:r w:rsidRPr="00C032C2">
        <w:rPr>
          <w:szCs w:val="22"/>
        </w:rPr>
        <w:t xml:space="preserve">On September 10, 2014, in the </w:t>
      </w:r>
      <w:r w:rsidRPr="00C032C2">
        <w:rPr>
          <w:i/>
          <w:szCs w:val="22"/>
        </w:rPr>
        <w:t>MCLM/SCRRA Order</w:t>
      </w:r>
      <w:r w:rsidRPr="00C032C2">
        <w:rPr>
          <w:szCs w:val="22"/>
        </w:rPr>
        <w:t>,</w:t>
      </w:r>
      <w:r w:rsidRPr="00C032C2">
        <w:rPr>
          <w:rStyle w:val="FootnoteReference"/>
          <w:sz w:val="22"/>
          <w:szCs w:val="22"/>
        </w:rPr>
        <w:footnoteReference w:id="33"/>
      </w:r>
      <w:r w:rsidRPr="00C032C2">
        <w:rPr>
          <w:szCs w:val="22"/>
        </w:rPr>
        <w:t xml:space="preserve"> </w:t>
      </w:r>
      <w:r w:rsidR="008A352C">
        <w:rPr>
          <w:szCs w:val="22"/>
        </w:rPr>
        <w:t xml:space="preserve">the </w:t>
      </w:r>
      <w:r w:rsidR="008A352C" w:rsidRPr="00C032C2">
        <w:rPr>
          <w:szCs w:val="22"/>
        </w:rPr>
        <w:t>Commission</w:t>
      </w:r>
      <w:r w:rsidRPr="00C032C2">
        <w:rPr>
          <w:szCs w:val="22"/>
        </w:rPr>
        <w:t xml:space="preserve"> remov</w:t>
      </w:r>
      <w:r w:rsidR="008A352C">
        <w:rPr>
          <w:szCs w:val="22"/>
        </w:rPr>
        <w:t>ed</w:t>
      </w:r>
      <w:r w:rsidRPr="00C032C2">
        <w:rPr>
          <w:szCs w:val="22"/>
        </w:rPr>
        <w:t xml:space="preserve"> the SCRRA Applications from the MCLM hearing</w:t>
      </w:r>
      <w:r w:rsidR="008A352C">
        <w:rPr>
          <w:szCs w:val="22"/>
        </w:rPr>
        <w:t xml:space="preserve"> finding that it</w:t>
      </w:r>
      <w:r w:rsidRPr="00C032C2">
        <w:rPr>
          <w:szCs w:val="22"/>
        </w:rPr>
        <w:t xml:space="preserve"> “would serve the public interest by significantly promoting rail safety of life and property” and that the “spectrum in question is uniquely suited to enable [PTC] system interoperability as part of the frequency range that is being deployed nationwide for PTC.”</w:t>
      </w:r>
      <w:r w:rsidRPr="00C032C2">
        <w:rPr>
          <w:rStyle w:val="FootnoteReference"/>
          <w:sz w:val="22"/>
          <w:szCs w:val="22"/>
        </w:rPr>
        <w:footnoteReference w:id="34"/>
      </w:r>
      <w:r w:rsidRPr="00C032C2">
        <w:rPr>
          <w:szCs w:val="22"/>
        </w:rPr>
        <w:t xml:space="preserve">  The Commission </w:t>
      </w:r>
      <w:r w:rsidR="00A46198" w:rsidRPr="00C032C2">
        <w:rPr>
          <w:szCs w:val="22"/>
        </w:rPr>
        <w:t xml:space="preserve">authorized </w:t>
      </w:r>
      <w:r w:rsidRPr="00C032C2">
        <w:rPr>
          <w:szCs w:val="22"/>
        </w:rPr>
        <w:t xml:space="preserve">the Bureau </w:t>
      </w:r>
      <w:r w:rsidR="00A46198" w:rsidRPr="00C032C2">
        <w:rPr>
          <w:szCs w:val="22"/>
        </w:rPr>
        <w:t xml:space="preserve">to </w:t>
      </w:r>
      <w:r w:rsidRPr="00C032C2">
        <w:rPr>
          <w:szCs w:val="22"/>
        </w:rPr>
        <w:t xml:space="preserve">grant the SCRRA Applications if it finds that a grant would be consistent with the </w:t>
      </w:r>
      <w:r w:rsidRPr="00C032C2">
        <w:rPr>
          <w:i/>
          <w:szCs w:val="22"/>
        </w:rPr>
        <w:t>MCLM/SCRRA Order</w:t>
      </w:r>
      <w:r w:rsidRPr="00C032C2">
        <w:rPr>
          <w:szCs w:val="22"/>
        </w:rPr>
        <w:t xml:space="preserve"> and relevant Commission rules.</w:t>
      </w:r>
      <w:r w:rsidRPr="00C032C2">
        <w:rPr>
          <w:rStyle w:val="FootnoteReference"/>
          <w:sz w:val="22"/>
          <w:szCs w:val="22"/>
        </w:rPr>
        <w:footnoteReference w:id="35"/>
      </w:r>
    </w:p>
    <w:bookmarkEnd w:id="25"/>
    <w:bookmarkEnd w:id="26"/>
    <w:bookmarkEnd w:id="27"/>
    <w:bookmarkEnd w:id="28"/>
    <w:p w14:paraId="5F2873FA" w14:textId="303D2F37" w:rsidR="00DE21F6" w:rsidRPr="00811787" w:rsidRDefault="00DE21F6" w:rsidP="00811787">
      <w:pPr>
        <w:pStyle w:val="ParaNum"/>
        <w:tabs>
          <w:tab w:val="clear" w:pos="1080"/>
          <w:tab w:val="num" w:pos="1440"/>
        </w:tabs>
        <w:rPr>
          <w:szCs w:val="22"/>
        </w:rPr>
      </w:pPr>
      <w:r w:rsidRPr="00C032C2">
        <w:rPr>
          <w:szCs w:val="22"/>
        </w:rPr>
        <w:t xml:space="preserve">On October 20, 2015, SCRRA filed a minor amendment to the </w:t>
      </w:r>
      <w:r w:rsidR="005A6E0F">
        <w:rPr>
          <w:szCs w:val="22"/>
        </w:rPr>
        <w:t xml:space="preserve">Assignment </w:t>
      </w:r>
      <w:r w:rsidRPr="00C032C2">
        <w:rPr>
          <w:szCs w:val="22"/>
        </w:rPr>
        <w:t>Application, which narrowed the scope of its request for wai</w:t>
      </w:r>
      <w:r w:rsidR="00E87CCE" w:rsidRPr="00C032C2">
        <w:rPr>
          <w:szCs w:val="22"/>
        </w:rPr>
        <w:t>v</w:t>
      </w:r>
      <w:r w:rsidRPr="00C032C2">
        <w:rPr>
          <w:szCs w:val="22"/>
        </w:rPr>
        <w:t>er of certain Part 80 rules.</w:t>
      </w:r>
      <w:r w:rsidRPr="00C032C2">
        <w:rPr>
          <w:rStyle w:val="FootnoteReference"/>
          <w:sz w:val="22"/>
          <w:szCs w:val="22"/>
        </w:rPr>
        <w:footnoteReference w:id="36"/>
      </w:r>
      <w:r w:rsidR="003126C5">
        <w:rPr>
          <w:szCs w:val="22"/>
        </w:rPr>
        <w:t xml:space="preserve">  On June 8, 2016, SCRRA filed a second minor amendment</w:t>
      </w:r>
      <w:r w:rsidR="005A6E0F">
        <w:rPr>
          <w:szCs w:val="22"/>
        </w:rPr>
        <w:t xml:space="preserve"> to </w:t>
      </w:r>
      <w:r w:rsidR="003126C5">
        <w:rPr>
          <w:szCs w:val="22"/>
        </w:rPr>
        <w:t>further narrow the scope of its waiver request.</w:t>
      </w:r>
      <w:r w:rsidR="003126C5">
        <w:rPr>
          <w:rStyle w:val="FootnoteReference"/>
          <w:szCs w:val="22"/>
        </w:rPr>
        <w:footnoteReference w:id="37"/>
      </w:r>
      <w:r w:rsidR="003126C5">
        <w:rPr>
          <w:szCs w:val="22"/>
        </w:rPr>
        <w:t xml:space="preserve">    </w:t>
      </w:r>
    </w:p>
    <w:p w14:paraId="2DF6175C" w14:textId="77777777" w:rsidR="00DE21F6" w:rsidRPr="00C032C2" w:rsidRDefault="00DE21F6" w:rsidP="00DE21F6">
      <w:pPr>
        <w:pStyle w:val="Heading1"/>
        <w:rPr>
          <w:rFonts w:ascii="Times New Roman" w:hAnsi="Times New Roman"/>
          <w:szCs w:val="22"/>
        </w:rPr>
      </w:pPr>
      <w:bookmarkStart w:id="29" w:name="_Toc367868793"/>
      <w:bookmarkStart w:id="30" w:name="_Toc367869641"/>
      <w:bookmarkStart w:id="31" w:name="_Toc371516607"/>
      <w:bookmarkStart w:id="32" w:name="_Toc371517067"/>
      <w:bookmarkStart w:id="33" w:name="_Toc450736711"/>
      <w:bookmarkStart w:id="34" w:name="_Toc451332484"/>
      <w:bookmarkStart w:id="35" w:name="_Toc451332588"/>
      <w:bookmarkStart w:id="36" w:name="_Toc451524265"/>
      <w:bookmarkStart w:id="37" w:name="_Toc455057496"/>
      <w:bookmarkStart w:id="38" w:name="_Toc455057591"/>
      <w:bookmarkStart w:id="39" w:name="_Toc457311039"/>
      <w:r w:rsidRPr="00C032C2">
        <w:rPr>
          <w:rFonts w:ascii="Times New Roman" w:hAnsi="Times New Roman"/>
          <w:szCs w:val="22"/>
        </w:rPr>
        <w:t>discussion</w:t>
      </w:r>
      <w:bookmarkEnd w:id="29"/>
      <w:bookmarkEnd w:id="30"/>
      <w:bookmarkEnd w:id="31"/>
      <w:bookmarkEnd w:id="32"/>
      <w:bookmarkEnd w:id="33"/>
      <w:bookmarkEnd w:id="34"/>
      <w:bookmarkEnd w:id="35"/>
      <w:bookmarkEnd w:id="36"/>
      <w:bookmarkEnd w:id="37"/>
      <w:bookmarkEnd w:id="38"/>
      <w:bookmarkEnd w:id="39"/>
    </w:p>
    <w:p w14:paraId="54EB0095" w14:textId="5A6FB230" w:rsidR="00DE21F6" w:rsidRPr="00C032C2" w:rsidRDefault="00D6518D" w:rsidP="00C542E6">
      <w:pPr>
        <w:pStyle w:val="ParaNum"/>
        <w:tabs>
          <w:tab w:val="clear" w:pos="1080"/>
          <w:tab w:val="num" w:pos="1440"/>
        </w:tabs>
        <w:rPr>
          <w:szCs w:val="22"/>
        </w:rPr>
      </w:pPr>
      <w:r w:rsidRPr="00C032C2">
        <w:rPr>
          <w:szCs w:val="22"/>
        </w:rPr>
        <w:t xml:space="preserve">In the </w:t>
      </w:r>
      <w:r w:rsidRPr="00C032C2">
        <w:rPr>
          <w:i/>
          <w:szCs w:val="22"/>
        </w:rPr>
        <w:t>MCLM/SCRRA Order</w:t>
      </w:r>
      <w:r w:rsidR="00503C94">
        <w:rPr>
          <w:szCs w:val="22"/>
        </w:rPr>
        <w:t>,</w:t>
      </w:r>
      <w:r w:rsidRPr="00C032C2">
        <w:rPr>
          <w:szCs w:val="22"/>
        </w:rPr>
        <w:t xml:space="preserve"> the </w:t>
      </w:r>
      <w:r w:rsidR="00DE21F6" w:rsidRPr="00C032C2">
        <w:rPr>
          <w:szCs w:val="22"/>
        </w:rPr>
        <w:t>Commission</w:t>
      </w:r>
      <w:r w:rsidRPr="00C032C2">
        <w:rPr>
          <w:szCs w:val="22"/>
        </w:rPr>
        <w:t xml:space="preserve"> </w:t>
      </w:r>
      <w:r w:rsidR="006D49E5">
        <w:rPr>
          <w:szCs w:val="22"/>
        </w:rPr>
        <w:t>authorized t</w:t>
      </w:r>
      <w:r w:rsidRPr="00C032C2">
        <w:rPr>
          <w:szCs w:val="22"/>
        </w:rPr>
        <w:t xml:space="preserve">he Bureau </w:t>
      </w:r>
      <w:r w:rsidR="006D49E5">
        <w:rPr>
          <w:szCs w:val="22"/>
        </w:rPr>
        <w:t xml:space="preserve">to grant </w:t>
      </w:r>
      <w:r w:rsidR="00DE21F6" w:rsidRPr="00C032C2">
        <w:rPr>
          <w:szCs w:val="22"/>
        </w:rPr>
        <w:t xml:space="preserve">the SCRRA Applications </w:t>
      </w:r>
      <w:r w:rsidR="00FD5AE8">
        <w:rPr>
          <w:szCs w:val="22"/>
        </w:rPr>
        <w:t xml:space="preserve">upon </w:t>
      </w:r>
      <w:r w:rsidR="00E62EF4">
        <w:rPr>
          <w:szCs w:val="22"/>
        </w:rPr>
        <w:t>find</w:t>
      </w:r>
      <w:r w:rsidR="00FD5AE8">
        <w:rPr>
          <w:szCs w:val="22"/>
        </w:rPr>
        <w:t>ing</w:t>
      </w:r>
      <w:r w:rsidR="00E62EF4">
        <w:rPr>
          <w:szCs w:val="22"/>
        </w:rPr>
        <w:t xml:space="preserve"> that </w:t>
      </w:r>
      <w:r w:rsidR="006D49E5">
        <w:rPr>
          <w:szCs w:val="22"/>
        </w:rPr>
        <w:t xml:space="preserve">such a grant </w:t>
      </w:r>
      <w:r w:rsidRPr="00C032C2">
        <w:rPr>
          <w:szCs w:val="22"/>
        </w:rPr>
        <w:t xml:space="preserve">would be </w:t>
      </w:r>
      <w:r w:rsidR="00DE21F6" w:rsidRPr="00C032C2">
        <w:rPr>
          <w:szCs w:val="22"/>
        </w:rPr>
        <w:t>consistent with</w:t>
      </w:r>
      <w:r w:rsidR="00620FC0">
        <w:rPr>
          <w:szCs w:val="22"/>
        </w:rPr>
        <w:t xml:space="preserve"> its determinations </w:t>
      </w:r>
      <w:r w:rsidR="00381600">
        <w:rPr>
          <w:szCs w:val="22"/>
        </w:rPr>
        <w:t xml:space="preserve">in </w:t>
      </w:r>
      <w:r w:rsidR="006D49E5">
        <w:rPr>
          <w:szCs w:val="22"/>
        </w:rPr>
        <w:t>th</w:t>
      </w:r>
      <w:r w:rsidR="00E62EF4">
        <w:rPr>
          <w:szCs w:val="22"/>
        </w:rPr>
        <w:t>at order</w:t>
      </w:r>
      <w:r w:rsidRPr="00C032C2">
        <w:rPr>
          <w:szCs w:val="22"/>
        </w:rPr>
        <w:t xml:space="preserve"> </w:t>
      </w:r>
      <w:r w:rsidR="00DE21F6" w:rsidRPr="00C032C2">
        <w:rPr>
          <w:szCs w:val="22"/>
        </w:rPr>
        <w:t xml:space="preserve">and relevant </w:t>
      </w:r>
      <w:r w:rsidR="00237C9D">
        <w:rPr>
          <w:szCs w:val="22"/>
        </w:rPr>
        <w:t>Commission</w:t>
      </w:r>
      <w:r w:rsidR="00DE21F6" w:rsidRPr="00C032C2">
        <w:rPr>
          <w:szCs w:val="22"/>
        </w:rPr>
        <w:t xml:space="preserve"> rules.</w:t>
      </w:r>
      <w:r w:rsidR="00DE21F6" w:rsidRPr="00C032C2">
        <w:rPr>
          <w:rStyle w:val="FootnoteReference"/>
          <w:sz w:val="22"/>
          <w:szCs w:val="22"/>
        </w:rPr>
        <w:footnoteReference w:id="38"/>
      </w:r>
      <w:r w:rsidRPr="00C032C2">
        <w:rPr>
          <w:szCs w:val="22"/>
        </w:rPr>
        <w:t xml:space="preserve">  </w:t>
      </w:r>
      <w:r w:rsidR="00DE21F6" w:rsidRPr="00C032C2">
        <w:rPr>
          <w:szCs w:val="22"/>
        </w:rPr>
        <w:t xml:space="preserve">Based on our careful review of the record </w:t>
      </w:r>
      <w:r w:rsidRPr="00C032C2">
        <w:rPr>
          <w:szCs w:val="22"/>
        </w:rPr>
        <w:t>before us</w:t>
      </w:r>
      <w:r w:rsidR="00DE21F6" w:rsidRPr="00C032C2">
        <w:rPr>
          <w:szCs w:val="22"/>
        </w:rPr>
        <w:t xml:space="preserve">, we find that grant of the SCRRA Applications will further the vital public interest in rail safety consistent with the federal PTC mandate, the </w:t>
      </w:r>
      <w:r w:rsidR="00DE21F6" w:rsidRPr="00C032C2">
        <w:rPr>
          <w:i/>
          <w:szCs w:val="22"/>
        </w:rPr>
        <w:t>MCLM/SCRRA Order</w:t>
      </w:r>
      <w:r w:rsidR="00DE21F6" w:rsidRPr="00C032C2">
        <w:rPr>
          <w:szCs w:val="22"/>
        </w:rPr>
        <w:t xml:space="preserve">, and relevant </w:t>
      </w:r>
      <w:r w:rsidR="00E62EF4">
        <w:rPr>
          <w:szCs w:val="22"/>
        </w:rPr>
        <w:t>FCC</w:t>
      </w:r>
      <w:r w:rsidR="00DE21F6" w:rsidRPr="00C032C2">
        <w:rPr>
          <w:szCs w:val="22"/>
        </w:rPr>
        <w:t xml:space="preserve"> rules</w:t>
      </w:r>
      <w:r w:rsidR="00F4665F">
        <w:rPr>
          <w:szCs w:val="22"/>
        </w:rPr>
        <w:t xml:space="preserve"> as discussed below</w:t>
      </w:r>
      <w:r w:rsidR="00DE21F6" w:rsidRPr="00C032C2">
        <w:rPr>
          <w:szCs w:val="22"/>
        </w:rPr>
        <w:t>.</w:t>
      </w:r>
    </w:p>
    <w:p w14:paraId="56823E00" w14:textId="40A1932B" w:rsidR="00DE21F6" w:rsidRPr="008C6D16" w:rsidRDefault="00F4665F" w:rsidP="00E146D7">
      <w:pPr>
        <w:pStyle w:val="ParaNum"/>
        <w:tabs>
          <w:tab w:val="clear" w:pos="1080"/>
          <w:tab w:val="num" w:pos="1440"/>
        </w:tabs>
        <w:rPr>
          <w:szCs w:val="22"/>
        </w:rPr>
      </w:pPr>
      <w:r>
        <w:rPr>
          <w:szCs w:val="22"/>
        </w:rPr>
        <w:t>W</w:t>
      </w:r>
      <w:r w:rsidR="00DE21F6" w:rsidRPr="008C6D16">
        <w:rPr>
          <w:szCs w:val="22"/>
        </w:rPr>
        <w:t xml:space="preserve">e </w:t>
      </w:r>
      <w:r w:rsidR="008718B4" w:rsidRPr="008C6D16">
        <w:rPr>
          <w:szCs w:val="22"/>
        </w:rPr>
        <w:t xml:space="preserve">find that only </w:t>
      </w:r>
      <w:r w:rsidR="005454CA" w:rsidRPr="008C6D16">
        <w:rPr>
          <w:szCs w:val="22"/>
        </w:rPr>
        <w:t>E</w:t>
      </w:r>
      <w:r w:rsidR="005454CA">
        <w:rPr>
          <w:szCs w:val="22"/>
        </w:rPr>
        <w:t>N</w:t>
      </w:r>
      <w:r w:rsidR="005454CA" w:rsidRPr="008C6D16">
        <w:rPr>
          <w:szCs w:val="22"/>
        </w:rPr>
        <w:t>L</w:t>
      </w:r>
      <w:r w:rsidR="008718B4" w:rsidRPr="008C6D16">
        <w:rPr>
          <w:szCs w:val="22"/>
        </w:rPr>
        <w:t xml:space="preserve">, SSF, and VSL have </w:t>
      </w:r>
      <w:r w:rsidR="00DE21F6" w:rsidRPr="008C6D16">
        <w:rPr>
          <w:szCs w:val="22"/>
        </w:rPr>
        <w:t>standing to oppose the SCRRA Applications</w:t>
      </w:r>
      <w:r w:rsidR="008C6D16" w:rsidRPr="008C6D16">
        <w:rPr>
          <w:szCs w:val="22"/>
        </w:rPr>
        <w:t>,</w:t>
      </w:r>
      <w:r w:rsidR="00E62EF4" w:rsidRPr="008C6D16">
        <w:rPr>
          <w:szCs w:val="22"/>
        </w:rPr>
        <w:t xml:space="preserve"> and </w:t>
      </w:r>
      <w:r w:rsidR="008C6D16">
        <w:rPr>
          <w:szCs w:val="22"/>
        </w:rPr>
        <w:t xml:space="preserve">that there is </w:t>
      </w:r>
      <w:r w:rsidR="00DE21F6" w:rsidRPr="008C6D16">
        <w:rPr>
          <w:szCs w:val="22"/>
        </w:rPr>
        <w:t xml:space="preserve">no </w:t>
      </w:r>
      <w:r w:rsidR="008C6D16">
        <w:rPr>
          <w:szCs w:val="22"/>
        </w:rPr>
        <w:t xml:space="preserve">merit to </w:t>
      </w:r>
      <w:r w:rsidR="00DE21F6" w:rsidRPr="008C6D16">
        <w:rPr>
          <w:szCs w:val="22"/>
        </w:rPr>
        <w:t>the</w:t>
      </w:r>
      <w:r w:rsidR="008C6D16" w:rsidRPr="008C6D16">
        <w:rPr>
          <w:szCs w:val="22"/>
        </w:rPr>
        <w:t xml:space="preserve">ir </w:t>
      </w:r>
      <w:r w:rsidR="00DE21F6" w:rsidRPr="008C6D16">
        <w:rPr>
          <w:szCs w:val="22"/>
        </w:rPr>
        <w:t>allegations of FCC prejudice</w:t>
      </w:r>
      <w:r w:rsidR="00E62EF4" w:rsidRPr="008C6D16">
        <w:rPr>
          <w:szCs w:val="22"/>
        </w:rPr>
        <w:t xml:space="preserve">.  We find that </w:t>
      </w:r>
      <w:r w:rsidR="008C6D16" w:rsidRPr="008C6D16">
        <w:rPr>
          <w:szCs w:val="22"/>
        </w:rPr>
        <w:t xml:space="preserve">because </w:t>
      </w:r>
      <w:r w:rsidR="00E62EF4" w:rsidRPr="008C6D16">
        <w:rPr>
          <w:szCs w:val="22"/>
        </w:rPr>
        <w:t>the Commission remov</w:t>
      </w:r>
      <w:r w:rsidR="008C6D16" w:rsidRPr="008C6D16">
        <w:rPr>
          <w:szCs w:val="22"/>
        </w:rPr>
        <w:t>ed</w:t>
      </w:r>
      <w:r w:rsidR="00E62EF4" w:rsidRPr="008C6D16">
        <w:rPr>
          <w:szCs w:val="22"/>
        </w:rPr>
        <w:t xml:space="preserve"> the </w:t>
      </w:r>
      <w:r w:rsidR="00E67E67" w:rsidRPr="008C6D16">
        <w:rPr>
          <w:szCs w:val="22"/>
        </w:rPr>
        <w:t>SCR</w:t>
      </w:r>
      <w:r w:rsidR="00E67E67">
        <w:rPr>
          <w:szCs w:val="22"/>
        </w:rPr>
        <w:t>R</w:t>
      </w:r>
      <w:r w:rsidR="00E67E67" w:rsidRPr="008C6D16">
        <w:rPr>
          <w:szCs w:val="22"/>
        </w:rPr>
        <w:t xml:space="preserve">A </w:t>
      </w:r>
      <w:r w:rsidR="00E62EF4" w:rsidRPr="008C6D16">
        <w:rPr>
          <w:szCs w:val="22"/>
        </w:rPr>
        <w:t xml:space="preserve">Applications from the hearing regarding MCLM’s character qualifications, </w:t>
      </w:r>
      <w:r w:rsidR="008C6D16">
        <w:rPr>
          <w:szCs w:val="22"/>
        </w:rPr>
        <w:t>i</w:t>
      </w:r>
      <w:r w:rsidR="00846162" w:rsidRPr="008C6D16">
        <w:rPr>
          <w:szCs w:val="22"/>
        </w:rPr>
        <w:t xml:space="preserve">t is unnecessary to </w:t>
      </w:r>
      <w:r w:rsidR="008C6D16">
        <w:rPr>
          <w:szCs w:val="22"/>
        </w:rPr>
        <w:t xml:space="preserve">address </w:t>
      </w:r>
      <w:r w:rsidR="00DE21F6" w:rsidRPr="008C6D16">
        <w:rPr>
          <w:szCs w:val="22"/>
        </w:rPr>
        <w:t>arguments regarding MCLM’s character qualifications</w:t>
      </w:r>
      <w:r w:rsidR="008C6D16">
        <w:rPr>
          <w:szCs w:val="22"/>
        </w:rPr>
        <w:t xml:space="preserve"> here</w:t>
      </w:r>
      <w:r w:rsidR="00E62EF4" w:rsidRPr="008C6D16">
        <w:rPr>
          <w:szCs w:val="22"/>
        </w:rPr>
        <w:t xml:space="preserve">.  We also </w:t>
      </w:r>
      <w:r w:rsidR="00DE21F6" w:rsidRPr="008C6D16">
        <w:rPr>
          <w:szCs w:val="22"/>
        </w:rPr>
        <w:t>reject the</w:t>
      </w:r>
      <w:r w:rsidR="008C6D16">
        <w:rPr>
          <w:szCs w:val="22"/>
        </w:rPr>
        <w:t xml:space="preserve"> Havens Entities</w:t>
      </w:r>
      <w:r w:rsidR="00702785">
        <w:rPr>
          <w:szCs w:val="22"/>
        </w:rPr>
        <w:t>’</w:t>
      </w:r>
      <w:r w:rsidR="008C6D16">
        <w:rPr>
          <w:szCs w:val="22"/>
        </w:rPr>
        <w:t xml:space="preserve"> </w:t>
      </w:r>
      <w:r w:rsidR="00DE21F6" w:rsidRPr="008C6D16">
        <w:rPr>
          <w:szCs w:val="22"/>
        </w:rPr>
        <w:t xml:space="preserve">attempt to incorporate </w:t>
      </w:r>
      <w:r w:rsidR="008C6D16">
        <w:rPr>
          <w:szCs w:val="22"/>
        </w:rPr>
        <w:t xml:space="preserve">their </w:t>
      </w:r>
      <w:r w:rsidR="00DE21F6" w:rsidRPr="008C6D16">
        <w:rPr>
          <w:szCs w:val="22"/>
        </w:rPr>
        <w:t xml:space="preserve">pleadings </w:t>
      </w:r>
      <w:r w:rsidR="008C6D16">
        <w:rPr>
          <w:szCs w:val="22"/>
        </w:rPr>
        <w:t xml:space="preserve">and arguments </w:t>
      </w:r>
      <w:r w:rsidR="00DE21F6" w:rsidRPr="008C6D16">
        <w:rPr>
          <w:szCs w:val="22"/>
        </w:rPr>
        <w:t xml:space="preserve">from </w:t>
      </w:r>
      <w:r w:rsidR="00E87CCE" w:rsidRPr="008C6D16">
        <w:rPr>
          <w:szCs w:val="22"/>
        </w:rPr>
        <w:t xml:space="preserve">24 </w:t>
      </w:r>
      <w:r w:rsidR="00DE21F6" w:rsidRPr="008C6D16">
        <w:rPr>
          <w:szCs w:val="22"/>
        </w:rPr>
        <w:t xml:space="preserve">other proceedings into this proceeding.  </w:t>
      </w:r>
      <w:r w:rsidR="008C6D16">
        <w:rPr>
          <w:szCs w:val="22"/>
        </w:rPr>
        <w:t>Lastly, w</w:t>
      </w:r>
      <w:r w:rsidR="00DE21F6" w:rsidRPr="008C6D16">
        <w:rPr>
          <w:szCs w:val="22"/>
        </w:rPr>
        <w:t xml:space="preserve">e address </w:t>
      </w:r>
      <w:r w:rsidR="00E87CCE" w:rsidRPr="008C6D16">
        <w:rPr>
          <w:szCs w:val="22"/>
        </w:rPr>
        <w:t xml:space="preserve">SCRRA’s request for </w:t>
      </w:r>
      <w:r w:rsidR="00DE21F6" w:rsidRPr="008C6D16">
        <w:rPr>
          <w:szCs w:val="22"/>
        </w:rPr>
        <w:t xml:space="preserve">waiver </w:t>
      </w:r>
      <w:r w:rsidR="00E87CCE" w:rsidRPr="008C6D16">
        <w:rPr>
          <w:szCs w:val="22"/>
        </w:rPr>
        <w:t xml:space="preserve">of certain Part 80 rules to enable PTC </w:t>
      </w:r>
      <w:r w:rsidR="00440E13" w:rsidRPr="008C6D16">
        <w:rPr>
          <w:szCs w:val="22"/>
        </w:rPr>
        <w:t>deployment</w:t>
      </w:r>
      <w:r w:rsidR="00E87CCE" w:rsidRPr="008C6D16">
        <w:rPr>
          <w:szCs w:val="22"/>
        </w:rPr>
        <w:t xml:space="preserve"> </w:t>
      </w:r>
      <w:r w:rsidR="00DE21F6" w:rsidRPr="008C6D16">
        <w:rPr>
          <w:szCs w:val="22"/>
        </w:rPr>
        <w:t>and</w:t>
      </w:r>
      <w:r w:rsidR="00702785">
        <w:rPr>
          <w:szCs w:val="22"/>
        </w:rPr>
        <w:t xml:space="preserve"> regulatory</w:t>
      </w:r>
      <w:r w:rsidR="00DE21F6" w:rsidRPr="008C6D16">
        <w:rPr>
          <w:szCs w:val="22"/>
        </w:rPr>
        <w:t xml:space="preserve"> reclassification of the AMTS spectrum for private PTC use.  </w:t>
      </w:r>
      <w:bookmarkStart w:id="40" w:name="_Toc367868794"/>
      <w:bookmarkStart w:id="41" w:name="_Toc367869642"/>
      <w:bookmarkStart w:id="42" w:name="_Toc371516608"/>
      <w:bookmarkStart w:id="43" w:name="_Toc371517068"/>
    </w:p>
    <w:p w14:paraId="5D917917" w14:textId="77777777" w:rsidR="00DE21F6" w:rsidRPr="00C032C2" w:rsidRDefault="00DE21F6" w:rsidP="00DE21F6">
      <w:pPr>
        <w:pStyle w:val="Heading2"/>
        <w:rPr>
          <w:szCs w:val="22"/>
        </w:rPr>
      </w:pPr>
      <w:bookmarkStart w:id="44" w:name="_Toc450736712"/>
      <w:bookmarkStart w:id="45" w:name="_Toc451332485"/>
      <w:bookmarkStart w:id="46" w:name="_Toc451332589"/>
      <w:bookmarkStart w:id="47" w:name="_Toc451524266"/>
      <w:bookmarkStart w:id="48" w:name="_Toc455057497"/>
      <w:bookmarkStart w:id="49" w:name="_Toc455057592"/>
      <w:bookmarkStart w:id="50" w:name="_Toc457311040"/>
      <w:r w:rsidRPr="00C032C2">
        <w:rPr>
          <w:szCs w:val="22"/>
        </w:rPr>
        <w:t>Standing</w:t>
      </w:r>
      <w:bookmarkEnd w:id="40"/>
      <w:bookmarkEnd w:id="41"/>
      <w:bookmarkEnd w:id="42"/>
      <w:bookmarkEnd w:id="43"/>
      <w:bookmarkEnd w:id="44"/>
      <w:bookmarkEnd w:id="45"/>
      <w:bookmarkEnd w:id="46"/>
      <w:bookmarkEnd w:id="47"/>
      <w:bookmarkEnd w:id="48"/>
      <w:bookmarkEnd w:id="49"/>
      <w:bookmarkEnd w:id="50"/>
      <w:r w:rsidRPr="00C032C2">
        <w:rPr>
          <w:szCs w:val="22"/>
        </w:rPr>
        <w:t xml:space="preserve"> </w:t>
      </w:r>
    </w:p>
    <w:p w14:paraId="2C3954FD" w14:textId="5F5DE872" w:rsidR="001D3E95" w:rsidRDefault="00DE21F6" w:rsidP="00C542E6">
      <w:pPr>
        <w:pStyle w:val="ParaNum"/>
        <w:tabs>
          <w:tab w:val="clear" w:pos="1080"/>
          <w:tab w:val="num" w:pos="1440"/>
        </w:tabs>
        <w:rPr>
          <w:szCs w:val="22"/>
        </w:rPr>
      </w:pPr>
      <w:r w:rsidRPr="00C032C2">
        <w:rPr>
          <w:szCs w:val="22"/>
        </w:rPr>
        <w:t>We first address whether Mr. Havens or any of the five related entities of which he is President have standing to challenge the SCRRA Applications.  The Havens Entities provide no explanation in their pleadings regarding why Mr. Havens himself would have standing to challenge the SCRRA Applications, nor are we aware of any basis to afford him standing.</w:t>
      </w:r>
    </w:p>
    <w:p w14:paraId="14C44498" w14:textId="03A208A0" w:rsidR="00FD2190" w:rsidRPr="001D3E95" w:rsidRDefault="00DE21F6" w:rsidP="001D3E95">
      <w:pPr>
        <w:pStyle w:val="ParaNum"/>
        <w:tabs>
          <w:tab w:val="clear" w:pos="1080"/>
          <w:tab w:val="num" w:pos="1440"/>
        </w:tabs>
        <w:rPr>
          <w:szCs w:val="22"/>
        </w:rPr>
      </w:pPr>
      <w:r w:rsidRPr="00C032C2">
        <w:t xml:space="preserve">THL, </w:t>
      </w:r>
      <w:r w:rsidR="00906440" w:rsidRPr="00C032C2">
        <w:t xml:space="preserve">which </w:t>
      </w:r>
      <w:r w:rsidRPr="00C032C2">
        <w:t>holds spectrum licenses in the 900 MHz band</w:t>
      </w:r>
      <w:r w:rsidR="00237C9D">
        <w:t xml:space="preserve"> and not AMTS</w:t>
      </w:r>
      <w:r w:rsidRPr="00C032C2">
        <w:t xml:space="preserve">, posits it has standing to contest the SCRRA Applications because it “may offer competitive services to those that MCLM can provide with the License [Station </w:t>
      </w:r>
      <w:r w:rsidRPr="001D3E95">
        <w:rPr>
          <w:spacing w:val="-2"/>
        </w:rPr>
        <w:t>WQGF318]</w:t>
      </w:r>
      <w:r w:rsidRPr="00C032C2">
        <w:t>.”</w:t>
      </w:r>
      <w:r w:rsidRPr="00C032C2">
        <w:rPr>
          <w:rStyle w:val="FootnoteReference"/>
          <w:spacing w:val="-2"/>
          <w:sz w:val="22"/>
          <w:szCs w:val="22"/>
        </w:rPr>
        <w:footnoteReference w:id="39"/>
      </w:r>
      <w:r w:rsidRPr="001D3E95">
        <w:rPr>
          <w:spacing w:val="-2"/>
        </w:rPr>
        <w:t xml:space="preserve">  T</w:t>
      </w:r>
      <w:r w:rsidRPr="00C032C2">
        <w:t>o establish standing, a petitioner must allege facts sufficient to demonstrate that grant of an application would cause it to suffer a direct injury.</w:t>
      </w:r>
      <w:r w:rsidRPr="00C032C2">
        <w:rPr>
          <w:rStyle w:val="FootnoteReference"/>
          <w:sz w:val="22"/>
          <w:szCs w:val="22"/>
        </w:rPr>
        <w:footnoteReference w:id="40"/>
      </w:r>
      <w:r w:rsidRPr="00C032C2">
        <w:t xml:space="preserve">  To obtain standing, a petitioner must show a causal link between the claimed injury and the challenged action, and demonstrate that the claimed injury would be prevented or redressed by the relief requested.</w:t>
      </w:r>
      <w:r w:rsidRPr="00C032C2">
        <w:rPr>
          <w:rStyle w:val="FootnoteReference"/>
          <w:sz w:val="22"/>
          <w:szCs w:val="22"/>
        </w:rPr>
        <w:footnoteReference w:id="41"/>
      </w:r>
      <w:r w:rsidRPr="00C032C2">
        <w:t xml:space="preserve">  For purposes of standing, an injury must be both </w:t>
      </w:r>
      <w:r w:rsidRPr="00AD375F">
        <w:t>“concrete and particularized” and “actual or imminent, not conjectural or hypothetical.”</w:t>
      </w:r>
      <w:r w:rsidRPr="00AD375F">
        <w:rPr>
          <w:rStyle w:val="FootnoteReference"/>
          <w:sz w:val="22"/>
          <w:szCs w:val="22"/>
        </w:rPr>
        <w:footnoteReference w:id="42"/>
      </w:r>
      <w:r w:rsidRPr="00C032C2">
        <w:t xml:space="preserve">  </w:t>
      </w:r>
      <w:r w:rsidR="008D07F3">
        <w:t xml:space="preserve">Because </w:t>
      </w:r>
      <w:r w:rsidR="00057C69">
        <w:t>THL</w:t>
      </w:r>
      <w:r w:rsidR="00302BAC">
        <w:t xml:space="preserve">’s </w:t>
      </w:r>
      <w:r w:rsidR="008D07F3">
        <w:t xml:space="preserve">alleged </w:t>
      </w:r>
      <w:r w:rsidR="00302BAC">
        <w:t xml:space="preserve">injury rests on </w:t>
      </w:r>
      <w:r w:rsidR="008D07F3">
        <w:t xml:space="preserve">the provision of </w:t>
      </w:r>
      <w:r w:rsidR="00302BAC">
        <w:t>a s</w:t>
      </w:r>
      <w:r w:rsidR="00474D8B">
        <w:t xml:space="preserve">ervice it has </w:t>
      </w:r>
      <w:r w:rsidR="008D07F3">
        <w:t>not com</w:t>
      </w:r>
      <w:r w:rsidR="00647B59">
        <w:t>m</w:t>
      </w:r>
      <w:r w:rsidR="008D07F3">
        <w:t>enced</w:t>
      </w:r>
      <w:r w:rsidR="00647B59">
        <w:t>,</w:t>
      </w:r>
      <w:r w:rsidR="00474D8B">
        <w:rPr>
          <w:szCs w:val="22"/>
        </w:rPr>
        <w:t xml:space="preserve"> </w:t>
      </w:r>
      <w:r w:rsidR="00647B59">
        <w:rPr>
          <w:szCs w:val="22"/>
        </w:rPr>
        <w:t xml:space="preserve">the </w:t>
      </w:r>
      <w:r w:rsidR="00474D8B">
        <w:rPr>
          <w:szCs w:val="22"/>
        </w:rPr>
        <w:t xml:space="preserve">prospect of harm here is </w:t>
      </w:r>
      <w:r w:rsidR="00647B59">
        <w:rPr>
          <w:szCs w:val="22"/>
        </w:rPr>
        <w:t>speculative.</w:t>
      </w:r>
      <w:r w:rsidR="00474D8B">
        <w:rPr>
          <w:szCs w:val="22"/>
        </w:rPr>
        <w:t xml:space="preserve">  </w:t>
      </w:r>
      <w:r w:rsidRPr="00D51547">
        <w:t xml:space="preserve">THL </w:t>
      </w:r>
      <w:r w:rsidRPr="00C032C2">
        <w:t xml:space="preserve">has not shown how it would be harmed, imminently or otherwise, by an assignment of the partitioned AMTS spectrum to </w:t>
      </w:r>
      <w:r w:rsidR="00237C9D" w:rsidRPr="00C032C2">
        <w:t>SCR</w:t>
      </w:r>
      <w:r w:rsidR="00237C9D">
        <w:t>R</w:t>
      </w:r>
      <w:r w:rsidR="00237C9D" w:rsidRPr="00C032C2">
        <w:t>A</w:t>
      </w:r>
      <w:r w:rsidR="009B3FF5">
        <w:t xml:space="preserve">, by SCRRA’s related waiver requests, or by </w:t>
      </w:r>
      <w:r w:rsidR="009B3FF5" w:rsidRPr="001D3E95">
        <w:rPr>
          <w:szCs w:val="22"/>
        </w:rPr>
        <w:t>grant of SCRRA’s request to modify the regulatory status of the AMTS spectrum for private PTC use.  Accordingly, T</w:t>
      </w:r>
      <w:r w:rsidR="00417593">
        <w:rPr>
          <w:szCs w:val="22"/>
        </w:rPr>
        <w:t>H</w:t>
      </w:r>
      <w:r w:rsidR="009B3FF5" w:rsidRPr="001D3E95">
        <w:rPr>
          <w:szCs w:val="22"/>
        </w:rPr>
        <w:t xml:space="preserve">L </w:t>
      </w:r>
      <w:r w:rsidRPr="00C032C2">
        <w:t>lacks standing to challenge the SCRRA Applications.</w:t>
      </w:r>
    </w:p>
    <w:p w14:paraId="7FD4ECD5" w14:textId="4095F3BC" w:rsidR="00DE21F6" w:rsidRPr="00307EE3" w:rsidRDefault="00FD2190" w:rsidP="00C542E6">
      <w:pPr>
        <w:pStyle w:val="ParaNum"/>
        <w:tabs>
          <w:tab w:val="clear" w:pos="1080"/>
          <w:tab w:val="num" w:pos="1440"/>
        </w:tabs>
        <w:rPr>
          <w:szCs w:val="22"/>
        </w:rPr>
      </w:pPr>
      <w:r w:rsidRPr="00307EE3">
        <w:rPr>
          <w:szCs w:val="22"/>
        </w:rPr>
        <w:t>ITL asserts standing to oppose the SCRRA Applications, arguing that it, not MCLM, should have won the Commission’s auction of the AMTS A-Block license, a portion of which MCLM seeks to partition and assign to SCRRA.</w:t>
      </w:r>
      <w:r w:rsidRPr="00307EE3">
        <w:rPr>
          <w:rStyle w:val="FootnoteReference"/>
          <w:szCs w:val="22"/>
        </w:rPr>
        <w:footnoteReference w:id="43"/>
      </w:r>
      <w:r w:rsidRPr="00307EE3">
        <w:rPr>
          <w:szCs w:val="22"/>
        </w:rPr>
        <w:t xml:space="preserve">  </w:t>
      </w:r>
      <w:r w:rsidR="0057283E">
        <w:rPr>
          <w:szCs w:val="22"/>
        </w:rPr>
        <w:t xml:space="preserve">ITL’s alleged </w:t>
      </w:r>
      <w:r w:rsidR="001E4AE3">
        <w:rPr>
          <w:szCs w:val="22"/>
        </w:rPr>
        <w:t xml:space="preserve">injury is </w:t>
      </w:r>
      <w:r w:rsidR="00AD375F">
        <w:rPr>
          <w:szCs w:val="22"/>
        </w:rPr>
        <w:t>neither</w:t>
      </w:r>
      <w:r w:rsidR="001E4AE3">
        <w:rPr>
          <w:szCs w:val="22"/>
        </w:rPr>
        <w:t xml:space="preserve"> actual </w:t>
      </w:r>
      <w:r w:rsidR="00AD375F">
        <w:rPr>
          <w:szCs w:val="22"/>
        </w:rPr>
        <w:t>n</w:t>
      </w:r>
      <w:r w:rsidR="001E4AE3">
        <w:rPr>
          <w:szCs w:val="22"/>
        </w:rPr>
        <w:t xml:space="preserve">or imminent.  </w:t>
      </w:r>
      <w:r w:rsidRPr="00307EE3">
        <w:rPr>
          <w:szCs w:val="22"/>
        </w:rPr>
        <w:t>Further, ITL’s claim rests on the premise that MCLM lacked the requisite character to be a licensee at the time of the auction.  In removing the SCRRA Applications from the MCLM hearing</w:t>
      </w:r>
      <w:r w:rsidR="00811787">
        <w:rPr>
          <w:szCs w:val="22"/>
        </w:rPr>
        <w:t>,</w:t>
      </w:r>
      <w:r w:rsidR="00DB4A47" w:rsidRPr="00307EE3">
        <w:rPr>
          <w:szCs w:val="22"/>
        </w:rPr>
        <w:t xml:space="preserve"> however</w:t>
      </w:r>
      <w:r w:rsidRPr="00307EE3">
        <w:rPr>
          <w:szCs w:val="22"/>
        </w:rPr>
        <w:t>, the Commission determined that possible questions regarding MCLM’s fitness to be a Commission licensee are not germane for the limited purpose of processing the SCRRA Applications to enable PTC.</w:t>
      </w:r>
      <w:r w:rsidRPr="00307EE3">
        <w:rPr>
          <w:rStyle w:val="FootnoteReference"/>
          <w:szCs w:val="22"/>
        </w:rPr>
        <w:footnoteReference w:id="44"/>
      </w:r>
      <w:r w:rsidRPr="00307EE3">
        <w:rPr>
          <w:szCs w:val="22"/>
        </w:rPr>
        <w:t xml:space="preserve">  </w:t>
      </w:r>
      <w:r w:rsidR="00DB4A47" w:rsidRPr="00307EE3">
        <w:rPr>
          <w:szCs w:val="22"/>
        </w:rPr>
        <w:t xml:space="preserve">We </w:t>
      </w:r>
      <w:r w:rsidR="009A5407" w:rsidRPr="00307EE3">
        <w:rPr>
          <w:szCs w:val="22"/>
        </w:rPr>
        <w:t xml:space="preserve">therefore </w:t>
      </w:r>
      <w:r w:rsidR="00DB4A47" w:rsidRPr="00307EE3">
        <w:rPr>
          <w:szCs w:val="22"/>
        </w:rPr>
        <w:t xml:space="preserve">find that ITL lacks </w:t>
      </w:r>
      <w:r w:rsidRPr="00307EE3">
        <w:rPr>
          <w:szCs w:val="22"/>
        </w:rPr>
        <w:t>standing</w:t>
      </w:r>
      <w:r w:rsidR="00D92244" w:rsidRPr="00307EE3">
        <w:rPr>
          <w:szCs w:val="22"/>
        </w:rPr>
        <w:t xml:space="preserve"> based on</w:t>
      </w:r>
      <w:r w:rsidR="00DB4A47" w:rsidRPr="00307EE3">
        <w:rPr>
          <w:szCs w:val="22"/>
        </w:rPr>
        <w:t xml:space="preserve"> its </w:t>
      </w:r>
      <w:r w:rsidR="009A5407" w:rsidRPr="00307EE3">
        <w:rPr>
          <w:szCs w:val="22"/>
        </w:rPr>
        <w:t>claim of alleged superior spectrum rights</w:t>
      </w:r>
      <w:r w:rsidR="00DB4A47" w:rsidRPr="00307EE3">
        <w:rPr>
          <w:szCs w:val="22"/>
        </w:rPr>
        <w:t xml:space="preserve"> because</w:t>
      </w:r>
      <w:r w:rsidR="003648BF">
        <w:rPr>
          <w:szCs w:val="22"/>
        </w:rPr>
        <w:t>,</w:t>
      </w:r>
      <w:r w:rsidR="00917585" w:rsidRPr="00307EE3">
        <w:rPr>
          <w:szCs w:val="22"/>
        </w:rPr>
        <w:t xml:space="preserve"> even if</w:t>
      </w:r>
      <w:r w:rsidR="00DB4A47" w:rsidRPr="00307EE3">
        <w:rPr>
          <w:szCs w:val="22"/>
        </w:rPr>
        <w:t xml:space="preserve"> </w:t>
      </w:r>
      <w:r w:rsidR="00307EE3" w:rsidRPr="00307EE3">
        <w:rPr>
          <w:szCs w:val="22"/>
        </w:rPr>
        <w:t xml:space="preserve">this </w:t>
      </w:r>
      <w:r w:rsidR="00917585" w:rsidRPr="00307EE3">
        <w:rPr>
          <w:szCs w:val="22"/>
        </w:rPr>
        <w:t xml:space="preserve">claim </w:t>
      </w:r>
      <w:r w:rsidR="00AD375F">
        <w:rPr>
          <w:szCs w:val="22"/>
        </w:rPr>
        <w:t>did not involve a</w:t>
      </w:r>
      <w:r w:rsidR="005C718B">
        <w:rPr>
          <w:szCs w:val="22"/>
        </w:rPr>
        <w:t xml:space="preserve"> purported </w:t>
      </w:r>
      <w:r w:rsidR="00AD375F">
        <w:rPr>
          <w:szCs w:val="22"/>
        </w:rPr>
        <w:t>injury</w:t>
      </w:r>
      <w:r w:rsidR="00033AFF">
        <w:rPr>
          <w:szCs w:val="22"/>
        </w:rPr>
        <w:t xml:space="preserve"> that is neither actual nor imminent</w:t>
      </w:r>
      <w:r w:rsidR="002332C3" w:rsidRPr="00307EE3">
        <w:rPr>
          <w:szCs w:val="22"/>
        </w:rPr>
        <w:t>,</w:t>
      </w:r>
      <w:r w:rsidR="00917585" w:rsidRPr="00307EE3">
        <w:rPr>
          <w:szCs w:val="22"/>
        </w:rPr>
        <w:t xml:space="preserve"> </w:t>
      </w:r>
      <w:r w:rsidR="00DB4A47" w:rsidRPr="00307EE3">
        <w:rPr>
          <w:szCs w:val="22"/>
        </w:rPr>
        <w:t>it is founded on allegations regarding MCLM’s character fitness</w:t>
      </w:r>
      <w:r w:rsidR="00205692" w:rsidRPr="00307EE3">
        <w:rPr>
          <w:szCs w:val="22"/>
        </w:rPr>
        <w:t>, which are outside the scope of this proceeding.</w:t>
      </w:r>
    </w:p>
    <w:p w14:paraId="49AE91A7" w14:textId="1766854B" w:rsidR="00DE21F6" w:rsidRPr="00FD2190" w:rsidRDefault="00DE21F6" w:rsidP="00FD2190">
      <w:pPr>
        <w:pStyle w:val="ParaNum"/>
        <w:tabs>
          <w:tab w:val="clear" w:pos="1080"/>
          <w:tab w:val="num" w:pos="1440"/>
        </w:tabs>
        <w:rPr>
          <w:szCs w:val="22"/>
        </w:rPr>
      </w:pPr>
      <w:r w:rsidRPr="00307EE3">
        <w:rPr>
          <w:szCs w:val="22"/>
        </w:rPr>
        <w:t>We find that SSF and VSL—which hold adjacent channel AMTS B Block licenses, Stations WQJW656 and WQCP816, in the same geographic</w:t>
      </w:r>
      <w:r w:rsidRPr="00FD2190">
        <w:rPr>
          <w:szCs w:val="22"/>
        </w:rPr>
        <w:t xml:space="preserve"> market (AMT006) as Station </w:t>
      </w:r>
      <w:r w:rsidRPr="00FD2190">
        <w:rPr>
          <w:spacing w:val="-2"/>
          <w:szCs w:val="22"/>
        </w:rPr>
        <w:t>WQGF318—have standing based on their assertion that grant of certain rule waivers requested by SCRRA could impact planned operations on their spectrum.</w:t>
      </w:r>
      <w:r w:rsidRPr="00C032C2">
        <w:rPr>
          <w:rStyle w:val="FootnoteReference"/>
          <w:spacing w:val="-2"/>
          <w:sz w:val="22"/>
          <w:szCs w:val="22"/>
        </w:rPr>
        <w:footnoteReference w:id="45"/>
      </w:r>
      <w:r w:rsidRPr="00FD2190">
        <w:rPr>
          <w:spacing w:val="-2"/>
          <w:szCs w:val="22"/>
        </w:rPr>
        <w:t xml:space="preserve">  We also find that ENL</w:t>
      </w:r>
      <w:r w:rsidRPr="00FD2190">
        <w:rPr>
          <w:szCs w:val="22"/>
        </w:rPr>
        <w:t xml:space="preserve">—which holds an AMTS </w:t>
      </w:r>
      <w:r w:rsidR="00AB0535" w:rsidRPr="00FD2190">
        <w:rPr>
          <w:szCs w:val="22"/>
        </w:rPr>
        <w:t xml:space="preserve">Mountain market </w:t>
      </w:r>
      <w:r w:rsidR="00AB0535">
        <w:rPr>
          <w:szCs w:val="22"/>
        </w:rPr>
        <w:t xml:space="preserve">area </w:t>
      </w:r>
      <w:r w:rsidR="00AB0535" w:rsidRPr="00E2492E">
        <w:rPr>
          <w:szCs w:val="22"/>
        </w:rPr>
        <w:t>(AMT01</w:t>
      </w:r>
      <w:r w:rsidR="00AB0535">
        <w:rPr>
          <w:szCs w:val="22"/>
        </w:rPr>
        <w:t>0</w:t>
      </w:r>
      <w:r w:rsidR="00AB0535" w:rsidRPr="00E2492E">
        <w:rPr>
          <w:szCs w:val="22"/>
        </w:rPr>
        <w:t>)</w:t>
      </w:r>
      <w:r w:rsidR="00AB0535">
        <w:rPr>
          <w:szCs w:val="22"/>
        </w:rPr>
        <w:t xml:space="preserve"> </w:t>
      </w:r>
      <w:r w:rsidRPr="00FD2190">
        <w:rPr>
          <w:szCs w:val="22"/>
        </w:rPr>
        <w:t xml:space="preserve">B Block license, Station </w:t>
      </w:r>
      <w:r w:rsidR="00163E5B" w:rsidRPr="00FD2190">
        <w:rPr>
          <w:szCs w:val="22"/>
        </w:rPr>
        <w:t>WQCP81</w:t>
      </w:r>
      <w:r w:rsidR="00163E5B">
        <w:rPr>
          <w:szCs w:val="22"/>
        </w:rPr>
        <w:t>4</w:t>
      </w:r>
      <w:r w:rsidRPr="00FD2190">
        <w:rPr>
          <w:szCs w:val="22"/>
        </w:rPr>
        <w:t xml:space="preserve">, </w:t>
      </w:r>
      <w:r w:rsidR="00AB0535">
        <w:rPr>
          <w:szCs w:val="22"/>
        </w:rPr>
        <w:t>the western border of which</w:t>
      </w:r>
      <w:r w:rsidR="00E2492E">
        <w:rPr>
          <w:szCs w:val="22"/>
        </w:rPr>
        <w:t xml:space="preserve"> </w:t>
      </w:r>
      <w:r w:rsidR="00AB0535">
        <w:rPr>
          <w:szCs w:val="22"/>
        </w:rPr>
        <w:t>abuts</w:t>
      </w:r>
      <w:r w:rsidR="00E2492E">
        <w:rPr>
          <w:szCs w:val="22"/>
        </w:rPr>
        <w:t xml:space="preserve"> </w:t>
      </w:r>
      <w:r w:rsidR="00AD4513">
        <w:rPr>
          <w:szCs w:val="22"/>
        </w:rPr>
        <w:t xml:space="preserve">the eastern border of </w:t>
      </w:r>
      <w:r w:rsidR="00E2492E">
        <w:rPr>
          <w:szCs w:val="22"/>
        </w:rPr>
        <w:t xml:space="preserve">two </w:t>
      </w:r>
      <w:r w:rsidR="00AB0535">
        <w:rPr>
          <w:szCs w:val="22"/>
        </w:rPr>
        <w:t xml:space="preserve">California </w:t>
      </w:r>
      <w:r w:rsidR="00E2492E">
        <w:rPr>
          <w:szCs w:val="22"/>
        </w:rPr>
        <w:t xml:space="preserve">counties (Riverside and San </w:t>
      </w:r>
      <w:r w:rsidR="00AD4513">
        <w:rPr>
          <w:szCs w:val="22"/>
        </w:rPr>
        <w:t>Bernardino</w:t>
      </w:r>
      <w:r w:rsidR="00E2492E">
        <w:rPr>
          <w:szCs w:val="22"/>
        </w:rPr>
        <w:t xml:space="preserve">) </w:t>
      </w:r>
      <w:r w:rsidR="00AB0535">
        <w:rPr>
          <w:szCs w:val="22"/>
        </w:rPr>
        <w:t xml:space="preserve">to be </w:t>
      </w:r>
      <w:r w:rsidR="00810D78">
        <w:rPr>
          <w:szCs w:val="22"/>
        </w:rPr>
        <w:t>partition</w:t>
      </w:r>
      <w:r w:rsidR="00AB0535">
        <w:rPr>
          <w:szCs w:val="22"/>
        </w:rPr>
        <w:t>ed</w:t>
      </w:r>
      <w:r w:rsidR="00810D78">
        <w:rPr>
          <w:szCs w:val="22"/>
        </w:rPr>
        <w:t xml:space="preserve"> </w:t>
      </w:r>
      <w:r w:rsidR="00AB0535">
        <w:rPr>
          <w:szCs w:val="22"/>
        </w:rPr>
        <w:t xml:space="preserve">to </w:t>
      </w:r>
      <w:r w:rsidR="00163E5B">
        <w:rPr>
          <w:szCs w:val="22"/>
        </w:rPr>
        <w:t>SCRRA</w:t>
      </w:r>
      <w:r w:rsidR="00AB0535">
        <w:rPr>
          <w:szCs w:val="22"/>
        </w:rPr>
        <w:t>—has standing</w:t>
      </w:r>
      <w:r w:rsidR="00AB0535">
        <w:rPr>
          <w:spacing w:val="-2"/>
          <w:szCs w:val="22"/>
        </w:rPr>
        <w:t xml:space="preserve"> </w:t>
      </w:r>
      <w:r w:rsidRPr="00FD2190">
        <w:rPr>
          <w:spacing w:val="-2"/>
          <w:szCs w:val="22"/>
        </w:rPr>
        <w:t xml:space="preserve">based on its assertion that grant of certain </w:t>
      </w:r>
      <w:r w:rsidR="00702785" w:rsidRPr="00FD2190">
        <w:rPr>
          <w:spacing w:val="-2"/>
          <w:szCs w:val="22"/>
        </w:rPr>
        <w:t xml:space="preserve">rule </w:t>
      </w:r>
      <w:r w:rsidRPr="00FD2190">
        <w:rPr>
          <w:spacing w:val="-2"/>
          <w:szCs w:val="22"/>
        </w:rPr>
        <w:t>waivers requested by SCRRA could impact planned operations on its spectrum.</w:t>
      </w:r>
      <w:r w:rsidR="00B81691">
        <w:rPr>
          <w:rStyle w:val="FootnoteReference"/>
          <w:spacing w:val="-2"/>
          <w:szCs w:val="22"/>
        </w:rPr>
        <w:footnoteReference w:id="46"/>
      </w:r>
    </w:p>
    <w:p w14:paraId="49168663" w14:textId="1197A07B" w:rsidR="00DE21F6" w:rsidRPr="00C032C2" w:rsidRDefault="00DE21F6" w:rsidP="00C542E6">
      <w:pPr>
        <w:pStyle w:val="ParaNum"/>
        <w:tabs>
          <w:tab w:val="clear" w:pos="1080"/>
          <w:tab w:val="num" w:pos="1440"/>
        </w:tabs>
        <w:rPr>
          <w:szCs w:val="22"/>
        </w:rPr>
      </w:pPr>
      <w:r w:rsidRPr="00C032C2">
        <w:rPr>
          <w:szCs w:val="22"/>
        </w:rPr>
        <w:t xml:space="preserve">In summary, we find that </w:t>
      </w:r>
      <w:r w:rsidR="005454CA" w:rsidRPr="00C032C2">
        <w:rPr>
          <w:szCs w:val="22"/>
        </w:rPr>
        <w:t>E</w:t>
      </w:r>
      <w:r w:rsidR="005454CA">
        <w:rPr>
          <w:szCs w:val="22"/>
        </w:rPr>
        <w:t>N</w:t>
      </w:r>
      <w:r w:rsidR="005454CA" w:rsidRPr="00C032C2">
        <w:rPr>
          <w:szCs w:val="22"/>
        </w:rPr>
        <w:t>L</w:t>
      </w:r>
      <w:r w:rsidRPr="00C032C2">
        <w:rPr>
          <w:szCs w:val="22"/>
        </w:rPr>
        <w:t xml:space="preserve">, SSF, and VSL have standing.  </w:t>
      </w:r>
      <w:r w:rsidR="00485D00">
        <w:rPr>
          <w:szCs w:val="22"/>
        </w:rPr>
        <w:t>Accordingly, a</w:t>
      </w:r>
      <w:r w:rsidRPr="00C032C2">
        <w:rPr>
          <w:szCs w:val="22"/>
        </w:rPr>
        <w:t xml:space="preserve">ny reference below to the “Havens Entities” does not confer standing on Mr. Havens, ITL, or THL. </w:t>
      </w:r>
    </w:p>
    <w:p w14:paraId="002E7230" w14:textId="74693BEA" w:rsidR="00DE21F6" w:rsidRPr="00C032C2" w:rsidRDefault="00DE21F6" w:rsidP="00DE21F6">
      <w:pPr>
        <w:pStyle w:val="Heading2"/>
        <w:rPr>
          <w:szCs w:val="22"/>
        </w:rPr>
      </w:pPr>
      <w:bookmarkStart w:id="51" w:name="_Toc450736713"/>
      <w:bookmarkStart w:id="52" w:name="_Toc451332486"/>
      <w:bookmarkStart w:id="53" w:name="_Toc451332590"/>
      <w:bookmarkStart w:id="54" w:name="_Toc451524267"/>
      <w:bookmarkStart w:id="55" w:name="_Toc455057498"/>
      <w:bookmarkStart w:id="56" w:name="_Toc455057593"/>
      <w:bookmarkStart w:id="57" w:name="_Toc457311041"/>
      <w:r w:rsidRPr="00C032C2">
        <w:rPr>
          <w:szCs w:val="22"/>
        </w:rPr>
        <w:t>Alleged Prejudice</w:t>
      </w:r>
      <w:bookmarkEnd w:id="51"/>
      <w:bookmarkEnd w:id="52"/>
      <w:bookmarkEnd w:id="53"/>
      <w:bookmarkEnd w:id="54"/>
      <w:bookmarkEnd w:id="55"/>
      <w:bookmarkEnd w:id="56"/>
      <w:bookmarkEnd w:id="57"/>
    </w:p>
    <w:p w14:paraId="10DF5656" w14:textId="17C10F99" w:rsidR="004B1446" w:rsidRDefault="00485D00" w:rsidP="00E146D7">
      <w:pPr>
        <w:pStyle w:val="ParaNum"/>
        <w:tabs>
          <w:tab w:val="clear" w:pos="1080"/>
          <w:tab w:val="num" w:pos="1440"/>
        </w:tabs>
        <w:rPr>
          <w:szCs w:val="22"/>
        </w:rPr>
      </w:pPr>
      <w:r>
        <w:rPr>
          <w:szCs w:val="22"/>
        </w:rPr>
        <w:t>We find that t</w:t>
      </w:r>
      <w:r w:rsidR="004B1446" w:rsidRPr="00995EAC">
        <w:rPr>
          <w:szCs w:val="22"/>
        </w:rPr>
        <w:t xml:space="preserve">here is no evidence that the Havens Entities suffered prejudice by not having been </w:t>
      </w:r>
      <w:r w:rsidR="00620FC0">
        <w:rPr>
          <w:szCs w:val="22"/>
        </w:rPr>
        <w:t xml:space="preserve">afforded </w:t>
      </w:r>
      <w:r w:rsidR="004B1446" w:rsidRPr="00995EAC">
        <w:rPr>
          <w:szCs w:val="22"/>
        </w:rPr>
        <w:t>an additional six to nine weeks to file their Petition to Deny.</w:t>
      </w:r>
      <w:r w:rsidR="004B1446" w:rsidRPr="00C032C2">
        <w:rPr>
          <w:rStyle w:val="FootnoteReference"/>
          <w:sz w:val="22"/>
          <w:szCs w:val="22"/>
        </w:rPr>
        <w:footnoteReference w:id="47"/>
      </w:r>
      <w:r w:rsidR="004B1446" w:rsidRPr="00995EAC">
        <w:rPr>
          <w:szCs w:val="22"/>
        </w:rPr>
        <w:t xml:space="preserve">  The petition exceeds 80 pages (excluding attachments and exhibits) and the Havens Entities later filed numerous pleadings in which they opposed the SCRRA Applications, resulting in the extensive record before us.</w:t>
      </w:r>
      <w:r w:rsidR="004B1446" w:rsidRPr="00C032C2">
        <w:rPr>
          <w:rStyle w:val="FootnoteReference"/>
          <w:sz w:val="22"/>
          <w:szCs w:val="22"/>
        </w:rPr>
        <w:footnoteReference w:id="48"/>
      </w:r>
    </w:p>
    <w:p w14:paraId="62FFCBE0" w14:textId="5BED0BC3" w:rsidR="008718B4" w:rsidRPr="00C032C2" w:rsidRDefault="00485D00" w:rsidP="00E146D7">
      <w:pPr>
        <w:pStyle w:val="ParaNum"/>
        <w:tabs>
          <w:tab w:val="clear" w:pos="1080"/>
          <w:tab w:val="num" w:pos="1440"/>
        </w:tabs>
        <w:rPr>
          <w:szCs w:val="22"/>
        </w:rPr>
      </w:pPr>
      <w:r>
        <w:rPr>
          <w:szCs w:val="22"/>
        </w:rPr>
        <w:t xml:space="preserve">There is also no </w:t>
      </w:r>
      <w:r w:rsidR="002C0311" w:rsidRPr="00C032C2">
        <w:rPr>
          <w:szCs w:val="22"/>
        </w:rPr>
        <w:t xml:space="preserve">support in the record </w:t>
      </w:r>
      <w:r w:rsidR="002C0311">
        <w:rPr>
          <w:szCs w:val="22"/>
        </w:rPr>
        <w:t xml:space="preserve">for </w:t>
      </w:r>
      <w:r w:rsidR="00DE21F6" w:rsidRPr="00C032C2">
        <w:rPr>
          <w:szCs w:val="22"/>
        </w:rPr>
        <w:t>the Havens Entities’ contention that Commission staff “acted with prejudice toward them with respect to their petitions and filings against MCLM and the License [</w:t>
      </w:r>
      <w:r w:rsidR="00DE21F6" w:rsidRPr="00C032C2">
        <w:rPr>
          <w:i/>
          <w:szCs w:val="22"/>
        </w:rPr>
        <w:t>i.e.</w:t>
      </w:r>
      <w:r w:rsidR="00DE21F6" w:rsidRPr="00C032C2">
        <w:rPr>
          <w:szCs w:val="22"/>
        </w:rPr>
        <w:t xml:space="preserve">, </w:t>
      </w:r>
      <w:r w:rsidR="00DE21F6" w:rsidRPr="00C032C2">
        <w:rPr>
          <w:spacing w:val="-2"/>
          <w:szCs w:val="22"/>
        </w:rPr>
        <w:t>Station WQGF318]</w:t>
      </w:r>
      <w:r w:rsidR="00DE21F6" w:rsidRPr="00C032C2">
        <w:rPr>
          <w:szCs w:val="22"/>
        </w:rPr>
        <w:t xml:space="preserve"> and [the SCRRA] Applications.”</w:t>
      </w:r>
      <w:r w:rsidR="00DE21F6" w:rsidRPr="00C032C2">
        <w:rPr>
          <w:rStyle w:val="FootnoteReference"/>
          <w:sz w:val="22"/>
          <w:szCs w:val="22"/>
        </w:rPr>
        <w:footnoteReference w:id="49"/>
      </w:r>
      <w:r w:rsidR="00DE21F6" w:rsidRPr="00C032C2">
        <w:rPr>
          <w:szCs w:val="22"/>
        </w:rPr>
        <w:t xml:space="preserve">  </w:t>
      </w:r>
      <w:r w:rsidR="002C0311">
        <w:rPr>
          <w:szCs w:val="22"/>
        </w:rPr>
        <w:t>T</w:t>
      </w:r>
      <w:r w:rsidR="00F464FE" w:rsidRPr="00C032C2">
        <w:rPr>
          <w:szCs w:val="22"/>
        </w:rPr>
        <w:t xml:space="preserve">he </w:t>
      </w:r>
      <w:r w:rsidR="00DE21F6" w:rsidRPr="00C032C2">
        <w:rPr>
          <w:szCs w:val="22"/>
        </w:rPr>
        <w:t>Havens Entities</w:t>
      </w:r>
      <w:r w:rsidR="002C0311">
        <w:rPr>
          <w:szCs w:val="22"/>
        </w:rPr>
        <w:t xml:space="preserve"> </w:t>
      </w:r>
      <w:r w:rsidR="00620FC0">
        <w:rPr>
          <w:szCs w:val="22"/>
        </w:rPr>
        <w:t xml:space="preserve">were </w:t>
      </w:r>
      <w:r w:rsidR="002C0311">
        <w:rPr>
          <w:szCs w:val="22"/>
        </w:rPr>
        <w:t>not</w:t>
      </w:r>
      <w:r w:rsidR="00DE21F6" w:rsidRPr="00C032C2">
        <w:rPr>
          <w:szCs w:val="22"/>
        </w:rPr>
        <w:t xml:space="preserve"> excluded from a</w:t>
      </w:r>
      <w:r w:rsidR="008718B4" w:rsidRPr="00C032C2">
        <w:rPr>
          <w:szCs w:val="22"/>
        </w:rPr>
        <w:t xml:space="preserve"> </w:t>
      </w:r>
      <w:r w:rsidR="00DE21F6" w:rsidRPr="00C032C2">
        <w:rPr>
          <w:szCs w:val="22"/>
        </w:rPr>
        <w:t xml:space="preserve">“secret private hearing” regarding </w:t>
      </w:r>
      <w:r w:rsidR="008718B4" w:rsidRPr="00C032C2">
        <w:rPr>
          <w:szCs w:val="22"/>
        </w:rPr>
        <w:t xml:space="preserve">MCLM </w:t>
      </w:r>
      <w:r w:rsidR="002C0311">
        <w:rPr>
          <w:szCs w:val="22"/>
        </w:rPr>
        <w:t xml:space="preserve">as they </w:t>
      </w:r>
      <w:r w:rsidR="008F2424">
        <w:rPr>
          <w:szCs w:val="22"/>
        </w:rPr>
        <w:t>allege</w:t>
      </w:r>
      <w:r w:rsidR="00DE21F6" w:rsidRPr="00C032C2">
        <w:rPr>
          <w:szCs w:val="22"/>
        </w:rPr>
        <w:t>.</w:t>
      </w:r>
      <w:r w:rsidR="00DE21F6" w:rsidRPr="00C032C2">
        <w:rPr>
          <w:rStyle w:val="FootnoteReference"/>
          <w:sz w:val="22"/>
          <w:szCs w:val="22"/>
        </w:rPr>
        <w:footnoteReference w:id="50"/>
      </w:r>
      <w:r w:rsidR="00DE21F6" w:rsidRPr="00C032C2">
        <w:rPr>
          <w:szCs w:val="22"/>
        </w:rPr>
        <w:t xml:space="preserve">  </w:t>
      </w:r>
      <w:r w:rsidR="00FD5AE8">
        <w:rPr>
          <w:szCs w:val="22"/>
        </w:rPr>
        <w:t>Rather</w:t>
      </w:r>
      <w:r w:rsidR="00F464FE" w:rsidRPr="00C032C2">
        <w:rPr>
          <w:szCs w:val="22"/>
        </w:rPr>
        <w:t>,</w:t>
      </w:r>
      <w:r w:rsidR="008718B4" w:rsidRPr="00C032C2">
        <w:rPr>
          <w:szCs w:val="22"/>
        </w:rPr>
        <w:t xml:space="preserve"> </w:t>
      </w:r>
      <w:r w:rsidR="00DE21F6" w:rsidRPr="00C032C2">
        <w:rPr>
          <w:szCs w:val="22"/>
        </w:rPr>
        <w:t>Commission staff investigated possible rule violations by MCLM</w:t>
      </w:r>
      <w:r w:rsidR="00F464FE" w:rsidRPr="00C032C2">
        <w:rPr>
          <w:szCs w:val="22"/>
        </w:rPr>
        <w:t>.</w:t>
      </w:r>
      <w:r w:rsidR="00DE21F6" w:rsidRPr="00C032C2">
        <w:rPr>
          <w:rStyle w:val="FootnoteReference"/>
          <w:sz w:val="22"/>
          <w:szCs w:val="22"/>
        </w:rPr>
        <w:footnoteReference w:id="51"/>
      </w:r>
      <w:r w:rsidR="00DE21F6" w:rsidRPr="00C032C2">
        <w:rPr>
          <w:szCs w:val="22"/>
        </w:rPr>
        <w:t xml:space="preserve"> </w:t>
      </w:r>
      <w:r w:rsidR="00F464FE" w:rsidRPr="00C032C2">
        <w:rPr>
          <w:szCs w:val="22"/>
        </w:rPr>
        <w:t xml:space="preserve"> </w:t>
      </w:r>
      <w:r w:rsidR="00FD5AE8">
        <w:rPr>
          <w:szCs w:val="22"/>
        </w:rPr>
        <w:t xml:space="preserve">That </w:t>
      </w:r>
      <w:r w:rsidR="00F464FE" w:rsidRPr="00C032C2">
        <w:rPr>
          <w:szCs w:val="22"/>
        </w:rPr>
        <w:t xml:space="preserve">investigation </w:t>
      </w:r>
      <w:r w:rsidR="00BD382B" w:rsidRPr="00C032C2">
        <w:rPr>
          <w:szCs w:val="22"/>
        </w:rPr>
        <w:t xml:space="preserve">led to </w:t>
      </w:r>
      <w:r w:rsidR="00DE21F6" w:rsidRPr="00C032C2">
        <w:rPr>
          <w:szCs w:val="22"/>
        </w:rPr>
        <w:t xml:space="preserve">the </w:t>
      </w:r>
      <w:r w:rsidR="00FD5AE8">
        <w:rPr>
          <w:szCs w:val="22"/>
        </w:rPr>
        <w:t xml:space="preserve">Commission’s </w:t>
      </w:r>
      <w:r w:rsidR="00DE21F6" w:rsidRPr="00C032C2">
        <w:rPr>
          <w:szCs w:val="22"/>
        </w:rPr>
        <w:t xml:space="preserve">commencement of </w:t>
      </w:r>
      <w:r w:rsidR="00FD5AE8">
        <w:rPr>
          <w:szCs w:val="22"/>
        </w:rPr>
        <w:t xml:space="preserve">the </w:t>
      </w:r>
      <w:r w:rsidR="00DE21F6" w:rsidRPr="00C032C2">
        <w:rPr>
          <w:szCs w:val="22"/>
        </w:rPr>
        <w:t>formal hearing regarding MCLM’s qualifications</w:t>
      </w:r>
      <w:r w:rsidR="004B1446">
        <w:rPr>
          <w:szCs w:val="22"/>
        </w:rPr>
        <w:t>,</w:t>
      </w:r>
      <w:r w:rsidR="00DE21F6" w:rsidRPr="00C032C2">
        <w:rPr>
          <w:rStyle w:val="FootnoteReference"/>
          <w:sz w:val="22"/>
          <w:szCs w:val="22"/>
        </w:rPr>
        <w:footnoteReference w:id="52"/>
      </w:r>
      <w:r w:rsidR="00B45A3A">
        <w:rPr>
          <w:szCs w:val="22"/>
        </w:rPr>
        <w:t xml:space="preserve"> </w:t>
      </w:r>
      <w:r w:rsidR="004B1446">
        <w:rPr>
          <w:szCs w:val="22"/>
        </w:rPr>
        <w:t xml:space="preserve">and </w:t>
      </w:r>
      <w:r w:rsidR="00B45A3A">
        <w:rPr>
          <w:szCs w:val="22"/>
        </w:rPr>
        <w:t>t</w:t>
      </w:r>
      <w:r w:rsidR="00DE21F6" w:rsidRPr="00C032C2">
        <w:rPr>
          <w:szCs w:val="22"/>
        </w:rPr>
        <w:t xml:space="preserve">he Commission granted Mr. Havens and </w:t>
      </w:r>
      <w:r w:rsidR="004B1446">
        <w:rPr>
          <w:szCs w:val="22"/>
        </w:rPr>
        <w:t xml:space="preserve">several </w:t>
      </w:r>
      <w:r w:rsidR="00DE21F6" w:rsidRPr="00C032C2">
        <w:rPr>
          <w:szCs w:val="22"/>
        </w:rPr>
        <w:t>related entities party status</w:t>
      </w:r>
      <w:r w:rsidR="00BD382B" w:rsidRPr="00C032C2">
        <w:rPr>
          <w:szCs w:val="22"/>
        </w:rPr>
        <w:t>.</w:t>
      </w:r>
      <w:r w:rsidR="00DE21F6" w:rsidRPr="00C032C2">
        <w:rPr>
          <w:rStyle w:val="FootnoteReference"/>
          <w:sz w:val="22"/>
          <w:szCs w:val="22"/>
        </w:rPr>
        <w:footnoteReference w:id="53"/>
      </w:r>
    </w:p>
    <w:p w14:paraId="0A3D4626" w14:textId="771E8809" w:rsidR="00DE21F6" w:rsidRPr="004B1446" w:rsidRDefault="008718B4" w:rsidP="00153467">
      <w:pPr>
        <w:pStyle w:val="ParaNum"/>
        <w:tabs>
          <w:tab w:val="clear" w:pos="1080"/>
          <w:tab w:val="num" w:pos="1440"/>
        </w:tabs>
        <w:rPr>
          <w:szCs w:val="22"/>
        </w:rPr>
      </w:pPr>
      <w:r w:rsidRPr="0028183B">
        <w:rPr>
          <w:szCs w:val="22"/>
        </w:rPr>
        <w:t>The Havens Entities also claim they “have been warned (with threats of adverse action) by both FCC staff and certain professional advisors who know the FCC from the inside, to not challenge the FCC’s undefined</w:t>
      </w:r>
      <w:r w:rsidR="00485D00" w:rsidRPr="0028183B">
        <w:rPr>
          <w:szCs w:val="22"/>
        </w:rPr>
        <w:t>,</w:t>
      </w:r>
      <w:r w:rsidRPr="0028183B">
        <w:rPr>
          <w:szCs w:val="22"/>
        </w:rPr>
        <w:t xml:space="preserve"> almost limitless discretion in the Communications Act . . . .”</w:t>
      </w:r>
      <w:r w:rsidRPr="0028183B">
        <w:rPr>
          <w:rStyle w:val="FootnoteReference"/>
          <w:sz w:val="22"/>
          <w:szCs w:val="22"/>
        </w:rPr>
        <w:footnoteReference w:id="54"/>
      </w:r>
      <w:r w:rsidRPr="0028183B">
        <w:rPr>
          <w:szCs w:val="22"/>
        </w:rPr>
        <w:t xml:space="preserve">  The Havens</w:t>
      </w:r>
      <w:r w:rsidRPr="004B1446">
        <w:rPr>
          <w:szCs w:val="22"/>
        </w:rPr>
        <w:t xml:space="preserve"> Entities identify no FCC staff member who </w:t>
      </w:r>
      <w:r w:rsidR="004B1446" w:rsidRPr="004B1446">
        <w:rPr>
          <w:szCs w:val="22"/>
        </w:rPr>
        <w:t xml:space="preserve">has </w:t>
      </w:r>
      <w:r w:rsidRPr="004B1446">
        <w:rPr>
          <w:szCs w:val="22"/>
        </w:rPr>
        <w:t>threatened them</w:t>
      </w:r>
      <w:r w:rsidR="00F02016" w:rsidRPr="004B1446">
        <w:rPr>
          <w:szCs w:val="22"/>
        </w:rPr>
        <w:t xml:space="preserve">, </w:t>
      </w:r>
      <w:r w:rsidRPr="004B1446">
        <w:rPr>
          <w:szCs w:val="22"/>
        </w:rPr>
        <w:t xml:space="preserve">and cite no </w:t>
      </w:r>
      <w:r w:rsidR="00F02016" w:rsidRPr="004B1446">
        <w:rPr>
          <w:szCs w:val="22"/>
        </w:rPr>
        <w:t xml:space="preserve">facts to support </w:t>
      </w:r>
      <w:r w:rsidRPr="004B1446">
        <w:rPr>
          <w:szCs w:val="22"/>
        </w:rPr>
        <w:t>their conclusory accusations</w:t>
      </w:r>
      <w:r w:rsidR="00F02016" w:rsidRPr="00803421">
        <w:rPr>
          <w:szCs w:val="22"/>
        </w:rPr>
        <w:t xml:space="preserve">.  </w:t>
      </w:r>
      <w:r w:rsidR="004B1446" w:rsidRPr="00803421">
        <w:rPr>
          <w:szCs w:val="22"/>
        </w:rPr>
        <w:t>T</w:t>
      </w:r>
      <w:r w:rsidR="00995EAC" w:rsidRPr="00803421">
        <w:t xml:space="preserve">o the extent that the Havens Entities believe they suffered prejudice regarding the Commission’s processing </w:t>
      </w:r>
      <w:r w:rsidR="004B1446" w:rsidRPr="00803421">
        <w:t xml:space="preserve">of </w:t>
      </w:r>
      <w:r w:rsidR="00995EAC" w:rsidRPr="00803421">
        <w:t xml:space="preserve">certain Freedom of Information Act </w:t>
      </w:r>
      <w:r w:rsidR="005454CA">
        <w:t xml:space="preserve">(FOIA) </w:t>
      </w:r>
      <w:r w:rsidR="00995EAC" w:rsidRPr="00803421">
        <w:t>requests,</w:t>
      </w:r>
      <w:r w:rsidR="00995EAC" w:rsidRPr="00803421">
        <w:rPr>
          <w:rStyle w:val="FootnoteReference"/>
        </w:rPr>
        <w:footnoteReference w:id="55"/>
      </w:r>
      <w:r w:rsidR="00995EAC" w:rsidRPr="00803421">
        <w:t xml:space="preserve"> </w:t>
      </w:r>
      <w:r w:rsidR="00803421" w:rsidRPr="00803421">
        <w:t xml:space="preserve">our rules provide </w:t>
      </w:r>
      <w:r w:rsidR="00317A31">
        <w:t xml:space="preserve">that </w:t>
      </w:r>
      <w:r w:rsidR="0091082B" w:rsidRPr="00803421">
        <w:t xml:space="preserve">they could have sought review of any determinations </w:t>
      </w:r>
      <w:r w:rsidR="00317A31">
        <w:t xml:space="preserve">with which </w:t>
      </w:r>
      <w:r w:rsidR="0091082B" w:rsidRPr="00803421">
        <w:t>they disagreed</w:t>
      </w:r>
      <w:r w:rsidR="00995EAC" w:rsidRPr="00803421">
        <w:t>.</w:t>
      </w:r>
      <w:r w:rsidR="00995EAC" w:rsidRPr="00803421">
        <w:rPr>
          <w:rStyle w:val="FootnoteReference"/>
        </w:rPr>
        <w:footnoteReference w:id="56"/>
      </w:r>
      <w:r w:rsidR="00316FD2" w:rsidRPr="00803421">
        <w:t xml:space="preserve">  Further</w:t>
      </w:r>
      <w:r w:rsidR="00543075">
        <w:t>,</w:t>
      </w:r>
      <w:r w:rsidR="00316FD2" w:rsidRPr="004B1446">
        <w:t xml:space="preserve"> to the extent the Havens Entities believe they have been aggrieved by the FRA’s handling of a FOIA request,</w:t>
      </w:r>
      <w:r w:rsidR="00316FD2" w:rsidRPr="004B1446">
        <w:rPr>
          <w:rStyle w:val="FootnoteReference"/>
        </w:rPr>
        <w:footnoteReference w:id="57"/>
      </w:r>
      <w:r w:rsidR="00316FD2" w:rsidRPr="004B1446">
        <w:t xml:space="preserve"> they </w:t>
      </w:r>
      <w:r w:rsidR="00DB6A38">
        <w:t xml:space="preserve">may </w:t>
      </w:r>
      <w:r w:rsidR="004D0A3D" w:rsidRPr="004B1446">
        <w:t>address those concerns with the FRA.</w:t>
      </w:r>
      <w:r w:rsidR="00DE21F6" w:rsidRPr="004B1446">
        <w:rPr>
          <w:szCs w:val="22"/>
        </w:rPr>
        <w:t xml:space="preserve">   </w:t>
      </w:r>
    </w:p>
    <w:p w14:paraId="6BB8C976" w14:textId="77777777" w:rsidR="00DE21F6" w:rsidRPr="00C032C2" w:rsidRDefault="00DE21F6" w:rsidP="00DE21F6">
      <w:pPr>
        <w:pStyle w:val="Heading2"/>
        <w:rPr>
          <w:szCs w:val="22"/>
        </w:rPr>
      </w:pPr>
      <w:bookmarkStart w:id="58" w:name="_Toc450736714"/>
      <w:bookmarkStart w:id="59" w:name="_Toc451332487"/>
      <w:bookmarkStart w:id="60" w:name="_Toc451332591"/>
      <w:bookmarkStart w:id="61" w:name="_Toc451524268"/>
      <w:bookmarkStart w:id="62" w:name="_Toc455057499"/>
      <w:bookmarkStart w:id="63" w:name="_Toc455057594"/>
      <w:bookmarkStart w:id="64" w:name="_Toc457311042"/>
      <w:r w:rsidRPr="00C032C2">
        <w:rPr>
          <w:szCs w:val="22"/>
        </w:rPr>
        <w:t>MCLM’s Character Qualifications</w:t>
      </w:r>
      <w:bookmarkEnd w:id="58"/>
      <w:bookmarkEnd w:id="59"/>
      <w:bookmarkEnd w:id="60"/>
      <w:bookmarkEnd w:id="61"/>
      <w:bookmarkEnd w:id="62"/>
      <w:bookmarkEnd w:id="63"/>
      <w:bookmarkEnd w:id="64"/>
      <w:r w:rsidRPr="00C032C2">
        <w:rPr>
          <w:szCs w:val="22"/>
        </w:rPr>
        <w:t xml:space="preserve"> </w:t>
      </w:r>
    </w:p>
    <w:p w14:paraId="2B15B3C5" w14:textId="213BD0DF" w:rsidR="00DE21F6" w:rsidRPr="008B262C" w:rsidRDefault="00DE21F6" w:rsidP="0083329B">
      <w:pPr>
        <w:pStyle w:val="ParaNum"/>
        <w:tabs>
          <w:tab w:val="clear" w:pos="1080"/>
          <w:tab w:val="num" w:pos="1440"/>
        </w:tabs>
      </w:pPr>
      <w:r w:rsidRPr="008B262C">
        <w:t xml:space="preserve">The Havens Entities repetitively </w:t>
      </w:r>
      <w:r w:rsidR="00F0287E" w:rsidRPr="008B262C">
        <w:t xml:space="preserve">argue </w:t>
      </w:r>
      <w:r w:rsidRPr="008B262C">
        <w:rPr>
          <w:spacing w:val="-2"/>
        </w:rPr>
        <w:t xml:space="preserve">that </w:t>
      </w:r>
      <w:r w:rsidRPr="00F43185">
        <w:t>MCLM</w:t>
      </w:r>
      <w:r w:rsidRPr="008B262C">
        <w:rPr>
          <w:spacing w:val="-2"/>
        </w:rPr>
        <w:t xml:space="preserve"> </w:t>
      </w:r>
      <w:r w:rsidRPr="008B262C">
        <w:t xml:space="preserve">lacks the requisite character qualifications to hold, and thus assign, spectrum from </w:t>
      </w:r>
      <w:r w:rsidRPr="008B262C">
        <w:rPr>
          <w:spacing w:val="-2"/>
        </w:rPr>
        <w:t xml:space="preserve">Station WQGF318 to </w:t>
      </w:r>
      <w:r w:rsidR="0019615F" w:rsidRPr="008B262C">
        <w:rPr>
          <w:spacing w:val="-2"/>
        </w:rPr>
        <w:t>SC</w:t>
      </w:r>
      <w:r w:rsidR="0019615F">
        <w:rPr>
          <w:spacing w:val="-2"/>
        </w:rPr>
        <w:t>R</w:t>
      </w:r>
      <w:r w:rsidR="0019615F" w:rsidRPr="008B262C">
        <w:rPr>
          <w:spacing w:val="-2"/>
        </w:rPr>
        <w:t>RA</w:t>
      </w:r>
      <w:r w:rsidR="00DB6A38">
        <w:rPr>
          <w:spacing w:val="-2"/>
        </w:rPr>
        <w:t xml:space="preserve">.  They </w:t>
      </w:r>
      <w:r w:rsidRPr="008B262C">
        <w:t xml:space="preserve">claim </w:t>
      </w:r>
      <w:r w:rsidR="00DB6A38">
        <w:t xml:space="preserve">MCLM </w:t>
      </w:r>
      <w:r w:rsidRPr="008B262C">
        <w:t>lack</w:t>
      </w:r>
      <w:r w:rsidR="00DB6A38">
        <w:t>s</w:t>
      </w:r>
      <w:r w:rsidRPr="008B262C">
        <w:t xml:space="preserve"> </w:t>
      </w:r>
      <w:r w:rsidR="00DB6A38">
        <w:t>“</w:t>
      </w:r>
      <w:r w:rsidRPr="008B262C">
        <w:t>character and fitness, for repeated willful misrepresentations and rule violations including, but not limited to, its actual control and ownership, its actual officers and directors, its designated entity size . . . , undertaking unlawful transfers of control (including of the License), unlawful operation of AMTS licenses as PMRS . . . , and for maintaining stations that automatically terminated without specific Commission action for failure to meet the requirements of Section 80.475(a).”</w:t>
      </w:r>
      <w:r w:rsidRPr="00C032C2">
        <w:rPr>
          <w:rStyle w:val="FootnoteReference"/>
          <w:spacing w:val="-2"/>
          <w:sz w:val="22"/>
          <w:szCs w:val="22"/>
        </w:rPr>
        <w:footnoteReference w:id="58"/>
      </w:r>
      <w:r w:rsidR="008B262C" w:rsidRPr="008B262C">
        <w:t xml:space="preserve">  </w:t>
      </w:r>
      <w:r w:rsidRPr="008B262C">
        <w:rPr>
          <w:spacing w:val="-2"/>
        </w:rPr>
        <w:t>In removing the SCRRA Applications from the MCLM hearing proceeding,</w:t>
      </w:r>
      <w:r w:rsidRPr="00C032C2">
        <w:rPr>
          <w:spacing w:val="-2"/>
          <w:vertAlign w:val="superscript"/>
        </w:rPr>
        <w:footnoteReference w:id="59"/>
      </w:r>
      <w:r w:rsidRPr="008B262C">
        <w:rPr>
          <w:spacing w:val="-2"/>
        </w:rPr>
        <w:t xml:space="preserve"> the Commission found that despite possible questions regarding MCLM’s character </w:t>
      </w:r>
      <w:r w:rsidRPr="008B262C">
        <w:t>qualifications</w:t>
      </w:r>
      <w:r w:rsidRPr="008B262C">
        <w:rPr>
          <w:spacing w:val="-2"/>
        </w:rPr>
        <w:t>, it would permit</w:t>
      </w:r>
      <w:r w:rsidR="00DB6A38">
        <w:rPr>
          <w:spacing w:val="-2"/>
        </w:rPr>
        <w:t xml:space="preserve"> the Bureau’s </w:t>
      </w:r>
      <w:r w:rsidR="00651F0A">
        <w:rPr>
          <w:spacing w:val="-2"/>
        </w:rPr>
        <w:t xml:space="preserve">consideration of </w:t>
      </w:r>
      <w:r w:rsidRPr="008B262C">
        <w:rPr>
          <w:spacing w:val="-2"/>
        </w:rPr>
        <w:t>MCLM</w:t>
      </w:r>
      <w:r w:rsidR="00651F0A">
        <w:rPr>
          <w:spacing w:val="-2"/>
        </w:rPr>
        <w:t xml:space="preserve">’s application </w:t>
      </w:r>
      <w:r w:rsidRPr="008B262C">
        <w:rPr>
          <w:spacing w:val="-2"/>
        </w:rPr>
        <w:t xml:space="preserve">to assign the partitioned spectrum to </w:t>
      </w:r>
      <w:r w:rsidR="00945CEA" w:rsidRPr="008B262C">
        <w:rPr>
          <w:spacing w:val="-2"/>
        </w:rPr>
        <w:t>SC</w:t>
      </w:r>
      <w:r w:rsidR="00945CEA">
        <w:rPr>
          <w:spacing w:val="-2"/>
        </w:rPr>
        <w:t>R</w:t>
      </w:r>
      <w:r w:rsidR="00945CEA" w:rsidRPr="008B262C">
        <w:rPr>
          <w:spacing w:val="-2"/>
        </w:rPr>
        <w:t>RA</w:t>
      </w:r>
      <w:r w:rsidRPr="008B262C">
        <w:rPr>
          <w:spacing w:val="-2"/>
        </w:rPr>
        <w:t>, citing the</w:t>
      </w:r>
      <w:r w:rsidRPr="008B262C">
        <w:t xml:space="preserve"> </w:t>
      </w:r>
      <w:r w:rsidRPr="008B262C">
        <w:rPr>
          <w:spacing w:val="-2"/>
        </w:rPr>
        <w:t>compelling “public interest in permitting the assignment of a spectrum license to SCRRA to implement a life-saving, positive train control system as required by Congress.”</w:t>
      </w:r>
      <w:r w:rsidRPr="00C032C2">
        <w:rPr>
          <w:spacing w:val="-2"/>
          <w:vertAlign w:val="superscript"/>
        </w:rPr>
        <w:footnoteReference w:id="60"/>
      </w:r>
      <w:r w:rsidRPr="008B262C">
        <w:rPr>
          <w:spacing w:val="-2"/>
        </w:rPr>
        <w:t xml:space="preserve">  </w:t>
      </w:r>
      <w:r w:rsidR="002D4565">
        <w:t>Because we are bound by the Commission’s determination</w:t>
      </w:r>
      <w:r w:rsidR="00F43185">
        <w:t>s</w:t>
      </w:r>
      <w:r w:rsidR="002D4565">
        <w:t xml:space="preserve"> in the </w:t>
      </w:r>
      <w:r w:rsidR="002D4565" w:rsidRPr="00C934A5">
        <w:rPr>
          <w:i/>
          <w:szCs w:val="22"/>
        </w:rPr>
        <w:t>MCLM/SCRRA Orde</w:t>
      </w:r>
      <w:r w:rsidR="002D4565" w:rsidRPr="002D4565">
        <w:rPr>
          <w:i/>
          <w:szCs w:val="22"/>
        </w:rPr>
        <w:t>r</w:t>
      </w:r>
      <w:r w:rsidR="002D4565">
        <w:t>,</w:t>
      </w:r>
      <w:r w:rsidR="00071412">
        <w:rPr>
          <w:rStyle w:val="FootnoteReference"/>
        </w:rPr>
        <w:footnoteReference w:id="61"/>
      </w:r>
      <w:r w:rsidR="002D4565">
        <w:t xml:space="preserve"> </w:t>
      </w:r>
      <w:r w:rsidRPr="008B262C">
        <w:t>w</w:t>
      </w:r>
      <w:r w:rsidRPr="008B262C">
        <w:rPr>
          <w:spacing w:val="-2"/>
        </w:rPr>
        <w:t xml:space="preserve">e </w:t>
      </w:r>
      <w:r w:rsidR="00651F0A">
        <w:rPr>
          <w:spacing w:val="-2"/>
        </w:rPr>
        <w:t>need</w:t>
      </w:r>
      <w:r w:rsidR="00651F0A" w:rsidRPr="008B262C">
        <w:rPr>
          <w:spacing w:val="-2"/>
        </w:rPr>
        <w:t xml:space="preserve"> </w:t>
      </w:r>
      <w:r w:rsidRPr="008B262C">
        <w:rPr>
          <w:spacing w:val="-2"/>
        </w:rPr>
        <w:t>not address the Havens Entities’ myriad arguments</w:t>
      </w:r>
      <w:r w:rsidR="00F43185">
        <w:rPr>
          <w:spacing w:val="-2"/>
        </w:rPr>
        <w:t xml:space="preserve"> </w:t>
      </w:r>
      <w:r w:rsidRPr="008B262C">
        <w:rPr>
          <w:spacing w:val="-2"/>
        </w:rPr>
        <w:t xml:space="preserve">regarding MCLM’s </w:t>
      </w:r>
      <w:r w:rsidRPr="008B262C">
        <w:t>character qualifications to hold and assign spectrum under Station WQGF318 to SCRRA</w:t>
      </w:r>
      <w:r w:rsidR="00F43185">
        <w:t>; arguments that amount to reconsideration of that order</w:t>
      </w:r>
      <w:r w:rsidRPr="008B262C">
        <w:t>.</w:t>
      </w:r>
      <w:r w:rsidR="00620FC0" w:rsidRPr="00C032C2">
        <w:rPr>
          <w:rStyle w:val="FootnoteReference"/>
          <w:sz w:val="22"/>
          <w:szCs w:val="22"/>
        </w:rPr>
        <w:footnoteReference w:id="62"/>
      </w:r>
      <w:r w:rsidRPr="008B262C">
        <w:t xml:space="preserve">  </w:t>
      </w:r>
    </w:p>
    <w:p w14:paraId="7A9E68CD" w14:textId="77777777" w:rsidR="00DE21F6" w:rsidRPr="00C032C2" w:rsidRDefault="00DE21F6" w:rsidP="00DE21F6">
      <w:pPr>
        <w:pStyle w:val="Heading2"/>
        <w:rPr>
          <w:szCs w:val="22"/>
        </w:rPr>
      </w:pPr>
      <w:bookmarkStart w:id="65" w:name="_Toc450736715"/>
      <w:bookmarkStart w:id="66" w:name="_Toc451332488"/>
      <w:bookmarkStart w:id="67" w:name="_Toc451332592"/>
      <w:bookmarkStart w:id="68" w:name="_Toc451524269"/>
      <w:bookmarkStart w:id="69" w:name="_Toc455057500"/>
      <w:bookmarkStart w:id="70" w:name="_Toc455057595"/>
      <w:bookmarkStart w:id="71" w:name="_Toc457311043"/>
      <w:r w:rsidRPr="00C032C2">
        <w:rPr>
          <w:szCs w:val="22"/>
        </w:rPr>
        <w:t>Incorporation of Other Pleadings</w:t>
      </w:r>
      <w:bookmarkEnd w:id="65"/>
      <w:bookmarkEnd w:id="66"/>
      <w:bookmarkEnd w:id="67"/>
      <w:bookmarkEnd w:id="68"/>
      <w:bookmarkEnd w:id="69"/>
      <w:bookmarkEnd w:id="70"/>
      <w:bookmarkEnd w:id="71"/>
      <w:r w:rsidRPr="00C032C2">
        <w:rPr>
          <w:szCs w:val="22"/>
        </w:rPr>
        <w:t xml:space="preserve"> </w:t>
      </w:r>
    </w:p>
    <w:p w14:paraId="2A277151" w14:textId="3D79D515" w:rsidR="00DE21F6" w:rsidRPr="00C032C2" w:rsidRDefault="00DE21F6" w:rsidP="00C542E6">
      <w:pPr>
        <w:pStyle w:val="ParaNum"/>
        <w:tabs>
          <w:tab w:val="clear" w:pos="1080"/>
          <w:tab w:val="num" w:pos="1440"/>
        </w:tabs>
        <w:rPr>
          <w:szCs w:val="22"/>
        </w:rPr>
      </w:pPr>
      <w:r w:rsidRPr="00C032C2">
        <w:rPr>
          <w:szCs w:val="22"/>
        </w:rPr>
        <w:t>The Havens Entities’ attempt to incorporate in their Petition to Deny “all the facts and arguments in their pleadings” in 24 other proceedings, which they denote alphanumerically as proceedings (a)-(h) and (1)-(16), and collectively refer to as “Related Proceedings.”</w:t>
      </w:r>
      <w:r w:rsidRPr="00C032C2">
        <w:rPr>
          <w:rStyle w:val="FootnoteReference"/>
          <w:sz w:val="22"/>
          <w:szCs w:val="22"/>
        </w:rPr>
        <w:footnoteReference w:id="63"/>
      </w:r>
      <w:r w:rsidRPr="00C032C2">
        <w:rPr>
          <w:szCs w:val="22"/>
        </w:rPr>
        <w:t xml:space="preserve">  We are not required to scour the labyrinth of the Havens Entities’ pleadings in 24 proceedings to discern what, if any, </w:t>
      </w:r>
      <w:r w:rsidR="00D46426">
        <w:rPr>
          <w:szCs w:val="22"/>
        </w:rPr>
        <w:t>“</w:t>
      </w:r>
      <w:r w:rsidRPr="00C032C2">
        <w:rPr>
          <w:szCs w:val="22"/>
        </w:rPr>
        <w:t xml:space="preserve">facts </w:t>
      </w:r>
      <w:r w:rsidR="00D46426">
        <w:rPr>
          <w:szCs w:val="22"/>
        </w:rPr>
        <w:t xml:space="preserve">and </w:t>
      </w:r>
      <w:r w:rsidRPr="00C032C2">
        <w:rPr>
          <w:szCs w:val="22"/>
        </w:rPr>
        <w:t>arguments</w:t>
      </w:r>
      <w:r w:rsidR="00D46426">
        <w:rPr>
          <w:szCs w:val="22"/>
        </w:rPr>
        <w:t>”</w:t>
      </w:r>
      <w:r w:rsidRPr="00C032C2">
        <w:rPr>
          <w:szCs w:val="22"/>
        </w:rPr>
        <w:t xml:space="preserve"> may be germane here and we decline the Havens Entities’ entreat</w:t>
      </w:r>
      <w:r w:rsidR="00D46426">
        <w:rPr>
          <w:szCs w:val="22"/>
        </w:rPr>
        <w:t>y</w:t>
      </w:r>
      <w:r w:rsidRPr="00C032C2">
        <w:rPr>
          <w:szCs w:val="22"/>
        </w:rPr>
        <w:t xml:space="preserve"> to do so.</w:t>
      </w:r>
      <w:r w:rsidRPr="00C032C2">
        <w:rPr>
          <w:rStyle w:val="FootnoteReference"/>
          <w:sz w:val="22"/>
          <w:szCs w:val="22"/>
        </w:rPr>
        <w:footnoteReference w:id="64"/>
      </w:r>
    </w:p>
    <w:p w14:paraId="4632F92E" w14:textId="3908EF43" w:rsidR="00DE21F6" w:rsidRDefault="00DE21F6" w:rsidP="00F0287E">
      <w:pPr>
        <w:pStyle w:val="ParaNum"/>
        <w:tabs>
          <w:tab w:val="clear" w:pos="1080"/>
          <w:tab w:val="num" w:pos="1440"/>
        </w:tabs>
        <w:rPr>
          <w:szCs w:val="22"/>
        </w:rPr>
      </w:pPr>
      <w:r w:rsidRPr="00C032C2">
        <w:rPr>
          <w:szCs w:val="22"/>
        </w:rPr>
        <w:t>The Havens Entities broadly argue that the “Related Proceedings” show that MCLM lacks the requisite character to be a Commission licensee.</w:t>
      </w:r>
      <w:r w:rsidRPr="00C032C2">
        <w:rPr>
          <w:rStyle w:val="FootnoteReference"/>
          <w:sz w:val="22"/>
          <w:szCs w:val="22"/>
        </w:rPr>
        <w:footnoteReference w:id="65"/>
      </w:r>
      <w:r w:rsidRPr="00C032C2">
        <w:rPr>
          <w:szCs w:val="22"/>
        </w:rPr>
        <w:t xml:space="preserve">  The Havens Entities also offer what they style as “New Facts 1 to New Facts 12,” which appear to be culled from the “Related Proceedings,” for the proposition that MCLM lacks fitness to be a Commission licensee and assign spectrum under Station WQGF318 to SCRRA.</w:t>
      </w:r>
      <w:r w:rsidRPr="00C032C2">
        <w:rPr>
          <w:szCs w:val="22"/>
          <w:vertAlign w:val="superscript"/>
        </w:rPr>
        <w:footnoteReference w:id="66"/>
      </w:r>
      <w:r w:rsidRPr="00C032C2">
        <w:rPr>
          <w:szCs w:val="22"/>
        </w:rPr>
        <w:t xml:space="preserve">  As explained above,</w:t>
      </w:r>
      <w:r w:rsidR="0054776D">
        <w:rPr>
          <w:szCs w:val="22"/>
        </w:rPr>
        <w:t xml:space="preserve"> by </w:t>
      </w:r>
      <w:r w:rsidR="0054776D" w:rsidRPr="008B262C">
        <w:rPr>
          <w:spacing w:val="-2"/>
          <w:szCs w:val="22"/>
        </w:rPr>
        <w:t>removing the SCRRA Applications from the MCLM hearing proceeding,</w:t>
      </w:r>
      <w:r w:rsidR="0054776D" w:rsidRPr="008B262C">
        <w:rPr>
          <w:spacing w:val="-2"/>
          <w:szCs w:val="22"/>
          <w:vertAlign w:val="superscript"/>
        </w:rPr>
        <w:t xml:space="preserve"> </w:t>
      </w:r>
      <w:r w:rsidRPr="00C032C2">
        <w:rPr>
          <w:szCs w:val="22"/>
        </w:rPr>
        <w:t>the Commission has determined that</w:t>
      </w:r>
      <w:r w:rsidR="00651F0A">
        <w:rPr>
          <w:szCs w:val="22"/>
        </w:rPr>
        <w:t>,</w:t>
      </w:r>
      <w:r w:rsidRPr="00C032C2">
        <w:rPr>
          <w:szCs w:val="22"/>
        </w:rPr>
        <w:t xml:space="preserve"> </w:t>
      </w:r>
      <w:r w:rsidR="0054776D">
        <w:rPr>
          <w:szCs w:val="22"/>
        </w:rPr>
        <w:t xml:space="preserve">despite </w:t>
      </w:r>
      <w:r w:rsidRPr="00C032C2">
        <w:rPr>
          <w:szCs w:val="22"/>
        </w:rPr>
        <w:t xml:space="preserve">arguments regarding MCLM’s </w:t>
      </w:r>
      <w:r w:rsidR="0054776D">
        <w:rPr>
          <w:szCs w:val="22"/>
        </w:rPr>
        <w:t>character</w:t>
      </w:r>
      <w:r w:rsidR="00651F0A">
        <w:rPr>
          <w:szCs w:val="22"/>
        </w:rPr>
        <w:t>,</w:t>
      </w:r>
      <w:r w:rsidR="0054776D">
        <w:rPr>
          <w:szCs w:val="22"/>
        </w:rPr>
        <w:t xml:space="preserve"> it would permit </w:t>
      </w:r>
      <w:r w:rsidR="00651F0A">
        <w:rPr>
          <w:szCs w:val="22"/>
        </w:rPr>
        <w:t xml:space="preserve">consideration of </w:t>
      </w:r>
      <w:r w:rsidR="0054776D">
        <w:rPr>
          <w:szCs w:val="22"/>
        </w:rPr>
        <w:t>a</w:t>
      </w:r>
      <w:r w:rsidR="00651F0A">
        <w:rPr>
          <w:szCs w:val="22"/>
        </w:rPr>
        <w:t>n application requesting a</w:t>
      </w:r>
      <w:r w:rsidR="0054776D">
        <w:rPr>
          <w:szCs w:val="22"/>
        </w:rPr>
        <w:t xml:space="preserve"> limited assignment of spectrum to SCRRA to deploy PTC.  As such, arguments regarding </w:t>
      </w:r>
      <w:r w:rsidR="0054776D" w:rsidRPr="00C032C2">
        <w:rPr>
          <w:szCs w:val="22"/>
        </w:rPr>
        <w:t>MCLM</w:t>
      </w:r>
      <w:r w:rsidR="0054776D">
        <w:rPr>
          <w:szCs w:val="22"/>
        </w:rPr>
        <w:t>’s</w:t>
      </w:r>
      <w:r w:rsidR="0054776D" w:rsidRPr="00C032C2">
        <w:rPr>
          <w:szCs w:val="22"/>
        </w:rPr>
        <w:t xml:space="preserve"> character </w:t>
      </w:r>
      <w:r w:rsidRPr="00C032C2">
        <w:rPr>
          <w:szCs w:val="22"/>
        </w:rPr>
        <w:t xml:space="preserve">are beyond the scope of </w:t>
      </w:r>
      <w:r w:rsidR="00D46426">
        <w:rPr>
          <w:szCs w:val="22"/>
        </w:rPr>
        <w:t>our review of the SCRRA Applications</w:t>
      </w:r>
      <w:r w:rsidRPr="00C032C2">
        <w:rPr>
          <w:szCs w:val="22"/>
        </w:rPr>
        <w:t>.</w:t>
      </w:r>
    </w:p>
    <w:p w14:paraId="2C8E41DD" w14:textId="77777777" w:rsidR="00DE21F6" w:rsidRPr="00C032C2" w:rsidRDefault="00DE21F6" w:rsidP="00DE21F6">
      <w:pPr>
        <w:pStyle w:val="Heading2"/>
        <w:rPr>
          <w:szCs w:val="22"/>
        </w:rPr>
      </w:pPr>
      <w:bookmarkStart w:id="72" w:name="_Toc450736716"/>
      <w:bookmarkStart w:id="73" w:name="_Toc451332489"/>
      <w:bookmarkStart w:id="74" w:name="_Toc451332593"/>
      <w:bookmarkStart w:id="75" w:name="_Toc451524270"/>
      <w:bookmarkStart w:id="76" w:name="_Toc455057501"/>
      <w:bookmarkStart w:id="77" w:name="_Toc455057596"/>
      <w:bookmarkStart w:id="78" w:name="_Toc457311044"/>
      <w:r w:rsidRPr="00C032C2">
        <w:rPr>
          <w:szCs w:val="22"/>
        </w:rPr>
        <w:t>Part 80 Rule Waiver Requests</w:t>
      </w:r>
      <w:bookmarkEnd w:id="72"/>
      <w:bookmarkEnd w:id="73"/>
      <w:bookmarkEnd w:id="74"/>
      <w:bookmarkEnd w:id="75"/>
      <w:bookmarkEnd w:id="76"/>
      <w:bookmarkEnd w:id="77"/>
      <w:bookmarkEnd w:id="78"/>
      <w:r w:rsidRPr="00C032C2">
        <w:rPr>
          <w:szCs w:val="22"/>
        </w:rPr>
        <w:t xml:space="preserve"> </w:t>
      </w:r>
    </w:p>
    <w:p w14:paraId="02E2FEC9" w14:textId="10A8DC06" w:rsidR="001B4CBD" w:rsidRDefault="00DE21F6" w:rsidP="00E146D7">
      <w:pPr>
        <w:pStyle w:val="ParaNum"/>
        <w:tabs>
          <w:tab w:val="clear" w:pos="1080"/>
          <w:tab w:val="num" w:pos="1440"/>
        </w:tabs>
        <w:rPr>
          <w:szCs w:val="22"/>
        </w:rPr>
      </w:pPr>
      <w:r w:rsidRPr="009B3BCC">
        <w:rPr>
          <w:szCs w:val="22"/>
        </w:rPr>
        <w:t>SCRRA request</w:t>
      </w:r>
      <w:r w:rsidR="005E70B3" w:rsidRPr="009B3BCC">
        <w:rPr>
          <w:szCs w:val="22"/>
        </w:rPr>
        <w:t>s</w:t>
      </w:r>
      <w:r w:rsidRPr="009B3BCC">
        <w:rPr>
          <w:szCs w:val="22"/>
        </w:rPr>
        <w:t xml:space="preserve"> waiver of </w:t>
      </w:r>
      <w:r w:rsidR="00F90732">
        <w:rPr>
          <w:szCs w:val="22"/>
        </w:rPr>
        <w:t>seven</w:t>
      </w:r>
      <w:r w:rsidR="008B3247">
        <w:rPr>
          <w:szCs w:val="22"/>
        </w:rPr>
        <w:t xml:space="preserve"> </w:t>
      </w:r>
      <w:r w:rsidRPr="009B3BCC">
        <w:rPr>
          <w:szCs w:val="22"/>
        </w:rPr>
        <w:t xml:space="preserve">Part 80 rules </w:t>
      </w:r>
      <w:r w:rsidR="00D32B12">
        <w:rPr>
          <w:szCs w:val="22"/>
        </w:rPr>
        <w:t xml:space="preserve">and any other rule provision that we determine to be necessary </w:t>
      </w:r>
      <w:r w:rsidRPr="009B3BCC">
        <w:rPr>
          <w:szCs w:val="22"/>
        </w:rPr>
        <w:t xml:space="preserve">to enable </w:t>
      </w:r>
      <w:r w:rsidR="0003629A">
        <w:rPr>
          <w:szCs w:val="22"/>
        </w:rPr>
        <w:t xml:space="preserve">Metrolink’s </w:t>
      </w:r>
      <w:r w:rsidRPr="009B3BCC">
        <w:rPr>
          <w:szCs w:val="22"/>
        </w:rPr>
        <w:t xml:space="preserve">PTC deployment </w:t>
      </w:r>
      <w:r w:rsidR="00440E13" w:rsidRPr="009B3BCC">
        <w:rPr>
          <w:szCs w:val="22"/>
        </w:rPr>
        <w:t xml:space="preserve">in the </w:t>
      </w:r>
      <w:r w:rsidRPr="009B3BCC">
        <w:rPr>
          <w:szCs w:val="22"/>
        </w:rPr>
        <w:t>AMTS spectrum</w:t>
      </w:r>
      <w:r w:rsidR="00440E13" w:rsidRPr="009B3BCC">
        <w:rPr>
          <w:szCs w:val="22"/>
        </w:rPr>
        <w:t xml:space="preserve"> band</w:t>
      </w:r>
      <w:r w:rsidRPr="009B3BCC">
        <w:rPr>
          <w:szCs w:val="22"/>
        </w:rPr>
        <w:t>.</w:t>
      </w:r>
      <w:r w:rsidRPr="00C032C2">
        <w:rPr>
          <w:rStyle w:val="FootnoteReference"/>
          <w:sz w:val="22"/>
          <w:szCs w:val="22"/>
        </w:rPr>
        <w:footnoteReference w:id="67"/>
      </w:r>
      <w:r w:rsidRPr="009B3BCC">
        <w:rPr>
          <w:szCs w:val="22"/>
        </w:rPr>
        <w:t xml:space="preserve">  </w:t>
      </w:r>
      <w:r w:rsidR="006E75A4" w:rsidRPr="009B3BCC">
        <w:rPr>
          <w:szCs w:val="22"/>
        </w:rPr>
        <w:t>Before address</w:t>
      </w:r>
      <w:r w:rsidR="003246BD">
        <w:rPr>
          <w:szCs w:val="22"/>
        </w:rPr>
        <w:t>ing</w:t>
      </w:r>
      <w:r w:rsidR="006E75A4" w:rsidRPr="009B3BCC">
        <w:rPr>
          <w:szCs w:val="22"/>
        </w:rPr>
        <w:t xml:space="preserve"> </w:t>
      </w:r>
      <w:r w:rsidR="003246BD">
        <w:rPr>
          <w:szCs w:val="22"/>
        </w:rPr>
        <w:t xml:space="preserve">each </w:t>
      </w:r>
      <w:r w:rsidR="0003629A">
        <w:rPr>
          <w:szCs w:val="22"/>
        </w:rPr>
        <w:t xml:space="preserve">waiver </w:t>
      </w:r>
      <w:r w:rsidR="006E75A4" w:rsidRPr="009B3BCC">
        <w:rPr>
          <w:szCs w:val="22"/>
        </w:rPr>
        <w:t xml:space="preserve">request, we discuss the Havens Entities’ </w:t>
      </w:r>
      <w:r w:rsidR="009B3BCC">
        <w:rPr>
          <w:szCs w:val="22"/>
        </w:rPr>
        <w:t>general arguments opposing waiver relief</w:t>
      </w:r>
      <w:r w:rsidR="006E75A4" w:rsidRPr="009B3BCC">
        <w:rPr>
          <w:szCs w:val="22"/>
        </w:rPr>
        <w:t>.</w:t>
      </w:r>
    </w:p>
    <w:p w14:paraId="68818131" w14:textId="2C645DFA" w:rsidR="003A555A" w:rsidRPr="007A69D9" w:rsidRDefault="00167854" w:rsidP="007A69D9">
      <w:pPr>
        <w:pStyle w:val="ParaNum"/>
        <w:tabs>
          <w:tab w:val="clear" w:pos="1080"/>
          <w:tab w:val="num" w:pos="1440"/>
        </w:tabs>
        <w:rPr>
          <w:szCs w:val="22"/>
        </w:rPr>
      </w:pPr>
      <w:r>
        <w:t>The Havens Entities argue that SCRRA seeks to use its AMTS licenses beyond the intent and purpose of the AMTS rule</w:t>
      </w:r>
      <w:r w:rsidR="007A69D9">
        <w:t>s</w:t>
      </w:r>
      <w:r>
        <w:t xml:space="preserve"> and that a Commission rulemaking on these issues</w:t>
      </w:r>
      <w:r w:rsidR="00F6668A">
        <w:t xml:space="preserve">, not waivers, </w:t>
      </w:r>
      <w:r>
        <w:t>is</w:t>
      </w:r>
      <w:r w:rsidR="00F6668A">
        <w:t xml:space="preserve"> </w:t>
      </w:r>
      <w:r w:rsidR="00131176">
        <w:t xml:space="preserve">therefore </w:t>
      </w:r>
      <w:r w:rsidR="00F6668A">
        <w:t>appropriate.</w:t>
      </w:r>
      <w:r w:rsidR="00F6668A" w:rsidRPr="00C032C2">
        <w:rPr>
          <w:rStyle w:val="FootnoteReference"/>
          <w:sz w:val="22"/>
          <w:szCs w:val="22"/>
        </w:rPr>
        <w:footnoteReference w:id="68"/>
      </w:r>
      <w:r w:rsidR="00F6668A">
        <w:t xml:space="preserve"> </w:t>
      </w:r>
      <w:r w:rsidR="003648BF">
        <w:t xml:space="preserve"> </w:t>
      </w:r>
      <w:r w:rsidR="00F415CB">
        <w:t>We find that c</w:t>
      </w:r>
      <w:r w:rsidR="0059084B" w:rsidRPr="009B3BCC">
        <w:t xml:space="preserve">onsideration of </w:t>
      </w:r>
      <w:r w:rsidR="009B3BCC">
        <w:t xml:space="preserve">SCRRA’s </w:t>
      </w:r>
      <w:r w:rsidR="0059084B" w:rsidRPr="009B3BCC">
        <w:t xml:space="preserve">requested rule waivers </w:t>
      </w:r>
      <w:r w:rsidR="009B3BCC" w:rsidRPr="009B3BCC">
        <w:t xml:space="preserve">does not </w:t>
      </w:r>
      <w:r w:rsidR="0059084B" w:rsidRPr="009B3BCC">
        <w:t xml:space="preserve">require </w:t>
      </w:r>
      <w:r w:rsidR="00F415CB">
        <w:t>a</w:t>
      </w:r>
      <w:r w:rsidR="0059084B" w:rsidRPr="009B3BCC">
        <w:t xml:space="preserve"> Commission rulemaking</w:t>
      </w:r>
      <w:r w:rsidR="005E70B3" w:rsidRPr="009B3BCC">
        <w:t xml:space="preserve"> proceeding</w:t>
      </w:r>
      <w:r w:rsidR="009B3BCC" w:rsidRPr="009B3BCC">
        <w:t xml:space="preserve"> as the Havens Entities urge</w:t>
      </w:r>
      <w:r w:rsidR="0059084B" w:rsidRPr="009B3BCC">
        <w:t xml:space="preserve">. </w:t>
      </w:r>
      <w:r w:rsidR="007A69D9">
        <w:t xml:space="preserve"> </w:t>
      </w:r>
      <w:r w:rsidR="007A69D9" w:rsidRPr="007A69D9">
        <w:rPr>
          <w:szCs w:val="22"/>
        </w:rPr>
        <w:t>It is well established that the Commission considers waiver requests on a case-by-case basis.</w:t>
      </w:r>
      <w:r w:rsidR="007A69D9">
        <w:rPr>
          <w:rStyle w:val="FootnoteReference"/>
          <w:szCs w:val="22"/>
        </w:rPr>
        <w:footnoteReference w:id="69"/>
      </w:r>
      <w:r w:rsidR="007A69D9" w:rsidRPr="007A69D9">
        <w:rPr>
          <w:szCs w:val="22"/>
        </w:rPr>
        <w:t xml:space="preserve">  </w:t>
      </w:r>
      <w:r w:rsidR="003E539C" w:rsidRPr="007A69D9">
        <w:rPr>
          <w:szCs w:val="22"/>
        </w:rPr>
        <w:t>In fact, i</w:t>
      </w:r>
      <w:r w:rsidR="003A555A" w:rsidRPr="007A69D9">
        <w:rPr>
          <w:szCs w:val="22"/>
        </w:rPr>
        <w:t>n 2015</w:t>
      </w:r>
      <w:r w:rsidR="009B3BCC" w:rsidRPr="007A69D9">
        <w:rPr>
          <w:szCs w:val="22"/>
        </w:rPr>
        <w:t>,</w:t>
      </w:r>
      <w:r w:rsidR="003A555A" w:rsidRPr="007A69D9">
        <w:rPr>
          <w:szCs w:val="22"/>
        </w:rPr>
        <w:t xml:space="preserve"> the Bureau waived </w:t>
      </w:r>
      <w:r w:rsidR="008B3247" w:rsidRPr="007A69D9">
        <w:rPr>
          <w:szCs w:val="22"/>
        </w:rPr>
        <w:t xml:space="preserve">the same </w:t>
      </w:r>
      <w:r w:rsidR="009B3BCC" w:rsidRPr="007A69D9">
        <w:rPr>
          <w:szCs w:val="22"/>
        </w:rPr>
        <w:t xml:space="preserve">rules </w:t>
      </w:r>
      <w:r w:rsidR="003A555A" w:rsidRPr="007A69D9">
        <w:rPr>
          <w:szCs w:val="22"/>
        </w:rPr>
        <w:t xml:space="preserve">to enable Amtrak’s </w:t>
      </w:r>
      <w:r w:rsidR="00131176" w:rsidRPr="007A69D9">
        <w:rPr>
          <w:szCs w:val="22"/>
        </w:rPr>
        <w:t xml:space="preserve">acquisition of spectrum from certain of the Havens Entities to </w:t>
      </w:r>
      <w:r w:rsidR="003A555A" w:rsidRPr="007A69D9">
        <w:rPr>
          <w:szCs w:val="22"/>
        </w:rPr>
        <w:t>deploy</w:t>
      </w:r>
      <w:r w:rsidR="00131176" w:rsidRPr="007A69D9">
        <w:rPr>
          <w:szCs w:val="22"/>
        </w:rPr>
        <w:t xml:space="preserve"> PTC </w:t>
      </w:r>
      <w:r w:rsidR="003A555A" w:rsidRPr="007A69D9">
        <w:rPr>
          <w:szCs w:val="22"/>
        </w:rPr>
        <w:t>on AMTS spectrum.</w:t>
      </w:r>
      <w:r w:rsidR="003A555A" w:rsidRPr="00C032C2">
        <w:rPr>
          <w:rStyle w:val="FootnoteReference"/>
          <w:sz w:val="22"/>
          <w:szCs w:val="22"/>
        </w:rPr>
        <w:footnoteReference w:id="70"/>
      </w:r>
      <w:r w:rsidR="003A555A" w:rsidRPr="007A69D9">
        <w:rPr>
          <w:szCs w:val="22"/>
        </w:rPr>
        <w:t xml:space="preserve">  </w:t>
      </w:r>
      <w:r w:rsidR="00131176" w:rsidRPr="007A69D9">
        <w:rPr>
          <w:szCs w:val="22"/>
        </w:rPr>
        <w:t>In this case, w</w:t>
      </w:r>
      <w:r w:rsidR="0054776D" w:rsidRPr="007A69D9">
        <w:rPr>
          <w:szCs w:val="22"/>
        </w:rPr>
        <w:t>e find that a</w:t>
      </w:r>
      <w:r w:rsidR="003246BD" w:rsidRPr="007A69D9">
        <w:rPr>
          <w:szCs w:val="22"/>
        </w:rPr>
        <w:t xml:space="preserve"> </w:t>
      </w:r>
      <w:r w:rsidR="0059084B" w:rsidRPr="007A69D9">
        <w:rPr>
          <w:szCs w:val="22"/>
        </w:rPr>
        <w:t xml:space="preserve">general rulemaking is not </w:t>
      </w:r>
      <w:r w:rsidR="003246BD" w:rsidRPr="007A69D9">
        <w:rPr>
          <w:szCs w:val="22"/>
        </w:rPr>
        <w:t xml:space="preserve">required </w:t>
      </w:r>
      <w:r w:rsidR="0059084B" w:rsidRPr="007A69D9">
        <w:rPr>
          <w:szCs w:val="22"/>
        </w:rPr>
        <w:t xml:space="preserve">to </w:t>
      </w:r>
      <w:r w:rsidR="00D0079E" w:rsidRPr="007A69D9">
        <w:rPr>
          <w:szCs w:val="22"/>
        </w:rPr>
        <w:t xml:space="preserve">address </w:t>
      </w:r>
      <w:r w:rsidR="0059084B" w:rsidRPr="007A69D9">
        <w:rPr>
          <w:szCs w:val="22"/>
        </w:rPr>
        <w:t>waiver</w:t>
      </w:r>
      <w:r w:rsidR="00D0079E" w:rsidRPr="007A69D9">
        <w:rPr>
          <w:szCs w:val="22"/>
        </w:rPr>
        <w:t xml:space="preserve"> request</w:t>
      </w:r>
      <w:r w:rsidR="003648BF">
        <w:rPr>
          <w:szCs w:val="22"/>
        </w:rPr>
        <w:t>s</w:t>
      </w:r>
      <w:r w:rsidR="0059084B" w:rsidRPr="007A69D9">
        <w:rPr>
          <w:szCs w:val="22"/>
        </w:rPr>
        <w:t xml:space="preserve"> </w:t>
      </w:r>
      <w:r w:rsidR="00D0079E" w:rsidRPr="007A69D9">
        <w:rPr>
          <w:szCs w:val="22"/>
        </w:rPr>
        <w:t xml:space="preserve">involving </w:t>
      </w:r>
      <w:r w:rsidR="0059084B" w:rsidRPr="007A69D9">
        <w:rPr>
          <w:szCs w:val="22"/>
        </w:rPr>
        <w:t xml:space="preserve">SCRRA’s </w:t>
      </w:r>
      <w:r w:rsidR="00D0079E" w:rsidRPr="007A69D9">
        <w:rPr>
          <w:szCs w:val="22"/>
        </w:rPr>
        <w:t>“</w:t>
      </w:r>
      <w:r w:rsidR="0059084B" w:rsidRPr="007A69D9">
        <w:rPr>
          <w:szCs w:val="22"/>
        </w:rPr>
        <w:t>unique and specific circumstances”</w:t>
      </w:r>
      <w:r w:rsidR="0059084B" w:rsidRPr="00C032C2">
        <w:rPr>
          <w:rStyle w:val="FootnoteReference"/>
          <w:sz w:val="22"/>
          <w:szCs w:val="22"/>
        </w:rPr>
        <w:footnoteReference w:id="71"/>
      </w:r>
      <w:r w:rsidR="0059084B" w:rsidRPr="007A69D9">
        <w:rPr>
          <w:szCs w:val="22"/>
        </w:rPr>
        <w:t xml:space="preserve"> to deploy PTC along defined rail corridors in the Los Angeles Basin.</w:t>
      </w:r>
    </w:p>
    <w:p w14:paraId="4B4620B2" w14:textId="1EBDCF3E" w:rsidR="006652C5" w:rsidRPr="003B01CC" w:rsidRDefault="003A555A" w:rsidP="00153467">
      <w:pPr>
        <w:pStyle w:val="ParaNum"/>
        <w:tabs>
          <w:tab w:val="clear" w:pos="1080"/>
          <w:tab w:val="num" w:pos="1440"/>
        </w:tabs>
        <w:rPr>
          <w:szCs w:val="22"/>
        </w:rPr>
      </w:pPr>
      <w:r w:rsidRPr="003B01CC">
        <w:rPr>
          <w:szCs w:val="22"/>
        </w:rPr>
        <w:t xml:space="preserve">The Havens Entities generally oppose SCRRA’s waiver requests arguing that </w:t>
      </w:r>
      <w:r w:rsidR="006652C5" w:rsidRPr="003B01CC">
        <w:rPr>
          <w:szCs w:val="22"/>
        </w:rPr>
        <w:t xml:space="preserve">it </w:t>
      </w:r>
      <w:r w:rsidRPr="003B01CC">
        <w:rPr>
          <w:szCs w:val="22"/>
        </w:rPr>
        <w:t>has not made a “public interest case for PTC</w:t>
      </w:r>
      <w:r w:rsidR="00640262" w:rsidRPr="003B01CC">
        <w:rPr>
          <w:szCs w:val="22"/>
        </w:rPr>
        <w:t>,</w:t>
      </w:r>
      <w:r w:rsidRPr="003B01CC">
        <w:rPr>
          <w:szCs w:val="22"/>
        </w:rPr>
        <w:t>”</w:t>
      </w:r>
      <w:r w:rsidRPr="00C032C2">
        <w:rPr>
          <w:rStyle w:val="FootnoteReference"/>
          <w:sz w:val="22"/>
          <w:szCs w:val="22"/>
        </w:rPr>
        <w:footnoteReference w:id="72"/>
      </w:r>
      <w:r w:rsidR="00640262" w:rsidRPr="003B01CC">
        <w:rPr>
          <w:szCs w:val="22"/>
        </w:rPr>
        <w:t xml:space="preserve"> and that PTC deployment </w:t>
      </w:r>
      <w:r w:rsidR="0088613F" w:rsidRPr="003B01CC">
        <w:rPr>
          <w:szCs w:val="22"/>
        </w:rPr>
        <w:t xml:space="preserve">is tantamount </w:t>
      </w:r>
      <w:r w:rsidR="00640262" w:rsidRPr="003B01CC">
        <w:rPr>
          <w:szCs w:val="22"/>
        </w:rPr>
        <w:t xml:space="preserve">to </w:t>
      </w:r>
      <w:r w:rsidR="0088613F" w:rsidRPr="003B01CC">
        <w:rPr>
          <w:szCs w:val="22"/>
        </w:rPr>
        <w:t xml:space="preserve">a </w:t>
      </w:r>
      <w:r w:rsidR="00640262" w:rsidRPr="003B01CC">
        <w:rPr>
          <w:szCs w:val="22"/>
        </w:rPr>
        <w:t>“guinea-pig experiment.”</w:t>
      </w:r>
      <w:r w:rsidR="00640262" w:rsidRPr="00C032C2">
        <w:rPr>
          <w:rStyle w:val="FootnoteReference"/>
          <w:sz w:val="22"/>
          <w:szCs w:val="22"/>
        </w:rPr>
        <w:footnoteReference w:id="73"/>
      </w:r>
      <w:r w:rsidRPr="003B01CC">
        <w:rPr>
          <w:szCs w:val="22"/>
        </w:rPr>
        <w:t xml:space="preserve">  </w:t>
      </w:r>
      <w:r w:rsidR="00E8228C" w:rsidRPr="003B01CC">
        <w:rPr>
          <w:szCs w:val="22"/>
        </w:rPr>
        <w:t xml:space="preserve">We disagree.  </w:t>
      </w:r>
      <w:r w:rsidRPr="003B01CC">
        <w:rPr>
          <w:szCs w:val="22"/>
        </w:rPr>
        <w:t xml:space="preserve">Congress enacted the PTC mandate in the wake of </w:t>
      </w:r>
      <w:r w:rsidR="00D073AD" w:rsidRPr="003B01CC">
        <w:rPr>
          <w:szCs w:val="22"/>
        </w:rPr>
        <w:t>a</w:t>
      </w:r>
      <w:r w:rsidRPr="003B01CC">
        <w:rPr>
          <w:szCs w:val="22"/>
        </w:rPr>
        <w:t xml:space="preserve"> tragic Metrolink accident in which 25 persons lost their lives; an accident that the NTSB </w:t>
      </w:r>
      <w:r w:rsidR="00610FA7" w:rsidRPr="003B01CC">
        <w:rPr>
          <w:szCs w:val="22"/>
        </w:rPr>
        <w:t xml:space="preserve">has </w:t>
      </w:r>
      <w:r w:rsidRPr="003B01CC">
        <w:rPr>
          <w:szCs w:val="22"/>
        </w:rPr>
        <w:t>determined PTC could have prevented.</w:t>
      </w:r>
      <w:r w:rsidRPr="00C032C2">
        <w:rPr>
          <w:rStyle w:val="FootnoteReference"/>
          <w:sz w:val="22"/>
          <w:szCs w:val="22"/>
        </w:rPr>
        <w:footnoteReference w:id="74"/>
      </w:r>
      <w:r w:rsidR="009B3BCC" w:rsidRPr="003B01CC">
        <w:rPr>
          <w:szCs w:val="22"/>
        </w:rPr>
        <w:t xml:space="preserve">  </w:t>
      </w:r>
      <w:r w:rsidRPr="003B01CC">
        <w:rPr>
          <w:szCs w:val="22"/>
        </w:rPr>
        <w:t xml:space="preserve">In its order removing the SCRRA Applications from the MCLM hearing, </w:t>
      </w:r>
      <w:r w:rsidR="005E70B3" w:rsidRPr="003B01CC">
        <w:rPr>
          <w:szCs w:val="22"/>
        </w:rPr>
        <w:t xml:space="preserve">the </w:t>
      </w:r>
      <w:r w:rsidRPr="003B01CC">
        <w:rPr>
          <w:szCs w:val="22"/>
        </w:rPr>
        <w:t>Commission found that “PTC is a potentially transformative technology” that can “save lives, prevent injuries, and avoid extensive property damage.”</w:t>
      </w:r>
      <w:r w:rsidRPr="00C032C2">
        <w:rPr>
          <w:rStyle w:val="FootnoteReference"/>
          <w:sz w:val="22"/>
          <w:szCs w:val="22"/>
        </w:rPr>
        <w:footnoteReference w:id="75"/>
      </w:r>
      <w:r w:rsidRPr="003B01CC">
        <w:rPr>
          <w:szCs w:val="22"/>
        </w:rPr>
        <w:t xml:space="preserve">  </w:t>
      </w:r>
      <w:r w:rsidR="00945CEA">
        <w:rPr>
          <w:szCs w:val="22"/>
        </w:rPr>
        <w:t>I</w:t>
      </w:r>
      <w:r w:rsidR="003B01CC" w:rsidRPr="003B01CC">
        <w:rPr>
          <w:szCs w:val="22"/>
        </w:rPr>
        <w:t>n May 2016, the NTSB found that PTC could have prevented an Amtrak train derailment in which 8 persons lost their lives, and nearly 200 others were injured (many of them critically).</w:t>
      </w:r>
      <w:r w:rsidR="003B01CC">
        <w:rPr>
          <w:rStyle w:val="FootnoteReference"/>
          <w:szCs w:val="22"/>
        </w:rPr>
        <w:footnoteReference w:id="76"/>
      </w:r>
      <w:r w:rsidR="003B01CC" w:rsidRPr="003B01CC">
        <w:rPr>
          <w:szCs w:val="22"/>
        </w:rPr>
        <w:t xml:space="preserve">  </w:t>
      </w:r>
      <w:r w:rsidR="009B3BCC" w:rsidRPr="003B01CC">
        <w:rPr>
          <w:szCs w:val="22"/>
        </w:rPr>
        <w:t>T</w:t>
      </w:r>
      <w:r w:rsidRPr="003B01CC">
        <w:rPr>
          <w:szCs w:val="22"/>
        </w:rPr>
        <w:t xml:space="preserve">he public interest benefits of PTC are irrefutable and can be </w:t>
      </w:r>
      <w:r w:rsidR="00954CD9">
        <w:rPr>
          <w:szCs w:val="22"/>
        </w:rPr>
        <w:t xml:space="preserve">served </w:t>
      </w:r>
      <w:r w:rsidRPr="003B01CC">
        <w:rPr>
          <w:szCs w:val="22"/>
        </w:rPr>
        <w:t xml:space="preserve">by grant of the </w:t>
      </w:r>
      <w:r w:rsidR="003246BD" w:rsidRPr="003B01CC">
        <w:rPr>
          <w:szCs w:val="22"/>
        </w:rPr>
        <w:t xml:space="preserve">waiver </w:t>
      </w:r>
      <w:r w:rsidRPr="003B01CC">
        <w:rPr>
          <w:szCs w:val="22"/>
        </w:rPr>
        <w:t>request</w:t>
      </w:r>
      <w:r w:rsidR="008B3247">
        <w:rPr>
          <w:szCs w:val="22"/>
        </w:rPr>
        <w:t>s</w:t>
      </w:r>
      <w:r w:rsidRPr="003B01CC">
        <w:rPr>
          <w:szCs w:val="22"/>
        </w:rPr>
        <w:t xml:space="preserve"> to implement this life-saving technology.</w:t>
      </w:r>
    </w:p>
    <w:p w14:paraId="5C613C15" w14:textId="1C14BB70" w:rsidR="00554249" w:rsidRPr="00C032C2" w:rsidRDefault="006453AF" w:rsidP="00916193">
      <w:pPr>
        <w:pStyle w:val="ParaNum"/>
        <w:tabs>
          <w:tab w:val="clear" w:pos="1080"/>
          <w:tab w:val="num" w:pos="1440"/>
        </w:tabs>
        <w:rPr>
          <w:szCs w:val="22"/>
        </w:rPr>
      </w:pPr>
      <w:r>
        <w:rPr>
          <w:szCs w:val="22"/>
        </w:rPr>
        <w:t xml:space="preserve">We also reject the Havens Entities claim that </w:t>
      </w:r>
      <w:r w:rsidR="003246BD">
        <w:rPr>
          <w:szCs w:val="22"/>
        </w:rPr>
        <w:t>g</w:t>
      </w:r>
      <w:r w:rsidR="00532B28" w:rsidRPr="00C032C2">
        <w:rPr>
          <w:szCs w:val="22"/>
        </w:rPr>
        <w:t xml:space="preserve">rant of the </w:t>
      </w:r>
      <w:r w:rsidR="00916193" w:rsidRPr="00C032C2">
        <w:rPr>
          <w:szCs w:val="22"/>
        </w:rPr>
        <w:t xml:space="preserve">requested </w:t>
      </w:r>
      <w:r w:rsidR="00E8228C" w:rsidRPr="00C032C2">
        <w:rPr>
          <w:szCs w:val="22"/>
        </w:rPr>
        <w:t xml:space="preserve">rule </w:t>
      </w:r>
      <w:r w:rsidR="00532B28" w:rsidRPr="00C032C2">
        <w:rPr>
          <w:szCs w:val="22"/>
        </w:rPr>
        <w:t xml:space="preserve">waivers </w:t>
      </w:r>
      <w:r>
        <w:rPr>
          <w:szCs w:val="22"/>
        </w:rPr>
        <w:t xml:space="preserve">would </w:t>
      </w:r>
      <w:r w:rsidR="00554249" w:rsidRPr="00C032C2">
        <w:rPr>
          <w:szCs w:val="22"/>
        </w:rPr>
        <w:t xml:space="preserve">undermine </w:t>
      </w:r>
      <w:r w:rsidR="006652C5" w:rsidRPr="00C032C2">
        <w:rPr>
          <w:szCs w:val="22"/>
        </w:rPr>
        <w:t>Commission spectrum policy.</w:t>
      </w:r>
      <w:r w:rsidR="006652C5" w:rsidRPr="00C032C2">
        <w:rPr>
          <w:rStyle w:val="FootnoteReference"/>
          <w:sz w:val="22"/>
          <w:szCs w:val="22"/>
        </w:rPr>
        <w:footnoteReference w:id="77"/>
      </w:r>
      <w:r w:rsidR="006652C5" w:rsidRPr="00C032C2">
        <w:rPr>
          <w:szCs w:val="22"/>
        </w:rPr>
        <w:t xml:space="preserve">  </w:t>
      </w:r>
      <w:r>
        <w:rPr>
          <w:szCs w:val="22"/>
        </w:rPr>
        <w:t xml:space="preserve">Rather, </w:t>
      </w:r>
      <w:r w:rsidR="009B3BCC" w:rsidRPr="00C032C2">
        <w:rPr>
          <w:szCs w:val="22"/>
        </w:rPr>
        <w:t>SCRRA’s use of AMTS spectrum to deploy PTC will further the Commission’s core mandate to “promot[e] safety of life and property through the use of wire and radio communications,” embodied in Section 1 of the Communications Act.</w:t>
      </w:r>
      <w:r w:rsidR="009B3BCC" w:rsidRPr="00C032C2">
        <w:rPr>
          <w:rStyle w:val="FootnoteReference"/>
          <w:sz w:val="22"/>
          <w:szCs w:val="22"/>
        </w:rPr>
        <w:footnoteReference w:id="78"/>
      </w:r>
      <w:r w:rsidR="009B3BCC" w:rsidRPr="00C032C2">
        <w:rPr>
          <w:szCs w:val="22"/>
        </w:rPr>
        <w:t xml:space="preserve">  </w:t>
      </w:r>
      <w:r w:rsidR="00716836">
        <w:rPr>
          <w:szCs w:val="22"/>
        </w:rPr>
        <w:t>A</w:t>
      </w:r>
      <w:r w:rsidR="00532B28" w:rsidRPr="00C032C2">
        <w:rPr>
          <w:szCs w:val="22"/>
        </w:rPr>
        <w:t xml:space="preserve">s SCRRA notes, </w:t>
      </w:r>
      <w:r w:rsidR="00554249" w:rsidRPr="00C032C2">
        <w:rPr>
          <w:szCs w:val="22"/>
        </w:rPr>
        <w:t>grant of the waivers will promote “intensive use of the AMTS spectrum,”</w:t>
      </w:r>
      <w:r w:rsidR="00554249" w:rsidRPr="00C032C2">
        <w:rPr>
          <w:szCs w:val="22"/>
          <w:vertAlign w:val="superscript"/>
        </w:rPr>
        <w:footnoteReference w:id="79"/>
      </w:r>
      <w:r w:rsidR="00554249" w:rsidRPr="00C032C2">
        <w:rPr>
          <w:szCs w:val="22"/>
        </w:rPr>
        <w:t xml:space="preserve"> and is consistent </w:t>
      </w:r>
      <w:r w:rsidR="00532B28" w:rsidRPr="00C032C2">
        <w:rPr>
          <w:szCs w:val="22"/>
        </w:rPr>
        <w:t xml:space="preserve">with the Commission’s goal of facilitating use of AMTS </w:t>
      </w:r>
      <w:r w:rsidR="00E8228C" w:rsidRPr="00C032C2">
        <w:rPr>
          <w:szCs w:val="22"/>
        </w:rPr>
        <w:t xml:space="preserve">spectrum </w:t>
      </w:r>
      <w:r w:rsidR="00532B28" w:rsidRPr="00C032C2">
        <w:rPr>
          <w:szCs w:val="22"/>
        </w:rPr>
        <w:t>for safety purposes.</w:t>
      </w:r>
      <w:r w:rsidR="00532B28" w:rsidRPr="00C032C2">
        <w:rPr>
          <w:rStyle w:val="FootnoteReference"/>
          <w:sz w:val="22"/>
          <w:szCs w:val="22"/>
        </w:rPr>
        <w:footnoteReference w:id="80"/>
      </w:r>
      <w:r w:rsidR="00532B28" w:rsidRPr="00C032C2">
        <w:rPr>
          <w:szCs w:val="22"/>
        </w:rPr>
        <w:t xml:space="preserve">  </w:t>
      </w:r>
    </w:p>
    <w:p w14:paraId="194ACF4B" w14:textId="6F61466F" w:rsidR="006652C5" w:rsidRPr="004B4594" w:rsidRDefault="00D073AD" w:rsidP="002D46D3">
      <w:pPr>
        <w:pStyle w:val="ParaNum"/>
        <w:tabs>
          <w:tab w:val="clear" w:pos="1080"/>
          <w:tab w:val="num" w:pos="1440"/>
        </w:tabs>
        <w:rPr>
          <w:szCs w:val="22"/>
        </w:rPr>
      </w:pPr>
      <w:r w:rsidRPr="003C2C1A">
        <w:rPr>
          <w:szCs w:val="22"/>
        </w:rPr>
        <w:t xml:space="preserve">The Havens Entities </w:t>
      </w:r>
      <w:r w:rsidR="00640262" w:rsidRPr="003C2C1A">
        <w:rPr>
          <w:szCs w:val="22"/>
        </w:rPr>
        <w:t xml:space="preserve">urge us to deny the </w:t>
      </w:r>
      <w:r w:rsidR="00815B7B" w:rsidRPr="003C2C1A">
        <w:rPr>
          <w:szCs w:val="22"/>
        </w:rPr>
        <w:t xml:space="preserve">SCRRA Applications and </w:t>
      </w:r>
      <w:r w:rsidR="00640262" w:rsidRPr="003C2C1A">
        <w:rPr>
          <w:szCs w:val="22"/>
        </w:rPr>
        <w:t xml:space="preserve">waiver requests, </w:t>
      </w:r>
      <w:r w:rsidR="00394AB4">
        <w:rPr>
          <w:szCs w:val="22"/>
        </w:rPr>
        <w:t xml:space="preserve">alleging </w:t>
      </w:r>
      <w:r w:rsidRPr="003C2C1A">
        <w:rPr>
          <w:szCs w:val="22"/>
        </w:rPr>
        <w:t>that</w:t>
      </w:r>
      <w:r w:rsidRPr="004B4594">
        <w:rPr>
          <w:szCs w:val="22"/>
        </w:rPr>
        <w:t xml:space="preserve"> SCRRA </w:t>
      </w:r>
      <w:r w:rsidR="00F02016" w:rsidRPr="004B4594">
        <w:rPr>
          <w:szCs w:val="22"/>
        </w:rPr>
        <w:t xml:space="preserve">has not shown it </w:t>
      </w:r>
      <w:r w:rsidRPr="004B4594">
        <w:rPr>
          <w:szCs w:val="22"/>
        </w:rPr>
        <w:t>need</w:t>
      </w:r>
      <w:r w:rsidR="00F02016" w:rsidRPr="004B4594">
        <w:rPr>
          <w:szCs w:val="22"/>
        </w:rPr>
        <w:t>s</w:t>
      </w:r>
      <w:r w:rsidRPr="004B4594">
        <w:rPr>
          <w:szCs w:val="22"/>
        </w:rPr>
        <w:t xml:space="preserve"> </w:t>
      </w:r>
      <w:r w:rsidR="00F02016" w:rsidRPr="004B4594">
        <w:rPr>
          <w:szCs w:val="22"/>
        </w:rPr>
        <w:t>AMTS spectrum to deploy PTC,</w:t>
      </w:r>
      <w:r w:rsidR="003246BD">
        <w:rPr>
          <w:rStyle w:val="FootnoteReference"/>
          <w:szCs w:val="22"/>
        </w:rPr>
        <w:footnoteReference w:id="81"/>
      </w:r>
      <w:r w:rsidR="00F02016" w:rsidRPr="004B4594">
        <w:rPr>
          <w:szCs w:val="22"/>
        </w:rPr>
        <w:t xml:space="preserve"> that </w:t>
      </w:r>
      <w:r w:rsidRPr="004B4594">
        <w:rPr>
          <w:szCs w:val="22"/>
        </w:rPr>
        <w:t>the amount of spectrum it seeks to acquire from MCLM to deploy PTC</w:t>
      </w:r>
      <w:r w:rsidR="00F02016" w:rsidRPr="004B4594">
        <w:rPr>
          <w:szCs w:val="22"/>
        </w:rPr>
        <w:t xml:space="preserve"> is </w:t>
      </w:r>
      <w:r w:rsidR="00F02016" w:rsidRPr="00217C5F">
        <w:rPr>
          <w:szCs w:val="22"/>
        </w:rPr>
        <w:t>excessive</w:t>
      </w:r>
      <w:r w:rsidR="00F02016" w:rsidRPr="004B4594">
        <w:rPr>
          <w:szCs w:val="22"/>
        </w:rPr>
        <w:t>,</w:t>
      </w:r>
      <w:r w:rsidR="007C2232" w:rsidRPr="00C032C2">
        <w:rPr>
          <w:rStyle w:val="FootnoteReference"/>
          <w:sz w:val="22"/>
          <w:szCs w:val="22"/>
        </w:rPr>
        <w:footnoteReference w:id="82"/>
      </w:r>
      <w:r w:rsidR="00640262" w:rsidRPr="004B4594">
        <w:rPr>
          <w:szCs w:val="22"/>
        </w:rPr>
        <w:t xml:space="preserve"> and that it</w:t>
      </w:r>
      <w:r w:rsidR="00815B7B" w:rsidRPr="004B4594">
        <w:rPr>
          <w:szCs w:val="22"/>
        </w:rPr>
        <w:t xml:space="preserve"> should deploy a</w:t>
      </w:r>
      <w:r w:rsidR="00640262" w:rsidRPr="004B4594">
        <w:rPr>
          <w:szCs w:val="22"/>
        </w:rPr>
        <w:t xml:space="preserve"> PTC technology </w:t>
      </w:r>
      <w:r w:rsidR="00815B7B" w:rsidRPr="004B4594">
        <w:rPr>
          <w:szCs w:val="22"/>
        </w:rPr>
        <w:t>favored by the Havens Entities</w:t>
      </w:r>
      <w:r w:rsidR="00640262" w:rsidRPr="004B4594">
        <w:rPr>
          <w:szCs w:val="22"/>
        </w:rPr>
        <w:t>.</w:t>
      </w:r>
      <w:r w:rsidRPr="00C032C2">
        <w:rPr>
          <w:rStyle w:val="FootnoteReference"/>
          <w:sz w:val="22"/>
          <w:szCs w:val="22"/>
        </w:rPr>
        <w:footnoteReference w:id="83"/>
      </w:r>
      <w:r w:rsidRPr="004B4594">
        <w:rPr>
          <w:szCs w:val="22"/>
        </w:rPr>
        <w:t xml:space="preserve">  </w:t>
      </w:r>
      <w:r w:rsidR="003648BF">
        <w:rPr>
          <w:szCs w:val="22"/>
        </w:rPr>
        <w:t xml:space="preserve">In the </w:t>
      </w:r>
      <w:r w:rsidR="00945CEA" w:rsidRPr="004B4594">
        <w:rPr>
          <w:i/>
          <w:szCs w:val="22"/>
        </w:rPr>
        <w:t>MCLM</w:t>
      </w:r>
      <w:r w:rsidR="00945CEA">
        <w:rPr>
          <w:i/>
          <w:szCs w:val="22"/>
        </w:rPr>
        <w:t>/</w:t>
      </w:r>
      <w:r w:rsidR="003648BF" w:rsidRPr="004B4594">
        <w:rPr>
          <w:i/>
          <w:szCs w:val="22"/>
        </w:rPr>
        <w:t>SCRRA Order</w:t>
      </w:r>
      <w:r w:rsidR="003648BF">
        <w:rPr>
          <w:szCs w:val="22"/>
        </w:rPr>
        <w:t xml:space="preserve">, the Commission noted that </w:t>
      </w:r>
      <w:r w:rsidR="00394AB4" w:rsidRPr="003C2C1A">
        <w:rPr>
          <w:szCs w:val="22"/>
        </w:rPr>
        <w:t xml:space="preserve">SCRRA has executed a temporary lease of 220-222 MHz band spectrum with PTC-220 to deploy PTC, but </w:t>
      </w:r>
      <w:r w:rsidR="007D4090">
        <w:rPr>
          <w:szCs w:val="22"/>
        </w:rPr>
        <w:t>“</w:t>
      </w:r>
      <w:r w:rsidR="00394AB4" w:rsidRPr="003C2C1A">
        <w:rPr>
          <w:szCs w:val="22"/>
        </w:rPr>
        <w:t xml:space="preserve">this </w:t>
      </w:r>
      <w:r w:rsidR="007D4090">
        <w:rPr>
          <w:szCs w:val="22"/>
        </w:rPr>
        <w:t xml:space="preserve">does </w:t>
      </w:r>
      <w:r w:rsidR="00394AB4" w:rsidRPr="003C2C1A">
        <w:rPr>
          <w:szCs w:val="22"/>
        </w:rPr>
        <w:t>not provide a long-term solution to its PTC spectrum needs</w:t>
      </w:r>
      <w:r w:rsidR="003648BF">
        <w:rPr>
          <w:szCs w:val="22"/>
        </w:rPr>
        <w:t>.</w:t>
      </w:r>
      <w:r w:rsidR="007D4090">
        <w:rPr>
          <w:szCs w:val="22"/>
        </w:rPr>
        <w:t>”</w:t>
      </w:r>
      <w:r w:rsidR="00394AB4" w:rsidRPr="003648BF">
        <w:rPr>
          <w:rStyle w:val="FootnoteReference"/>
          <w:szCs w:val="22"/>
        </w:rPr>
        <w:footnoteReference w:id="84"/>
      </w:r>
      <w:r w:rsidR="00394AB4" w:rsidRPr="003648BF">
        <w:rPr>
          <w:szCs w:val="22"/>
        </w:rPr>
        <w:t xml:space="preserve"> </w:t>
      </w:r>
      <w:r w:rsidR="00394AB4" w:rsidRPr="003C2C1A">
        <w:rPr>
          <w:szCs w:val="22"/>
        </w:rPr>
        <w:t xml:space="preserve"> </w:t>
      </w:r>
      <w:r w:rsidR="0083329B">
        <w:rPr>
          <w:szCs w:val="22"/>
        </w:rPr>
        <w:t>T</w:t>
      </w:r>
      <w:r w:rsidR="003B01CC" w:rsidRPr="004B4594">
        <w:rPr>
          <w:szCs w:val="22"/>
        </w:rPr>
        <w:t xml:space="preserve">he Commission </w:t>
      </w:r>
      <w:r w:rsidR="003648BF">
        <w:rPr>
          <w:szCs w:val="22"/>
        </w:rPr>
        <w:t xml:space="preserve">also </w:t>
      </w:r>
      <w:r w:rsidR="003B01CC" w:rsidRPr="004B4594">
        <w:rPr>
          <w:szCs w:val="22"/>
        </w:rPr>
        <w:t>found that the freight rails’ nationwide use of the 220-222 MHz Band to deploy PTC, coupled with the requirement that PTC systems be interoperable, “makes AMTS spectrum particularly suitable for PTC use.”</w:t>
      </w:r>
      <w:r w:rsidR="003B01CC">
        <w:rPr>
          <w:rStyle w:val="FootnoteReference"/>
          <w:szCs w:val="22"/>
        </w:rPr>
        <w:footnoteReference w:id="85"/>
      </w:r>
      <w:r w:rsidR="003B01CC">
        <w:rPr>
          <w:szCs w:val="22"/>
        </w:rPr>
        <w:t xml:space="preserve"> </w:t>
      </w:r>
      <w:r w:rsidR="008B3247">
        <w:rPr>
          <w:szCs w:val="22"/>
        </w:rPr>
        <w:t xml:space="preserve"> </w:t>
      </w:r>
      <w:r w:rsidR="00414AAB">
        <w:rPr>
          <w:szCs w:val="22"/>
        </w:rPr>
        <w:t xml:space="preserve">The waivers </w:t>
      </w:r>
      <w:r w:rsidRPr="004B4594">
        <w:rPr>
          <w:szCs w:val="22"/>
        </w:rPr>
        <w:t xml:space="preserve">SCRRA </w:t>
      </w:r>
      <w:r w:rsidR="00414AAB">
        <w:rPr>
          <w:szCs w:val="22"/>
        </w:rPr>
        <w:t>requests to deploy PTC on AMTS spectrum will, like those afforded Amtrak,</w:t>
      </w:r>
      <w:r w:rsidR="00176B9B">
        <w:rPr>
          <w:rStyle w:val="FootnoteReference"/>
          <w:szCs w:val="22"/>
        </w:rPr>
        <w:footnoteReference w:id="86"/>
      </w:r>
      <w:r w:rsidR="00414AAB">
        <w:rPr>
          <w:szCs w:val="22"/>
        </w:rPr>
        <w:t xml:space="preserve"> enable it to comply with the federal PTC mandate</w:t>
      </w:r>
      <w:r w:rsidR="00394AB4">
        <w:rPr>
          <w:szCs w:val="22"/>
        </w:rPr>
        <w:t>.</w:t>
      </w:r>
      <w:r w:rsidR="0083329B">
        <w:rPr>
          <w:szCs w:val="22"/>
        </w:rPr>
        <w:t xml:space="preserve">  Further, as noted below, the waiver relief we grant today is limited to use of the spectrum for PTC.</w:t>
      </w:r>
      <w:r w:rsidR="0083329B">
        <w:rPr>
          <w:rStyle w:val="FootnoteReference"/>
          <w:szCs w:val="22"/>
        </w:rPr>
        <w:footnoteReference w:id="87"/>
      </w:r>
      <w:r w:rsidR="0083329B">
        <w:rPr>
          <w:szCs w:val="22"/>
        </w:rPr>
        <w:t xml:space="preserve">  </w:t>
      </w:r>
      <w:r w:rsidR="00C2362B" w:rsidRPr="004B4594">
        <w:rPr>
          <w:szCs w:val="22"/>
        </w:rPr>
        <w:t xml:space="preserve">  </w:t>
      </w:r>
      <w:r w:rsidR="00716836">
        <w:rPr>
          <w:szCs w:val="22"/>
        </w:rPr>
        <w:t xml:space="preserve"> </w:t>
      </w:r>
      <w:r w:rsidR="00F02016" w:rsidRPr="004B4594">
        <w:rPr>
          <w:szCs w:val="22"/>
        </w:rPr>
        <w:t xml:space="preserve"> </w:t>
      </w:r>
    </w:p>
    <w:p w14:paraId="65FF25AB" w14:textId="755A0471" w:rsidR="00DE21F6" w:rsidRPr="00C032C2" w:rsidRDefault="006652C5" w:rsidP="00C542E6">
      <w:pPr>
        <w:pStyle w:val="ParaNum"/>
        <w:tabs>
          <w:tab w:val="clear" w:pos="1080"/>
          <w:tab w:val="num" w:pos="1440"/>
        </w:tabs>
        <w:rPr>
          <w:szCs w:val="22"/>
        </w:rPr>
      </w:pPr>
      <w:r w:rsidRPr="00C032C2">
        <w:rPr>
          <w:szCs w:val="22"/>
        </w:rPr>
        <w:t xml:space="preserve">We now address </w:t>
      </w:r>
      <w:r w:rsidR="00DE21F6" w:rsidRPr="00C032C2">
        <w:rPr>
          <w:szCs w:val="22"/>
        </w:rPr>
        <w:t>SCRRA</w:t>
      </w:r>
      <w:r w:rsidR="00815B7B" w:rsidRPr="00C032C2">
        <w:rPr>
          <w:szCs w:val="22"/>
        </w:rPr>
        <w:t>’s</w:t>
      </w:r>
      <w:r w:rsidR="00DE21F6" w:rsidRPr="00C032C2">
        <w:rPr>
          <w:szCs w:val="22"/>
        </w:rPr>
        <w:t xml:space="preserve"> request </w:t>
      </w:r>
      <w:r w:rsidRPr="00C032C2">
        <w:rPr>
          <w:szCs w:val="22"/>
        </w:rPr>
        <w:t xml:space="preserve">for </w:t>
      </w:r>
      <w:r w:rsidR="00DE21F6" w:rsidRPr="00C032C2">
        <w:rPr>
          <w:szCs w:val="22"/>
        </w:rPr>
        <w:t>waiver of the following Part 80 rules</w:t>
      </w:r>
      <w:r w:rsidR="00440E13" w:rsidRPr="00C032C2">
        <w:rPr>
          <w:szCs w:val="22"/>
        </w:rPr>
        <w:t xml:space="preserve"> to facilitate Metrolink’s PTC deployment</w:t>
      </w:r>
      <w:r w:rsidR="00DE21F6" w:rsidRPr="00C032C2">
        <w:rPr>
          <w:szCs w:val="22"/>
        </w:rPr>
        <w:t>:</w:t>
      </w:r>
    </w:p>
    <w:p w14:paraId="0854FE85" w14:textId="77777777" w:rsidR="00DE21F6" w:rsidRPr="00C032C2" w:rsidRDefault="00DE21F6" w:rsidP="00C542E6">
      <w:pPr>
        <w:pStyle w:val="ParaNum"/>
        <w:numPr>
          <w:ilvl w:val="0"/>
          <w:numId w:val="3"/>
        </w:numPr>
        <w:tabs>
          <w:tab w:val="left" w:pos="1440"/>
        </w:tabs>
        <w:spacing w:after="220"/>
        <w:rPr>
          <w:szCs w:val="22"/>
        </w:rPr>
      </w:pPr>
      <w:r w:rsidRPr="00C032C2">
        <w:rPr>
          <w:szCs w:val="22"/>
        </w:rPr>
        <w:t>Section 80.92(a), which requires Part 80 licensees to monitor a frequency prior to transmitting;</w:t>
      </w:r>
      <w:r w:rsidRPr="00C032C2">
        <w:rPr>
          <w:rStyle w:val="FootnoteReference"/>
          <w:sz w:val="22"/>
          <w:szCs w:val="22"/>
        </w:rPr>
        <w:t xml:space="preserve"> </w:t>
      </w:r>
      <w:r w:rsidRPr="00C032C2">
        <w:rPr>
          <w:rStyle w:val="FootnoteReference"/>
          <w:sz w:val="22"/>
          <w:szCs w:val="22"/>
        </w:rPr>
        <w:footnoteReference w:id="88"/>
      </w:r>
    </w:p>
    <w:p w14:paraId="3FB4EF49" w14:textId="77777777" w:rsidR="00DE21F6" w:rsidRPr="00C032C2" w:rsidRDefault="00DE21F6" w:rsidP="00C542E6">
      <w:pPr>
        <w:pStyle w:val="ParaNum"/>
        <w:numPr>
          <w:ilvl w:val="0"/>
          <w:numId w:val="3"/>
        </w:numPr>
        <w:tabs>
          <w:tab w:val="left" w:pos="1440"/>
        </w:tabs>
        <w:spacing w:after="220"/>
        <w:rPr>
          <w:szCs w:val="22"/>
        </w:rPr>
      </w:pPr>
      <w:r w:rsidRPr="00C032C2">
        <w:rPr>
          <w:szCs w:val="22"/>
        </w:rPr>
        <w:t>Section 80.105, which requires coast stations to receive calls from ship and aircraft stations;</w:t>
      </w:r>
      <w:r w:rsidRPr="00C032C2">
        <w:rPr>
          <w:rStyle w:val="FootnoteReference"/>
          <w:sz w:val="22"/>
          <w:szCs w:val="22"/>
        </w:rPr>
        <w:footnoteReference w:id="89"/>
      </w:r>
      <w:r w:rsidRPr="00C032C2">
        <w:rPr>
          <w:szCs w:val="22"/>
        </w:rPr>
        <w:t xml:space="preserve"> </w:t>
      </w:r>
    </w:p>
    <w:p w14:paraId="1B4C9B7D" w14:textId="1096A6C7" w:rsidR="00DE21F6" w:rsidRPr="00C032C2" w:rsidRDefault="00DE21F6" w:rsidP="00C542E6">
      <w:pPr>
        <w:pStyle w:val="ParaNum"/>
        <w:numPr>
          <w:ilvl w:val="0"/>
          <w:numId w:val="3"/>
        </w:numPr>
        <w:tabs>
          <w:tab w:val="left" w:pos="1440"/>
        </w:tabs>
        <w:spacing w:after="220"/>
        <w:rPr>
          <w:szCs w:val="22"/>
        </w:rPr>
      </w:pPr>
      <w:r w:rsidRPr="00C032C2">
        <w:rPr>
          <w:szCs w:val="22"/>
        </w:rPr>
        <w:t>Section 80.123(a), which requires AMTS land stations to secure a letter authorizing the land station to communicate with the coast station;</w:t>
      </w:r>
      <w:r w:rsidRPr="00C032C2">
        <w:rPr>
          <w:rStyle w:val="FootnoteReference"/>
          <w:sz w:val="22"/>
          <w:szCs w:val="22"/>
        </w:rPr>
        <w:footnoteReference w:id="90"/>
      </w:r>
      <w:r w:rsidRPr="00C032C2">
        <w:rPr>
          <w:szCs w:val="22"/>
        </w:rPr>
        <w:t xml:space="preserve"> </w:t>
      </w:r>
    </w:p>
    <w:p w14:paraId="64F5C753" w14:textId="6D43714F" w:rsidR="00DE21F6" w:rsidRPr="00C032C2" w:rsidRDefault="00DE21F6" w:rsidP="00C542E6">
      <w:pPr>
        <w:pStyle w:val="ParaNum"/>
        <w:numPr>
          <w:ilvl w:val="0"/>
          <w:numId w:val="3"/>
        </w:numPr>
        <w:tabs>
          <w:tab w:val="left" w:pos="1440"/>
        </w:tabs>
        <w:spacing w:after="220"/>
        <w:rPr>
          <w:szCs w:val="22"/>
        </w:rPr>
      </w:pPr>
      <w:r w:rsidRPr="00C032C2">
        <w:rPr>
          <w:szCs w:val="22"/>
        </w:rPr>
        <w:t>Section 80.123(b), which requires coast stations to afford priority to marine-originating communications;</w:t>
      </w:r>
      <w:r w:rsidRPr="00C032C2">
        <w:rPr>
          <w:rStyle w:val="FootnoteReference"/>
          <w:sz w:val="22"/>
          <w:szCs w:val="22"/>
        </w:rPr>
        <w:footnoteReference w:id="91"/>
      </w:r>
      <w:r w:rsidRPr="00C032C2">
        <w:rPr>
          <w:szCs w:val="22"/>
        </w:rPr>
        <w:t xml:space="preserve"> </w:t>
      </w:r>
    </w:p>
    <w:p w14:paraId="43ECAED7" w14:textId="77777777" w:rsidR="00DE21F6" w:rsidRPr="00C032C2" w:rsidRDefault="00DE21F6" w:rsidP="00C542E6">
      <w:pPr>
        <w:pStyle w:val="ParaNum"/>
        <w:numPr>
          <w:ilvl w:val="0"/>
          <w:numId w:val="3"/>
        </w:numPr>
        <w:tabs>
          <w:tab w:val="left" w:pos="1440"/>
        </w:tabs>
        <w:spacing w:after="220"/>
        <w:rPr>
          <w:szCs w:val="22"/>
        </w:rPr>
      </w:pPr>
      <w:r w:rsidRPr="00C032C2">
        <w:rPr>
          <w:szCs w:val="22"/>
        </w:rPr>
        <w:t>Section 80.123(c), which requires AMTS land stations to use the associated coast station’s call sign, followed by a unique numeric or alphabetic unit identifier;</w:t>
      </w:r>
      <w:r w:rsidRPr="00C032C2">
        <w:rPr>
          <w:rStyle w:val="FootnoteReference"/>
          <w:sz w:val="22"/>
          <w:szCs w:val="22"/>
        </w:rPr>
        <w:t xml:space="preserve"> </w:t>
      </w:r>
      <w:r w:rsidRPr="00C032C2">
        <w:rPr>
          <w:rStyle w:val="FootnoteReference"/>
          <w:sz w:val="22"/>
          <w:szCs w:val="22"/>
        </w:rPr>
        <w:footnoteReference w:id="92"/>
      </w:r>
    </w:p>
    <w:p w14:paraId="10FBC296" w14:textId="36C6736D" w:rsidR="00DE21F6" w:rsidRDefault="00DE21F6" w:rsidP="00913B0D">
      <w:pPr>
        <w:pStyle w:val="ParaNum"/>
        <w:numPr>
          <w:ilvl w:val="0"/>
          <w:numId w:val="3"/>
        </w:numPr>
        <w:tabs>
          <w:tab w:val="left" w:pos="1440"/>
        </w:tabs>
        <w:spacing w:after="220"/>
        <w:rPr>
          <w:szCs w:val="22"/>
        </w:rPr>
      </w:pPr>
      <w:r w:rsidRPr="00520D44">
        <w:rPr>
          <w:szCs w:val="22"/>
        </w:rPr>
        <w:t>Section 80.123(f), which provides that AMTS land stations may only communicate with public coast stations;</w:t>
      </w:r>
      <w:r w:rsidRPr="00C032C2">
        <w:rPr>
          <w:rStyle w:val="FootnoteReference"/>
          <w:sz w:val="22"/>
          <w:szCs w:val="22"/>
        </w:rPr>
        <w:footnoteReference w:id="93"/>
      </w:r>
      <w:r w:rsidR="00520D44" w:rsidRPr="00520D44">
        <w:rPr>
          <w:szCs w:val="22"/>
        </w:rPr>
        <w:t xml:space="preserve"> </w:t>
      </w:r>
      <w:r w:rsidR="00F90732">
        <w:rPr>
          <w:szCs w:val="22"/>
        </w:rPr>
        <w:t>and</w:t>
      </w:r>
    </w:p>
    <w:p w14:paraId="2564AA84" w14:textId="4F5ED0F2" w:rsidR="00DE21F6" w:rsidRPr="00C032C2" w:rsidRDefault="00DE21F6" w:rsidP="00C542E6">
      <w:pPr>
        <w:pStyle w:val="ParaNum"/>
        <w:numPr>
          <w:ilvl w:val="0"/>
          <w:numId w:val="3"/>
        </w:numPr>
        <w:tabs>
          <w:tab w:val="left" w:pos="1440"/>
        </w:tabs>
        <w:spacing w:after="220"/>
        <w:rPr>
          <w:szCs w:val="22"/>
        </w:rPr>
      </w:pPr>
      <w:r w:rsidRPr="00C032C2">
        <w:rPr>
          <w:szCs w:val="22"/>
        </w:rPr>
        <w:t>Section 80.385(a)(2), which divides AMTS spectrum into coast (base) station frequencies (217-218 MHz) and ship (mobile) station frequencies (219-220 MHz).</w:t>
      </w:r>
      <w:r w:rsidRPr="00C032C2">
        <w:rPr>
          <w:rStyle w:val="FootnoteReference"/>
          <w:sz w:val="22"/>
          <w:szCs w:val="22"/>
        </w:rPr>
        <w:footnoteReference w:id="94"/>
      </w:r>
    </w:p>
    <w:p w14:paraId="21EE625F" w14:textId="7E6291B2" w:rsidR="00DE21F6" w:rsidRPr="00C032C2" w:rsidRDefault="00DE21F6" w:rsidP="00C542E6">
      <w:pPr>
        <w:pStyle w:val="ParaNum"/>
        <w:tabs>
          <w:tab w:val="clear" w:pos="1080"/>
          <w:tab w:val="num" w:pos="1440"/>
        </w:tabs>
        <w:rPr>
          <w:szCs w:val="22"/>
        </w:rPr>
      </w:pPr>
      <w:r w:rsidRPr="00C032C2">
        <w:rPr>
          <w:i/>
          <w:szCs w:val="22"/>
        </w:rPr>
        <w:t>Waiver Standard</w:t>
      </w:r>
      <w:r w:rsidRPr="00C032C2">
        <w:rPr>
          <w:szCs w:val="22"/>
        </w:rPr>
        <w:t>.  Section 1.925(b)(3) of the Commission's Rules provides that we may grant a waiver if it is shown that (i) the underlying purpose of the rule(s) would not be served or would be frustrated by application to the instant case, and grant of the requested waiver would be in the public interest; or (ii) in light of unique or unusual circumstances, application of the rule(s) would be inequitable, unduly burdensome, or contrary to the public interest, or the applicant has no reasonable alternative.</w:t>
      </w:r>
      <w:r w:rsidRPr="00C032C2">
        <w:rPr>
          <w:szCs w:val="22"/>
          <w:vertAlign w:val="superscript"/>
        </w:rPr>
        <w:footnoteReference w:id="95"/>
      </w:r>
      <w:r w:rsidRPr="00C032C2">
        <w:rPr>
          <w:szCs w:val="22"/>
        </w:rPr>
        <w:t xml:space="preserve">  The Commission also may waive a rule, in whole or in part, on its own motion or on petition </w:t>
      </w:r>
      <w:r w:rsidR="007747EE">
        <w:rPr>
          <w:szCs w:val="22"/>
        </w:rPr>
        <w:t xml:space="preserve">for </w:t>
      </w:r>
      <w:r w:rsidRPr="00C032C2">
        <w:rPr>
          <w:szCs w:val="22"/>
        </w:rPr>
        <w:t>good cause.</w:t>
      </w:r>
      <w:r w:rsidRPr="00C032C2">
        <w:rPr>
          <w:szCs w:val="22"/>
          <w:vertAlign w:val="superscript"/>
        </w:rPr>
        <w:footnoteReference w:id="96"/>
      </w:r>
    </w:p>
    <w:p w14:paraId="35E8EA57" w14:textId="6DB2202E" w:rsidR="00DE21F6" w:rsidRPr="005D1BE1" w:rsidRDefault="007747EE" w:rsidP="005D1BE1">
      <w:pPr>
        <w:pStyle w:val="ParaNum"/>
        <w:tabs>
          <w:tab w:val="clear" w:pos="1080"/>
          <w:tab w:val="num" w:pos="1440"/>
        </w:tabs>
        <w:rPr>
          <w:szCs w:val="22"/>
        </w:rPr>
      </w:pPr>
      <w:r>
        <w:rPr>
          <w:szCs w:val="22"/>
        </w:rPr>
        <w:t>Further</w:t>
      </w:r>
      <w:r w:rsidR="00DE21F6" w:rsidRPr="00C032C2">
        <w:rPr>
          <w:szCs w:val="22"/>
        </w:rPr>
        <w:t>, when the Commission amended its rules to permit AMTS stations to provide private correspondence service to units on land, it stated that the following factors would be considered in evaluating requests</w:t>
      </w:r>
      <w:r>
        <w:rPr>
          <w:szCs w:val="22"/>
        </w:rPr>
        <w:t xml:space="preserve"> for waiver of AMTS rules</w:t>
      </w:r>
      <w:r w:rsidR="00DE21F6" w:rsidRPr="00C032C2">
        <w:rPr>
          <w:szCs w:val="22"/>
        </w:rPr>
        <w:t xml:space="preserve">:  (a) whether the applicant will provide priority to maritime communications; (b) the distance of a </w:t>
      </w:r>
      <w:r w:rsidR="00DE21F6" w:rsidRPr="00C032C2">
        <w:rPr>
          <w:bCs/>
          <w:szCs w:val="22"/>
        </w:rPr>
        <w:t>proposed</w:t>
      </w:r>
      <w:r w:rsidR="00DE21F6" w:rsidRPr="00C032C2">
        <w:rPr>
          <w:szCs w:val="22"/>
        </w:rPr>
        <w:t xml:space="preserve"> </w:t>
      </w:r>
      <w:r w:rsidR="00DE21F6" w:rsidRPr="00C032C2">
        <w:rPr>
          <w:bCs/>
          <w:szCs w:val="22"/>
        </w:rPr>
        <w:t>land</w:t>
      </w:r>
      <w:r w:rsidR="00DE21F6" w:rsidRPr="00C032C2">
        <w:rPr>
          <w:szCs w:val="22"/>
        </w:rPr>
        <w:t xml:space="preserve"> </w:t>
      </w:r>
      <w:r w:rsidR="00DE21F6" w:rsidRPr="00C032C2">
        <w:rPr>
          <w:bCs/>
          <w:szCs w:val="22"/>
        </w:rPr>
        <w:t>mobile</w:t>
      </w:r>
      <w:r w:rsidR="00DE21F6" w:rsidRPr="00C032C2">
        <w:rPr>
          <w:szCs w:val="22"/>
        </w:rPr>
        <w:t xml:space="preserve"> radio operation from the nearest navigable waterways; (c) the magnitude of divergence sought from specific </w:t>
      </w:r>
      <w:r w:rsidR="00DE21F6" w:rsidRPr="00C032C2">
        <w:rPr>
          <w:bCs/>
          <w:szCs w:val="22"/>
        </w:rPr>
        <w:t>Part</w:t>
      </w:r>
      <w:r w:rsidR="00DE21F6" w:rsidRPr="00C032C2">
        <w:rPr>
          <w:szCs w:val="22"/>
        </w:rPr>
        <w:t xml:space="preserve"> </w:t>
      </w:r>
      <w:r w:rsidR="00DE21F6" w:rsidRPr="00C032C2">
        <w:rPr>
          <w:bCs/>
          <w:szCs w:val="22"/>
        </w:rPr>
        <w:t>80</w:t>
      </w:r>
      <w:r w:rsidR="00DE21F6" w:rsidRPr="00C032C2">
        <w:rPr>
          <w:szCs w:val="22"/>
        </w:rPr>
        <w:t xml:space="preserve"> technical requirements; (d) whether alternative </w:t>
      </w:r>
      <w:r w:rsidR="00DE21F6" w:rsidRPr="00C032C2">
        <w:rPr>
          <w:bCs/>
          <w:szCs w:val="22"/>
        </w:rPr>
        <w:t>spectrum</w:t>
      </w:r>
      <w:r w:rsidR="00DE21F6" w:rsidRPr="00C032C2">
        <w:rPr>
          <w:szCs w:val="22"/>
        </w:rPr>
        <w:t xml:space="preserve"> that could accommodate the </w:t>
      </w:r>
      <w:r w:rsidR="00DE21F6" w:rsidRPr="00C032C2">
        <w:rPr>
          <w:bCs/>
          <w:szCs w:val="22"/>
        </w:rPr>
        <w:t>proposed</w:t>
      </w:r>
      <w:r w:rsidR="00DE21F6" w:rsidRPr="00C032C2">
        <w:rPr>
          <w:szCs w:val="22"/>
        </w:rPr>
        <w:t xml:space="preserve"> private land mobile radio (PLMR) or other </w:t>
      </w:r>
      <w:r w:rsidR="00DE21F6" w:rsidRPr="00C032C2">
        <w:rPr>
          <w:bCs/>
          <w:szCs w:val="22"/>
        </w:rPr>
        <w:t>land</w:t>
      </w:r>
      <w:r w:rsidR="00DE21F6" w:rsidRPr="00C032C2">
        <w:rPr>
          <w:szCs w:val="22"/>
        </w:rPr>
        <w:t xml:space="preserve"> </w:t>
      </w:r>
      <w:r w:rsidR="00DE21F6" w:rsidRPr="00C032C2">
        <w:rPr>
          <w:bCs/>
          <w:szCs w:val="22"/>
        </w:rPr>
        <w:t>mobile</w:t>
      </w:r>
      <w:r w:rsidR="00DE21F6" w:rsidRPr="00C032C2">
        <w:rPr>
          <w:szCs w:val="22"/>
        </w:rPr>
        <w:t xml:space="preserve"> radio service is unavailable or unsuitable for that purpose;</w:t>
      </w:r>
      <w:r w:rsidR="00DE21F6" w:rsidRPr="00C032C2">
        <w:rPr>
          <w:szCs w:val="22"/>
          <w:vertAlign w:val="superscript"/>
        </w:rPr>
        <w:t xml:space="preserve"> </w:t>
      </w:r>
      <w:r w:rsidR="00DE21F6" w:rsidRPr="00C032C2">
        <w:rPr>
          <w:szCs w:val="22"/>
        </w:rPr>
        <w:t xml:space="preserve">and (e) whether grant of the </w:t>
      </w:r>
      <w:r w:rsidR="00DE21F6" w:rsidRPr="00C032C2">
        <w:rPr>
          <w:bCs/>
          <w:szCs w:val="22"/>
        </w:rPr>
        <w:t>waiver</w:t>
      </w:r>
      <w:r w:rsidR="00DE21F6" w:rsidRPr="00C032C2">
        <w:rPr>
          <w:szCs w:val="22"/>
        </w:rPr>
        <w:t xml:space="preserve"> would benefit public safety or homeland security (including support of critical infrastructure).</w:t>
      </w:r>
      <w:r w:rsidR="00DE21F6" w:rsidRPr="00C032C2">
        <w:rPr>
          <w:rStyle w:val="FootnoteReference"/>
          <w:sz w:val="22"/>
          <w:szCs w:val="22"/>
        </w:rPr>
        <w:footnoteReference w:id="97"/>
      </w:r>
    </w:p>
    <w:p w14:paraId="4372D2B6" w14:textId="00F44995" w:rsidR="0003629A" w:rsidRPr="00744EF5" w:rsidRDefault="00DE21F6" w:rsidP="00913B0D">
      <w:pPr>
        <w:pStyle w:val="ParaNum"/>
        <w:tabs>
          <w:tab w:val="clear" w:pos="1080"/>
          <w:tab w:val="num" w:pos="1440"/>
        </w:tabs>
        <w:rPr>
          <w:szCs w:val="22"/>
        </w:rPr>
      </w:pPr>
      <w:r w:rsidRPr="00744EF5">
        <w:rPr>
          <w:i/>
          <w:szCs w:val="22"/>
        </w:rPr>
        <w:t>Section 80.92(a)</w:t>
      </w:r>
      <w:r w:rsidRPr="00744EF5">
        <w:rPr>
          <w:szCs w:val="22"/>
        </w:rPr>
        <w:t>.  Section 80.92(a) requires a</w:t>
      </w:r>
      <w:r w:rsidR="007747EE" w:rsidRPr="00744EF5">
        <w:rPr>
          <w:szCs w:val="22"/>
        </w:rPr>
        <w:t xml:space="preserve">n AMTS </w:t>
      </w:r>
      <w:r w:rsidRPr="00744EF5">
        <w:rPr>
          <w:szCs w:val="22"/>
        </w:rPr>
        <w:t>station operator to determine that a frequency is not in use before transmitting.</w:t>
      </w:r>
      <w:r w:rsidRPr="00C032C2">
        <w:rPr>
          <w:rStyle w:val="FootnoteReference"/>
          <w:sz w:val="22"/>
          <w:szCs w:val="22"/>
        </w:rPr>
        <w:footnoteReference w:id="98"/>
      </w:r>
      <w:r w:rsidRPr="00744EF5">
        <w:rPr>
          <w:szCs w:val="22"/>
        </w:rPr>
        <w:t xml:space="preserve">  SCRRA states that “because PTC systems must be operated on an exclusive</w:t>
      </w:r>
      <w:r w:rsidR="00FF2A88" w:rsidRPr="00744EF5">
        <w:rPr>
          <w:szCs w:val="22"/>
        </w:rPr>
        <w:t xml:space="preserve"> </w:t>
      </w:r>
      <w:r w:rsidRPr="00744EF5">
        <w:rPr>
          <w:szCs w:val="22"/>
        </w:rPr>
        <w:t>use basis, there is no reason to listen first for nonexistent other transmitters.”</w:t>
      </w:r>
      <w:r w:rsidRPr="00C032C2">
        <w:rPr>
          <w:rStyle w:val="FootnoteReference"/>
          <w:sz w:val="22"/>
          <w:szCs w:val="22"/>
        </w:rPr>
        <w:footnoteReference w:id="99"/>
      </w:r>
      <w:r w:rsidRPr="00744EF5">
        <w:rPr>
          <w:szCs w:val="22"/>
        </w:rPr>
        <w:t xml:space="preserve">  SCRRA explains that the rule is inapplicable to SCRRA’s Time Division Multiple Access (TDMA) PTC technology, which assigns timeslots to users on a repeating basis so there is no time (spectrum capacity) lost listening before transmitting.</w:t>
      </w:r>
      <w:r w:rsidRPr="00C032C2">
        <w:rPr>
          <w:rStyle w:val="FootnoteReference"/>
          <w:sz w:val="22"/>
          <w:szCs w:val="22"/>
        </w:rPr>
        <w:footnoteReference w:id="100"/>
      </w:r>
      <w:r w:rsidRPr="00744EF5">
        <w:rPr>
          <w:szCs w:val="22"/>
        </w:rPr>
        <w:t xml:space="preserve">  </w:t>
      </w:r>
      <w:r w:rsidR="006E1D18" w:rsidRPr="00744EF5">
        <w:rPr>
          <w:szCs w:val="22"/>
        </w:rPr>
        <w:t xml:space="preserve">In the </w:t>
      </w:r>
      <w:r w:rsidR="006E1D18" w:rsidRPr="00744EF5">
        <w:rPr>
          <w:i/>
          <w:szCs w:val="22"/>
        </w:rPr>
        <w:t>Amtrak Part 80 Waiver Order</w:t>
      </w:r>
      <w:r w:rsidR="006E1D18" w:rsidRPr="00744EF5">
        <w:rPr>
          <w:szCs w:val="22"/>
        </w:rPr>
        <w:t xml:space="preserve">, the Bureau </w:t>
      </w:r>
      <w:r w:rsidR="00CA3804">
        <w:rPr>
          <w:szCs w:val="22"/>
        </w:rPr>
        <w:t xml:space="preserve">found that </w:t>
      </w:r>
      <w:r w:rsidR="006E1D18" w:rsidRPr="00744EF5">
        <w:rPr>
          <w:szCs w:val="22"/>
        </w:rPr>
        <w:t>waiv</w:t>
      </w:r>
      <w:r w:rsidR="00CA3804">
        <w:rPr>
          <w:szCs w:val="22"/>
        </w:rPr>
        <w:t xml:space="preserve">ing </w:t>
      </w:r>
      <w:r w:rsidR="006E1D18" w:rsidRPr="00744EF5">
        <w:rPr>
          <w:szCs w:val="22"/>
        </w:rPr>
        <w:t>the requirement to monitor before transmitting</w:t>
      </w:r>
      <w:r w:rsidR="00744EF5" w:rsidRPr="00744EF5">
        <w:rPr>
          <w:szCs w:val="22"/>
        </w:rPr>
        <w:t xml:space="preserve"> </w:t>
      </w:r>
      <w:r w:rsidR="00CA3804">
        <w:rPr>
          <w:szCs w:val="22"/>
        </w:rPr>
        <w:t>would “</w:t>
      </w:r>
      <w:r w:rsidR="00744EF5" w:rsidRPr="00744EF5">
        <w:rPr>
          <w:szCs w:val="22"/>
        </w:rPr>
        <w:t>promote the efficient use of AMTS spectrum and serve the public interest by promoting rail safety.”</w:t>
      </w:r>
      <w:r w:rsidR="00744EF5">
        <w:rPr>
          <w:rStyle w:val="FootnoteReference"/>
          <w:szCs w:val="22"/>
        </w:rPr>
        <w:footnoteReference w:id="101"/>
      </w:r>
      <w:r w:rsidR="00744EF5">
        <w:rPr>
          <w:szCs w:val="22"/>
        </w:rPr>
        <w:t xml:space="preserve">  </w:t>
      </w:r>
      <w:r w:rsidRPr="00744EF5">
        <w:rPr>
          <w:szCs w:val="22"/>
        </w:rPr>
        <w:t xml:space="preserve">We find that the underlying purpose of Section 80.92(a)’s requirement to listen before transmitting—to avoid interference—would not be served where, as here, </w:t>
      </w:r>
      <w:r w:rsidR="005857FF">
        <w:rPr>
          <w:szCs w:val="22"/>
        </w:rPr>
        <w:t>there will be no co-channel incumbent licensees</w:t>
      </w:r>
      <w:r w:rsidR="00FF2A88" w:rsidRPr="00744EF5">
        <w:rPr>
          <w:szCs w:val="22"/>
        </w:rPr>
        <w:t>,</w:t>
      </w:r>
      <w:r w:rsidRPr="00744EF5">
        <w:rPr>
          <w:szCs w:val="22"/>
        </w:rPr>
        <w:t xml:space="preserve"> and that grant of the requested waiver would be in the public interest</w:t>
      </w:r>
      <w:r w:rsidR="00530093">
        <w:rPr>
          <w:szCs w:val="22"/>
        </w:rPr>
        <w:t xml:space="preserve"> by promoting </w:t>
      </w:r>
      <w:r w:rsidR="0042579D">
        <w:rPr>
          <w:szCs w:val="22"/>
        </w:rPr>
        <w:t xml:space="preserve">rail safety and </w:t>
      </w:r>
      <w:r w:rsidR="00CA3804">
        <w:rPr>
          <w:szCs w:val="22"/>
        </w:rPr>
        <w:t>the efficient use of AMTS sp</w:t>
      </w:r>
      <w:r w:rsidR="0042579D">
        <w:rPr>
          <w:szCs w:val="22"/>
        </w:rPr>
        <w:t>ec</w:t>
      </w:r>
      <w:r w:rsidR="00CA3804">
        <w:rPr>
          <w:szCs w:val="22"/>
        </w:rPr>
        <w:t>trum</w:t>
      </w:r>
      <w:r w:rsidRPr="00744EF5">
        <w:rPr>
          <w:szCs w:val="22"/>
        </w:rPr>
        <w:t>.</w:t>
      </w:r>
      <w:r w:rsidRPr="00C032C2">
        <w:rPr>
          <w:rStyle w:val="FootnoteReference"/>
          <w:sz w:val="22"/>
          <w:szCs w:val="22"/>
        </w:rPr>
        <w:footnoteReference w:id="102"/>
      </w:r>
    </w:p>
    <w:p w14:paraId="0F8B07DD" w14:textId="0220E3B9" w:rsidR="00CD56FE" w:rsidRDefault="00DE21F6" w:rsidP="00913B0D">
      <w:pPr>
        <w:pStyle w:val="ParaNum"/>
        <w:tabs>
          <w:tab w:val="clear" w:pos="1080"/>
          <w:tab w:val="num" w:pos="1440"/>
        </w:tabs>
      </w:pPr>
      <w:r w:rsidRPr="00CD56FE">
        <w:rPr>
          <w:i/>
          <w:szCs w:val="22"/>
        </w:rPr>
        <w:t>Section 80.105 and Section 80.123(b)</w:t>
      </w:r>
      <w:r w:rsidRPr="00CD56FE">
        <w:rPr>
          <w:szCs w:val="22"/>
        </w:rPr>
        <w:t>.  SCRRA requests waiver of the requirements that AMTS licensees receive calls from ship stations (Section 80.105),</w:t>
      </w:r>
      <w:r w:rsidRPr="00C032C2">
        <w:rPr>
          <w:rStyle w:val="FootnoteReference"/>
          <w:sz w:val="22"/>
          <w:szCs w:val="22"/>
        </w:rPr>
        <w:footnoteReference w:id="103"/>
      </w:r>
      <w:r w:rsidRPr="00CD56FE">
        <w:rPr>
          <w:szCs w:val="22"/>
        </w:rPr>
        <w:t xml:space="preserve"> and that they afford priority to marine communications (Section 80.123(b)</w:t>
      </w:r>
      <w:r w:rsidR="00C4221F" w:rsidRPr="00CD56FE">
        <w:rPr>
          <w:szCs w:val="22"/>
        </w:rPr>
        <w:t>)</w:t>
      </w:r>
      <w:r w:rsidRPr="00CD56FE">
        <w:rPr>
          <w:szCs w:val="22"/>
        </w:rPr>
        <w:t>.</w:t>
      </w:r>
      <w:r w:rsidRPr="00C032C2">
        <w:rPr>
          <w:rStyle w:val="FootnoteReference"/>
          <w:sz w:val="22"/>
          <w:szCs w:val="22"/>
        </w:rPr>
        <w:footnoteReference w:id="104"/>
      </w:r>
      <w:r w:rsidRPr="00CD56FE">
        <w:rPr>
          <w:szCs w:val="22"/>
        </w:rPr>
        <w:t xml:space="preserve">  </w:t>
      </w:r>
      <w:r w:rsidR="00553BAE" w:rsidRPr="00CD56FE">
        <w:rPr>
          <w:szCs w:val="22"/>
        </w:rPr>
        <w:t>SCRRA explains that PTC “must be operated on an exclusive-use private land mobile basis, and could not possibly provide service to maritime traffic.”</w:t>
      </w:r>
      <w:r w:rsidR="00553BAE" w:rsidRPr="00C032C2">
        <w:rPr>
          <w:rStyle w:val="FootnoteReference"/>
          <w:sz w:val="22"/>
          <w:szCs w:val="22"/>
        </w:rPr>
        <w:footnoteReference w:id="105"/>
      </w:r>
      <w:r w:rsidR="00553BAE" w:rsidRPr="00CD56FE">
        <w:rPr>
          <w:szCs w:val="22"/>
        </w:rPr>
        <w:t xml:space="preserve">  SCRRA states that transmissions from other users would create interference with its PTC system and could cause unplanned stops where </w:t>
      </w:r>
      <w:r w:rsidR="00553BAE" w:rsidRPr="00AE7796">
        <w:rPr>
          <w:szCs w:val="22"/>
        </w:rPr>
        <w:t>“the PTC system interprets the lack of its own signal reception as a lack of movement authority.”</w:t>
      </w:r>
      <w:r w:rsidR="00553BAE" w:rsidRPr="00AE7796">
        <w:rPr>
          <w:rStyle w:val="FootnoteReference"/>
          <w:sz w:val="22"/>
          <w:szCs w:val="22"/>
        </w:rPr>
        <w:footnoteReference w:id="106"/>
      </w:r>
      <w:r w:rsidR="00553BAE" w:rsidRPr="00AE7796">
        <w:rPr>
          <w:szCs w:val="22"/>
        </w:rPr>
        <w:t xml:space="preserve">  The FRA supports the rule waivers requested by SCRRA, stating that they are “required to allow necessary intercommunication between the various PTC system elements,” and that not granting rule waivers “would be detrimental to PTC operation by interrupting critical information flow.”</w:t>
      </w:r>
      <w:r w:rsidR="00553BAE" w:rsidRPr="00AE7796">
        <w:rPr>
          <w:szCs w:val="22"/>
          <w:vertAlign w:val="superscript"/>
        </w:rPr>
        <w:footnoteReference w:id="107"/>
      </w:r>
      <w:r w:rsidR="00CD56FE" w:rsidRPr="00AE7796">
        <w:rPr>
          <w:szCs w:val="22"/>
        </w:rPr>
        <w:t xml:space="preserve">  </w:t>
      </w:r>
      <w:r w:rsidR="003A2945" w:rsidRPr="00AE7796">
        <w:t xml:space="preserve">The Havens Entities oppose </w:t>
      </w:r>
      <w:r w:rsidR="005D1BE1" w:rsidRPr="00AE7796">
        <w:rPr>
          <w:szCs w:val="22"/>
        </w:rPr>
        <w:t>the</w:t>
      </w:r>
      <w:r w:rsidR="005D1BE1" w:rsidRPr="00AE7796">
        <w:t xml:space="preserve"> </w:t>
      </w:r>
      <w:r w:rsidR="00AE7796" w:rsidRPr="00AE7796">
        <w:t xml:space="preserve">requested </w:t>
      </w:r>
      <w:r w:rsidR="005D1BE1" w:rsidRPr="00AE7796">
        <w:t xml:space="preserve">rule </w:t>
      </w:r>
      <w:r w:rsidR="003A2945" w:rsidRPr="00AE7796">
        <w:t>waiver</w:t>
      </w:r>
      <w:r w:rsidR="005D1BE1" w:rsidRPr="00AE7796">
        <w:t>s</w:t>
      </w:r>
      <w:r w:rsidR="003A2945" w:rsidRPr="00AE7796">
        <w:t xml:space="preserve">, claiming </w:t>
      </w:r>
      <w:r w:rsidR="00667132" w:rsidRPr="00AE7796">
        <w:t xml:space="preserve">SCRRA has </w:t>
      </w:r>
      <w:r w:rsidR="003A2945" w:rsidRPr="00AE7796">
        <w:t>fail</w:t>
      </w:r>
      <w:r w:rsidR="00667132" w:rsidRPr="00AE7796">
        <w:t>ed</w:t>
      </w:r>
      <w:r w:rsidR="003A2945" w:rsidRPr="00AE7796">
        <w:t xml:space="preserve"> to </w:t>
      </w:r>
      <w:r w:rsidR="00667132" w:rsidRPr="00AE7796">
        <w:t xml:space="preserve">show </w:t>
      </w:r>
      <w:r w:rsidR="003A2945" w:rsidRPr="00AE7796">
        <w:t xml:space="preserve">good </w:t>
      </w:r>
      <w:r w:rsidR="00667132" w:rsidRPr="00AE7796">
        <w:t xml:space="preserve">reason </w:t>
      </w:r>
      <w:r w:rsidR="003A2945" w:rsidRPr="00AE7796">
        <w:t xml:space="preserve">why </w:t>
      </w:r>
      <w:r w:rsidR="00667132" w:rsidRPr="00AE7796">
        <w:t xml:space="preserve">they </w:t>
      </w:r>
      <w:r w:rsidR="003A2945" w:rsidRPr="00AE7796">
        <w:t>should</w:t>
      </w:r>
      <w:r w:rsidR="003A2945" w:rsidRPr="005D1BE1">
        <w:t xml:space="preserve"> be waived in one of the largest port areas of the U</w:t>
      </w:r>
      <w:r w:rsidR="00667132">
        <w:t xml:space="preserve">nited </w:t>
      </w:r>
      <w:r w:rsidR="003A2945" w:rsidRPr="005D1BE1">
        <w:t>S</w:t>
      </w:r>
      <w:r w:rsidR="00667132">
        <w:t>tates</w:t>
      </w:r>
      <w:r w:rsidR="003A2945" w:rsidRPr="005D1BE1">
        <w:t>.</w:t>
      </w:r>
      <w:r w:rsidR="003A2945" w:rsidRPr="005D1BE1">
        <w:rPr>
          <w:rStyle w:val="FootnoteReference"/>
          <w:sz w:val="22"/>
          <w:szCs w:val="22"/>
        </w:rPr>
        <w:footnoteReference w:id="108"/>
      </w:r>
    </w:p>
    <w:p w14:paraId="3B02F573" w14:textId="654C5A87" w:rsidR="00BB188C" w:rsidRPr="00553BAE" w:rsidRDefault="00C4221F" w:rsidP="00913B0D">
      <w:pPr>
        <w:pStyle w:val="ParaNum"/>
        <w:tabs>
          <w:tab w:val="clear" w:pos="1080"/>
          <w:tab w:val="num" w:pos="1440"/>
        </w:tabs>
      </w:pPr>
      <w:r w:rsidRPr="005D1BE1">
        <w:t xml:space="preserve">In the </w:t>
      </w:r>
      <w:r w:rsidRPr="00CD56FE">
        <w:rPr>
          <w:i/>
        </w:rPr>
        <w:t>Amtrak Part 80 Waiver Order</w:t>
      </w:r>
      <w:r w:rsidRPr="005D1BE1">
        <w:t>, t</w:t>
      </w:r>
      <w:r w:rsidR="00553BAE" w:rsidRPr="005D1BE1">
        <w:t xml:space="preserve">he Bureau waived </w:t>
      </w:r>
      <w:r w:rsidR="005D1BE1">
        <w:t xml:space="preserve">the requirement to </w:t>
      </w:r>
      <w:r w:rsidR="005D1BE1" w:rsidRPr="00CD56FE">
        <w:rPr>
          <w:szCs w:val="22"/>
        </w:rPr>
        <w:t>afford priority to marine communications</w:t>
      </w:r>
      <w:r w:rsidR="005D1BE1" w:rsidRPr="005D1BE1">
        <w:t xml:space="preserve"> </w:t>
      </w:r>
      <w:r w:rsidR="00BB188C" w:rsidRPr="005D1BE1">
        <w:t xml:space="preserve">to </w:t>
      </w:r>
      <w:r w:rsidR="003A2945" w:rsidRPr="005D1BE1">
        <w:t xml:space="preserve">enable </w:t>
      </w:r>
      <w:r w:rsidR="00553BAE" w:rsidRPr="005D1BE1">
        <w:t>PTC,</w:t>
      </w:r>
      <w:r w:rsidR="003A2945" w:rsidRPr="005D1BE1">
        <w:t xml:space="preserve"> </w:t>
      </w:r>
      <w:r w:rsidR="00BB188C" w:rsidRPr="005D1BE1">
        <w:t xml:space="preserve">finding that </w:t>
      </w:r>
      <w:r w:rsidR="00334394" w:rsidRPr="005D1BE1">
        <w:t>“use of the AMTS frequencies will not jeopardize the maritime community’s ability to meet its operational, safety, and security communications needs</w:t>
      </w:r>
      <w:r w:rsidR="00DE21F6" w:rsidRPr="005D1BE1">
        <w:t>.</w:t>
      </w:r>
      <w:r w:rsidR="00334394" w:rsidRPr="005D1BE1">
        <w:t>”</w:t>
      </w:r>
      <w:r w:rsidR="002043DC" w:rsidRPr="005D1BE1">
        <w:rPr>
          <w:rStyle w:val="FootnoteReference"/>
          <w:sz w:val="22"/>
          <w:szCs w:val="22"/>
        </w:rPr>
        <w:footnoteReference w:id="109"/>
      </w:r>
      <w:r w:rsidR="005D1BE1" w:rsidRPr="005D1BE1">
        <w:t xml:space="preserve">  </w:t>
      </w:r>
      <w:r w:rsidR="00BB188C" w:rsidRPr="005D1BE1">
        <w:t xml:space="preserve">SCRRA states that </w:t>
      </w:r>
      <w:r w:rsidR="00553BAE" w:rsidRPr="005D1BE1">
        <w:t xml:space="preserve">waiver of </w:t>
      </w:r>
      <w:r w:rsidR="005D1BE1">
        <w:t>th</w:t>
      </w:r>
      <w:r w:rsidR="0087738F">
        <w:t xml:space="preserve">e marine-priority </w:t>
      </w:r>
      <w:r w:rsidR="005D1BE1">
        <w:t>requirement</w:t>
      </w:r>
      <w:r w:rsidR="00553BAE" w:rsidRPr="005D1BE1">
        <w:t xml:space="preserve"> w</w:t>
      </w:r>
      <w:r w:rsidR="00BB188C" w:rsidRPr="005D1BE1">
        <w:t xml:space="preserve">ill not harm maritime users because there are numerous other licensees in the </w:t>
      </w:r>
      <w:r w:rsidR="0087738F">
        <w:t xml:space="preserve">relevant </w:t>
      </w:r>
      <w:r w:rsidR="00BB188C" w:rsidRPr="005D1BE1">
        <w:t>area available to meet marine communications needs.</w:t>
      </w:r>
      <w:r w:rsidR="00BB188C" w:rsidRPr="005D1BE1">
        <w:rPr>
          <w:rStyle w:val="FootnoteReference"/>
          <w:sz w:val="22"/>
          <w:szCs w:val="22"/>
        </w:rPr>
        <w:footnoteReference w:id="110"/>
      </w:r>
      <w:r w:rsidR="00BB188C" w:rsidRPr="005D1BE1">
        <w:t xml:space="preserve">  SCRRA also notes that maritime users are increasingly</w:t>
      </w:r>
      <w:r w:rsidR="00BB188C" w:rsidRPr="00553BAE">
        <w:t xml:space="preserve"> using cellular and satellite telephone service to meet their communications needs and that the coastal area of the proposed partitioned license area is well served by cellular and satellite service providers.</w:t>
      </w:r>
      <w:r w:rsidR="00BB188C" w:rsidRPr="00BB188C">
        <w:rPr>
          <w:rStyle w:val="FootnoteReference"/>
          <w:sz w:val="22"/>
          <w:szCs w:val="22"/>
        </w:rPr>
        <w:footnoteReference w:id="111"/>
      </w:r>
      <w:r w:rsidR="00BB188C" w:rsidRPr="00553BAE">
        <w:t xml:space="preserve">  </w:t>
      </w:r>
    </w:p>
    <w:p w14:paraId="6EBC2520" w14:textId="54B42237" w:rsidR="00E548B1" w:rsidRPr="005D1BE1" w:rsidRDefault="00BB188C" w:rsidP="005D1BE1">
      <w:pPr>
        <w:pStyle w:val="ParaNum"/>
        <w:tabs>
          <w:tab w:val="clear" w:pos="1080"/>
          <w:tab w:val="num" w:pos="1440"/>
        </w:tabs>
        <w:rPr>
          <w:szCs w:val="22"/>
        </w:rPr>
      </w:pPr>
      <w:r w:rsidRPr="005D1BE1">
        <w:rPr>
          <w:szCs w:val="22"/>
        </w:rPr>
        <w:t xml:space="preserve">In the </w:t>
      </w:r>
      <w:r w:rsidRPr="005D1BE1">
        <w:rPr>
          <w:i/>
          <w:szCs w:val="22"/>
        </w:rPr>
        <w:t>Amtrak Part 80 Waiver Order</w:t>
      </w:r>
      <w:r w:rsidRPr="005D1BE1">
        <w:rPr>
          <w:szCs w:val="22"/>
        </w:rPr>
        <w:t>, t</w:t>
      </w:r>
      <w:r w:rsidR="00C4221F" w:rsidRPr="005D1BE1">
        <w:rPr>
          <w:szCs w:val="22"/>
        </w:rPr>
        <w:t xml:space="preserve">he Bureau also </w:t>
      </w:r>
      <w:r w:rsidR="0070362C" w:rsidRPr="005D1BE1">
        <w:rPr>
          <w:szCs w:val="22"/>
        </w:rPr>
        <w:t xml:space="preserve">waived </w:t>
      </w:r>
      <w:r w:rsidR="00C4221F" w:rsidRPr="005D1BE1">
        <w:rPr>
          <w:szCs w:val="22"/>
        </w:rPr>
        <w:t xml:space="preserve">the </w:t>
      </w:r>
      <w:r w:rsidR="0070362C" w:rsidRPr="005D1BE1">
        <w:rPr>
          <w:szCs w:val="22"/>
        </w:rPr>
        <w:t xml:space="preserve">Section 80.105 requirement </w:t>
      </w:r>
      <w:r w:rsidR="00812B4B">
        <w:rPr>
          <w:szCs w:val="22"/>
        </w:rPr>
        <w:t>that coast stations</w:t>
      </w:r>
      <w:r w:rsidR="00812B4B" w:rsidRPr="005D1BE1">
        <w:rPr>
          <w:szCs w:val="22"/>
        </w:rPr>
        <w:t xml:space="preserve"> </w:t>
      </w:r>
      <w:r w:rsidR="0070362C" w:rsidRPr="005D1BE1">
        <w:rPr>
          <w:szCs w:val="22"/>
        </w:rPr>
        <w:t>receive calls from ship stations, finding that</w:t>
      </w:r>
      <w:r w:rsidR="00510EA3" w:rsidRPr="005D1BE1">
        <w:rPr>
          <w:szCs w:val="22"/>
        </w:rPr>
        <w:t xml:space="preserve"> “permitting Amtrak’s stations to communicate with stations other than public coast and ship stations will promote the efficient use of AMTS spectrum and serve the public interest by improving safety in railroad operations.”</w:t>
      </w:r>
      <w:r w:rsidR="00510EA3" w:rsidRPr="00C032C2">
        <w:rPr>
          <w:rStyle w:val="FootnoteReference"/>
          <w:sz w:val="22"/>
          <w:szCs w:val="22"/>
        </w:rPr>
        <w:footnoteReference w:id="112"/>
      </w:r>
      <w:r w:rsidR="00510EA3" w:rsidRPr="005D1BE1">
        <w:rPr>
          <w:szCs w:val="22"/>
        </w:rPr>
        <w:t xml:space="preserve"> </w:t>
      </w:r>
      <w:r w:rsidR="00B335A7" w:rsidRPr="005D1BE1">
        <w:rPr>
          <w:szCs w:val="22"/>
        </w:rPr>
        <w:t xml:space="preserve"> </w:t>
      </w:r>
      <w:r w:rsidR="005D1BE1" w:rsidRPr="00553BAE">
        <w:t xml:space="preserve">We find </w:t>
      </w:r>
      <w:r w:rsidR="005D1BE1">
        <w:t xml:space="preserve">that </w:t>
      </w:r>
      <w:r w:rsidR="005D1BE1" w:rsidRPr="00553BAE">
        <w:t>waiver</w:t>
      </w:r>
      <w:r w:rsidR="005D1BE1">
        <w:t xml:space="preserve"> of </w:t>
      </w:r>
      <w:r w:rsidR="005D1BE1" w:rsidRPr="005D1BE1">
        <w:rPr>
          <w:szCs w:val="22"/>
        </w:rPr>
        <w:t xml:space="preserve">Sections 80.105 and </w:t>
      </w:r>
      <w:r w:rsidR="005D1BE1">
        <w:t xml:space="preserve">80.123(b) </w:t>
      </w:r>
      <w:r w:rsidR="005D1BE1" w:rsidRPr="00553BAE">
        <w:t xml:space="preserve">to </w:t>
      </w:r>
      <w:r w:rsidR="005D1BE1">
        <w:t xml:space="preserve">enable SCRRA’s PTC </w:t>
      </w:r>
      <w:r w:rsidR="005D1BE1" w:rsidRPr="00553BAE">
        <w:t>deploy</w:t>
      </w:r>
      <w:r w:rsidR="005D1BE1">
        <w:t xml:space="preserve">ment </w:t>
      </w:r>
      <w:r w:rsidR="005D1BE1" w:rsidRPr="00553BAE">
        <w:t>will not jeopardize the maritime community’s ability to meet its operational, safety, and security communications needs.</w:t>
      </w:r>
      <w:r w:rsidR="005D1BE1">
        <w:t xml:space="preserve">  </w:t>
      </w:r>
      <w:r w:rsidR="006453AF">
        <w:t>W</w:t>
      </w:r>
      <w:r w:rsidR="005D1BE1">
        <w:t xml:space="preserve">e </w:t>
      </w:r>
      <w:r w:rsidR="006453AF">
        <w:t xml:space="preserve">also </w:t>
      </w:r>
      <w:r w:rsidR="00DE21F6" w:rsidRPr="005D1BE1">
        <w:rPr>
          <w:szCs w:val="22"/>
        </w:rPr>
        <w:t>find that in light of the unique circumstances of SCRRA’s PTC deployment, application of Sections 80.105 and 80.123(b) to its PTC operations would be contrary to the public interest in rail safety and accordingly waive these rules.</w:t>
      </w:r>
      <w:r w:rsidR="00DE21F6" w:rsidRPr="00C032C2">
        <w:rPr>
          <w:rStyle w:val="FootnoteReference"/>
          <w:sz w:val="22"/>
          <w:szCs w:val="22"/>
        </w:rPr>
        <w:footnoteReference w:id="113"/>
      </w:r>
    </w:p>
    <w:p w14:paraId="271C7423" w14:textId="3E541D4F" w:rsidR="00DE21F6" w:rsidRPr="009A2C54" w:rsidRDefault="00DE21F6" w:rsidP="00C542E6">
      <w:pPr>
        <w:pStyle w:val="ParaNum"/>
        <w:tabs>
          <w:tab w:val="clear" w:pos="1080"/>
          <w:tab w:val="num" w:pos="1440"/>
        </w:tabs>
        <w:rPr>
          <w:szCs w:val="22"/>
        </w:rPr>
      </w:pPr>
      <w:r w:rsidRPr="00E548B1">
        <w:rPr>
          <w:i/>
          <w:szCs w:val="22"/>
        </w:rPr>
        <w:t>Section</w:t>
      </w:r>
      <w:r w:rsidR="00501A07" w:rsidRPr="00C032C2">
        <w:rPr>
          <w:i/>
          <w:szCs w:val="22"/>
        </w:rPr>
        <w:t xml:space="preserve"> 80.</w:t>
      </w:r>
      <w:r w:rsidRPr="00C032C2">
        <w:rPr>
          <w:i/>
          <w:szCs w:val="22"/>
        </w:rPr>
        <w:t>1</w:t>
      </w:r>
      <w:r w:rsidR="00501A07" w:rsidRPr="00C032C2">
        <w:rPr>
          <w:i/>
          <w:szCs w:val="22"/>
        </w:rPr>
        <w:t>2</w:t>
      </w:r>
      <w:r w:rsidRPr="00C032C2">
        <w:rPr>
          <w:i/>
          <w:szCs w:val="22"/>
        </w:rPr>
        <w:t>3(a)</w:t>
      </w:r>
      <w:r w:rsidRPr="00C032C2">
        <w:rPr>
          <w:szCs w:val="22"/>
        </w:rPr>
        <w:t xml:space="preserve">.  SCRRA seeks </w:t>
      </w:r>
      <w:r w:rsidR="00C4221F" w:rsidRPr="00C032C2">
        <w:rPr>
          <w:szCs w:val="22"/>
        </w:rPr>
        <w:t xml:space="preserve">a </w:t>
      </w:r>
      <w:r w:rsidRPr="00C032C2">
        <w:rPr>
          <w:szCs w:val="22"/>
        </w:rPr>
        <w:t>waiver of the requirement that AMTS land stations secure a letter authorizing the land station to communicate with the coast station (Section 80.123(a)),</w:t>
      </w:r>
      <w:r w:rsidRPr="00C032C2">
        <w:rPr>
          <w:rStyle w:val="FootnoteReference"/>
          <w:sz w:val="22"/>
          <w:szCs w:val="22"/>
        </w:rPr>
        <w:footnoteReference w:id="114"/>
      </w:r>
      <w:r w:rsidRPr="00C032C2">
        <w:rPr>
          <w:szCs w:val="22"/>
        </w:rPr>
        <w:t xml:space="preserve"> which enables authorities to verify that a unit on land is authorized to operate on AMTS spectrum.</w:t>
      </w:r>
      <w:r w:rsidR="00C4221F" w:rsidRPr="00C032C2">
        <w:rPr>
          <w:rStyle w:val="FootnoteReference"/>
          <w:sz w:val="22"/>
          <w:szCs w:val="22"/>
        </w:rPr>
        <w:footnoteReference w:id="115"/>
      </w:r>
      <w:r w:rsidRPr="00C032C2">
        <w:rPr>
          <w:szCs w:val="22"/>
        </w:rPr>
        <w:t xml:space="preserve">  </w:t>
      </w:r>
      <w:r w:rsidR="0048718F" w:rsidRPr="00C032C2">
        <w:rPr>
          <w:szCs w:val="22"/>
        </w:rPr>
        <w:t>SCRRA’s system is configured to transmit only data, and its railroad operations take place in limited locations where the responsible party is easily identifiable.</w:t>
      </w:r>
      <w:r w:rsidR="0048718F">
        <w:rPr>
          <w:szCs w:val="22"/>
        </w:rPr>
        <w:t xml:space="preserve">  </w:t>
      </w:r>
      <w:r w:rsidRPr="00C032C2">
        <w:rPr>
          <w:szCs w:val="22"/>
        </w:rPr>
        <w:t>We previously granted such a request with respect to an electric utility’s fixed data system,</w:t>
      </w:r>
      <w:r w:rsidRPr="00C032C2">
        <w:rPr>
          <w:rStyle w:val="FootnoteReference"/>
          <w:sz w:val="22"/>
          <w:szCs w:val="22"/>
        </w:rPr>
        <w:footnoteReference w:id="116"/>
      </w:r>
      <w:r w:rsidRPr="00C032C2">
        <w:rPr>
          <w:szCs w:val="22"/>
        </w:rPr>
        <w:t xml:space="preserve"> and for Amtrak’s PTC deployment on AMTS spectrum.</w:t>
      </w:r>
      <w:r w:rsidRPr="00C032C2">
        <w:rPr>
          <w:rStyle w:val="FootnoteReference"/>
          <w:sz w:val="22"/>
          <w:szCs w:val="22"/>
        </w:rPr>
        <w:footnoteReference w:id="117"/>
      </w:r>
      <w:r w:rsidR="004C6B63">
        <w:rPr>
          <w:szCs w:val="22"/>
        </w:rPr>
        <w:t xml:space="preserve">  </w:t>
      </w:r>
      <w:r w:rsidRPr="00C032C2">
        <w:rPr>
          <w:szCs w:val="22"/>
        </w:rPr>
        <w:t xml:space="preserve">We find that in light of </w:t>
      </w:r>
      <w:r w:rsidR="002F2C25">
        <w:rPr>
          <w:szCs w:val="22"/>
        </w:rPr>
        <w:t xml:space="preserve">the </w:t>
      </w:r>
      <w:r w:rsidRPr="00C032C2">
        <w:rPr>
          <w:szCs w:val="22"/>
        </w:rPr>
        <w:t xml:space="preserve">unique circumstances </w:t>
      </w:r>
      <w:r w:rsidR="002F2C25">
        <w:rPr>
          <w:szCs w:val="22"/>
        </w:rPr>
        <w:t>SCRRA faces in complying with the federal PTC mandate</w:t>
      </w:r>
      <w:r w:rsidRPr="00C032C2">
        <w:rPr>
          <w:szCs w:val="22"/>
        </w:rPr>
        <w:t>, application of Section 80.1</w:t>
      </w:r>
      <w:r w:rsidR="00501A07" w:rsidRPr="00C032C2">
        <w:rPr>
          <w:szCs w:val="22"/>
        </w:rPr>
        <w:t>2</w:t>
      </w:r>
      <w:r w:rsidRPr="00C032C2">
        <w:rPr>
          <w:szCs w:val="22"/>
        </w:rPr>
        <w:t xml:space="preserve">3(a) to </w:t>
      </w:r>
      <w:r w:rsidR="002F2C25">
        <w:rPr>
          <w:szCs w:val="22"/>
        </w:rPr>
        <w:t xml:space="preserve">its </w:t>
      </w:r>
      <w:r w:rsidRPr="00C032C2">
        <w:rPr>
          <w:szCs w:val="22"/>
        </w:rPr>
        <w:t>operations is unnecessary and would be unduly burdenso</w:t>
      </w:r>
      <w:r w:rsidRPr="009A2C54">
        <w:rPr>
          <w:szCs w:val="22"/>
        </w:rPr>
        <w:t>me</w:t>
      </w:r>
      <w:r w:rsidR="004C6B63" w:rsidRPr="009A2C54">
        <w:rPr>
          <w:szCs w:val="22"/>
        </w:rPr>
        <w:t xml:space="preserve"> and therefore waive this rule</w:t>
      </w:r>
      <w:r w:rsidRPr="009A2C54">
        <w:rPr>
          <w:szCs w:val="22"/>
        </w:rPr>
        <w:t>.</w:t>
      </w:r>
      <w:r w:rsidRPr="009A2C54">
        <w:rPr>
          <w:rStyle w:val="FootnoteReference"/>
          <w:sz w:val="22"/>
          <w:szCs w:val="22"/>
        </w:rPr>
        <w:footnoteReference w:id="118"/>
      </w:r>
    </w:p>
    <w:p w14:paraId="09A02C86" w14:textId="1AAB3FB8" w:rsidR="00DE21F6" w:rsidRPr="009A2C54" w:rsidRDefault="00DE21F6" w:rsidP="00DA6D0C">
      <w:pPr>
        <w:pStyle w:val="ParaNum"/>
        <w:tabs>
          <w:tab w:val="clear" w:pos="1080"/>
          <w:tab w:val="num" w:pos="1440"/>
        </w:tabs>
        <w:rPr>
          <w:szCs w:val="22"/>
        </w:rPr>
      </w:pPr>
      <w:r w:rsidRPr="009A2C54">
        <w:rPr>
          <w:i/>
          <w:szCs w:val="22"/>
        </w:rPr>
        <w:t>Section 80.123(c)</w:t>
      </w:r>
      <w:r w:rsidRPr="009A2C54">
        <w:rPr>
          <w:szCs w:val="22"/>
        </w:rPr>
        <w:t xml:space="preserve">. </w:t>
      </w:r>
      <w:r w:rsidRPr="009A2C54">
        <w:rPr>
          <w:i/>
          <w:szCs w:val="22"/>
        </w:rPr>
        <w:t xml:space="preserve"> </w:t>
      </w:r>
      <w:r w:rsidRPr="009A2C54">
        <w:rPr>
          <w:szCs w:val="22"/>
        </w:rPr>
        <w:t xml:space="preserve">SCRRA seeks waiver of Section 80.123(c), which </w:t>
      </w:r>
      <w:r w:rsidR="00D21847">
        <w:rPr>
          <w:szCs w:val="22"/>
        </w:rPr>
        <w:t xml:space="preserve">provides that a coast station may communicate with a land station only if the </w:t>
      </w:r>
      <w:r w:rsidRPr="009A2C54">
        <w:rPr>
          <w:szCs w:val="22"/>
        </w:rPr>
        <w:t>land station use</w:t>
      </w:r>
      <w:r w:rsidR="00D21847">
        <w:rPr>
          <w:szCs w:val="22"/>
        </w:rPr>
        <w:t>s</w:t>
      </w:r>
      <w:r w:rsidRPr="009A2C54">
        <w:rPr>
          <w:szCs w:val="22"/>
        </w:rPr>
        <w:t xml:space="preserve"> the coast station’s call sign.</w:t>
      </w:r>
      <w:r w:rsidRPr="009A2C54">
        <w:rPr>
          <w:rStyle w:val="FootnoteReference"/>
          <w:sz w:val="22"/>
          <w:szCs w:val="22"/>
        </w:rPr>
        <w:footnoteReference w:id="119"/>
      </w:r>
      <w:r w:rsidRPr="009A2C54">
        <w:rPr>
          <w:szCs w:val="22"/>
        </w:rPr>
        <w:t xml:space="preserve">  SCRRA states that compliance with this rule would be unduly burdensome and is unnecessary for its operation of an exclusive use, land-based private PTC system.</w:t>
      </w:r>
      <w:r w:rsidRPr="009A2C54">
        <w:rPr>
          <w:rStyle w:val="FootnoteReference"/>
          <w:sz w:val="22"/>
          <w:szCs w:val="22"/>
        </w:rPr>
        <w:footnoteReference w:id="120"/>
      </w:r>
      <w:r w:rsidRPr="009A2C54">
        <w:rPr>
          <w:szCs w:val="22"/>
        </w:rPr>
        <w:t xml:space="preserve"> </w:t>
      </w:r>
      <w:r w:rsidR="0057283E">
        <w:rPr>
          <w:szCs w:val="22"/>
        </w:rPr>
        <w:t xml:space="preserve"> </w:t>
      </w:r>
      <w:r w:rsidR="00044C8C" w:rsidRPr="009A2C54">
        <w:rPr>
          <w:szCs w:val="22"/>
        </w:rPr>
        <w:t xml:space="preserve">We note that in 2000, the Commission forbore from requiring AMTS </w:t>
      </w:r>
      <w:r w:rsidR="0057283E">
        <w:rPr>
          <w:szCs w:val="22"/>
        </w:rPr>
        <w:t xml:space="preserve">licensees </w:t>
      </w:r>
      <w:r w:rsidR="00044C8C" w:rsidRPr="009A2C54">
        <w:rPr>
          <w:szCs w:val="22"/>
        </w:rPr>
        <w:t>to comply with the general AMTS station identification requirement</w:t>
      </w:r>
      <w:r w:rsidR="00143ECD" w:rsidRPr="009A2C54">
        <w:rPr>
          <w:szCs w:val="22"/>
        </w:rPr>
        <w:t>.</w:t>
      </w:r>
      <w:r w:rsidR="00F0451B" w:rsidRPr="009A2C54">
        <w:rPr>
          <w:rStyle w:val="FootnoteReference"/>
          <w:szCs w:val="22"/>
        </w:rPr>
        <w:footnoteReference w:id="121"/>
      </w:r>
      <w:r w:rsidR="00143ECD" w:rsidRPr="009A2C54">
        <w:rPr>
          <w:szCs w:val="22"/>
        </w:rPr>
        <w:t xml:space="preserve">  We clarify</w:t>
      </w:r>
      <w:r w:rsidR="0057283E">
        <w:rPr>
          <w:szCs w:val="22"/>
        </w:rPr>
        <w:t xml:space="preserve"> here</w:t>
      </w:r>
      <w:r w:rsidR="00143ECD" w:rsidRPr="009A2C54">
        <w:rPr>
          <w:szCs w:val="22"/>
        </w:rPr>
        <w:t xml:space="preserve"> </w:t>
      </w:r>
      <w:r w:rsidR="00F0451B" w:rsidRPr="009A2C54">
        <w:rPr>
          <w:szCs w:val="22"/>
        </w:rPr>
        <w:t>that the Commission’s</w:t>
      </w:r>
      <w:r w:rsidR="00143ECD" w:rsidRPr="009A2C54">
        <w:rPr>
          <w:szCs w:val="22"/>
        </w:rPr>
        <w:t xml:space="preserve"> </w:t>
      </w:r>
      <w:r w:rsidR="006C576A" w:rsidRPr="009A2C54">
        <w:rPr>
          <w:szCs w:val="22"/>
        </w:rPr>
        <w:t>forbearance</w:t>
      </w:r>
      <w:r w:rsidR="00143ECD" w:rsidRPr="009A2C54">
        <w:rPr>
          <w:szCs w:val="22"/>
        </w:rPr>
        <w:t xml:space="preserve"> from </w:t>
      </w:r>
      <w:r w:rsidR="006C576A" w:rsidRPr="009A2C54">
        <w:rPr>
          <w:szCs w:val="22"/>
        </w:rPr>
        <w:t>the</w:t>
      </w:r>
      <w:r w:rsidR="00143ECD" w:rsidRPr="009A2C54">
        <w:rPr>
          <w:szCs w:val="22"/>
        </w:rPr>
        <w:t xml:space="preserve"> general </w:t>
      </w:r>
      <w:r w:rsidR="0057283E">
        <w:rPr>
          <w:szCs w:val="22"/>
        </w:rPr>
        <w:t xml:space="preserve">AMTS </w:t>
      </w:r>
      <w:r w:rsidR="00143ECD" w:rsidRPr="009A2C54">
        <w:rPr>
          <w:szCs w:val="22"/>
        </w:rPr>
        <w:t xml:space="preserve">station identification requirement </w:t>
      </w:r>
      <w:r w:rsidR="005C718B" w:rsidRPr="009A2C54">
        <w:rPr>
          <w:szCs w:val="22"/>
        </w:rPr>
        <w:t>(47 CFR § 80.102)</w:t>
      </w:r>
      <w:r w:rsidR="005C718B">
        <w:rPr>
          <w:szCs w:val="22"/>
        </w:rPr>
        <w:t xml:space="preserve"> </w:t>
      </w:r>
      <w:r w:rsidR="00F0451B" w:rsidRPr="009A2C54">
        <w:rPr>
          <w:szCs w:val="22"/>
        </w:rPr>
        <w:t xml:space="preserve">relieves AMTS licensees from compliance with the station identification requirement of </w:t>
      </w:r>
      <w:r w:rsidR="00A526EE" w:rsidRPr="009A2C54">
        <w:rPr>
          <w:szCs w:val="22"/>
        </w:rPr>
        <w:t xml:space="preserve">Section </w:t>
      </w:r>
      <w:r w:rsidR="00F0451B" w:rsidRPr="009A2C54">
        <w:rPr>
          <w:szCs w:val="22"/>
        </w:rPr>
        <w:t xml:space="preserve">80.123(c) because AMTS land stations </w:t>
      </w:r>
      <w:r w:rsidR="009A2C54" w:rsidRPr="009A2C54">
        <w:rPr>
          <w:szCs w:val="22"/>
        </w:rPr>
        <w:t xml:space="preserve">are no longer required to </w:t>
      </w:r>
      <w:r w:rsidR="00F0451B" w:rsidRPr="009A2C54">
        <w:rPr>
          <w:szCs w:val="22"/>
        </w:rPr>
        <w:t>identify themse</w:t>
      </w:r>
      <w:r w:rsidR="006C576A" w:rsidRPr="009A2C54">
        <w:rPr>
          <w:szCs w:val="22"/>
        </w:rPr>
        <w:t>lves</w:t>
      </w:r>
      <w:r w:rsidR="00F0451B" w:rsidRPr="009A2C54">
        <w:rPr>
          <w:szCs w:val="22"/>
        </w:rPr>
        <w:t>.  We therefore conclude that waiver of Section 80.123(c) is unnecessary</w:t>
      </w:r>
      <w:r w:rsidR="00A526EE" w:rsidRPr="009A2C54">
        <w:rPr>
          <w:szCs w:val="22"/>
        </w:rPr>
        <w:t>.</w:t>
      </w:r>
    </w:p>
    <w:p w14:paraId="64A684D7" w14:textId="48813127" w:rsidR="00E5465D" w:rsidRPr="00AD5B2B" w:rsidRDefault="00DE21F6" w:rsidP="00913B0D">
      <w:pPr>
        <w:pStyle w:val="ParaNum"/>
        <w:tabs>
          <w:tab w:val="clear" w:pos="1080"/>
          <w:tab w:val="num" w:pos="1440"/>
        </w:tabs>
        <w:rPr>
          <w:szCs w:val="22"/>
        </w:rPr>
      </w:pPr>
      <w:r w:rsidRPr="00AD5B2B">
        <w:rPr>
          <w:i/>
          <w:szCs w:val="22"/>
        </w:rPr>
        <w:t>Section 80.123(f)</w:t>
      </w:r>
      <w:r w:rsidRPr="00AD5B2B">
        <w:rPr>
          <w:szCs w:val="22"/>
        </w:rPr>
        <w:t>.  SCRRA seeks waiver of the requirement that AMTS land stations only communicate with public coast stations (Section 80.123(f)),</w:t>
      </w:r>
      <w:r w:rsidRPr="00C032C2">
        <w:rPr>
          <w:rStyle w:val="FootnoteReference"/>
          <w:sz w:val="22"/>
          <w:szCs w:val="22"/>
        </w:rPr>
        <w:footnoteReference w:id="122"/>
      </w:r>
      <w:r w:rsidRPr="00AD5B2B">
        <w:rPr>
          <w:szCs w:val="22"/>
        </w:rPr>
        <w:t xml:space="preserve"> explaining that such an operational standard is unnecessary for a private, internal-use only system.</w:t>
      </w:r>
      <w:r w:rsidRPr="00C032C2">
        <w:rPr>
          <w:rStyle w:val="FootnoteReference"/>
          <w:sz w:val="22"/>
          <w:szCs w:val="22"/>
        </w:rPr>
        <w:footnoteReference w:id="123"/>
      </w:r>
      <w:r w:rsidRPr="00AD5B2B">
        <w:rPr>
          <w:szCs w:val="22"/>
        </w:rPr>
        <w:t xml:space="preserve">  We </w:t>
      </w:r>
      <w:r w:rsidR="00000DCA" w:rsidRPr="00AD5B2B">
        <w:rPr>
          <w:szCs w:val="22"/>
        </w:rPr>
        <w:t>agree and note that the Bureau granted Amtrak a waiver of this requirement to enable its PTC deployment on AMTS spectrum.</w:t>
      </w:r>
      <w:r w:rsidR="00000DCA" w:rsidRPr="00C032C2">
        <w:rPr>
          <w:rStyle w:val="FootnoteReference"/>
          <w:sz w:val="22"/>
          <w:szCs w:val="22"/>
        </w:rPr>
        <w:footnoteReference w:id="124"/>
      </w:r>
      <w:r w:rsidR="00000DCA" w:rsidRPr="00AD5B2B">
        <w:rPr>
          <w:szCs w:val="22"/>
        </w:rPr>
        <w:t xml:space="preserve">  We </w:t>
      </w:r>
      <w:r w:rsidRPr="00AD5B2B">
        <w:rPr>
          <w:szCs w:val="22"/>
        </w:rPr>
        <w:t>find that in light of the unique circumstances SCRRA</w:t>
      </w:r>
      <w:r w:rsidR="002F2C25">
        <w:rPr>
          <w:szCs w:val="22"/>
        </w:rPr>
        <w:t xml:space="preserve"> faces in complying with the federal </w:t>
      </w:r>
      <w:r w:rsidRPr="00AD5B2B">
        <w:rPr>
          <w:szCs w:val="22"/>
        </w:rPr>
        <w:t xml:space="preserve">PTC </w:t>
      </w:r>
      <w:r w:rsidR="002F2C25">
        <w:rPr>
          <w:szCs w:val="22"/>
        </w:rPr>
        <w:t>mandate</w:t>
      </w:r>
      <w:r w:rsidRPr="00AD5B2B">
        <w:rPr>
          <w:szCs w:val="22"/>
        </w:rPr>
        <w:t>, application of Section 80.123(f) to its PTC operations would be contrary to the public interest in rail safety and accordingly waive this rule.</w:t>
      </w:r>
      <w:r w:rsidRPr="00C032C2">
        <w:rPr>
          <w:rStyle w:val="FootnoteReference"/>
          <w:sz w:val="22"/>
          <w:szCs w:val="22"/>
        </w:rPr>
        <w:footnoteReference w:id="125"/>
      </w:r>
    </w:p>
    <w:p w14:paraId="1DE03FBC" w14:textId="599F3177" w:rsidR="00DE21F6" w:rsidRDefault="00DE21F6" w:rsidP="00913B0D">
      <w:pPr>
        <w:pStyle w:val="ParaNum"/>
        <w:tabs>
          <w:tab w:val="clear" w:pos="1080"/>
          <w:tab w:val="num" w:pos="1440"/>
        </w:tabs>
        <w:rPr>
          <w:szCs w:val="22"/>
        </w:rPr>
      </w:pPr>
      <w:r w:rsidRPr="009E67A6">
        <w:rPr>
          <w:i/>
          <w:szCs w:val="22"/>
        </w:rPr>
        <w:t>Section 80.385(a)(2)</w:t>
      </w:r>
      <w:r w:rsidRPr="009E67A6">
        <w:rPr>
          <w:szCs w:val="22"/>
        </w:rPr>
        <w:t>.  SCRRA requests waiver of Section 80.385(a)(2),</w:t>
      </w:r>
      <w:r w:rsidRPr="00C032C2">
        <w:rPr>
          <w:rStyle w:val="FootnoteReference"/>
          <w:sz w:val="22"/>
          <w:szCs w:val="22"/>
        </w:rPr>
        <w:footnoteReference w:id="126"/>
      </w:r>
      <w:r w:rsidRPr="009E67A6">
        <w:rPr>
          <w:szCs w:val="22"/>
        </w:rPr>
        <w:t xml:space="preserve"> which divides</w:t>
      </w:r>
      <w:r w:rsidR="009E67A6">
        <w:rPr>
          <w:szCs w:val="22"/>
        </w:rPr>
        <w:t xml:space="preserve"> the </w:t>
      </w:r>
      <w:r w:rsidRPr="009E67A6">
        <w:rPr>
          <w:szCs w:val="22"/>
        </w:rPr>
        <w:t xml:space="preserve">AMTS spectrum </w:t>
      </w:r>
      <w:r w:rsidR="009E67A6" w:rsidRPr="009E67A6">
        <w:rPr>
          <w:szCs w:val="22"/>
        </w:rPr>
        <w:t xml:space="preserve">band </w:t>
      </w:r>
      <w:r w:rsidRPr="009E67A6">
        <w:rPr>
          <w:szCs w:val="22"/>
        </w:rPr>
        <w:t>into coast (base) station frequencies (217-218 MHz) and ship (mobile) station frequencies (219-220 MHz).  SCRRA explains that since its PTC system will use TDMA transmit/receive time slot separation, it must allow all three types of PTC stations (base, mobile, and wayside) to transmit on both the base and mobile station frequencies.</w:t>
      </w:r>
      <w:r w:rsidRPr="00C032C2">
        <w:rPr>
          <w:rStyle w:val="FootnoteReference"/>
          <w:sz w:val="22"/>
          <w:szCs w:val="22"/>
        </w:rPr>
        <w:footnoteReference w:id="127"/>
      </w:r>
      <w:r w:rsidRPr="009E67A6">
        <w:rPr>
          <w:szCs w:val="22"/>
        </w:rPr>
        <w:t xml:space="preserve">  </w:t>
      </w:r>
      <w:r w:rsidR="00807AA1" w:rsidRPr="009E67A6">
        <w:rPr>
          <w:szCs w:val="22"/>
        </w:rPr>
        <w:t xml:space="preserve">We note that </w:t>
      </w:r>
      <w:r w:rsidR="009E67A6" w:rsidRPr="009E67A6">
        <w:rPr>
          <w:szCs w:val="22"/>
        </w:rPr>
        <w:t xml:space="preserve">when </w:t>
      </w:r>
      <w:r w:rsidR="00807AA1" w:rsidRPr="009E67A6">
        <w:rPr>
          <w:szCs w:val="22"/>
        </w:rPr>
        <w:t xml:space="preserve">the Bureau granted Amtrak a waiver of this requirement to </w:t>
      </w:r>
      <w:r w:rsidR="009E67A6" w:rsidRPr="009E67A6">
        <w:rPr>
          <w:szCs w:val="22"/>
        </w:rPr>
        <w:t xml:space="preserve">deploy </w:t>
      </w:r>
      <w:r w:rsidR="00807AA1" w:rsidRPr="009E67A6">
        <w:rPr>
          <w:szCs w:val="22"/>
        </w:rPr>
        <w:t>PTC on AMTS spectrum</w:t>
      </w:r>
      <w:r w:rsidR="009E67A6" w:rsidRPr="009E67A6">
        <w:rPr>
          <w:szCs w:val="22"/>
        </w:rPr>
        <w:t xml:space="preserve">, it emphasized that Amtrak would operate under </w:t>
      </w:r>
      <w:r w:rsidR="009E67A6">
        <w:rPr>
          <w:szCs w:val="22"/>
        </w:rPr>
        <w:t xml:space="preserve">the </w:t>
      </w:r>
      <w:r w:rsidR="009E67A6" w:rsidRPr="009E67A6">
        <w:rPr>
          <w:szCs w:val="22"/>
        </w:rPr>
        <w:t>antenna height and power levels permitted for AMTS stations and the limited geographic area of Amtrak’s rail operations.</w:t>
      </w:r>
      <w:r w:rsidR="00807AA1" w:rsidRPr="00C032C2">
        <w:rPr>
          <w:rStyle w:val="FootnoteReference"/>
          <w:sz w:val="22"/>
          <w:szCs w:val="22"/>
        </w:rPr>
        <w:footnoteReference w:id="128"/>
      </w:r>
      <w:r w:rsidR="009E67A6" w:rsidRPr="009E67A6">
        <w:rPr>
          <w:szCs w:val="22"/>
        </w:rPr>
        <w:t xml:space="preserve">  </w:t>
      </w:r>
      <w:r w:rsidRPr="009E67A6">
        <w:rPr>
          <w:szCs w:val="22"/>
        </w:rPr>
        <w:t xml:space="preserve">Because </w:t>
      </w:r>
      <w:r w:rsidR="00FB4F5C" w:rsidRPr="009E67A6">
        <w:rPr>
          <w:szCs w:val="22"/>
        </w:rPr>
        <w:t xml:space="preserve">SCRRA’s </w:t>
      </w:r>
      <w:r w:rsidR="009E67A6" w:rsidRPr="009E67A6">
        <w:rPr>
          <w:szCs w:val="22"/>
        </w:rPr>
        <w:t xml:space="preserve">PTC operations will comply with the AMTS antenna height and power level rules and because its </w:t>
      </w:r>
      <w:r w:rsidR="00115B10" w:rsidRPr="009E67A6">
        <w:rPr>
          <w:szCs w:val="22"/>
        </w:rPr>
        <w:t>rail lines likewise span a limited geographic area</w:t>
      </w:r>
      <w:r w:rsidRPr="009E67A6">
        <w:rPr>
          <w:szCs w:val="22"/>
        </w:rPr>
        <w:t xml:space="preserve">, we conclude that a waiver of </w:t>
      </w:r>
      <w:r w:rsidR="00FB4F5C" w:rsidRPr="009E67A6">
        <w:rPr>
          <w:szCs w:val="22"/>
        </w:rPr>
        <w:t>Section 80.385(a)(2)</w:t>
      </w:r>
      <w:r w:rsidRPr="009E67A6">
        <w:rPr>
          <w:szCs w:val="22"/>
        </w:rPr>
        <w:t xml:space="preserve"> is warranted.  We </w:t>
      </w:r>
      <w:r w:rsidR="00FB4F5C" w:rsidRPr="009E67A6">
        <w:rPr>
          <w:szCs w:val="22"/>
        </w:rPr>
        <w:t xml:space="preserve">also </w:t>
      </w:r>
      <w:r w:rsidRPr="009E67A6">
        <w:rPr>
          <w:szCs w:val="22"/>
        </w:rPr>
        <w:t xml:space="preserve">find that in light of the unique circumstances </w:t>
      </w:r>
      <w:r w:rsidR="00807AA1" w:rsidRPr="009E67A6">
        <w:rPr>
          <w:szCs w:val="22"/>
        </w:rPr>
        <w:t>SCRRA faces in complying with the federal PTC mandate</w:t>
      </w:r>
      <w:r w:rsidRPr="009E67A6">
        <w:rPr>
          <w:szCs w:val="22"/>
        </w:rPr>
        <w:t xml:space="preserve">, strict application of Section 80.385(a)(2) to its PTC operations would be contrary to the public interest and </w:t>
      </w:r>
      <w:r w:rsidR="00FB3562">
        <w:rPr>
          <w:szCs w:val="22"/>
        </w:rPr>
        <w:t xml:space="preserve">accordingly </w:t>
      </w:r>
      <w:r w:rsidRPr="009E67A6">
        <w:rPr>
          <w:szCs w:val="22"/>
        </w:rPr>
        <w:t>waive this rule</w:t>
      </w:r>
      <w:r w:rsidRPr="00205692">
        <w:rPr>
          <w:szCs w:val="22"/>
        </w:rPr>
        <w:t>.</w:t>
      </w:r>
      <w:r w:rsidR="00E5465D" w:rsidRPr="00205692">
        <w:rPr>
          <w:rStyle w:val="FootnoteReference"/>
          <w:sz w:val="22"/>
          <w:szCs w:val="22"/>
        </w:rPr>
        <w:footnoteReference w:id="129"/>
      </w:r>
    </w:p>
    <w:p w14:paraId="2D17796A" w14:textId="0D1D52BF" w:rsidR="000C5E5A" w:rsidRDefault="00B156FD" w:rsidP="00235520">
      <w:pPr>
        <w:pStyle w:val="ParaNum"/>
        <w:tabs>
          <w:tab w:val="clear" w:pos="1080"/>
          <w:tab w:val="num" w:pos="1440"/>
        </w:tabs>
        <w:rPr>
          <w:szCs w:val="22"/>
        </w:rPr>
      </w:pPr>
      <w:r w:rsidRPr="009123EA">
        <w:rPr>
          <w:i/>
          <w:szCs w:val="22"/>
        </w:rPr>
        <w:t xml:space="preserve">Section 80.106.  </w:t>
      </w:r>
      <w:r w:rsidRPr="009123EA">
        <w:rPr>
          <w:szCs w:val="22"/>
        </w:rPr>
        <w:t xml:space="preserve">In </w:t>
      </w:r>
      <w:r w:rsidR="00553EEC" w:rsidRPr="009123EA">
        <w:rPr>
          <w:szCs w:val="22"/>
        </w:rPr>
        <w:t xml:space="preserve">its </w:t>
      </w:r>
      <w:r w:rsidRPr="009123EA">
        <w:rPr>
          <w:szCs w:val="22"/>
        </w:rPr>
        <w:t xml:space="preserve">Waiver Request, SCRRA </w:t>
      </w:r>
      <w:r w:rsidR="00553EEC" w:rsidRPr="009123EA">
        <w:rPr>
          <w:szCs w:val="22"/>
        </w:rPr>
        <w:t xml:space="preserve">also </w:t>
      </w:r>
      <w:r w:rsidRPr="009123EA">
        <w:rPr>
          <w:szCs w:val="22"/>
        </w:rPr>
        <w:t>requests “</w:t>
      </w:r>
      <w:r w:rsidR="00553EEC" w:rsidRPr="009123EA">
        <w:rPr>
          <w:szCs w:val="22"/>
        </w:rPr>
        <w:t xml:space="preserve">waiver of </w:t>
      </w:r>
      <w:r w:rsidRPr="009123EA">
        <w:rPr>
          <w:szCs w:val="22"/>
        </w:rPr>
        <w:t>any additional rule provisions</w:t>
      </w:r>
      <w:r w:rsidR="00553EEC" w:rsidRPr="009123EA">
        <w:rPr>
          <w:szCs w:val="22"/>
        </w:rPr>
        <w:t xml:space="preserve"> which the Commission may </w:t>
      </w:r>
      <w:r w:rsidRPr="009123EA">
        <w:rPr>
          <w:szCs w:val="22"/>
        </w:rPr>
        <w:t>determine to be necessary for the proposed [PTC] operations.”</w:t>
      </w:r>
      <w:r>
        <w:rPr>
          <w:rStyle w:val="FootnoteReference"/>
          <w:szCs w:val="22"/>
        </w:rPr>
        <w:footnoteReference w:id="130"/>
      </w:r>
      <w:r w:rsidRPr="009123EA">
        <w:rPr>
          <w:szCs w:val="22"/>
        </w:rPr>
        <w:t xml:space="preserve">  </w:t>
      </w:r>
      <w:r w:rsidR="000C5E5A" w:rsidRPr="00CD56FE">
        <w:rPr>
          <w:szCs w:val="22"/>
        </w:rPr>
        <w:t xml:space="preserve">SCRRA </w:t>
      </w:r>
      <w:r w:rsidR="000C5E5A">
        <w:rPr>
          <w:szCs w:val="22"/>
        </w:rPr>
        <w:t xml:space="preserve">furthermore states that </w:t>
      </w:r>
      <w:r w:rsidR="000C5E5A" w:rsidRPr="00CD56FE">
        <w:rPr>
          <w:szCs w:val="22"/>
        </w:rPr>
        <w:t>PTC “must be operated on an exclusive-use private land mobile basis, and could not possibly provide service to maritime traffic.”</w:t>
      </w:r>
      <w:r w:rsidR="000C5E5A" w:rsidRPr="00C032C2">
        <w:rPr>
          <w:rStyle w:val="FootnoteReference"/>
          <w:sz w:val="22"/>
          <w:szCs w:val="22"/>
        </w:rPr>
        <w:footnoteReference w:id="131"/>
      </w:r>
      <w:r w:rsidR="000C5E5A" w:rsidRPr="00CD56FE">
        <w:rPr>
          <w:szCs w:val="22"/>
        </w:rPr>
        <w:t xml:space="preserve">  </w:t>
      </w:r>
      <w:r w:rsidR="00553EEC" w:rsidRPr="009123EA">
        <w:rPr>
          <w:szCs w:val="22"/>
        </w:rPr>
        <w:t xml:space="preserve">Based on our review of the record before us, we </w:t>
      </w:r>
      <w:r w:rsidR="000C5E5A">
        <w:rPr>
          <w:szCs w:val="22"/>
        </w:rPr>
        <w:t xml:space="preserve">find </w:t>
      </w:r>
      <w:r w:rsidR="00553EEC" w:rsidRPr="009123EA">
        <w:rPr>
          <w:szCs w:val="22"/>
        </w:rPr>
        <w:t>that waiver of Section 80.106</w:t>
      </w:r>
      <w:r w:rsidR="00836262">
        <w:rPr>
          <w:rStyle w:val="FootnoteReference"/>
          <w:szCs w:val="22"/>
        </w:rPr>
        <w:footnoteReference w:id="132"/>
      </w:r>
      <w:r w:rsidR="00C24B93" w:rsidRPr="009123EA">
        <w:rPr>
          <w:szCs w:val="22"/>
        </w:rPr>
        <w:t xml:space="preserve">—which requires </w:t>
      </w:r>
      <w:r w:rsidR="00C24B93" w:rsidRPr="005F1926">
        <w:rPr>
          <w:szCs w:val="22"/>
        </w:rPr>
        <w:t>a</w:t>
      </w:r>
      <w:r w:rsidR="009123EA" w:rsidRPr="005F1926">
        <w:rPr>
          <w:szCs w:val="22"/>
        </w:rPr>
        <w:t xml:space="preserve">n AMTS public </w:t>
      </w:r>
      <w:r w:rsidR="00C24B93" w:rsidRPr="005F1926">
        <w:rPr>
          <w:szCs w:val="22"/>
        </w:rPr>
        <w:t xml:space="preserve">coast station to receive </w:t>
      </w:r>
      <w:r w:rsidR="0099075C">
        <w:rPr>
          <w:szCs w:val="22"/>
        </w:rPr>
        <w:t xml:space="preserve">communications from mobile stations </w:t>
      </w:r>
      <w:r w:rsidR="0099075C" w:rsidRPr="005F1926">
        <w:rPr>
          <w:szCs w:val="22"/>
        </w:rPr>
        <w:t xml:space="preserve"> (</w:t>
      </w:r>
      <w:r w:rsidR="0099075C" w:rsidRPr="005F1926">
        <w:rPr>
          <w:i/>
          <w:szCs w:val="22"/>
        </w:rPr>
        <w:t>i</w:t>
      </w:r>
      <w:r w:rsidR="0099075C">
        <w:rPr>
          <w:i/>
          <w:szCs w:val="22"/>
        </w:rPr>
        <w:t>.</w:t>
      </w:r>
      <w:r w:rsidR="0099075C" w:rsidRPr="009123EA">
        <w:rPr>
          <w:i/>
          <w:szCs w:val="22"/>
        </w:rPr>
        <w:t>e,</w:t>
      </w:r>
      <w:r w:rsidR="0099075C" w:rsidRPr="009123EA">
        <w:rPr>
          <w:szCs w:val="22"/>
        </w:rPr>
        <w:t>, ship and aircraft stations at sea</w:t>
      </w:r>
      <w:r w:rsidR="0099075C">
        <w:rPr>
          <w:szCs w:val="22"/>
        </w:rPr>
        <w:t xml:space="preserve">) </w:t>
      </w:r>
      <w:r w:rsidR="008B4F9C" w:rsidRPr="005F1926">
        <w:rPr>
          <w:szCs w:val="22"/>
        </w:rPr>
        <w:t xml:space="preserve">and </w:t>
      </w:r>
      <w:r w:rsidR="0099075C">
        <w:rPr>
          <w:szCs w:val="22"/>
        </w:rPr>
        <w:t xml:space="preserve">to </w:t>
      </w:r>
      <w:r w:rsidR="008B4F9C" w:rsidRPr="005F1926">
        <w:rPr>
          <w:szCs w:val="22"/>
        </w:rPr>
        <w:t>transmit communications</w:t>
      </w:r>
      <w:r w:rsidR="00C24B93" w:rsidRPr="005F1926">
        <w:rPr>
          <w:szCs w:val="22"/>
        </w:rPr>
        <w:t xml:space="preserve"> </w:t>
      </w:r>
      <w:r w:rsidR="00806F54">
        <w:rPr>
          <w:szCs w:val="22"/>
        </w:rPr>
        <w:t>d</w:t>
      </w:r>
      <w:r w:rsidR="000C5E5A">
        <w:rPr>
          <w:szCs w:val="22"/>
        </w:rPr>
        <w:t xml:space="preserve">elivered </w:t>
      </w:r>
      <w:r w:rsidR="00806F54">
        <w:rPr>
          <w:szCs w:val="22"/>
        </w:rPr>
        <w:t xml:space="preserve">to it which are directed </w:t>
      </w:r>
      <w:r w:rsidR="0099075C">
        <w:rPr>
          <w:szCs w:val="22"/>
        </w:rPr>
        <w:t xml:space="preserve">to </w:t>
      </w:r>
      <w:r w:rsidR="008B4F9C" w:rsidRPr="005F1926">
        <w:rPr>
          <w:szCs w:val="22"/>
        </w:rPr>
        <w:t>mobile</w:t>
      </w:r>
      <w:r w:rsidR="00C24B93" w:rsidRPr="005F1926">
        <w:rPr>
          <w:szCs w:val="22"/>
        </w:rPr>
        <w:t xml:space="preserve"> stations</w:t>
      </w:r>
      <w:r w:rsidR="00C24B93" w:rsidRPr="009123EA">
        <w:rPr>
          <w:szCs w:val="22"/>
        </w:rPr>
        <w:t>—</w:t>
      </w:r>
      <w:r w:rsidR="00553EEC" w:rsidRPr="009123EA">
        <w:rPr>
          <w:szCs w:val="22"/>
        </w:rPr>
        <w:t xml:space="preserve">is </w:t>
      </w:r>
      <w:r w:rsidR="00C24B93" w:rsidRPr="009123EA">
        <w:rPr>
          <w:szCs w:val="22"/>
        </w:rPr>
        <w:t>warranted</w:t>
      </w:r>
      <w:r w:rsidR="009123EA" w:rsidRPr="009123EA">
        <w:rPr>
          <w:szCs w:val="22"/>
        </w:rPr>
        <w:t>.</w:t>
      </w:r>
    </w:p>
    <w:p w14:paraId="0EA1E04D" w14:textId="4A31C739" w:rsidR="00B156FD" w:rsidRPr="009123EA" w:rsidRDefault="00B156FD" w:rsidP="00235520">
      <w:pPr>
        <w:pStyle w:val="ParaNum"/>
        <w:tabs>
          <w:tab w:val="clear" w:pos="1080"/>
          <w:tab w:val="num" w:pos="1440"/>
        </w:tabs>
        <w:rPr>
          <w:szCs w:val="22"/>
        </w:rPr>
      </w:pPr>
      <w:r w:rsidRPr="009123EA">
        <w:rPr>
          <w:szCs w:val="22"/>
        </w:rPr>
        <w:t xml:space="preserve">In the </w:t>
      </w:r>
      <w:r w:rsidRPr="009123EA">
        <w:rPr>
          <w:i/>
          <w:szCs w:val="22"/>
        </w:rPr>
        <w:t>Amtrak Part 80 Waiver Order</w:t>
      </w:r>
      <w:r w:rsidRPr="009123EA">
        <w:rPr>
          <w:szCs w:val="22"/>
        </w:rPr>
        <w:t xml:space="preserve">, the Bureau </w:t>
      </w:r>
      <w:r w:rsidR="00806F54">
        <w:rPr>
          <w:szCs w:val="22"/>
        </w:rPr>
        <w:t xml:space="preserve">concurrently </w:t>
      </w:r>
      <w:r w:rsidRPr="005F1926">
        <w:rPr>
          <w:szCs w:val="22"/>
        </w:rPr>
        <w:t xml:space="preserve">waived </w:t>
      </w:r>
      <w:r w:rsidR="000C5E5A">
        <w:rPr>
          <w:szCs w:val="22"/>
        </w:rPr>
        <w:t>Section 80.106</w:t>
      </w:r>
      <w:r w:rsidRPr="009123EA">
        <w:rPr>
          <w:szCs w:val="22"/>
        </w:rPr>
        <w:t xml:space="preserve"> </w:t>
      </w:r>
      <w:r w:rsidR="00553EEC" w:rsidRPr="009123EA">
        <w:rPr>
          <w:szCs w:val="22"/>
        </w:rPr>
        <w:t>to enable Amtrak’s PTC deployment</w:t>
      </w:r>
      <w:r w:rsidR="009123EA">
        <w:rPr>
          <w:szCs w:val="22"/>
        </w:rPr>
        <w:t xml:space="preserve"> </w:t>
      </w:r>
      <w:r w:rsidR="00553EEC" w:rsidRPr="009123EA">
        <w:rPr>
          <w:szCs w:val="22"/>
        </w:rPr>
        <w:t xml:space="preserve">when it </w:t>
      </w:r>
      <w:r w:rsidRPr="009123EA">
        <w:rPr>
          <w:szCs w:val="22"/>
        </w:rPr>
        <w:t>waive</w:t>
      </w:r>
      <w:r w:rsidR="00553EEC" w:rsidRPr="009123EA">
        <w:rPr>
          <w:szCs w:val="22"/>
        </w:rPr>
        <w:t>d</w:t>
      </w:r>
      <w:r w:rsidRPr="009123EA">
        <w:rPr>
          <w:szCs w:val="22"/>
        </w:rPr>
        <w:t xml:space="preserve"> </w:t>
      </w:r>
      <w:r w:rsidR="009123EA">
        <w:rPr>
          <w:szCs w:val="22"/>
        </w:rPr>
        <w:t>the requirement</w:t>
      </w:r>
      <w:r w:rsidR="00806F54">
        <w:rPr>
          <w:szCs w:val="22"/>
        </w:rPr>
        <w:t xml:space="preserve">, under </w:t>
      </w:r>
      <w:r w:rsidR="00806F54" w:rsidRPr="009123EA">
        <w:rPr>
          <w:szCs w:val="22"/>
        </w:rPr>
        <w:t>Section 80.105</w:t>
      </w:r>
      <w:r w:rsidR="00806F54">
        <w:rPr>
          <w:szCs w:val="22"/>
        </w:rPr>
        <w:t>,</w:t>
      </w:r>
      <w:r w:rsidR="005F1926">
        <w:rPr>
          <w:szCs w:val="22"/>
        </w:rPr>
        <w:t xml:space="preserve"> that AMTS coast stations acknowledge</w:t>
      </w:r>
      <w:r w:rsidR="00806F54">
        <w:rPr>
          <w:szCs w:val="22"/>
        </w:rPr>
        <w:t xml:space="preserve"> and receive calls from mobile stations</w:t>
      </w:r>
      <w:r w:rsidRPr="009123EA">
        <w:rPr>
          <w:szCs w:val="22"/>
        </w:rPr>
        <w:t>.</w:t>
      </w:r>
      <w:r>
        <w:rPr>
          <w:rStyle w:val="FootnoteReference"/>
          <w:szCs w:val="22"/>
        </w:rPr>
        <w:footnoteReference w:id="133"/>
      </w:r>
      <w:r w:rsidRPr="009123EA">
        <w:rPr>
          <w:szCs w:val="22"/>
        </w:rPr>
        <w:t xml:space="preserve">  </w:t>
      </w:r>
      <w:r w:rsidR="00806F54">
        <w:rPr>
          <w:szCs w:val="22"/>
        </w:rPr>
        <w:t xml:space="preserve">Consistent with </w:t>
      </w:r>
      <w:r w:rsidRPr="009123EA">
        <w:rPr>
          <w:szCs w:val="22"/>
        </w:rPr>
        <w:t xml:space="preserve">the </w:t>
      </w:r>
      <w:r w:rsidRPr="009123EA">
        <w:rPr>
          <w:i/>
          <w:szCs w:val="22"/>
        </w:rPr>
        <w:t xml:space="preserve">Amtrak Part 80 </w:t>
      </w:r>
      <w:r w:rsidR="00806F54">
        <w:rPr>
          <w:i/>
          <w:szCs w:val="22"/>
        </w:rPr>
        <w:t xml:space="preserve">Waiver </w:t>
      </w:r>
      <w:r w:rsidRPr="009123EA">
        <w:rPr>
          <w:i/>
          <w:szCs w:val="22"/>
        </w:rPr>
        <w:t>Order</w:t>
      </w:r>
      <w:r w:rsidRPr="009123EA">
        <w:rPr>
          <w:szCs w:val="22"/>
        </w:rPr>
        <w:t xml:space="preserve">, we find that </w:t>
      </w:r>
      <w:r w:rsidR="00806F54">
        <w:rPr>
          <w:szCs w:val="22"/>
        </w:rPr>
        <w:t xml:space="preserve">waiving </w:t>
      </w:r>
      <w:r w:rsidR="000C5E5A">
        <w:rPr>
          <w:szCs w:val="22"/>
        </w:rPr>
        <w:t xml:space="preserve">Section 80.106 here </w:t>
      </w:r>
      <w:r w:rsidR="00806F54">
        <w:rPr>
          <w:szCs w:val="22"/>
        </w:rPr>
        <w:t xml:space="preserve">will </w:t>
      </w:r>
      <w:r w:rsidRPr="009123EA">
        <w:rPr>
          <w:szCs w:val="22"/>
        </w:rPr>
        <w:t xml:space="preserve">promote the </w:t>
      </w:r>
      <w:r w:rsidRPr="005F1926">
        <w:rPr>
          <w:szCs w:val="22"/>
        </w:rPr>
        <w:t>efficient use of AMTS spectrum and serve the public interest by improving safety in railroad operations</w:t>
      </w:r>
      <w:r w:rsidR="000C5E5A">
        <w:rPr>
          <w:szCs w:val="22"/>
        </w:rPr>
        <w:t>,</w:t>
      </w:r>
      <w:r w:rsidRPr="005F1926">
        <w:rPr>
          <w:szCs w:val="22"/>
        </w:rPr>
        <w:t xml:space="preserve"> without jeopardizing the maritime community’s </w:t>
      </w:r>
      <w:r w:rsidR="000C5E5A" w:rsidRPr="005D1BE1">
        <w:t xml:space="preserve">ability to meet its operational, safety, and security communications </w:t>
      </w:r>
      <w:r w:rsidRPr="005F1926">
        <w:rPr>
          <w:szCs w:val="22"/>
        </w:rPr>
        <w:t>needs.</w:t>
      </w:r>
      <w:r>
        <w:rPr>
          <w:rStyle w:val="FootnoteReference"/>
          <w:szCs w:val="22"/>
        </w:rPr>
        <w:footnoteReference w:id="134"/>
      </w:r>
      <w:r w:rsidRPr="009123EA">
        <w:rPr>
          <w:szCs w:val="22"/>
        </w:rPr>
        <w:t xml:space="preserve">  </w:t>
      </w:r>
      <w:r w:rsidR="00926CB4">
        <w:rPr>
          <w:szCs w:val="22"/>
        </w:rPr>
        <w:t>W</w:t>
      </w:r>
      <w:r w:rsidRPr="009123EA">
        <w:rPr>
          <w:szCs w:val="22"/>
        </w:rPr>
        <w:t>e also find that in light of the unique circumstances of SCRRA’s PTC deployment, application of Section 80.106 to its PTC operations would be contrary to the public interest in rail safety and therefore waive this rule</w:t>
      </w:r>
      <w:r w:rsidRPr="005F1926">
        <w:rPr>
          <w:i/>
          <w:szCs w:val="22"/>
        </w:rPr>
        <w:t>.</w:t>
      </w:r>
      <w:r w:rsidRPr="003A15E3">
        <w:rPr>
          <w:rStyle w:val="FootnoteReference"/>
          <w:szCs w:val="22"/>
        </w:rPr>
        <w:footnoteReference w:id="135"/>
      </w:r>
    </w:p>
    <w:p w14:paraId="54E37034" w14:textId="6F6296F0" w:rsidR="00ED29B2" w:rsidRPr="00205692" w:rsidRDefault="007A5843" w:rsidP="00292E90">
      <w:pPr>
        <w:pStyle w:val="ParaNum"/>
        <w:tabs>
          <w:tab w:val="clear" w:pos="1080"/>
          <w:tab w:val="num" w:pos="1440"/>
        </w:tabs>
        <w:rPr>
          <w:szCs w:val="22"/>
        </w:rPr>
      </w:pPr>
      <w:r w:rsidRPr="00205692">
        <w:rPr>
          <w:szCs w:val="22"/>
        </w:rPr>
        <w:t>In addition to the reasons discussed above for granting SCRRA</w:t>
      </w:r>
      <w:r w:rsidR="00C478DC" w:rsidRPr="00205692">
        <w:rPr>
          <w:szCs w:val="22"/>
        </w:rPr>
        <w:t xml:space="preserve"> a </w:t>
      </w:r>
      <w:r w:rsidRPr="00205692">
        <w:rPr>
          <w:szCs w:val="22"/>
        </w:rPr>
        <w:t xml:space="preserve">waiver of certain AMTS rules to </w:t>
      </w:r>
      <w:r w:rsidR="007E2C83" w:rsidRPr="00205692">
        <w:rPr>
          <w:szCs w:val="22"/>
        </w:rPr>
        <w:t>facilitate</w:t>
      </w:r>
      <w:r w:rsidRPr="00205692">
        <w:rPr>
          <w:szCs w:val="22"/>
        </w:rPr>
        <w:t xml:space="preserve"> </w:t>
      </w:r>
      <w:r w:rsidR="00C478DC" w:rsidRPr="00205692">
        <w:rPr>
          <w:szCs w:val="22"/>
        </w:rPr>
        <w:t>its compliance with the federal PTC mandate</w:t>
      </w:r>
      <w:r w:rsidRPr="00205692">
        <w:rPr>
          <w:szCs w:val="22"/>
        </w:rPr>
        <w:t xml:space="preserve">, </w:t>
      </w:r>
      <w:r w:rsidRPr="00125FE6">
        <w:rPr>
          <w:szCs w:val="22"/>
        </w:rPr>
        <w:t>we also find good cause under Section 1.3 of the Commission</w:t>
      </w:r>
      <w:r w:rsidR="002332C3" w:rsidRPr="00125FE6">
        <w:rPr>
          <w:szCs w:val="22"/>
        </w:rPr>
        <w:t>’s</w:t>
      </w:r>
      <w:r w:rsidRPr="00125FE6">
        <w:rPr>
          <w:szCs w:val="22"/>
        </w:rPr>
        <w:t xml:space="preserve"> rules to waive the</w:t>
      </w:r>
      <w:r w:rsidR="00C478DC" w:rsidRPr="00125FE6">
        <w:rPr>
          <w:szCs w:val="22"/>
        </w:rPr>
        <w:t xml:space="preserve">se </w:t>
      </w:r>
      <w:r w:rsidRPr="00125FE6">
        <w:rPr>
          <w:szCs w:val="22"/>
        </w:rPr>
        <w:t>rules</w:t>
      </w:r>
      <w:r w:rsidR="00C478DC" w:rsidRPr="00205692">
        <w:rPr>
          <w:szCs w:val="22"/>
        </w:rPr>
        <w:t>,</w:t>
      </w:r>
      <w:r w:rsidR="006C576A">
        <w:rPr>
          <w:rStyle w:val="FootnoteReference"/>
          <w:szCs w:val="22"/>
        </w:rPr>
        <w:footnoteReference w:id="136"/>
      </w:r>
      <w:r w:rsidRPr="00205692">
        <w:rPr>
          <w:szCs w:val="22"/>
        </w:rPr>
        <w:t xml:space="preserve"> </w:t>
      </w:r>
      <w:r w:rsidR="00C478DC" w:rsidRPr="00205692">
        <w:rPr>
          <w:szCs w:val="22"/>
        </w:rPr>
        <w:t xml:space="preserve">because </w:t>
      </w:r>
      <w:r w:rsidRPr="00205692">
        <w:rPr>
          <w:szCs w:val="22"/>
        </w:rPr>
        <w:t xml:space="preserve">doing </w:t>
      </w:r>
      <w:r w:rsidR="00C67536">
        <w:rPr>
          <w:szCs w:val="22"/>
        </w:rPr>
        <w:t xml:space="preserve">so </w:t>
      </w:r>
      <w:r w:rsidR="00415C0A" w:rsidRPr="00205692">
        <w:rPr>
          <w:szCs w:val="22"/>
        </w:rPr>
        <w:t xml:space="preserve">will </w:t>
      </w:r>
      <w:r w:rsidR="00C478DC" w:rsidRPr="00205692">
        <w:rPr>
          <w:szCs w:val="22"/>
        </w:rPr>
        <w:t xml:space="preserve">serve the public interest in </w:t>
      </w:r>
      <w:r w:rsidRPr="00205692">
        <w:rPr>
          <w:szCs w:val="22"/>
        </w:rPr>
        <w:t>commuter rail safety in the greater Los Angeles area</w:t>
      </w:r>
      <w:r w:rsidR="00C478DC" w:rsidRPr="00205692">
        <w:rPr>
          <w:szCs w:val="22"/>
        </w:rPr>
        <w:t>.</w:t>
      </w:r>
      <w:r w:rsidR="00C478DC" w:rsidRPr="00205692">
        <w:rPr>
          <w:rStyle w:val="FootnoteReference"/>
          <w:szCs w:val="22"/>
        </w:rPr>
        <w:footnoteReference w:id="137"/>
      </w:r>
      <w:r w:rsidR="00C478DC" w:rsidRPr="00205692">
        <w:rPr>
          <w:szCs w:val="22"/>
        </w:rPr>
        <w:t xml:space="preserve">  </w:t>
      </w:r>
      <w:r w:rsidR="00AD5B2B" w:rsidRPr="00205692">
        <w:rPr>
          <w:szCs w:val="22"/>
        </w:rPr>
        <w:t>We emphasize that the waiver relief we grant today will only apply to use of the AMTS spectrum to deploy PTC in defined rail corridors</w:t>
      </w:r>
      <w:r w:rsidR="00CF5F00" w:rsidRPr="00205692">
        <w:rPr>
          <w:szCs w:val="22"/>
        </w:rPr>
        <w:t>,</w:t>
      </w:r>
      <w:r w:rsidR="00AD5B2B" w:rsidRPr="00205692">
        <w:rPr>
          <w:szCs w:val="22"/>
        </w:rPr>
        <w:t xml:space="preserve"> thereby limiting the area of potential interference.  If SCRRA assigns</w:t>
      </w:r>
      <w:r w:rsidR="00CF5F00" w:rsidRPr="00205692">
        <w:rPr>
          <w:szCs w:val="22"/>
        </w:rPr>
        <w:t xml:space="preserve">, partitions, disaggregates, </w:t>
      </w:r>
      <w:r w:rsidR="00AD5B2B" w:rsidRPr="00205692">
        <w:rPr>
          <w:szCs w:val="22"/>
        </w:rPr>
        <w:t>or leases any spectrum it acquires from MCLM to a third party, the waivers would only apply if that spectrum is used for PTC.</w:t>
      </w:r>
    </w:p>
    <w:p w14:paraId="4DACDC67" w14:textId="77777777" w:rsidR="00F15BB2" w:rsidRPr="00F15BB2" w:rsidRDefault="00F15BB2" w:rsidP="002C1E14">
      <w:pPr>
        <w:pStyle w:val="Heading2"/>
        <w:rPr>
          <w:b w:val="0"/>
          <w:szCs w:val="22"/>
        </w:rPr>
      </w:pPr>
      <w:bookmarkStart w:id="79" w:name="_Toc450736717"/>
      <w:bookmarkStart w:id="80" w:name="_Toc451332490"/>
      <w:bookmarkStart w:id="81" w:name="_Toc451332594"/>
      <w:bookmarkStart w:id="82" w:name="_Toc451524271"/>
      <w:bookmarkStart w:id="83" w:name="_Toc455057597"/>
      <w:bookmarkStart w:id="84" w:name="_Toc457311045"/>
      <w:r w:rsidRPr="00F15BB2">
        <w:rPr>
          <w:szCs w:val="22"/>
        </w:rPr>
        <w:t>Reclassification of AMTS Spectrum</w:t>
      </w:r>
      <w:bookmarkEnd w:id="79"/>
      <w:bookmarkEnd w:id="80"/>
      <w:bookmarkEnd w:id="81"/>
      <w:bookmarkEnd w:id="82"/>
      <w:bookmarkEnd w:id="83"/>
      <w:bookmarkEnd w:id="84"/>
    </w:p>
    <w:p w14:paraId="7B904B22" w14:textId="77777777" w:rsidR="00F15BB2" w:rsidRPr="00F15BB2" w:rsidRDefault="00F15BB2" w:rsidP="00106C38">
      <w:pPr>
        <w:pStyle w:val="ParaNum"/>
        <w:tabs>
          <w:tab w:val="clear" w:pos="1080"/>
          <w:tab w:val="num" w:pos="1440"/>
        </w:tabs>
      </w:pPr>
      <w:r w:rsidRPr="00F15BB2">
        <w:t>For the reasons that follow, we grant MCLM’s application to modify the regulatory status of the AMTS spectrum it proposes to assign to SCRRA and thereby enable SCRRA’s private PTC use of that spectrum.</w:t>
      </w:r>
      <w:r w:rsidRPr="00F15BB2">
        <w:rPr>
          <w:vertAlign w:val="superscript"/>
        </w:rPr>
        <w:footnoteReference w:id="138"/>
      </w:r>
    </w:p>
    <w:p w14:paraId="699F50E2" w14:textId="77777777" w:rsidR="00F15BB2" w:rsidRPr="00F15BB2" w:rsidRDefault="00F15BB2" w:rsidP="00106C38">
      <w:pPr>
        <w:pStyle w:val="ParaNum"/>
        <w:tabs>
          <w:tab w:val="clear" w:pos="1080"/>
          <w:tab w:val="num" w:pos="1440"/>
        </w:tabs>
      </w:pPr>
      <w:r w:rsidRPr="00F15BB2">
        <w:t>AMTS stations are presumptively regulated as a commercial mobile radio service (CMRS).</w:t>
      </w:r>
      <w:r w:rsidRPr="00F15BB2">
        <w:rPr>
          <w:vertAlign w:val="superscript"/>
        </w:rPr>
        <w:footnoteReference w:id="139"/>
      </w:r>
      <w:r w:rsidRPr="00F15BB2">
        <w:t xml:space="preserve">  Section 20.9(b) of the Commission’s rules provides that an AMTS applicant or licensee that wishes to provide service on a private mobile radio service (PMRS)</w:t>
      </w:r>
      <w:r w:rsidRPr="00F15BB2">
        <w:rPr>
          <w:vertAlign w:val="superscript"/>
        </w:rPr>
        <w:footnoteReference w:id="140"/>
      </w:r>
      <w:r w:rsidRPr="00F15BB2">
        <w:t xml:space="preserve"> basis, such as SCRRA, can overcome this presumption by certifying that it will offer service on a PMRS basis.</w:t>
      </w:r>
      <w:r w:rsidRPr="00F15BB2">
        <w:rPr>
          <w:sz w:val="20"/>
          <w:szCs w:val="22"/>
          <w:vertAlign w:val="superscript"/>
        </w:rPr>
        <w:footnoteReference w:id="141"/>
      </w:r>
      <w:r w:rsidRPr="00F15BB2">
        <w:t xml:space="preserve">  The certification must describe the proposed service sufficiently to demonstrate that it is not within the definition of CMRS under Section 20.3 of the Commission’s rules.</w:t>
      </w:r>
      <w:r w:rsidRPr="00F15BB2">
        <w:rPr>
          <w:szCs w:val="22"/>
          <w:vertAlign w:val="superscript"/>
        </w:rPr>
        <w:footnoteReference w:id="142"/>
      </w:r>
      <w:r w:rsidRPr="00F15BB2">
        <w:t xml:space="preserve">  Applications requesting to use AMTS spectrum to offer service on a PMRS basis must be placed on public notice by the Commission;</w:t>
      </w:r>
      <w:r w:rsidRPr="00F15BB2">
        <w:rPr>
          <w:szCs w:val="22"/>
          <w:vertAlign w:val="superscript"/>
        </w:rPr>
        <w:footnoteReference w:id="143"/>
      </w:r>
      <w:r w:rsidRPr="00F15BB2">
        <w:t xml:space="preserve"> a petition to deny such an application must contain specific allegations of fact to show that the applicant’s request does not rebut the CMRS presumption.</w:t>
      </w:r>
      <w:r w:rsidRPr="00F15BB2">
        <w:rPr>
          <w:sz w:val="20"/>
          <w:vertAlign w:val="superscript"/>
        </w:rPr>
        <w:footnoteReference w:id="144"/>
      </w:r>
    </w:p>
    <w:p w14:paraId="1FEEDFEB" w14:textId="138C59E4" w:rsidR="00F15BB2" w:rsidRPr="00F15BB2" w:rsidRDefault="00F15BB2" w:rsidP="00106C38">
      <w:pPr>
        <w:pStyle w:val="ParaNum"/>
        <w:tabs>
          <w:tab w:val="clear" w:pos="1080"/>
          <w:tab w:val="num" w:pos="1440"/>
        </w:tabs>
        <w:rPr>
          <w:szCs w:val="22"/>
        </w:rPr>
      </w:pPr>
      <w:r w:rsidRPr="00F15BB2">
        <w:t>MCLM’s Modification Application was placed on public notice,</w:t>
      </w:r>
      <w:r w:rsidRPr="00F15BB2">
        <w:rPr>
          <w:szCs w:val="22"/>
          <w:vertAlign w:val="superscript"/>
        </w:rPr>
        <w:footnoteReference w:id="145"/>
      </w:r>
      <w:r w:rsidRPr="00F15BB2">
        <w:t xml:space="preserve"> </w:t>
      </w:r>
      <w:r w:rsidRPr="00F15BB2">
        <w:rPr>
          <w:szCs w:val="22"/>
        </w:rPr>
        <w:t>and both MCLM and SCRRA filed Section 20.9(b) Certifications.  In its certification, MCLM states that to accommodate SCRRA’s PTC deployment, it will provide no further CMRS in the license area to be assigned to SCRRA.</w:t>
      </w:r>
      <w:r w:rsidRPr="00F15BB2">
        <w:rPr>
          <w:szCs w:val="22"/>
          <w:vertAlign w:val="superscript"/>
        </w:rPr>
        <w:footnoteReference w:id="146"/>
      </w:r>
      <w:r w:rsidRPr="00F15BB2">
        <w:rPr>
          <w:szCs w:val="22"/>
        </w:rPr>
        <w:t xml:space="preserve">  MCLM also states that it has notified its customers, who are on month-to-month contracts, of its intent to terminate service to enable SCRRA’s PTC deployment.</w:t>
      </w:r>
      <w:r w:rsidRPr="00F15BB2">
        <w:rPr>
          <w:szCs w:val="22"/>
          <w:vertAlign w:val="superscript"/>
        </w:rPr>
        <w:footnoteReference w:id="147"/>
      </w:r>
      <w:r w:rsidRPr="00F15BB2">
        <w:rPr>
          <w:szCs w:val="22"/>
        </w:rPr>
        <w:t xml:space="preserve">  </w:t>
      </w:r>
      <w:r w:rsidR="00B30F70">
        <w:rPr>
          <w:szCs w:val="22"/>
        </w:rPr>
        <w:t>MCLM states that “[u]</w:t>
      </w:r>
      <w:r w:rsidRPr="00F15BB2">
        <w:rPr>
          <w:szCs w:val="22"/>
        </w:rPr>
        <w:t>pon grant of the partition to SCRRA,</w:t>
      </w:r>
      <w:r w:rsidR="00B30F70">
        <w:rPr>
          <w:szCs w:val="22"/>
        </w:rPr>
        <w:t xml:space="preserve"> [it] </w:t>
      </w:r>
      <w:r w:rsidRPr="00F15BB2">
        <w:rPr>
          <w:szCs w:val="22"/>
        </w:rPr>
        <w:t>will take down all of its radio facilities in the area</w:t>
      </w:r>
      <w:r w:rsidR="00F253F2">
        <w:rPr>
          <w:szCs w:val="22"/>
        </w:rPr>
        <w:t>,</w:t>
      </w:r>
      <w:r w:rsidRPr="00F15BB2">
        <w:rPr>
          <w:szCs w:val="22"/>
        </w:rPr>
        <w:t>”</w:t>
      </w:r>
      <w:r w:rsidRPr="00F15BB2">
        <w:rPr>
          <w:szCs w:val="22"/>
          <w:vertAlign w:val="superscript"/>
        </w:rPr>
        <w:footnoteReference w:id="148"/>
      </w:r>
      <w:r w:rsidRPr="00F15BB2">
        <w:rPr>
          <w:szCs w:val="22"/>
        </w:rPr>
        <w:t xml:space="preserve"> and upon termination of service, that it will not operate an AMTS service for profit.</w:t>
      </w:r>
      <w:r w:rsidRPr="00F15BB2">
        <w:rPr>
          <w:szCs w:val="22"/>
          <w:vertAlign w:val="superscript"/>
        </w:rPr>
        <w:footnoteReference w:id="149"/>
      </w:r>
      <w:r w:rsidRPr="00F15BB2">
        <w:rPr>
          <w:szCs w:val="22"/>
        </w:rPr>
        <w:t xml:space="preserve">  In their Petition to Deny, the Havens Entities argue that MCLM’s Section 20.9(b) Certification should be “dismissed or denied,” claiming that MCLM lacks the required character to be a Commission licensee</w:t>
      </w:r>
      <w:r w:rsidRPr="00DB4A47">
        <w:rPr>
          <w:szCs w:val="22"/>
        </w:rPr>
        <w:t>.</w:t>
      </w:r>
      <w:r w:rsidRPr="00DB4A47">
        <w:rPr>
          <w:szCs w:val="22"/>
          <w:vertAlign w:val="superscript"/>
        </w:rPr>
        <w:footnoteReference w:id="150"/>
      </w:r>
      <w:r w:rsidRPr="00DB4A47">
        <w:rPr>
          <w:szCs w:val="22"/>
        </w:rPr>
        <w:t xml:space="preserve">  As explained above, because the Commission removed the SCRRA Applications from the ambit of the MCLM hearing, such character allegations are beyond the scope of this proceeding.</w:t>
      </w:r>
      <w:r w:rsidRPr="00DB4A47">
        <w:rPr>
          <w:szCs w:val="22"/>
          <w:vertAlign w:val="superscript"/>
        </w:rPr>
        <w:footnoteReference w:id="151"/>
      </w:r>
      <w:r w:rsidRPr="00DB4A47">
        <w:rPr>
          <w:szCs w:val="22"/>
        </w:rPr>
        <w:t xml:space="preserve">  The Havens Entities moreover do not address whether MCLM has rebutted the CMRS presumption</w:t>
      </w:r>
      <w:r w:rsidR="00A05C46" w:rsidRPr="00DB4A47">
        <w:rPr>
          <w:szCs w:val="22"/>
        </w:rPr>
        <w:t>.  W</w:t>
      </w:r>
      <w:r w:rsidRPr="00DB4A47">
        <w:rPr>
          <w:szCs w:val="22"/>
        </w:rPr>
        <w:t xml:space="preserve">e find that </w:t>
      </w:r>
      <w:r w:rsidR="000D1A60" w:rsidRPr="00DB4A47">
        <w:rPr>
          <w:szCs w:val="22"/>
        </w:rPr>
        <w:t xml:space="preserve">because </w:t>
      </w:r>
      <w:r w:rsidR="00A05C46" w:rsidRPr="00DB4A47">
        <w:rPr>
          <w:szCs w:val="22"/>
        </w:rPr>
        <w:t xml:space="preserve">MCLM </w:t>
      </w:r>
      <w:r w:rsidR="000D1A60" w:rsidRPr="00DB4A47">
        <w:rPr>
          <w:szCs w:val="22"/>
        </w:rPr>
        <w:t xml:space="preserve">will terminate any remaining CMRS </w:t>
      </w:r>
      <w:r w:rsidR="00A05C46" w:rsidRPr="00DB4A47">
        <w:rPr>
          <w:szCs w:val="22"/>
        </w:rPr>
        <w:t xml:space="preserve">before completing </w:t>
      </w:r>
      <w:r w:rsidR="000D1A60" w:rsidRPr="00DB4A47">
        <w:rPr>
          <w:szCs w:val="22"/>
        </w:rPr>
        <w:t>the spectrum assignment to SCRRA</w:t>
      </w:r>
      <w:r w:rsidR="00A05C46" w:rsidRPr="00DB4A47">
        <w:rPr>
          <w:szCs w:val="22"/>
        </w:rPr>
        <w:t xml:space="preserve">, MCLM </w:t>
      </w:r>
      <w:r w:rsidRPr="00DB4A47">
        <w:rPr>
          <w:szCs w:val="22"/>
        </w:rPr>
        <w:t xml:space="preserve">has </w:t>
      </w:r>
      <w:r w:rsidR="00A05C46" w:rsidRPr="00DB4A47">
        <w:rPr>
          <w:szCs w:val="22"/>
        </w:rPr>
        <w:t>overcome the presumption for the limited spectrum at issue</w:t>
      </w:r>
      <w:r w:rsidRPr="00DB4A47">
        <w:rPr>
          <w:szCs w:val="22"/>
        </w:rPr>
        <w:t>.</w:t>
      </w:r>
      <w:r w:rsidR="00F253F2" w:rsidRPr="00DB4A47">
        <w:rPr>
          <w:sz w:val="20"/>
          <w:szCs w:val="22"/>
          <w:vertAlign w:val="superscript"/>
        </w:rPr>
        <w:footnoteReference w:id="152"/>
      </w:r>
      <w:r w:rsidR="00F253F2" w:rsidRPr="00F15BB2">
        <w:rPr>
          <w:szCs w:val="22"/>
        </w:rPr>
        <w:t xml:space="preserve"> </w:t>
      </w:r>
      <w:r w:rsidRPr="00F15BB2">
        <w:rPr>
          <w:szCs w:val="22"/>
        </w:rPr>
        <w:t xml:space="preserve"> </w:t>
      </w:r>
    </w:p>
    <w:p w14:paraId="2A1110D7" w14:textId="7DB75B49" w:rsidR="00F15BB2" w:rsidRPr="00F15BB2" w:rsidRDefault="00F15BB2" w:rsidP="00106C38">
      <w:pPr>
        <w:pStyle w:val="ParaNum"/>
        <w:tabs>
          <w:tab w:val="clear" w:pos="1080"/>
          <w:tab w:val="num" w:pos="1440"/>
        </w:tabs>
        <w:rPr>
          <w:szCs w:val="22"/>
        </w:rPr>
      </w:pPr>
      <w:r w:rsidRPr="00F15BB2">
        <w:rPr>
          <w:szCs w:val="22"/>
        </w:rPr>
        <w:t>In SCRRA’s Section 20.9(b) Certification, it states that its “PTC service cannot and will not meet the definition of CMRS because 1) PTC transmissions will not be available to the public or to classes of the public, 2) PTC transmissions will not be interconnected, and 3) the PTC radio transmission service will not be provided for profit.”</w:t>
      </w:r>
      <w:r w:rsidRPr="00F15BB2">
        <w:rPr>
          <w:szCs w:val="22"/>
          <w:vertAlign w:val="superscript"/>
        </w:rPr>
        <w:footnoteReference w:id="153"/>
      </w:r>
      <w:r w:rsidRPr="00F15BB2">
        <w:rPr>
          <w:szCs w:val="22"/>
        </w:rPr>
        <w:t xml:space="preserve">  SCRRA explains that to provide PTC, it will be unable to provide CMRS to maritime customers or be interconnected with the public switched network, that such transmissions to outside users would serve no purpose, and that any transmissions from outside users would create interference</w:t>
      </w:r>
      <w:r w:rsidR="00D7415D">
        <w:rPr>
          <w:szCs w:val="22"/>
        </w:rPr>
        <w:t>,</w:t>
      </w:r>
      <w:r w:rsidRPr="00F15BB2">
        <w:rPr>
          <w:szCs w:val="22"/>
        </w:rPr>
        <w:t xml:space="preserve"> triggering unplanned, repeated interruptions to its commuter rail service.</w:t>
      </w:r>
      <w:r w:rsidRPr="00F15BB2">
        <w:rPr>
          <w:szCs w:val="22"/>
          <w:vertAlign w:val="superscript"/>
        </w:rPr>
        <w:footnoteReference w:id="154"/>
      </w:r>
    </w:p>
    <w:p w14:paraId="6BBFD31B" w14:textId="132964E4" w:rsidR="00F15BB2" w:rsidRPr="00F15BB2" w:rsidRDefault="00F15BB2" w:rsidP="00106C38">
      <w:pPr>
        <w:pStyle w:val="ParaNum"/>
        <w:tabs>
          <w:tab w:val="clear" w:pos="1080"/>
          <w:tab w:val="num" w:pos="1440"/>
        </w:tabs>
        <w:rPr>
          <w:szCs w:val="22"/>
        </w:rPr>
      </w:pPr>
      <w:r w:rsidRPr="00F15BB2">
        <w:rPr>
          <w:szCs w:val="22"/>
        </w:rPr>
        <w:t>The Havens Entities fail to address whether SCRRA’s proposed PTC service is a CMRS.</w:t>
      </w:r>
      <w:r w:rsidRPr="00F15BB2">
        <w:rPr>
          <w:sz w:val="20"/>
          <w:szCs w:val="22"/>
          <w:vertAlign w:val="superscript"/>
        </w:rPr>
        <w:footnoteReference w:id="155"/>
      </w:r>
      <w:r w:rsidRPr="00F15BB2">
        <w:rPr>
          <w:szCs w:val="22"/>
        </w:rPr>
        <w:t xml:space="preserve">  Instead, they allege that SCRRA’s Section 20.9(b) Certification is infirm, arguing that an internal SCRRA memorandum indicates that SCRRA will not require all of the spectrum it seeks to acquire from MCLM to implement PTC.</w:t>
      </w:r>
      <w:r w:rsidRPr="00F15BB2">
        <w:rPr>
          <w:szCs w:val="22"/>
          <w:vertAlign w:val="superscript"/>
        </w:rPr>
        <w:footnoteReference w:id="156"/>
      </w:r>
      <w:r w:rsidRPr="00F15BB2">
        <w:rPr>
          <w:szCs w:val="22"/>
        </w:rPr>
        <w:t xml:space="preserve">  The Havens Entities misconstrue the import of the SCRRA memorandum, which demonstrates that SCRRA was evaluating the quantity of spectrum required to implement PTC and, that if it acquired surplus spectrum, it might sell or lease that spectrum to a third party.</w:t>
      </w:r>
      <w:r w:rsidRPr="00F15BB2">
        <w:rPr>
          <w:sz w:val="20"/>
          <w:szCs w:val="22"/>
          <w:vertAlign w:val="superscript"/>
        </w:rPr>
        <w:footnoteReference w:id="157"/>
      </w:r>
      <w:r w:rsidRPr="00F15BB2">
        <w:rPr>
          <w:szCs w:val="22"/>
        </w:rPr>
        <w:t xml:space="preserve">  </w:t>
      </w:r>
      <w:r w:rsidRPr="00F15BB2">
        <w:t>We also note that, in its full context, the memorandum provides no support for the Havens Entities’ allegations that SCRRA demonstrated a lack of candor before the Commission.</w:t>
      </w:r>
      <w:r w:rsidRPr="00F15BB2">
        <w:rPr>
          <w:szCs w:val="22"/>
          <w:vertAlign w:val="superscript"/>
        </w:rPr>
        <w:footnoteReference w:id="158"/>
      </w:r>
      <w:r w:rsidRPr="00F15BB2">
        <w:t xml:space="preserve">  </w:t>
      </w:r>
    </w:p>
    <w:p w14:paraId="10640414" w14:textId="4E0581C8" w:rsidR="00DE21F6" w:rsidRPr="00AF181B" w:rsidRDefault="00F15BB2" w:rsidP="00913B0D">
      <w:pPr>
        <w:pStyle w:val="ParaNum"/>
        <w:tabs>
          <w:tab w:val="clear" w:pos="1080"/>
          <w:tab w:val="num" w:pos="1440"/>
        </w:tabs>
        <w:rPr>
          <w:szCs w:val="22"/>
        </w:rPr>
      </w:pPr>
      <w:r w:rsidRPr="00AF181B">
        <w:rPr>
          <w:szCs w:val="22"/>
        </w:rPr>
        <w:t xml:space="preserve">The record before us demonstrates that SCRRA intends to use the spectrum it seeks to acquire from MCLM </w:t>
      </w:r>
      <w:r w:rsidR="00D7415D">
        <w:rPr>
          <w:szCs w:val="22"/>
        </w:rPr>
        <w:t xml:space="preserve">for PTC deployment </w:t>
      </w:r>
      <w:r w:rsidRPr="00AF181B">
        <w:rPr>
          <w:szCs w:val="22"/>
        </w:rPr>
        <w:t xml:space="preserve">on non-commercial, private </w:t>
      </w:r>
      <w:r w:rsidR="00D7415D">
        <w:rPr>
          <w:szCs w:val="22"/>
        </w:rPr>
        <w:t xml:space="preserve">mobile radio </w:t>
      </w:r>
      <w:r w:rsidRPr="00AF181B">
        <w:rPr>
          <w:szCs w:val="22"/>
        </w:rPr>
        <w:t>basis.</w:t>
      </w:r>
      <w:r w:rsidRPr="00AF181B">
        <w:rPr>
          <w:szCs w:val="22"/>
          <w:vertAlign w:val="superscript"/>
        </w:rPr>
        <w:footnoteReference w:id="159"/>
      </w:r>
      <w:r w:rsidRPr="00AF181B">
        <w:rPr>
          <w:szCs w:val="22"/>
        </w:rPr>
        <w:t xml:space="preserve">  We find that SCRRA</w:t>
      </w:r>
      <w:r w:rsidR="00D7415D">
        <w:rPr>
          <w:szCs w:val="22"/>
        </w:rPr>
        <w:t xml:space="preserve">, given its </w:t>
      </w:r>
      <w:r w:rsidR="00D7415D" w:rsidRPr="00AF181B">
        <w:rPr>
          <w:szCs w:val="22"/>
        </w:rPr>
        <w:t>planned use of the AMTS spectrum</w:t>
      </w:r>
      <w:r w:rsidR="00D7415D">
        <w:rPr>
          <w:szCs w:val="22"/>
        </w:rPr>
        <w:t>,</w:t>
      </w:r>
      <w:r w:rsidRPr="00AF181B">
        <w:rPr>
          <w:szCs w:val="22"/>
        </w:rPr>
        <w:t xml:space="preserve"> has overcome the </w:t>
      </w:r>
      <w:r w:rsidR="00D7415D" w:rsidRPr="00AF181B">
        <w:rPr>
          <w:szCs w:val="22"/>
        </w:rPr>
        <w:t xml:space="preserve">CMRS regulatory classification </w:t>
      </w:r>
      <w:r w:rsidRPr="00AF181B">
        <w:rPr>
          <w:szCs w:val="22"/>
        </w:rPr>
        <w:t>presumption,</w:t>
      </w:r>
      <w:r w:rsidR="00F253F2">
        <w:rPr>
          <w:rStyle w:val="FootnoteReference"/>
          <w:szCs w:val="22"/>
        </w:rPr>
        <w:footnoteReference w:id="160"/>
      </w:r>
      <w:r w:rsidRPr="00AF181B">
        <w:rPr>
          <w:szCs w:val="22"/>
        </w:rPr>
        <w:t xml:space="preserve"> and hereby grant the Modification Application.</w:t>
      </w:r>
      <w:r w:rsidR="00DE21F6" w:rsidRPr="00AF181B">
        <w:rPr>
          <w:szCs w:val="22"/>
        </w:rPr>
        <w:t xml:space="preserve">  </w:t>
      </w:r>
    </w:p>
    <w:p w14:paraId="67FD1DD3" w14:textId="77777777" w:rsidR="00DE21F6" w:rsidRPr="00C032C2" w:rsidRDefault="00DE21F6" w:rsidP="00DE21F6">
      <w:pPr>
        <w:pStyle w:val="Heading1"/>
        <w:rPr>
          <w:rFonts w:ascii="Times New Roman" w:hAnsi="Times New Roman"/>
          <w:szCs w:val="22"/>
        </w:rPr>
      </w:pPr>
      <w:bookmarkStart w:id="85" w:name="_Toc371516615"/>
      <w:bookmarkStart w:id="86" w:name="_Toc371517075"/>
      <w:bookmarkStart w:id="87" w:name="_Toc450736718"/>
      <w:bookmarkStart w:id="88" w:name="_Toc451332491"/>
      <w:bookmarkStart w:id="89" w:name="_Toc451332595"/>
      <w:bookmarkStart w:id="90" w:name="_Toc451524272"/>
      <w:bookmarkStart w:id="91" w:name="_Toc455057502"/>
      <w:bookmarkStart w:id="92" w:name="_Toc455057598"/>
      <w:bookmarkStart w:id="93" w:name="_Toc457311046"/>
      <w:r w:rsidRPr="00C032C2">
        <w:rPr>
          <w:rFonts w:ascii="Times New Roman" w:hAnsi="Times New Roman"/>
          <w:szCs w:val="22"/>
        </w:rPr>
        <w:t>conclusion</w:t>
      </w:r>
      <w:bookmarkEnd w:id="85"/>
      <w:bookmarkEnd w:id="86"/>
      <w:bookmarkEnd w:id="87"/>
      <w:bookmarkEnd w:id="88"/>
      <w:r w:rsidR="00C41F83">
        <w:rPr>
          <w:rFonts w:ascii="Times New Roman" w:hAnsi="Times New Roman"/>
          <w:szCs w:val="22"/>
        </w:rPr>
        <w:t xml:space="preserve"> and Ordering Clauses</w:t>
      </w:r>
      <w:bookmarkEnd w:id="89"/>
      <w:bookmarkEnd w:id="90"/>
      <w:bookmarkEnd w:id="91"/>
      <w:bookmarkEnd w:id="92"/>
      <w:bookmarkEnd w:id="93"/>
    </w:p>
    <w:p w14:paraId="746E0815" w14:textId="168A6AE1" w:rsidR="00DE21F6" w:rsidRPr="00C41F83" w:rsidRDefault="00DE21F6" w:rsidP="00C41F83">
      <w:pPr>
        <w:pStyle w:val="ParaNum"/>
        <w:tabs>
          <w:tab w:val="clear" w:pos="1080"/>
          <w:tab w:val="num" w:pos="1440"/>
        </w:tabs>
        <w:rPr>
          <w:szCs w:val="22"/>
        </w:rPr>
      </w:pPr>
      <w:r w:rsidRPr="00C032C2">
        <w:rPr>
          <w:szCs w:val="22"/>
        </w:rPr>
        <w:t>For the reasons above, we conclude that grant of the SCRRA Applications and related waiver requests w</w:t>
      </w:r>
      <w:r w:rsidR="00C032C2">
        <w:rPr>
          <w:szCs w:val="22"/>
        </w:rPr>
        <w:t xml:space="preserve">ill </w:t>
      </w:r>
      <w:r w:rsidRPr="00C032C2">
        <w:rPr>
          <w:szCs w:val="22"/>
        </w:rPr>
        <w:t xml:space="preserve">further the </w:t>
      </w:r>
      <w:r w:rsidR="00C032C2">
        <w:rPr>
          <w:szCs w:val="22"/>
        </w:rPr>
        <w:t xml:space="preserve">vital </w:t>
      </w:r>
      <w:r w:rsidRPr="00C032C2">
        <w:rPr>
          <w:szCs w:val="22"/>
        </w:rPr>
        <w:t xml:space="preserve">public interest </w:t>
      </w:r>
      <w:r w:rsidR="00C032C2">
        <w:rPr>
          <w:szCs w:val="22"/>
        </w:rPr>
        <w:t xml:space="preserve">in rail safety </w:t>
      </w:r>
      <w:r w:rsidRPr="00C032C2">
        <w:rPr>
          <w:szCs w:val="22"/>
        </w:rPr>
        <w:t xml:space="preserve">and is consistent with the federal PTC mandate, the Commission’s determinations in the </w:t>
      </w:r>
      <w:r w:rsidRPr="00C032C2">
        <w:rPr>
          <w:i/>
          <w:szCs w:val="22"/>
        </w:rPr>
        <w:t>MCLM/</w:t>
      </w:r>
      <w:r w:rsidR="00187875" w:rsidRPr="00C032C2">
        <w:rPr>
          <w:i/>
          <w:szCs w:val="22"/>
        </w:rPr>
        <w:t>SCR</w:t>
      </w:r>
      <w:r w:rsidR="00187875">
        <w:rPr>
          <w:i/>
          <w:szCs w:val="22"/>
        </w:rPr>
        <w:t>R</w:t>
      </w:r>
      <w:r w:rsidR="00187875" w:rsidRPr="00C032C2">
        <w:rPr>
          <w:i/>
          <w:szCs w:val="22"/>
        </w:rPr>
        <w:t xml:space="preserve">A </w:t>
      </w:r>
      <w:r w:rsidRPr="00C032C2">
        <w:rPr>
          <w:i/>
          <w:szCs w:val="22"/>
        </w:rPr>
        <w:t>Order</w:t>
      </w:r>
      <w:r w:rsidR="00C41F83" w:rsidRPr="00C41F83">
        <w:rPr>
          <w:szCs w:val="22"/>
        </w:rPr>
        <w:t>,</w:t>
      </w:r>
      <w:r w:rsidRPr="00C032C2">
        <w:rPr>
          <w:szCs w:val="22"/>
        </w:rPr>
        <w:t xml:space="preserve"> and relevant Commission rules.</w:t>
      </w:r>
    </w:p>
    <w:p w14:paraId="3C390511" w14:textId="50D08D68" w:rsidR="00DE21F6" w:rsidRPr="00125FE6" w:rsidRDefault="00DE21F6" w:rsidP="00C542E6">
      <w:pPr>
        <w:pStyle w:val="ParaNum"/>
        <w:tabs>
          <w:tab w:val="clear" w:pos="1080"/>
          <w:tab w:val="num" w:pos="1440"/>
        </w:tabs>
        <w:rPr>
          <w:szCs w:val="22"/>
        </w:rPr>
      </w:pPr>
      <w:r w:rsidRPr="00125FE6">
        <w:rPr>
          <w:szCs w:val="22"/>
        </w:rPr>
        <w:t>Accordingly, IT IS ORDERED, pursuant to Sections 4(i) and 309 of the Communications Act of 1934, as amended, 47 U.S.C. §§ 154(i), 309, and Section</w:t>
      </w:r>
      <w:r w:rsidR="009A5407" w:rsidRPr="00125FE6">
        <w:rPr>
          <w:szCs w:val="22"/>
        </w:rPr>
        <w:t xml:space="preserve">s 1.3 and </w:t>
      </w:r>
      <w:r w:rsidRPr="00125FE6">
        <w:rPr>
          <w:szCs w:val="22"/>
        </w:rPr>
        <w:t>1.9</w:t>
      </w:r>
      <w:r w:rsidR="00A90395" w:rsidRPr="00125FE6">
        <w:rPr>
          <w:szCs w:val="22"/>
        </w:rPr>
        <w:t>2</w:t>
      </w:r>
      <w:r w:rsidRPr="00125FE6">
        <w:rPr>
          <w:szCs w:val="22"/>
        </w:rPr>
        <w:t>5(b)</w:t>
      </w:r>
      <w:r w:rsidR="00A90395" w:rsidRPr="00125FE6">
        <w:rPr>
          <w:szCs w:val="22"/>
        </w:rPr>
        <w:t>(3)</w:t>
      </w:r>
      <w:r w:rsidRPr="00125FE6">
        <w:rPr>
          <w:szCs w:val="22"/>
        </w:rPr>
        <w:t xml:space="preserve"> of the Commission's Rules, 47 C.F.R. </w:t>
      </w:r>
      <w:r w:rsidR="009A5407" w:rsidRPr="00125FE6">
        <w:rPr>
          <w:szCs w:val="22"/>
        </w:rPr>
        <w:t>§</w:t>
      </w:r>
      <w:r w:rsidRPr="00125FE6">
        <w:rPr>
          <w:szCs w:val="22"/>
        </w:rPr>
        <w:t xml:space="preserve">§ </w:t>
      </w:r>
      <w:r w:rsidR="009A5407" w:rsidRPr="00125FE6">
        <w:rPr>
          <w:szCs w:val="22"/>
        </w:rPr>
        <w:t xml:space="preserve">1.3, </w:t>
      </w:r>
      <w:r w:rsidRPr="00125FE6">
        <w:rPr>
          <w:szCs w:val="22"/>
        </w:rPr>
        <w:t>1.9</w:t>
      </w:r>
      <w:r w:rsidR="00A90395" w:rsidRPr="00125FE6">
        <w:rPr>
          <w:szCs w:val="22"/>
        </w:rPr>
        <w:t>2</w:t>
      </w:r>
      <w:r w:rsidRPr="00125FE6">
        <w:rPr>
          <w:szCs w:val="22"/>
        </w:rPr>
        <w:t>5(b)</w:t>
      </w:r>
      <w:r w:rsidR="00A90395" w:rsidRPr="00125FE6">
        <w:rPr>
          <w:szCs w:val="22"/>
        </w:rPr>
        <w:t>(3)</w:t>
      </w:r>
      <w:r w:rsidRPr="00125FE6">
        <w:rPr>
          <w:szCs w:val="22"/>
        </w:rPr>
        <w:t>, that application</w:t>
      </w:r>
      <w:r w:rsidR="00F253F2" w:rsidRPr="00125FE6">
        <w:rPr>
          <w:szCs w:val="22"/>
        </w:rPr>
        <w:t xml:space="preserve">s </w:t>
      </w:r>
      <w:r w:rsidR="00187875" w:rsidRPr="00125FE6">
        <w:rPr>
          <w:szCs w:val="22"/>
        </w:rPr>
        <w:t xml:space="preserve">under </w:t>
      </w:r>
      <w:r w:rsidR="00F253F2" w:rsidRPr="00125FE6">
        <w:rPr>
          <w:szCs w:val="22"/>
        </w:rPr>
        <w:t>ULS</w:t>
      </w:r>
      <w:r w:rsidRPr="00125FE6">
        <w:rPr>
          <w:szCs w:val="22"/>
        </w:rPr>
        <w:t xml:space="preserve"> File Nos.</w:t>
      </w:r>
      <w:r w:rsidRPr="00125FE6">
        <w:rPr>
          <w:spacing w:val="-2"/>
          <w:szCs w:val="22"/>
        </w:rPr>
        <w:t xml:space="preserve"> 0004153701 and 0004144435 ARE GRANTED</w:t>
      </w:r>
      <w:r w:rsidR="00125FE6" w:rsidRPr="00125FE6">
        <w:rPr>
          <w:spacing w:val="-2"/>
          <w:szCs w:val="22"/>
        </w:rPr>
        <w:t xml:space="preserve"> to the extent discussed above</w:t>
      </w:r>
      <w:r w:rsidRPr="00125FE6">
        <w:rPr>
          <w:szCs w:val="22"/>
        </w:rPr>
        <w:t>.</w:t>
      </w:r>
    </w:p>
    <w:p w14:paraId="72842554" w14:textId="1C7B9A3B" w:rsidR="00DE21F6" w:rsidRPr="009240F1" w:rsidRDefault="00DE21F6" w:rsidP="00235520">
      <w:pPr>
        <w:pStyle w:val="ParaNum"/>
        <w:tabs>
          <w:tab w:val="clear" w:pos="1080"/>
          <w:tab w:val="num" w:pos="1440"/>
        </w:tabs>
        <w:rPr>
          <w:szCs w:val="22"/>
        </w:rPr>
      </w:pPr>
      <w:r w:rsidRPr="009240F1">
        <w:rPr>
          <w:szCs w:val="22"/>
        </w:rPr>
        <w:t>IT IS FURTHER ORDERED, pursuant to Sections 4(i) and 309 of the Communications Act of 1934, as amended, 47 U.S.C. §§ 154(i), 309, and Section 1.</w:t>
      </w:r>
      <w:r w:rsidR="00800B2D" w:rsidRPr="009240F1">
        <w:rPr>
          <w:szCs w:val="22"/>
        </w:rPr>
        <w:t>939</w:t>
      </w:r>
      <w:r w:rsidRPr="009240F1">
        <w:rPr>
          <w:szCs w:val="22"/>
        </w:rPr>
        <w:t xml:space="preserve"> of the Commission's Rules, 47 C.F.R. § 1.93</w:t>
      </w:r>
      <w:r w:rsidR="00800B2D" w:rsidRPr="009240F1">
        <w:rPr>
          <w:szCs w:val="22"/>
        </w:rPr>
        <w:t>9</w:t>
      </w:r>
      <w:r w:rsidRPr="009240F1">
        <w:rPr>
          <w:szCs w:val="22"/>
        </w:rPr>
        <w:t>, that the Petition to Deny, and in the Alternative Section 1.41 Request, filed by Warren Havens</w:t>
      </w:r>
      <w:r w:rsidR="00F253F2" w:rsidRPr="009240F1">
        <w:rPr>
          <w:szCs w:val="22"/>
        </w:rPr>
        <w:t>,</w:t>
      </w:r>
      <w:r w:rsidRPr="009240F1">
        <w:rPr>
          <w:szCs w:val="22"/>
        </w:rPr>
        <w:t xml:space="preserve"> </w:t>
      </w:r>
      <w:r w:rsidR="00F253F2" w:rsidRPr="008A352C">
        <w:t>Environmentel LLC, Intelligent Transportation &amp; Monitoring Wireless LLC, Skybridge Spectrum Foundation, Telesaurus Holdings GB LLC, and Verde Systems LLC</w:t>
      </w:r>
      <w:r w:rsidR="00F253F2" w:rsidRPr="009240F1">
        <w:rPr>
          <w:szCs w:val="22"/>
        </w:rPr>
        <w:t xml:space="preserve"> </w:t>
      </w:r>
      <w:r w:rsidRPr="009240F1">
        <w:rPr>
          <w:szCs w:val="22"/>
        </w:rPr>
        <w:t>on April 28, 2010, ULS File No</w:t>
      </w:r>
      <w:r w:rsidR="004A4181" w:rsidRPr="009240F1">
        <w:rPr>
          <w:szCs w:val="22"/>
        </w:rPr>
        <w:t>s</w:t>
      </w:r>
      <w:r w:rsidRPr="009240F1">
        <w:rPr>
          <w:szCs w:val="22"/>
        </w:rPr>
        <w:t xml:space="preserve">. </w:t>
      </w:r>
      <w:r w:rsidR="00A90395" w:rsidRPr="009240F1">
        <w:rPr>
          <w:spacing w:val="-2"/>
          <w:szCs w:val="22"/>
        </w:rPr>
        <w:t xml:space="preserve">0004153701 and </w:t>
      </w:r>
      <w:r w:rsidRPr="009240F1">
        <w:rPr>
          <w:szCs w:val="22"/>
        </w:rPr>
        <w:t>0004144435</w:t>
      </w:r>
      <w:r w:rsidR="00A90395" w:rsidRPr="009240F1">
        <w:rPr>
          <w:szCs w:val="22"/>
        </w:rPr>
        <w:t>,</w:t>
      </w:r>
      <w:r w:rsidRPr="009240F1">
        <w:rPr>
          <w:szCs w:val="22"/>
        </w:rPr>
        <w:t xml:space="preserve"> IS DENIED.</w:t>
      </w:r>
      <w:r w:rsidR="00800B2D" w:rsidRPr="009240F1">
        <w:rPr>
          <w:szCs w:val="22"/>
        </w:rPr>
        <w:t xml:space="preserve">  All other pleadings filed by Warren Havens and </w:t>
      </w:r>
      <w:r w:rsidR="00F70043" w:rsidRPr="009240F1">
        <w:rPr>
          <w:szCs w:val="22"/>
        </w:rPr>
        <w:t xml:space="preserve">any of </w:t>
      </w:r>
      <w:r w:rsidR="00800B2D" w:rsidRPr="009240F1">
        <w:rPr>
          <w:szCs w:val="22"/>
        </w:rPr>
        <w:t>the</w:t>
      </w:r>
      <w:r w:rsidR="00394B88" w:rsidRPr="009240F1">
        <w:rPr>
          <w:szCs w:val="22"/>
        </w:rPr>
        <w:t>se</w:t>
      </w:r>
      <w:r w:rsidR="00800B2D" w:rsidRPr="009240F1">
        <w:rPr>
          <w:szCs w:val="22"/>
        </w:rPr>
        <w:t xml:space="preserve"> five associated entities of which he is President under </w:t>
      </w:r>
      <w:r w:rsidR="009240F1" w:rsidRPr="009240F1">
        <w:rPr>
          <w:szCs w:val="22"/>
        </w:rPr>
        <w:t xml:space="preserve">WT Docket 10-83, </w:t>
      </w:r>
      <w:r w:rsidR="00800B2D" w:rsidRPr="009240F1">
        <w:rPr>
          <w:szCs w:val="22"/>
        </w:rPr>
        <w:t xml:space="preserve">ULS File No. </w:t>
      </w:r>
      <w:r w:rsidR="00A90395" w:rsidRPr="009240F1">
        <w:rPr>
          <w:spacing w:val="-2"/>
          <w:szCs w:val="22"/>
        </w:rPr>
        <w:t>0004153701</w:t>
      </w:r>
      <w:r w:rsidR="009240F1">
        <w:rPr>
          <w:spacing w:val="-2"/>
          <w:szCs w:val="22"/>
        </w:rPr>
        <w:t>,</w:t>
      </w:r>
      <w:r w:rsidR="00A90395" w:rsidRPr="009240F1">
        <w:rPr>
          <w:spacing w:val="-2"/>
          <w:szCs w:val="22"/>
        </w:rPr>
        <w:t xml:space="preserve"> </w:t>
      </w:r>
      <w:r w:rsidR="00F70043" w:rsidRPr="009240F1">
        <w:rPr>
          <w:spacing w:val="-2"/>
          <w:szCs w:val="22"/>
        </w:rPr>
        <w:t xml:space="preserve">or </w:t>
      </w:r>
      <w:r w:rsidR="009240F1">
        <w:rPr>
          <w:spacing w:val="-2"/>
          <w:szCs w:val="22"/>
        </w:rPr>
        <w:t xml:space="preserve">ULS File No. </w:t>
      </w:r>
      <w:r w:rsidR="00800B2D" w:rsidRPr="009240F1">
        <w:rPr>
          <w:szCs w:val="22"/>
        </w:rPr>
        <w:t>0004144435 are DI</w:t>
      </w:r>
      <w:r w:rsidR="00F253F2" w:rsidRPr="009240F1">
        <w:rPr>
          <w:szCs w:val="22"/>
        </w:rPr>
        <w:t>S</w:t>
      </w:r>
      <w:r w:rsidR="00800B2D" w:rsidRPr="009240F1">
        <w:rPr>
          <w:szCs w:val="22"/>
        </w:rPr>
        <w:t xml:space="preserve">MISSED AS MOOT. </w:t>
      </w:r>
    </w:p>
    <w:p w14:paraId="529904A5" w14:textId="5220150B" w:rsidR="005B2F96" w:rsidRPr="00C032C2" w:rsidRDefault="005B2F96" w:rsidP="005B2F96">
      <w:pPr>
        <w:pStyle w:val="ParaNum"/>
        <w:tabs>
          <w:tab w:val="clear" w:pos="1080"/>
          <w:tab w:val="num" w:pos="1440"/>
        </w:tabs>
        <w:rPr>
          <w:szCs w:val="22"/>
        </w:rPr>
      </w:pPr>
      <w:r w:rsidRPr="00C032C2">
        <w:rPr>
          <w:szCs w:val="22"/>
        </w:rPr>
        <w:t>This action is taken under delegated authority pursuant to Sections 0.131 and 0.331 of the Commission’s rules, 47 C.F.R</w:t>
      </w:r>
      <w:r w:rsidR="00271B2F">
        <w:rPr>
          <w:szCs w:val="22"/>
        </w:rPr>
        <w:t>.</w:t>
      </w:r>
      <w:r w:rsidRPr="00C032C2">
        <w:rPr>
          <w:szCs w:val="22"/>
        </w:rPr>
        <w:t xml:space="preserve"> §§ 0.131, 0.331.</w:t>
      </w:r>
    </w:p>
    <w:p w14:paraId="535414F8" w14:textId="77777777" w:rsidR="005B2F96" w:rsidRPr="00C032C2" w:rsidRDefault="005B2F96" w:rsidP="005B2F96">
      <w:pPr>
        <w:pStyle w:val="ParaNum"/>
        <w:numPr>
          <w:ilvl w:val="0"/>
          <w:numId w:val="0"/>
        </w:numPr>
        <w:ind w:left="4320"/>
        <w:rPr>
          <w:szCs w:val="22"/>
        </w:rPr>
      </w:pPr>
    </w:p>
    <w:p w14:paraId="5BB53E91" w14:textId="77777777" w:rsidR="005B2F96" w:rsidRPr="00C032C2" w:rsidRDefault="005B2F96" w:rsidP="005B2F96">
      <w:pPr>
        <w:pStyle w:val="ParaNum"/>
        <w:numPr>
          <w:ilvl w:val="0"/>
          <w:numId w:val="0"/>
        </w:numPr>
        <w:ind w:left="4320"/>
        <w:rPr>
          <w:szCs w:val="22"/>
        </w:rPr>
      </w:pPr>
      <w:r w:rsidRPr="00C032C2">
        <w:rPr>
          <w:szCs w:val="22"/>
        </w:rPr>
        <w:t>FEDERAL COMMUNICATIONS COMMISSION</w:t>
      </w:r>
    </w:p>
    <w:p w14:paraId="532E1DA9" w14:textId="77777777" w:rsidR="005B2F96" w:rsidRPr="00C032C2" w:rsidRDefault="005B2F96" w:rsidP="005B2F96">
      <w:pPr>
        <w:pStyle w:val="ParaNum"/>
        <w:numPr>
          <w:ilvl w:val="0"/>
          <w:numId w:val="0"/>
        </w:numPr>
        <w:ind w:left="4320"/>
        <w:rPr>
          <w:szCs w:val="22"/>
        </w:rPr>
      </w:pPr>
    </w:p>
    <w:p w14:paraId="2B34C632" w14:textId="77777777" w:rsidR="005B2F96" w:rsidRPr="00C032C2" w:rsidRDefault="005B2F96" w:rsidP="005B2F96">
      <w:pPr>
        <w:pStyle w:val="ParaNum"/>
        <w:numPr>
          <w:ilvl w:val="0"/>
          <w:numId w:val="0"/>
        </w:numPr>
        <w:ind w:left="4320"/>
        <w:rPr>
          <w:szCs w:val="22"/>
        </w:rPr>
      </w:pPr>
    </w:p>
    <w:p w14:paraId="22A431ED" w14:textId="77777777" w:rsidR="005B2F96" w:rsidRPr="00C032C2" w:rsidRDefault="005B2F96" w:rsidP="005B2F96">
      <w:pPr>
        <w:pStyle w:val="ParaNum"/>
        <w:numPr>
          <w:ilvl w:val="0"/>
          <w:numId w:val="0"/>
        </w:numPr>
        <w:spacing w:after="0"/>
        <w:ind w:left="4320"/>
        <w:rPr>
          <w:szCs w:val="22"/>
        </w:rPr>
      </w:pPr>
      <w:r w:rsidRPr="00C032C2">
        <w:rPr>
          <w:szCs w:val="22"/>
        </w:rPr>
        <w:t>Roger S. Noel</w:t>
      </w:r>
    </w:p>
    <w:p w14:paraId="101C08B3" w14:textId="77777777" w:rsidR="005B2F96" w:rsidRPr="00C032C2" w:rsidRDefault="005B2F96" w:rsidP="005B2F96">
      <w:pPr>
        <w:pStyle w:val="ParaNum"/>
        <w:numPr>
          <w:ilvl w:val="0"/>
          <w:numId w:val="0"/>
        </w:numPr>
        <w:spacing w:after="0"/>
        <w:ind w:left="4320"/>
        <w:rPr>
          <w:szCs w:val="22"/>
        </w:rPr>
      </w:pPr>
      <w:r w:rsidRPr="00C032C2">
        <w:rPr>
          <w:szCs w:val="22"/>
        </w:rPr>
        <w:t>Chief, Mobility Division</w:t>
      </w:r>
    </w:p>
    <w:p w14:paraId="1E8665F7" w14:textId="77777777" w:rsidR="005B2F96" w:rsidRPr="00C032C2" w:rsidRDefault="005B2F96" w:rsidP="005B2F96">
      <w:pPr>
        <w:pStyle w:val="ParaNum"/>
        <w:numPr>
          <w:ilvl w:val="0"/>
          <w:numId w:val="0"/>
        </w:numPr>
        <w:spacing w:after="0"/>
        <w:ind w:left="4320"/>
        <w:rPr>
          <w:szCs w:val="22"/>
        </w:rPr>
      </w:pPr>
      <w:r w:rsidRPr="00C032C2">
        <w:rPr>
          <w:szCs w:val="22"/>
        </w:rPr>
        <w:t>Wireless Telecommunications Bureau</w:t>
      </w:r>
    </w:p>
    <w:sectPr w:rsidR="005B2F96" w:rsidRPr="00C032C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089C" w14:textId="77777777" w:rsidR="0000044A" w:rsidRDefault="0000044A">
      <w:pPr>
        <w:spacing w:line="20" w:lineRule="exact"/>
      </w:pPr>
    </w:p>
  </w:endnote>
  <w:endnote w:type="continuationSeparator" w:id="0">
    <w:p w14:paraId="3D243C14" w14:textId="77777777" w:rsidR="0000044A" w:rsidRDefault="0000044A">
      <w:r>
        <w:t xml:space="preserve"> </w:t>
      </w:r>
    </w:p>
  </w:endnote>
  <w:endnote w:type="continuationNotice" w:id="1">
    <w:p w14:paraId="4F0FD6C2" w14:textId="77777777" w:rsidR="0000044A" w:rsidRDefault="000004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110E" w14:textId="77777777" w:rsidR="00235520" w:rsidRDefault="00235520" w:rsidP="0055614C">
    <w:pPr>
      <w:pStyle w:val="Footer"/>
      <w:framePr w:wrap="around" w:vAnchor="text" w:hAnchor="margin" w:xAlign="center" w:y="1"/>
    </w:pPr>
    <w:r>
      <w:fldChar w:fldCharType="begin"/>
    </w:r>
    <w:r>
      <w:instrText xml:space="preserve">PAGE  </w:instrText>
    </w:r>
    <w:r>
      <w:fldChar w:fldCharType="end"/>
    </w:r>
  </w:p>
  <w:p w14:paraId="2A9B4BE9" w14:textId="77777777" w:rsidR="00235520" w:rsidRDefault="00235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2485" w14:textId="77777777" w:rsidR="00235520" w:rsidRDefault="00235520">
    <w:pPr>
      <w:pStyle w:val="Footer"/>
      <w:jc w:val="center"/>
    </w:pPr>
    <w:r>
      <w:fldChar w:fldCharType="begin"/>
    </w:r>
    <w:r>
      <w:instrText xml:space="preserve"> PAGE   \* MERGEFORMAT </w:instrText>
    </w:r>
    <w:r>
      <w:fldChar w:fldCharType="separate"/>
    </w:r>
    <w:r w:rsidR="000D2E93">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56B1" w14:textId="77777777" w:rsidR="0089446C" w:rsidRDefault="0089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4C393" w14:textId="77777777" w:rsidR="0000044A" w:rsidRDefault="0000044A">
      <w:r>
        <w:separator/>
      </w:r>
    </w:p>
  </w:footnote>
  <w:footnote w:type="continuationSeparator" w:id="0">
    <w:p w14:paraId="5DB81B91" w14:textId="77777777" w:rsidR="0000044A" w:rsidRDefault="0000044A" w:rsidP="00C721AC">
      <w:pPr>
        <w:spacing w:before="120"/>
        <w:rPr>
          <w:sz w:val="20"/>
        </w:rPr>
      </w:pPr>
      <w:r>
        <w:rPr>
          <w:sz w:val="20"/>
        </w:rPr>
        <w:t xml:space="preserve">(Continued from previous page)  </w:t>
      </w:r>
      <w:r>
        <w:rPr>
          <w:sz w:val="20"/>
        </w:rPr>
        <w:separator/>
      </w:r>
    </w:p>
  </w:footnote>
  <w:footnote w:type="continuationNotice" w:id="1">
    <w:p w14:paraId="3FC86941" w14:textId="77777777" w:rsidR="0000044A" w:rsidRDefault="0000044A" w:rsidP="00C721AC">
      <w:pPr>
        <w:jc w:val="right"/>
        <w:rPr>
          <w:sz w:val="20"/>
        </w:rPr>
      </w:pPr>
      <w:r>
        <w:rPr>
          <w:sz w:val="20"/>
        </w:rPr>
        <w:t>(continued….)</w:t>
      </w:r>
    </w:p>
  </w:footnote>
  <w:footnote w:id="2">
    <w:p w14:paraId="58831EDA" w14:textId="39869A17" w:rsidR="00235520" w:rsidRPr="008A352C" w:rsidRDefault="00235520" w:rsidP="008A352C">
      <w:pPr>
        <w:pStyle w:val="FootnoteText"/>
      </w:pPr>
      <w:r w:rsidRPr="008A352C">
        <w:rPr>
          <w:rStyle w:val="FootnoteReference"/>
        </w:rPr>
        <w:footnoteRef/>
      </w:r>
      <w:r w:rsidRPr="008A352C">
        <w:t xml:space="preserve"> FCC File No. 0004144435 (filed Mar. </w:t>
      </w:r>
      <w:r>
        <w:t>8</w:t>
      </w:r>
      <w:r w:rsidRPr="008A352C">
        <w:t>, 2010, amended Oct. 20, 2015</w:t>
      </w:r>
      <w:r>
        <w:t>, and June 8, 2016</w:t>
      </w:r>
      <w:r w:rsidRPr="008A352C">
        <w:t xml:space="preserve">) (Assignment Application).  </w:t>
      </w:r>
      <w:r w:rsidRPr="008A352C">
        <w:rPr>
          <w:bCs/>
        </w:rPr>
        <w:t>SCRRA</w:t>
      </w:r>
      <w:r w:rsidRPr="008A352C">
        <w:t xml:space="preserve"> is a Joint Powers Authority of five county transportation planning agencies: </w:t>
      </w:r>
      <w:r>
        <w:t xml:space="preserve"> </w:t>
      </w:r>
      <w:r w:rsidRPr="008A352C">
        <w:t xml:space="preserve">the Los Angeles County Metropolitan Transportation Authority, the Orange County Transportation Authority, the Riverside County Transportation Commission, the San Bernardino Associated Governments, and the Ventura County Transportation Commission.  </w:t>
      </w:r>
      <w:r>
        <w:t>Request for Waivers</w:t>
      </w:r>
      <w:r>
        <w:rPr>
          <w:bCs/>
        </w:rPr>
        <w:t xml:space="preserve">, </w:t>
      </w:r>
      <w:r w:rsidRPr="008A352C">
        <w:rPr>
          <w:bCs/>
        </w:rPr>
        <w:t xml:space="preserve">FCC File No. </w:t>
      </w:r>
      <w:r w:rsidRPr="008A352C">
        <w:t>0004144435</w:t>
      </w:r>
      <w:r>
        <w:t>, at 2 (filed Mar. 8, 2010)</w:t>
      </w:r>
      <w:r w:rsidRPr="008A352C">
        <w:rPr>
          <w:bCs/>
        </w:rPr>
        <w:t xml:space="preserve"> </w:t>
      </w:r>
      <w:r>
        <w:t>(SCRRA Waiver Request)</w:t>
      </w:r>
      <w:r w:rsidRPr="008A352C">
        <w:rPr>
          <w:bCs/>
        </w:rPr>
        <w:t xml:space="preserve">.  </w:t>
      </w:r>
    </w:p>
  </w:footnote>
  <w:footnote w:id="3">
    <w:p w14:paraId="6D22CAC5" w14:textId="7B7C37D0" w:rsidR="00235520" w:rsidRPr="008A352C" w:rsidRDefault="00235520" w:rsidP="008A352C">
      <w:pPr>
        <w:pStyle w:val="FootnoteText"/>
      </w:pPr>
      <w:r w:rsidRPr="008A352C">
        <w:rPr>
          <w:rStyle w:val="FootnoteReference"/>
        </w:rPr>
        <w:footnoteRef/>
      </w:r>
      <w:r w:rsidRPr="008A352C">
        <w:t xml:space="preserve"> The six counties are:</w:t>
      </w:r>
      <w:r>
        <w:t xml:space="preserve"> </w:t>
      </w:r>
      <w:r w:rsidRPr="008A352C">
        <w:t xml:space="preserve"> Los Angeles, Orange, Riverside, San Bernardino, San Diego, and Ventura.  </w:t>
      </w:r>
      <w:r>
        <w:t>Description of Proposed Modification and Public Interest Statement, FCC File No. 0004153701, at 1 (filed Mar. 3, 2010)</w:t>
      </w:r>
      <w:r w:rsidRPr="008A352C">
        <w:t xml:space="preserve"> </w:t>
      </w:r>
      <w:r>
        <w:t>(</w:t>
      </w:r>
      <w:r w:rsidRPr="008A352C">
        <w:t xml:space="preserve">SCRRA </w:t>
      </w:r>
      <w:r w:rsidRPr="008A352C">
        <w:rPr>
          <w:bCs/>
        </w:rPr>
        <w:t>Public Interest Statement</w:t>
      </w:r>
      <w:r>
        <w:rPr>
          <w:bCs/>
        </w:rPr>
        <w:t>)</w:t>
      </w:r>
      <w:r w:rsidRPr="008A352C">
        <w:t xml:space="preserve">.  </w:t>
      </w:r>
    </w:p>
  </w:footnote>
  <w:footnote w:id="4">
    <w:p w14:paraId="6AC9EB96" w14:textId="7480C5AF" w:rsidR="00235520" w:rsidRPr="008A352C" w:rsidRDefault="00235520" w:rsidP="008A352C">
      <w:pPr>
        <w:pStyle w:val="FootnoteText"/>
      </w:pPr>
      <w:r w:rsidRPr="008A352C">
        <w:rPr>
          <w:rStyle w:val="FootnoteReference"/>
        </w:rPr>
        <w:footnoteRef/>
      </w:r>
      <w:r w:rsidRPr="008A352C">
        <w:t xml:space="preserve"> There are two AMTS spectrum blocks in 10 geographic license areas: </w:t>
      </w:r>
      <w:r>
        <w:t xml:space="preserve"> </w:t>
      </w:r>
      <w:r w:rsidRPr="008A352C">
        <w:t xml:space="preserve">Block A (217.5-218/219.5-220 MHz) and Block B (217-217.5/219-219.5 MHz).  </w:t>
      </w:r>
      <w:r w:rsidRPr="008A352C">
        <w:rPr>
          <w:i/>
        </w:rPr>
        <w:t>See</w:t>
      </w:r>
      <w:r w:rsidRPr="008A352C">
        <w:t xml:space="preserve"> 47 CFR § 80.385(a)(2) and (3).  Station </w:t>
      </w:r>
      <w:r w:rsidRPr="008A352C">
        <w:rPr>
          <w:spacing w:val="-2"/>
        </w:rPr>
        <w:t>WQGF318</w:t>
      </w:r>
      <w:r w:rsidRPr="008A352C">
        <w:t xml:space="preserve"> is </w:t>
      </w:r>
      <w:r w:rsidRPr="008A352C">
        <w:rPr>
          <w:spacing w:val="-2"/>
        </w:rPr>
        <w:t>the Southern Pacific (AMT006) A Block license.</w:t>
      </w:r>
    </w:p>
  </w:footnote>
  <w:footnote w:id="5">
    <w:p w14:paraId="5F5FDBCA" w14:textId="77777777" w:rsidR="00235520" w:rsidRPr="008A352C" w:rsidRDefault="00235520" w:rsidP="008A352C">
      <w:pPr>
        <w:pStyle w:val="FootnoteText"/>
      </w:pPr>
      <w:r w:rsidRPr="008A352C">
        <w:rPr>
          <w:rStyle w:val="FootnoteReference"/>
        </w:rPr>
        <w:footnoteRef/>
      </w:r>
      <w:r w:rsidRPr="008A352C">
        <w:t xml:space="preserve"> On August 1, 2011, MCLM filed a voluntary petition for relief under Chapter 11 of the Bankruptcy Code.  </w:t>
      </w:r>
      <w:r w:rsidRPr="008A352C">
        <w:rPr>
          <w:i/>
        </w:rPr>
        <w:t>In re</w:t>
      </w:r>
      <w:r w:rsidRPr="008A352C">
        <w:t xml:space="preserve"> </w:t>
      </w:r>
      <w:r w:rsidRPr="00DC48B9">
        <w:rPr>
          <w:i/>
        </w:rPr>
        <w:t>Maritime Communications/Land Mobile, LLC</w:t>
      </w:r>
      <w:r w:rsidRPr="008A352C">
        <w:t>, No. 11-13463-DWH (Bankr. N.D. Miss.).  The Commission subsequently approved MCLM’s application for the involuntary assignment of its licenses to MCLM as a debtor-in-possession, reflecting the bankruptcy filing.  FCC File No. 0004851459 (filed Aug. 26, 2011).  Regarding events that occurred after MCLM’s bankruptcy filing, the term “MCLM” herein refers to the company as debtor-in-possession.</w:t>
      </w:r>
    </w:p>
  </w:footnote>
  <w:footnote w:id="6">
    <w:p w14:paraId="7B7FCFC9" w14:textId="7760AECF" w:rsidR="00235520" w:rsidRPr="008A352C" w:rsidRDefault="00235520" w:rsidP="008A352C">
      <w:pPr>
        <w:pStyle w:val="FootnoteText"/>
      </w:pPr>
      <w:r w:rsidRPr="008A352C">
        <w:rPr>
          <w:rStyle w:val="FootnoteReference"/>
        </w:rPr>
        <w:footnoteRef/>
      </w:r>
      <w:r w:rsidRPr="008A352C">
        <w:t xml:space="preserve"> SCRRA Waiver Request.  SCRRA filed </w:t>
      </w:r>
      <w:r>
        <w:t xml:space="preserve">two </w:t>
      </w:r>
      <w:r w:rsidRPr="008A352C">
        <w:t>amendment</w:t>
      </w:r>
      <w:r>
        <w:t>s</w:t>
      </w:r>
      <w:r w:rsidRPr="008A352C">
        <w:t xml:space="preserve"> narrowing the scope of the waiver request</w:t>
      </w:r>
      <w:r>
        <w:t xml:space="preserve">.  </w:t>
      </w:r>
      <w:r w:rsidRPr="006D6790">
        <w:rPr>
          <w:i/>
        </w:rPr>
        <w:t>See</w:t>
      </w:r>
      <w:r w:rsidRPr="008A352C">
        <w:t xml:space="preserve"> Minor Amendment</w:t>
      </w:r>
      <w:r>
        <w:t>,</w:t>
      </w:r>
      <w:r w:rsidRPr="008A352C">
        <w:t xml:space="preserve"> FCC File No. 0004144435 (filed Oct. 20, 2015)</w:t>
      </w:r>
      <w:r>
        <w:t xml:space="preserve"> (Minor Amendment); </w:t>
      </w:r>
      <w:r>
        <w:rPr>
          <w:i/>
        </w:rPr>
        <w:t>see also</w:t>
      </w:r>
      <w:r>
        <w:t xml:space="preserve"> Second Minor Amendment, </w:t>
      </w:r>
      <w:r w:rsidRPr="008A352C">
        <w:t>FCC File No. 0004144435</w:t>
      </w:r>
      <w:r>
        <w:t xml:space="preserve"> (filed June 8, 2016) (Second Minor Amendment).</w:t>
      </w:r>
    </w:p>
  </w:footnote>
  <w:footnote w:id="7">
    <w:p w14:paraId="71535870" w14:textId="75F1D06C" w:rsidR="00235520" w:rsidRPr="008A352C" w:rsidRDefault="00235520" w:rsidP="008A352C">
      <w:pPr>
        <w:pStyle w:val="FootnoteText"/>
      </w:pPr>
      <w:r w:rsidRPr="008A352C">
        <w:rPr>
          <w:rStyle w:val="FootnoteReference"/>
        </w:rPr>
        <w:footnoteRef/>
      </w:r>
      <w:r w:rsidRPr="008A352C">
        <w:t xml:space="preserve"> FCC File No. 0004153701 (filed Mar. 8, 2010, amended Aug. 30, 2011) (Modification Application).  </w:t>
      </w:r>
      <w:r w:rsidRPr="008A352C">
        <w:rPr>
          <w:i/>
        </w:rPr>
        <w:t>See infra</w:t>
      </w:r>
      <w:r w:rsidRPr="008A352C">
        <w:t xml:space="preserve"> discussion at para</w:t>
      </w:r>
      <w:r w:rsidR="005803BF">
        <w:t>graph</w:t>
      </w:r>
      <w:r w:rsidRPr="008A352C">
        <w:t xml:space="preserve">s </w:t>
      </w:r>
      <w:r>
        <w:t>41</w:t>
      </w:r>
      <w:r w:rsidRPr="008A352C">
        <w:t>-</w:t>
      </w:r>
      <w:r>
        <w:t>46</w:t>
      </w:r>
      <w:r w:rsidRPr="008A352C">
        <w:t xml:space="preserve">.  </w:t>
      </w:r>
      <w:r w:rsidRPr="00C032C2">
        <w:rPr>
          <w:szCs w:val="22"/>
        </w:rPr>
        <w:t>We collectively refer to the Assignment Application and the Modification Application as the SCRRA Applications.</w:t>
      </w:r>
    </w:p>
  </w:footnote>
  <w:footnote w:id="8">
    <w:p w14:paraId="2574BBCC" w14:textId="77777777" w:rsidR="00235520" w:rsidRPr="008A352C" w:rsidRDefault="00235520" w:rsidP="008A352C">
      <w:pPr>
        <w:pStyle w:val="FootnoteText"/>
      </w:pPr>
      <w:r w:rsidRPr="008A352C">
        <w:rPr>
          <w:rStyle w:val="FootnoteReference"/>
        </w:rPr>
        <w:footnoteRef/>
      </w:r>
      <w:r w:rsidRPr="008A352C">
        <w:t xml:space="preserve"> </w:t>
      </w:r>
      <w:r w:rsidRPr="008A352C">
        <w:rPr>
          <w:bCs/>
        </w:rPr>
        <w:t>SCRRA Public Interest Statement at 1.</w:t>
      </w:r>
    </w:p>
  </w:footnote>
  <w:footnote w:id="9">
    <w:p w14:paraId="0A55455F" w14:textId="68F09DF0"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Metrolink Fact Sheet at 1, http://www.metrolinktrains.com/pdfs/Facts&amp;Numbers/Fact_Sheets/Fact_Sheet_2016_Q2.pdf (</w:t>
      </w:r>
      <w:r w:rsidRPr="004106D0">
        <w:t xml:space="preserve">last visited </w:t>
      </w:r>
      <w:r>
        <w:t>August 16, 2016</w:t>
      </w:r>
      <w:r w:rsidRPr="008A352C">
        <w:t>).</w:t>
      </w:r>
    </w:p>
  </w:footnote>
  <w:footnote w:id="10">
    <w:p w14:paraId="04531333" w14:textId="71E7E6E9" w:rsidR="00235520" w:rsidRPr="008A352C" w:rsidRDefault="00235520" w:rsidP="008A352C">
      <w:pPr>
        <w:pStyle w:val="FootnoteText"/>
      </w:pPr>
      <w:r w:rsidRPr="008A352C">
        <w:rPr>
          <w:rStyle w:val="FootnoteReference"/>
        </w:rPr>
        <w:footnoteRef/>
      </w:r>
      <w:r w:rsidRPr="008A352C">
        <w:t xml:space="preserve"> </w:t>
      </w:r>
      <w:r>
        <w:rPr>
          <w:i/>
        </w:rPr>
        <w:t>Id</w:t>
      </w:r>
      <w:r>
        <w:t>.</w:t>
      </w:r>
    </w:p>
  </w:footnote>
  <w:footnote w:id="11">
    <w:p w14:paraId="02143C29" w14:textId="689279F8" w:rsidR="00235520" w:rsidRPr="008A352C" w:rsidRDefault="00235520" w:rsidP="008A352C">
      <w:pPr>
        <w:pStyle w:val="FootnoteText"/>
      </w:pPr>
      <w:r w:rsidRPr="008A352C">
        <w:rPr>
          <w:rStyle w:val="FootnoteReference"/>
        </w:rPr>
        <w:footnoteRef/>
      </w:r>
      <w:r w:rsidRPr="008A352C">
        <w:t xml:space="preserve"> </w:t>
      </w:r>
      <w:r w:rsidRPr="008A352C">
        <w:rPr>
          <w:i/>
        </w:rPr>
        <w:t>See supra</w:t>
      </w:r>
      <w:r w:rsidRPr="008A352C">
        <w:t xml:space="preserve"> </w:t>
      </w:r>
      <w:r w:rsidRPr="00913B0D">
        <w:t xml:space="preserve">note </w:t>
      </w:r>
      <w:r>
        <w:t>1</w:t>
      </w:r>
      <w:r w:rsidRPr="00913B0D">
        <w:t>.</w:t>
      </w:r>
    </w:p>
  </w:footnote>
  <w:footnote w:id="12">
    <w:p w14:paraId="5D549FF3" w14:textId="565E0CB6" w:rsidR="00235520" w:rsidRPr="008A352C" w:rsidRDefault="00235520" w:rsidP="008A352C">
      <w:pPr>
        <w:pStyle w:val="FootnoteText"/>
      </w:pPr>
      <w:r w:rsidRPr="008A352C">
        <w:rPr>
          <w:rStyle w:val="FootnoteReference"/>
        </w:rPr>
        <w:footnoteRef/>
      </w:r>
      <w:r w:rsidRPr="008A352C">
        <w:t xml:space="preserve"> Metrolink Fact Sheet at 1</w:t>
      </w:r>
      <w:r>
        <w:t xml:space="preserve"> </w:t>
      </w:r>
      <w:r w:rsidRPr="008A352C">
        <w:t>n.1.  Further information regarding the NCTD is available at http://www.gonctd.com/nctd-overview</w:t>
      </w:r>
      <w:r>
        <w:t xml:space="preserve"> (l</w:t>
      </w:r>
      <w:r w:rsidRPr="008A352C">
        <w:t xml:space="preserve">ast visited </w:t>
      </w:r>
      <w:r>
        <w:t>August 16, 2016)</w:t>
      </w:r>
      <w:r w:rsidRPr="008A352C">
        <w:t>.</w:t>
      </w:r>
    </w:p>
  </w:footnote>
  <w:footnote w:id="13">
    <w:p w14:paraId="0B24208F" w14:textId="4FA68D8D" w:rsidR="00235520" w:rsidRPr="008A352C" w:rsidRDefault="00235520" w:rsidP="00DA1B02">
      <w:pPr>
        <w:pStyle w:val="FootnoteText"/>
      </w:pPr>
      <w:r w:rsidRPr="008A352C">
        <w:rPr>
          <w:rStyle w:val="FootnoteReference"/>
        </w:rPr>
        <w:footnoteRef/>
      </w:r>
      <w:r w:rsidRPr="008A352C">
        <w:t xml:space="preserve"> </w:t>
      </w:r>
      <w:r w:rsidRPr="008A352C">
        <w:rPr>
          <w:i/>
        </w:rPr>
        <w:t>See</w:t>
      </w:r>
      <w:r w:rsidRPr="008A352C">
        <w:t xml:space="preserve"> Pub. L. No. 110-432, § 104, 122 Stat. 4848, 4857 (2008), amended by the Positive Train Control Enforcement and Implementation Act of 2015, Pub. L. No. 114-73, § 1302, </w:t>
      </w:r>
      <w:r w:rsidRPr="003F5054">
        <w:t xml:space="preserve">129 Stat. 568, 576 </w:t>
      </w:r>
      <w:r w:rsidRPr="008A352C">
        <w:t xml:space="preserve">(2015).  </w:t>
      </w:r>
    </w:p>
  </w:footnote>
  <w:footnote w:id="14">
    <w:p w14:paraId="2E4A6DEB" w14:textId="4A1707E5" w:rsidR="00235520" w:rsidRPr="008A352C" w:rsidRDefault="00235520" w:rsidP="008A352C">
      <w:pPr>
        <w:pStyle w:val="FootnoteText"/>
      </w:pPr>
      <w:r w:rsidRPr="008A352C">
        <w:rPr>
          <w:rStyle w:val="FootnoteReference"/>
        </w:rPr>
        <w:footnoteRef/>
      </w:r>
      <w:r w:rsidRPr="008A352C">
        <w:t xml:space="preserve"> N</w:t>
      </w:r>
      <w:r>
        <w:t xml:space="preserve">ational </w:t>
      </w:r>
      <w:r w:rsidRPr="008A352C">
        <w:t>T</w:t>
      </w:r>
      <w:r>
        <w:t xml:space="preserve">ransportation </w:t>
      </w:r>
      <w:r w:rsidRPr="008A352C">
        <w:t>S</w:t>
      </w:r>
      <w:r>
        <w:t xml:space="preserve">afety </w:t>
      </w:r>
      <w:r w:rsidRPr="008A352C">
        <w:t>B</w:t>
      </w:r>
      <w:r>
        <w:t>oard</w:t>
      </w:r>
      <w:r w:rsidRPr="008A352C">
        <w:t>, Collision of Metrolink Train 111 with Union Pacific Train LOF65-12 Chatsworth, California, Accident Report No. RAR-10/01 at vii (2010), http://www.ntsb.gov/investigations/AccidentReports/Reports/RAR1001.pdf</w:t>
      </w:r>
      <w:r>
        <w:t>.</w:t>
      </w:r>
    </w:p>
  </w:footnote>
  <w:footnote w:id="15">
    <w:p w14:paraId="1F31836D" w14:textId="35960CF0" w:rsidR="00235520" w:rsidRDefault="00235520">
      <w:pPr>
        <w:pStyle w:val="FootnoteText"/>
      </w:pPr>
      <w:r>
        <w:rPr>
          <w:rStyle w:val="FootnoteReference"/>
        </w:rPr>
        <w:footnoteRef/>
      </w:r>
      <w:r>
        <w:t xml:space="preserve"> </w:t>
      </w:r>
      <w:r w:rsidRPr="00F4665F">
        <w:t>Once implemented, PTC systems are designed to reduce the risk of human-error rail accidents, by “prevent[ing] train-to-train collisions, over-speed derailments, incursions into established work zone limits, and the movement of a train through a switch left in the wrong position.”</w:t>
      </w:r>
      <w:r>
        <w:t xml:space="preserve">  </w:t>
      </w:r>
      <w:r w:rsidRPr="008A352C">
        <w:t>49 U</w:t>
      </w:r>
      <w:r>
        <w:t>.</w:t>
      </w:r>
      <w:r w:rsidRPr="008A352C">
        <w:t>S</w:t>
      </w:r>
      <w:r>
        <w:t>.</w:t>
      </w:r>
      <w:r w:rsidRPr="008A352C">
        <w:t>C</w:t>
      </w:r>
      <w:r>
        <w:t>.</w:t>
      </w:r>
      <w:r w:rsidRPr="008A352C">
        <w:t xml:space="preserve"> § 20157(i)(5).</w:t>
      </w:r>
    </w:p>
  </w:footnote>
  <w:footnote w:id="16">
    <w:p w14:paraId="7867A5C9" w14:textId="225C0AF3" w:rsidR="00235520" w:rsidRPr="008A352C" w:rsidRDefault="00235520" w:rsidP="008A352C">
      <w:pPr>
        <w:pStyle w:val="FootnoteText"/>
      </w:pPr>
      <w:r w:rsidRPr="008A352C">
        <w:rPr>
          <w:rStyle w:val="FootnoteReference"/>
        </w:rPr>
        <w:footnoteRef/>
      </w:r>
      <w:r w:rsidRPr="008A352C">
        <w:t xml:space="preserve"> NTSB, Collision of Metrolink Train 111 with Union Pacific Train LOF65-12 Chatsworth, California, Accident Report No. RAR-10/01 at vii (2010), http://www.ntsb.gov/investigations/AccidentReports/Reports/RAR1001.pdf</w:t>
      </w:r>
      <w:r>
        <w:t>.</w:t>
      </w:r>
    </w:p>
  </w:footnote>
  <w:footnote w:id="17">
    <w:p w14:paraId="3B5012EB" w14:textId="51365E24" w:rsidR="00235520" w:rsidRPr="008A352C" w:rsidRDefault="00235520" w:rsidP="008A352C">
      <w:pPr>
        <w:pStyle w:val="FootnoteText"/>
      </w:pPr>
      <w:r w:rsidRPr="008A352C">
        <w:rPr>
          <w:rStyle w:val="FootnoteReference"/>
        </w:rPr>
        <w:footnoteRef/>
      </w:r>
      <w:r w:rsidRPr="008A352C">
        <w:t xml:space="preserve"> Interoperability is defined as “the ability to control locomotives of the host railroad and tenant railroad to communicate with and respond to the positive train control system, including uninterrupted movements over property boundaries.”  49 U</w:t>
      </w:r>
      <w:r>
        <w:t>.</w:t>
      </w:r>
      <w:r w:rsidRPr="008A352C">
        <w:t>S</w:t>
      </w:r>
      <w:r>
        <w:t>.</w:t>
      </w:r>
      <w:r w:rsidRPr="008A352C">
        <w:t>C</w:t>
      </w:r>
      <w:r>
        <w:t>.</w:t>
      </w:r>
      <w:r w:rsidRPr="008A352C">
        <w:t xml:space="preserve"> § 20157(i)(3).</w:t>
      </w:r>
    </w:p>
  </w:footnote>
  <w:footnote w:id="18">
    <w:p w14:paraId="09F2A7CD" w14:textId="711A985A" w:rsidR="00235520" w:rsidRPr="008A352C" w:rsidRDefault="00235520" w:rsidP="008A352C">
      <w:pPr>
        <w:pStyle w:val="FootnoteText"/>
      </w:pPr>
      <w:r w:rsidRPr="008A352C">
        <w:rPr>
          <w:rStyle w:val="FootnoteReference"/>
        </w:rPr>
        <w:footnoteRef/>
      </w:r>
      <w:r w:rsidRPr="008A352C">
        <w:t xml:space="preserve"> Congress initially established a December 31, 2015</w:t>
      </w:r>
      <w:r>
        <w:t>,</w:t>
      </w:r>
      <w:r w:rsidRPr="008A352C">
        <w:t xml:space="preserve"> deadline to implement PTC.  </w:t>
      </w:r>
      <w:r w:rsidRPr="008A352C">
        <w:rPr>
          <w:i/>
        </w:rPr>
        <w:t>See</w:t>
      </w:r>
      <w:r w:rsidRPr="008A352C">
        <w:t xml:space="preserve"> Rail Safety Improvement Act of 2008</w:t>
      </w:r>
      <w:r>
        <w:t xml:space="preserve">, </w:t>
      </w:r>
      <w:r w:rsidRPr="008A352C">
        <w:t xml:space="preserve">Pub. L. No. 110-432, § 104, 122 Stat. 4848, 4857 (2008).  In October 2015, Congress extended the PTC deadline by three years, until December 31, 2018, after it became apparent that the rail industry faced challenges meeting the 2015 implementation deadline.  </w:t>
      </w:r>
      <w:r w:rsidRPr="00DA1B02">
        <w:rPr>
          <w:i/>
        </w:rPr>
        <w:t>See</w:t>
      </w:r>
      <w:r w:rsidRPr="008A352C">
        <w:t xml:space="preserve"> Positive Train Control Enforcement and Implementation Act of 2015, Pub. L. No. 114-73, § 1302</w:t>
      </w:r>
      <w:r>
        <w:t xml:space="preserve">, </w:t>
      </w:r>
      <w:r w:rsidRPr="003F5054">
        <w:t>129 Stat. 568, 576</w:t>
      </w:r>
      <w:r w:rsidRPr="008A352C">
        <w:t xml:space="preserve"> (2015).  </w:t>
      </w:r>
      <w:r w:rsidRPr="00DA1B02">
        <w:rPr>
          <w:i/>
        </w:rPr>
        <w:t>See also</w:t>
      </w:r>
      <w:r w:rsidRPr="008A352C">
        <w:t xml:space="preserve"> Senate Commerce Committee, Fact Sheet: </w:t>
      </w:r>
      <w:r>
        <w:t xml:space="preserve"> </w:t>
      </w:r>
      <w:r w:rsidRPr="008A352C">
        <w:t xml:space="preserve">Positive Train Control Extension, </w:t>
      </w:r>
      <w:r w:rsidRPr="009E162D">
        <w:t>https://www.commerce.senate.gov/public/index.cfm/fact-sheets?ID=D312B38B-8EC6-40E7-9ADD-DF2FACA27B48</w:t>
      </w:r>
      <w:r w:rsidRPr="008A352C">
        <w:t xml:space="preserve"> (</w:t>
      </w:r>
      <w:r w:rsidRPr="004106D0">
        <w:t xml:space="preserve">last visited </w:t>
      </w:r>
      <w:r>
        <w:t>August 16, 2016</w:t>
      </w:r>
      <w:r w:rsidRPr="008A352C">
        <w:t>).  Railroads may request up to a 24-month extension of the December 31, 2018</w:t>
      </w:r>
      <w:r>
        <w:t>,</w:t>
      </w:r>
      <w:r w:rsidRPr="008A352C">
        <w:t xml:space="preserve"> deadline in limited circumstances.  </w:t>
      </w:r>
      <w:r w:rsidRPr="008A352C">
        <w:rPr>
          <w:i/>
        </w:rPr>
        <w:t>See</w:t>
      </w:r>
      <w:r w:rsidRPr="008A352C">
        <w:t xml:space="preserve"> 49 U</w:t>
      </w:r>
      <w:r>
        <w:t>.</w:t>
      </w:r>
      <w:r w:rsidRPr="008A352C">
        <w:t>S</w:t>
      </w:r>
      <w:r>
        <w:t>.</w:t>
      </w:r>
      <w:r w:rsidRPr="008A352C">
        <w:t>C</w:t>
      </w:r>
      <w:r>
        <w:t>.</w:t>
      </w:r>
      <w:r w:rsidRPr="008A352C">
        <w:t xml:space="preserve"> § 20157(a)(2)(B).</w:t>
      </w:r>
    </w:p>
  </w:footnote>
  <w:footnote w:id="19">
    <w:p w14:paraId="7B66C5E6" w14:textId="5AC60E10" w:rsidR="00235520" w:rsidRPr="008A352C" w:rsidRDefault="00235520" w:rsidP="008A352C">
      <w:pPr>
        <w:pStyle w:val="FootnoteText"/>
      </w:pPr>
      <w:r w:rsidRPr="008A352C">
        <w:rPr>
          <w:rStyle w:val="FootnoteReference"/>
        </w:rPr>
        <w:footnoteRef/>
      </w:r>
      <w:r w:rsidRPr="008A352C">
        <w:t xml:space="preserve"> </w:t>
      </w:r>
      <w:r w:rsidRPr="008A352C">
        <w:rPr>
          <w:i/>
        </w:rPr>
        <w:t>Maritime Communications/Land Mobile, LLC and Southern California Regional Rail Authority File Applications To Modify License and Assign Spectrum for Positive Train Control Use, and Request Part 80 Waivers</w:t>
      </w:r>
      <w:r w:rsidRPr="008A352C">
        <w:t>, Public Notice, 25 FCC Rcd 3171 (WTB MD 2010)</w:t>
      </w:r>
      <w:r>
        <w:t xml:space="preserve"> (</w:t>
      </w:r>
      <w:r w:rsidRPr="00EB79BE">
        <w:rPr>
          <w:i/>
        </w:rPr>
        <w:t>MCLM/SCRRA Public Notice</w:t>
      </w:r>
      <w:r>
        <w:t>)</w:t>
      </w:r>
      <w:r w:rsidRPr="008A352C">
        <w:t>.</w:t>
      </w:r>
    </w:p>
  </w:footnote>
  <w:footnote w:id="20">
    <w:p w14:paraId="30C315B9" w14:textId="2453A6AA" w:rsidR="00235520" w:rsidRPr="008A352C" w:rsidRDefault="00235520" w:rsidP="008A352C">
      <w:pPr>
        <w:pStyle w:val="FootnoteText"/>
      </w:pPr>
      <w:r w:rsidRPr="008A352C">
        <w:rPr>
          <w:rStyle w:val="FootnoteReference"/>
        </w:rPr>
        <w:footnoteRef/>
      </w:r>
      <w:r w:rsidRPr="008A352C">
        <w:t xml:space="preserve"> Letter from Joseph C. Szabo, Administrator, Federal Railroad Administration, to Ruth Milkman, Chief, Wireless Telecommunications Bureau, FCC</w:t>
      </w:r>
      <w:r>
        <w:t xml:space="preserve"> (</w:t>
      </w:r>
      <w:r w:rsidRPr="008A352C">
        <w:t>Apr</w:t>
      </w:r>
      <w:r>
        <w:t>.</w:t>
      </w:r>
      <w:r w:rsidRPr="008A352C">
        <w:t xml:space="preserve"> 16, 2010</w:t>
      </w:r>
      <w:r>
        <w:t>)</w:t>
      </w:r>
      <w:r w:rsidRPr="008A352C">
        <w:t xml:space="preserve"> </w:t>
      </w:r>
      <w:r>
        <w:t xml:space="preserve">(on file in </w:t>
      </w:r>
      <w:r w:rsidRPr="008A352C">
        <w:t>WT Docket No. 10-83</w:t>
      </w:r>
      <w:r>
        <w:t>)</w:t>
      </w:r>
      <w:r w:rsidRPr="008A352C">
        <w:t xml:space="preserve"> </w:t>
      </w:r>
      <w:r w:rsidRPr="008D7AB5">
        <w:t>(FRA Letter).  The</w:t>
      </w:r>
      <w:r w:rsidRPr="008A352C">
        <w:t xml:space="preserve"> FRA is responsible for overseeing PTC implementation, and adopted final PTC requirements on January 10, 2010.  </w:t>
      </w:r>
      <w:r w:rsidRPr="008A352C">
        <w:rPr>
          <w:i/>
        </w:rPr>
        <w:t xml:space="preserve">See </w:t>
      </w:r>
      <w:r w:rsidRPr="008A352C">
        <w:t>Positive Train Control (PTC) Information (R&amp;D), Federal</w:t>
      </w:r>
      <w:r w:rsidRPr="008A352C">
        <w:rPr>
          <w:i/>
        </w:rPr>
        <w:t xml:space="preserve"> </w:t>
      </w:r>
      <w:r w:rsidRPr="008A352C">
        <w:t>Railroad Administration, https://www.fra.dot.gov/Page/P0152 (</w:t>
      </w:r>
      <w:r w:rsidRPr="00194AF0">
        <w:t xml:space="preserve">last visited </w:t>
      </w:r>
      <w:r>
        <w:t>Aug. 16, 2016</w:t>
      </w:r>
      <w:r w:rsidRPr="008A352C">
        <w:t>)</w:t>
      </w:r>
      <w:r>
        <w:t xml:space="preserve"> </w:t>
      </w:r>
      <w:r w:rsidRPr="008A352C">
        <w:t>(information regarding FRA’s oversight of PTC implementation).</w:t>
      </w:r>
      <w:r>
        <w:t xml:space="preserve"> </w:t>
      </w:r>
    </w:p>
  </w:footnote>
  <w:footnote w:id="21">
    <w:p w14:paraId="472515C6" w14:textId="2F903B58" w:rsidR="00235520" w:rsidRPr="008A352C" w:rsidRDefault="00235520" w:rsidP="008A352C">
      <w:pPr>
        <w:pStyle w:val="FootnoteText"/>
      </w:pPr>
      <w:r w:rsidRPr="008A352C">
        <w:rPr>
          <w:rStyle w:val="FootnoteReference"/>
        </w:rPr>
        <w:footnoteRef/>
      </w:r>
      <w:r w:rsidRPr="008A352C">
        <w:t xml:space="preserve"> Letter from Don Knabe, Supervisor, Fourth District, Los Angeles County Board of Supervisors, to Marlene H. Dortch, Secretary, FCC</w:t>
      </w:r>
      <w:r>
        <w:t xml:space="preserve"> (</w:t>
      </w:r>
      <w:r w:rsidRPr="008A352C">
        <w:t>Ap</w:t>
      </w:r>
      <w:r>
        <w:t>r.</w:t>
      </w:r>
      <w:r w:rsidRPr="008A352C">
        <w:t xml:space="preserve"> 19, 2010</w:t>
      </w:r>
      <w:r>
        <w:t>)</w:t>
      </w:r>
      <w:r w:rsidRPr="008A352C">
        <w:t xml:space="preserve"> </w:t>
      </w:r>
      <w:r>
        <w:t xml:space="preserve">(on file in </w:t>
      </w:r>
      <w:r w:rsidRPr="008A352C">
        <w:t>WT Docket No. 10-83</w:t>
      </w:r>
      <w:r>
        <w:t>)</w:t>
      </w:r>
      <w:r w:rsidRPr="008A352C">
        <w:t xml:space="preserve">. </w:t>
      </w:r>
    </w:p>
  </w:footnote>
  <w:footnote w:id="22">
    <w:p w14:paraId="74C13647" w14:textId="198EB695" w:rsidR="00235520" w:rsidRPr="008A352C" w:rsidRDefault="00235520" w:rsidP="008A352C">
      <w:pPr>
        <w:pStyle w:val="FootnoteText"/>
      </w:pPr>
      <w:r w:rsidRPr="00ED4A3A">
        <w:rPr>
          <w:rStyle w:val="FootnoteReference"/>
        </w:rPr>
        <w:footnoteRef/>
      </w:r>
      <w:r w:rsidRPr="00ED4A3A">
        <w:t xml:space="preserve"> PTC-220 Comments, WT Docket 10-83 (filed Apr</w:t>
      </w:r>
      <w:r>
        <w:t>.</w:t>
      </w:r>
      <w:r w:rsidRPr="00ED4A3A">
        <w:t xml:space="preserve"> 28, 2010).  At the time, four of the nation’s Class I Railroads were members of PTC-220: </w:t>
      </w:r>
      <w:r>
        <w:t xml:space="preserve"> Burlington Northern Santa Fe Corporation</w:t>
      </w:r>
      <w:r w:rsidRPr="00ED4A3A">
        <w:t xml:space="preserve">, CSX </w:t>
      </w:r>
      <w:r>
        <w:t>Corporation</w:t>
      </w:r>
      <w:r w:rsidRPr="00ED4A3A">
        <w:t>, Norfolk Southern</w:t>
      </w:r>
      <w:r w:rsidRPr="008A352C">
        <w:t xml:space="preserve"> Railway, and Union Pacific Railroad.  </w:t>
      </w:r>
      <w:r w:rsidRPr="008A352C">
        <w:rPr>
          <w:i/>
        </w:rPr>
        <w:t>Id</w:t>
      </w:r>
      <w:r w:rsidRPr="008A352C">
        <w:t>. at 1.  The three remaining U.S. Class I Railroads—Canadian National Railway, Canadian Pacific Railway, and Kansas City Southern Railway—</w:t>
      </w:r>
      <w:r w:rsidRPr="00DC48B9">
        <w:t>subsequently joined</w:t>
      </w:r>
      <w:r w:rsidRPr="008A352C">
        <w:t xml:space="preserve"> PTC-220.  </w:t>
      </w:r>
      <w:r w:rsidRPr="008A352C">
        <w:rPr>
          <w:i/>
        </w:rPr>
        <w:t>See also</w:t>
      </w:r>
      <w:r w:rsidRPr="008A352C">
        <w:t xml:space="preserve"> Letter from Edwin F. Kemp, President, PTC-220, to Marlene H. Dortch, Secretary, FCC </w:t>
      </w:r>
      <w:r>
        <w:t>(</w:t>
      </w:r>
      <w:r w:rsidRPr="008A352C">
        <w:t>Oc</w:t>
      </w:r>
      <w:r>
        <w:t>t.</w:t>
      </w:r>
      <w:r w:rsidRPr="008A352C">
        <w:t xml:space="preserve"> 29, 2010</w:t>
      </w:r>
      <w:r>
        <w:t>)</w:t>
      </w:r>
      <w:r w:rsidRPr="008A352C">
        <w:t xml:space="preserve"> </w:t>
      </w:r>
      <w:r>
        <w:t xml:space="preserve">(on file in </w:t>
      </w:r>
      <w:r w:rsidRPr="008A352C">
        <w:t>WT Docket No. 10-83</w:t>
      </w:r>
      <w:r>
        <w:t>)</w:t>
      </w:r>
      <w:r w:rsidRPr="008A352C">
        <w:t xml:space="preserve">.  </w:t>
      </w:r>
    </w:p>
  </w:footnote>
  <w:footnote w:id="23">
    <w:p w14:paraId="334C2A78" w14:textId="16E2704D" w:rsidR="00235520" w:rsidRPr="008A352C" w:rsidRDefault="00235520" w:rsidP="008A352C">
      <w:pPr>
        <w:pStyle w:val="FootnoteText"/>
      </w:pPr>
      <w:r w:rsidRPr="008A352C">
        <w:rPr>
          <w:rStyle w:val="FootnoteReference"/>
        </w:rPr>
        <w:footnoteRef/>
      </w:r>
      <w:r w:rsidRPr="008A352C">
        <w:t xml:space="preserve"> Letter from Marion Ashley, Chairman, Riverside County Board of Supervisors, to Marlene H. Dortch, Secretary, FCC </w:t>
      </w:r>
      <w:r>
        <w:t>(</w:t>
      </w:r>
      <w:r w:rsidRPr="008A352C">
        <w:t>Apr</w:t>
      </w:r>
      <w:r>
        <w:t>.</w:t>
      </w:r>
      <w:r w:rsidRPr="008A352C">
        <w:t xml:space="preserve"> 16, 2010</w:t>
      </w:r>
      <w:r>
        <w:t>)</w:t>
      </w:r>
      <w:r w:rsidRPr="008A352C">
        <w:t xml:space="preserve"> </w:t>
      </w:r>
      <w:r>
        <w:t xml:space="preserve">(on file in </w:t>
      </w:r>
      <w:r w:rsidRPr="008A352C">
        <w:t>WT Docket No. 10-83</w:t>
      </w:r>
      <w:r>
        <w:t>)</w:t>
      </w:r>
      <w:r w:rsidRPr="008A352C">
        <w:t>.</w:t>
      </w:r>
    </w:p>
  </w:footnote>
  <w:footnote w:id="24">
    <w:p w14:paraId="0C060DFF" w14:textId="2B4766A7" w:rsidR="00235520" w:rsidRPr="008A352C" w:rsidRDefault="00235520" w:rsidP="008A352C">
      <w:pPr>
        <w:pStyle w:val="FootnoteText"/>
      </w:pPr>
      <w:r w:rsidRPr="008A352C">
        <w:rPr>
          <w:rStyle w:val="FootnoteReference"/>
        </w:rPr>
        <w:footnoteRef/>
      </w:r>
      <w:r w:rsidRPr="008A352C">
        <w:t xml:space="preserve"> Letter from Darren M. Kettle, Executive Director, Ventura County Transportation Commission, to Marlene Dortch, Secretary, FCC </w:t>
      </w:r>
      <w:r>
        <w:t>(</w:t>
      </w:r>
      <w:r w:rsidRPr="008A352C">
        <w:t>Ap</w:t>
      </w:r>
      <w:r>
        <w:t>r.</w:t>
      </w:r>
      <w:r w:rsidRPr="008A352C">
        <w:t xml:space="preserve"> 20, 2010</w:t>
      </w:r>
      <w:r>
        <w:t xml:space="preserve">) (on file in </w:t>
      </w:r>
      <w:r w:rsidRPr="008A352C">
        <w:t>WT Docket No. 10-83</w:t>
      </w:r>
      <w:r>
        <w:t>)</w:t>
      </w:r>
      <w:r w:rsidRPr="008A352C">
        <w:t>.</w:t>
      </w:r>
    </w:p>
  </w:footnote>
  <w:footnote w:id="25">
    <w:p w14:paraId="5F539F4A" w14:textId="77777777" w:rsidR="00235520" w:rsidRPr="008A352C" w:rsidRDefault="00235520" w:rsidP="008A352C">
      <w:pPr>
        <w:pStyle w:val="FootnoteText"/>
      </w:pPr>
      <w:r w:rsidRPr="008A352C">
        <w:rPr>
          <w:rStyle w:val="FootnoteReference"/>
        </w:rPr>
        <w:footnoteRef/>
      </w:r>
      <w:r w:rsidRPr="008A352C">
        <w:t xml:space="preserve"> The five entities are Environmentel LLC (ENL), Intelligent Transportation &amp; Monitoring Wireless LLC (ITL), Skybridge Spectrum Foundation (SSF), Telesaurus Holdings GB LLC (THL), and Verde Systems LLC (VSL).</w:t>
      </w:r>
    </w:p>
  </w:footnote>
  <w:footnote w:id="26">
    <w:p w14:paraId="2612C7CE" w14:textId="3813670A" w:rsidR="00235520" w:rsidRPr="008A352C" w:rsidRDefault="00235520" w:rsidP="008A352C">
      <w:pPr>
        <w:pStyle w:val="FootnoteText"/>
      </w:pPr>
      <w:r w:rsidRPr="008A352C">
        <w:rPr>
          <w:rStyle w:val="FootnoteReference"/>
        </w:rPr>
        <w:footnoteRef/>
      </w:r>
      <w:r w:rsidRPr="008A352C">
        <w:t xml:space="preserve"> Petition to Deny, and in the Alternative Section 1.41 Request, ULS File No</w:t>
      </w:r>
      <w:r>
        <w:t>s</w:t>
      </w:r>
      <w:r w:rsidRPr="008A352C">
        <w:t>. 0004144435</w:t>
      </w:r>
      <w:r>
        <w:t xml:space="preserve"> and</w:t>
      </w:r>
      <w:r w:rsidRPr="0079249F">
        <w:t xml:space="preserve"> </w:t>
      </w:r>
      <w:r w:rsidRPr="009B3FF5">
        <w:t xml:space="preserve">0004153701 </w:t>
      </w:r>
      <w:r>
        <w:t>(filed Apr.</w:t>
      </w:r>
      <w:r w:rsidRPr="008A352C">
        <w:t xml:space="preserve"> 28, 2010</w:t>
      </w:r>
      <w:r>
        <w:t>)</w:t>
      </w:r>
      <w:r w:rsidRPr="008A352C">
        <w:t xml:space="preserve"> </w:t>
      </w:r>
      <w:r w:rsidRPr="00913B0D">
        <w:t>(Havens Petition to Deny).</w:t>
      </w:r>
      <w:r w:rsidRPr="008A352C">
        <w:t xml:space="preserve">  </w:t>
      </w:r>
      <w:r w:rsidRPr="00326285">
        <w:t>SCRRA filed an Opposition to Petition to Deny on May 10, 2010</w:t>
      </w:r>
      <w:r>
        <w:t>,</w:t>
      </w:r>
      <w:r w:rsidRPr="00326285">
        <w:t xml:space="preserve"> in </w:t>
      </w:r>
      <w:r>
        <w:t>WT Docket No. 10-83</w:t>
      </w:r>
      <w:r w:rsidRPr="009B3FF5">
        <w:t xml:space="preserve"> </w:t>
      </w:r>
      <w:r w:rsidRPr="00913B0D">
        <w:t>(SCRRA Opposition).</w:t>
      </w:r>
      <w:r w:rsidRPr="00326285">
        <w:t xml:space="preserve">  MCLM also filed an Opposition to Petition to Deny on May 10, 2010</w:t>
      </w:r>
      <w:r>
        <w:t>,</w:t>
      </w:r>
      <w:r w:rsidRPr="00326285">
        <w:t xml:space="preserve"> in ULS File No. 0004144435</w:t>
      </w:r>
      <w:r>
        <w:t xml:space="preserve"> </w:t>
      </w:r>
      <w:r w:rsidRPr="009B3FF5">
        <w:t>and 0004153701</w:t>
      </w:r>
      <w:r>
        <w:t>.</w:t>
      </w:r>
    </w:p>
    <w:p w14:paraId="3987EF38" w14:textId="09F4AFBC" w:rsidR="00235520" w:rsidRPr="008A352C" w:rsidRDefault="00235520" w:rsidP="008A352C">
      <w:pPr>
        <w:pStyle w:val="FootnoteText"/>
      </w:pPr>
      <w:r w:rsidRPr="008A352C">
        <w:t>On November 16, 2015, the Superior Court of Alameda County, California</w:t>
      </w:r>
      <w:r>
        <w:t>,</w:t>
      </w:r>
      <w:r w:rsidRPr="008A352C">
        <w:t xml:space="preserve"> issued an order appointing Susan L. Uecker (Uecker) as receiver to take control of ENL, ITL, SSF, THL, VSL, and two other entities (Environmentel-2 LLC and V2G LLC).  </w:t>
      </w:r>
      <w:r w:rsidRPr="008A352C">
        <w:rPr>
          <w:i/>
          <w:iCs/>
        </w:rPr>
        <w:t>See</w:t>
      </w:r>
      <w:r w:rsidRPr="008A352C">
        <w:t xml:space="preserve"> </w:t>
      </w:r>
      <w:r w:rsidRPr="00811787">
        <w:rPr>
          <w:i/>
        </w:rPr>
        <w:t>Arnold Leong v. Warrens Havens</w:t>
      </w:r>
      <w:r w:rsidRPr="008A352C">
        <w:t xml:space="preserve">, </w:t>
      </w:r>
      <w:r w:rsidRPr="008A352C">
        <w:rPr>
          <w:i/>
          <w:iCs/>
        </w:rPr>
        <w:t>et al</w:t>
      </w:r>
      <w:r w:rsidRPr="008A352C">
        <w:t xml:space="preserve">., Case No. 2002-070640, </w:t>
      </w:r>
      <w:r w:rsidRPr="00DC48B9">
        <w:rPr>
          <w:iCs/>
        </w:rPr>
        <w:t>Order Appointing Receiver After Hearing and Preliminary Injunction</w:t>
      </w:r>
      <w:r w:rsidRPr="0078771E">
        <w:t xml:space="preserve"> </w:t>
      </w:r>
      <w:r w:rsidRPr="008A352C">
        <w:t xml:space="preserve">(Nov. 16, 2015).  On December 17, 2015, Uecker filed several applications to notify the Commission of an involuntary transfer of control of the seven entities.  </w:t>
      </w:r>
      <w:r w:rsidRPr="008A352C">
        <w:rPr>
          <w:i/>
          <w:iCs/>
        </w:rPr>
        <w:t>See, e.g</w:t>
      </w:r>
      <w:r w:rsidRPr="008A352C">
        <w:t>., Description of Application and Public Interest Statement, ULS File No. 0007060862</w:t>
      </w:r>
      <w:r>
        <w:t xml:space="preserve"> (filed Dec. 17, 2015) (</w:t>
      </w:r>
      <w:r w:rsidRPr="008A352C">
        <w:t>citing 47 CFR § 1.948(c)(2)</w:t>
      </w:r>
      <w:r>
        <w:t>)</w:t>
      </w:r>
      <w:r w:rsidRPr="008A352C">
        <w:t xml:space="preserve">.  The applications were accepted on February 2, 2016.  On March 11, 2016, SSF filed a voluntary petition for bankruptcy under Chapter 11 with the U.S. Bankruptcy Court, Delaware District, Case No. 16-10626.  The court dismissed that petition on May 6, 2016.  </w:t>
      </w:r>
      <w:r w:rsidRPr="008A352C">
        <w:rPr>
          <w:i/>
        </w:rPr>
        <w:t>See</w:t>
      </w:r>
      <w:r w:rsidRPr="008A352C">
        <w:t xml:space="preserve"> </w:t>
      </w:r>
      <w:r w:rsidRPr="00811787">
        <w:rPr>
          <w:i/>
        </w:rPr>
        <w:t>Skybridge Spectrum Foundation, Debtor</w:t>
      </w:r>
      <w:r w:rsidRPr="008A352C">
        <w:t xml:space="preserve">, Case 16-10626-CSS, Doc 120, </w:t>
      </w:r>
      <w:r w:rsidRPr="00DC48B9">
        <w:t>Order</w:t>
      </w:r>
      <w:r w:rsidRPr="008A352C">
        <w:t xml:space="preserve"> (May 6, 2016).     </w:t>
      </w:r>
    </w:p>
  </w:footnote>
  <w:footnote w:id="27">
    <w:p w14:paraId="2EF118D4" w14:textId="0B0675B3"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w:t>
      </w:r>
      <w:r w:rsidRPr="00DC48B9">
        <w:t xml:space="preserve">Havens Entities </w:t>
      </w:r>
      <w:r w:rsidRPr="008D7AB5">
        <w:t>Reply (filed May 10, 2010); ITL, THL, and VSL Reply to Oppositions (filed May 17, 2010)</w:t>
      </w:r>
      <w:r>
        <w:t xml:space="preserve"> </w:t>
      </w:r>
      <w:r w:rsidRPr="008D7AB5">
        <w:t>(ITL/THL/VSL Reply); ENL, Havens, and SSF Reply</w:t>
      </w:r>
      <w:r w:rsidRPr="008A352C">
        <w:t xml:space="preserve"> to </w:t>
      </w:r>
      <w:r w:rsidRPr="00113FC6">
        <w:t xml:space="preserve">Oppositions </w:t>
      </w:r>
      <w:r>
        <w:t>(</w:t>
      </w:r>
      <w:r w:rsidRPr="008A352C">
        <w:t>filed May 17, 2010</w:t>
      </w:r>
      <w:r>
        <w:t xml:space="preserve">) </w:t>
      </w:r>
      <w:r w:rsidRPr="00113FC6">
        <w:t>(ENL/Havens/SSF Reply)</w:t>
      </w:r>
      <w:r w:rsidRPr="008A352C">
        <w:t xml:space="preserve">; May 27, 2010 Supplement—New Facts, And Request to Accept, </w:t>
      </w:r>
      <w:r w:rsidRPr="00DC48B9">
        <w:t>ULS File No. 0004144435</w:t>
      </w:r>
      <w:r>
        <w:t xml:space="preserve"> (</w:t>
      </w:r>
      <w:r w:rsidRPr="008A352C">
        <w:t>filed May 27, 2010</w:t>
      </w:r>
      <w:r>
        <w:t xml:space="preserve">) </w:t>
      </w:r>
      <w:r w:rsidRPr="008A352C">
        <w:t>(</w:t>
      </w:r>
      <w:r>
        <w:t xml:space="preserve">filing </w:t>
      </w:r>
      <w:r w:rsidRPr="008A352C">
        <w:t>by the Havens Entities transmitting Errata Version of email from Mr. Havens to FCC staff, dated May 23, 2010, regarding MC</w:t>
      </w:r>
      <w:r>
        <w:t>L</w:t>
      </w:r>
      <w:r w:rsidRPr="008A352C">
        <w:t>M’s character qualifications); Further Statement in Support of Opposition,</w:t>
      </w:r>
      <w:r>
        <w:t xml:space="preserve"> </w:t>
      </w:r>
      <w:r w:rsidRPr="00A25AD5">
        <w:t>Notice of Pending Related Proceedings, and of Future Filings, And Suggested Resolution of Issues in Dispute</w:t>
      </w:r>
      <w:r w:rsidRPr="008A352C">
        <w:t xml:space="preserve">, </w:t>
      </w:r>
      <w:r w:rsidRPr="00857489">
        <w:t>ULS File No. 0004144435</w:t>
      </w:r>
      <w:r>
        <w:t xml:space="preserve"> (</w:t>
      </w:r>
      <w:r w:rsidRPr="008A352C">
        <w:t>filed July 1</w:t>
      </w:r>
      <w:r>
        <w:t>4</w:t>
      </w:r>
      <w:r w:rsidRPr="008A352C">
        <w:t>, 2010</w:t>
      </w:r>
      <w:r w:rsidRPr="00913B0D">
        <w:t>) (Havens Entities Further Statement</w:t>
      </w:r>
      <w:r w:rsidRPr="008A352C">
        <w:t xml:space="preserve">); </w:t>
      </w:r>
      <w:r w:rsidRPr="0026606E">
        <w:t>Havens</w:t>
      </w:r>
      <w:r w:rsidRPr="008A352C">
        <w:t xml:space="preserve"> Entities Initial Opposition to Motion for Conditional Grant</w:t>
      </w:r>
      <w:r>
        <w:t xml:space="preserve"> (</w:t>
      </w:r>
      <w:r w:rsidRPr="008A352C">
        <w:t>filed Nov</w:t>
      </w:r>
      <w:r>
        <w:t>.</w:t>
      </w:r>
      <w:r w:rsidRPr="008A352C">
        <w:t xml:space="preserve"> </w:t>
      </w:r>
      <w:r>
        <w:t>10</w:t>
      </w:r>
      <w:r w:rsidRPr="008A352C">
        <w:t>, 201</w:t>
      </w:r>
      <w:r>
        <w:t>0)</w:t>
      </w:r>
      <w:r w:rsidRPr="008A352C">
        <w:t>; Havens Entities Motion to Dismiss</w:t>
      </w:r>
      <w:r w:rsidRPr="008A352C">
        <w:rPr>
          <w:snapToGrid w:val="0"/>
          <w:kern w:val="28"/>
        </w:rPr>
        <w:t xml:space="preserve"> </w:t>
      </w:r>
      <w:r w:rsidRPr="008A352C">
        <w:t>Motion for Conditional Grant, or in the Alternative, Opposition to Motion for Conditional Grant</w:t>
      </w:r>
      <w:r>
        <w:t xml:space="preserve"> (</w:t>
      </w:r>
      <w:r w:rsidRPr="008A352C">
        <w:t>filed Dec</w:t>
      </w:r>
      <w:r>
        <w:t>.</w:t>
      </w:r>
      <w:r w:rsidRPr="008A352C">
        <w:t xml:space="preserve"> 7, 2010</w:t>
      </w:r>
      <w:r>
        <w:t>)</w:t>
      </w:r>
      <w:r w:rsidRPr="008A352C">
        <w:t>; Havens Entities Reply to Oppositions to Motion to Dismiss</w:t>
      </w:r>
      <w:r w:rsidRPr="008A352C">
        <w:rPr>
          <w:snapToGrid w:val="0"/>
          <w:kern w:val="28"/>
        </w:rPr>
        <w:t xml:space="preserve"> </w:t>
      </w:r>
      <w:r w:rsidRPr="008A352C">
        <w:t>Motion for Conditional Grant, or in the Alternative, Opposition to Motion for Conditional Grant</w:t>
      </w:r>
      <w:r w:rsidRPr="00DB7D49">
        <w:t xml:space="preserve"> </w:t>
      </w:r>
      <w:r>
        <w:t>(filed Jan.</w:t>
      </w:r>
      <w:r w:rsidRPr="008A352C">
        <w:t xml:space="preserve"> </w:t>
      </w:r>
      <w:r>
        <w:t>5</w:t>
      </w:r>
      <w:r w:rsidRPr="008A352C">
        <w:t>, 2011</w:t>
      </w:r>
      <w:r>
        <w:t>)</w:t>
      </w:r>
      <w:r w:rsidRPr="008A352C">
        <w:t xml:space="preserve">.  </w:t>
      </w:r>
      <w:r w:rsidR="008D07F3">
        <w:t xml:space="preserve">Mr. Havens filed these pleadings before the Havens Entities were placed in receivership.  </w:t>
      </w:r>
      <w:r w:rsidR="008D07F3" w:rsidRPr="008D07F3">
        <w:rPr>
          <w:i/>
        </w:rPr>
        <w:t>See supra</w:t>
      </w:r>
      <w:r w:rsidR="008D07F3">
        <w:t xml:space="preserve"> note 25. </w:t>
      </w:r>
    </w:p>
  </w:footnote>
  <w:footnote w:id="28">
    <w:p w14:paraId="72523C8D" w14:textId="5B91AAAC" w:rsidR="00235520" w:rsidRPr="008A352C" w:rsidRDefault="00235520" w:rsidP="008A352C">
      <w:pPr>
        <w:pStyle w:val="FootnoteText"/>
      </w:pPr>
      <w:r w:rsidRPr="008A352C">
        <w:rPr>
          <w:rStyle w:val="FootnoteReference"/>
        </w:rPr>
        <w:footnoteRef/>
      </w:r>
      <w:r w:rsidRPr="008A352C">
        <w:t xml:space="preserve"> </w:t>
      </w:r>
      <w:r w:rsidRPr="00DC48B9">
        <w:rPr>
          <w:i/>
        </w:rPr>
        <w:t>Maritime Communications/Land Mobile, LLC</w:t>
      </w:r>
      <w:r w:rsidRPr="008A352C">
        <w:t xml:space="preserve">, </w:t>
      </w:r>
      <w:r w:rsidRPr="00DC48B9">
        <w:t>Order to Show Cause, Hearing Designation Order, and Notice of Opportunity for Hearing</w:t>
      </w:r>
      <w:r w:rsidRPr="00FC720A">
        <w:t>,</w:t>
      </w:r>
      <w:r w:rsidRPr="008A352C">
        <w:t xml:space="preserve"> 26 FCC Rcd 6520 (2011) (</w:t>
      </w:r>
      <w:r w:rsidRPr="008A352C">
        <w:rPr>
          <w:i/>
        </w:rPr>
        <w:t>HDO</w:t>
      </w:r>
      <w:r w:rsidRPr="008A352C">
        <w:t xml:space="preserve">).  </w:t>
      </w:r>
    </w:p>
  </w:footnote>
  <w:footnote w:id="29">
    <w:p w14:paraId="57E9EE9F" w14:textId="7E4D6D1C" w:rsidR="00235520" w:rsidRPr="008A352C" w:rsidRDefault="00235520" w:rsidP="008A352C">
      <w:pPr>
        <w:pStyle w:val="FootnoteText"/>
      </w:pPr>
      <w:r w:rsidRPr="008A352C">
        <w:rPr>
          <w:rStyle w:val="FootnoteReference"/>
        </w:rPr>
        <w:footnoteRef/>
      </w:r>
      <w:r w:rsidRPr="008A352C">
        <w:t xml:space="preserve"> </w:t>
      </w:r>
      <w:r w:rsidRPr="008A352C">
        <w:rPr>
          <w:i/>
        </w:rPr>
        <w:t>See Jefferson Radio Co. v. FCC</w:t>
      </w:r>
      <w:r w:rsidRPr="008A352C">
        <w:t>, 340 F.2d 781, 783 (D.C. Cir. 1964).</w:t>
      </w:r>
    </w:p>
  </w:footnote>
  <w:footnote w:id="30">
    <w:p w14:paraId="44743E46" w14:textId="01EB0652" w:rsidR="00235520" w:rsidRPr="008A352C" w:rsidRDefault="00235520" w:rsidP="008A352C">
      <w:pPr>
        <w:pStyle w:val="FootnoteText"/>
      </w:pPr>
      <w:r w:rsidRPr="008A352C">
        <w:rPr>
          <w:rStyle w:val="FootnoteReference"/>
        </w:rPr>
        <w:footnoteRef/>
      </w:r>
      <w:r w:rsidRPr="008A352C">
        <w:t xml:space="preserve"> </w:t>
      </w:r>
      <w:r w:rsidRPr="008A352C">
        <w:rPr>
          <w:i/>
        </w:rPr>
        <w:t>HDO</w:t>
      </w:r>
      <w:r w:rsidRPr="008A352C">
        <w:t>, 26 FCC Rcd at 6523</w:t>
      </w:r>
      <w:r>
        <w:t>, para. 7</w:t>
      </w:r>
      <w:r w:rsidRPr="008A352C">
        <w:t xml:space="preserve"> n.7.</w:t>
      </w:r>
    </w:p>
  </w:footnote>
  <w:footnote w:id="31">
    <w:p w14:paraId="3A85EE94" w14:textId="7D42E3FD" w:rsidR="00235520" w:rsidRPr="008A352C" w:rsidRDefault="00235520" w:rsidP="008A352C">
      <w:pPr>
        <w:pStyle w:val="FootnoteText"/>
      </w:pPr>
      <w:r w:rsidRPr="008A352C">
        <w:rPr>
          <w:rStyle w:val="FootnoteReference"/>
        </w:rPr>
        <w:footnoteRef/>
      </w:r>
      <w:r w:rsidRPr="008A352C">
        <w:t xml:space="preserve"> </w:t>
      </w:r>
      <w:r>
        <w:rPr>
          <w:i/>
        </w:rPr>
        <w:t>Id</w:t>
      </w:r>
      <w:r w:rsidRPr="008A352C">
        <w:t>.</w:t>
      </w:r>
    </w:p>
  </w:footnote>
  <w:footnote w:id="32">
    <w:p w14:paraId="65A02271" w14:textId="6C3A1B1F" w:rsidR="00235520" w:rsidRDefault="00235520">
      <w:pPr>
        <w:pStyle w:val="FootnoteText"/>
      </w:pPr>
      <w:r>
        <w:rPr>
          <w:rStyle w:val="FootnoteReference"/>
        </w:rPr>
        <w:footnoteRef/>
      </w:r>
      <w:r>
        <w:t xml:space="preserve"> These pleadings are located in WT Docket No. 13-85, EB Docket No. 11-71, and are also attached to more than 20 FCC File Nos., including 0004153701 and 0004144435.  </w:t>
      </w:r>
    </w:p>
  </w:footnote>
  <w:footnote w:id="33">
    <w:p w14:paraId="3F1E73DD" w14:textId="64D3B995" w:rsidR="00235520" w:rsidRPr="008A352C" w:rsidRDefault="00235520" w:rsidP="008A352C">
      <w:pPr>
        <w:pStyle w:val="FootnoteText"/>
      </w:pPr>
      <w:r w:rsidRPr="008A352C">
        <w:rPr>
          <w:rStyle w:val="FootnoteReference"/>
        </w:rPr>
        <w:footnoteRef/>
      </w:r>
      <w:r w:rsidRPr="008A352C">
        <w:t xml:space="preserve"> </w:t>
      </w:r>
      <w:r w:rsidRPr="008A352C">
        <w:rPr>
          <w:i/>
        </w:rPr>
        <w:t>Maritime Communications/Land Mobile, LLC</w:t>
      </w:r>
      <w:r w:rsidRPr="008A352C">
        <w:t>, Memorandum Opinion and Order, 29 FCC Rcd 10871 (2014) (</w:t>
      </w:r>
      <w:r w:rsidRPr="008A352C">
        <w:rPr>
          <w:i/>
        </w:rPr>
        <w:t>MCLM/SCRRA Order</w:t>
      </w:r>
      <w:r w:rsidRPr="008A352C">
        <w:t xml:space="preserve">), </w:t>
      </w:r>
      <w:r w:rsidRPr="008A352C">
        <w:rPr>
          <w:i/>
        </w:rPr>
        <w:t>petition for reconsideration pending</w:t>
      </w:r>
      <w:r w:rsidRPr="008A352C">
        <w:t>.</w:t>
      </w:r>
    </w:p>
  </w:footnote>
  <w:footnote w:id="34">
    <w:p w14:paraId="0E4FC5CC" w14:textId="31A0A872" w:rsidR="00235520" w:rsidRPr="008A352C" w:rsidRDefault="00235520" w:rsidP="008A352C">
      <w:pPr>
        <w:pStyle w:val="FootnoteText"/>
      </w:pPr>
      <w:r w:rsidRPr="008A352C">
        <w:rPr>
          <w:rStyle w:val="FootnoteReference"/>
        </w:rPr>
        <w:footnoteRef/>
      </w:r>
      <w:r w:rsidRPr="008A352C">
        <w:t xml:space="preserve"> </w:t>
      </w:r>
      <w:r>
        <w:rPr>
          <w:i/>
        </w:rPr>
        <w:t>Id.</w:t>
      </w:r>
      <w:r w:rsidRPr="008A352C">
        <w:t xml:space="preserve"> at 10883</w:t>
      </w:r>
      <w:r>
        <w:t>-84,</w:t>
      </w:r>
      <w:r w:rsidRPr="008A352C">
        <w:t xml:space="preserve"> para. 31.</w:t>
      </w:r>
    </w:p>
  </w:footnote>
  <w:footnote w:id="35">
    <w:p w14:paraId="2563D4CA" w14:textId="512C2F54" w:rsidR="00235520" w:rsidRPr="008A352C" w:rsidRDefault="00235520" w:rsidP="008A352C">
      <w:pPr>
        <w:pStyle w:val="FootnoteText"/>
      </w:pPr>
      <w:r w:rsidRPr="008A352C">
        <w:rPr>
          <w:rStyle w:val="FootnoteReference"/>
        </w:rPr>
        <w:footnoteRef/>
      </w:r>
      <w:r w:rsidRPr="008A352C">
        <w:t xml:space="preserve"> </w:t>
      </w:r>
      <w:r>
        <w:rPr>
          <w:i/>
        </w:rPr>
        <w:t>Id.</w:t>
      </w:r>
      <w:r w:rsidRPr="008A352C">
        <w:t xml:space="preserve"> at 10888</w:t>
      </w:r>
      <w:r>
        <w:t>,</w:t>
      </w:r>
      <w:r w:rsidRPr="008A352C">
        <w:t xml:space="preserve"> para</w:t>
      </w:r>
      <w:r>
        <w:t>.</w:t>
      </w:r>
      <w:r w:rsidRPr="008A352C">
        <w:t xml:space="preserve"> 41.</w:t>
      </w:r>
    </w:p>
  </w:footnote>
  <w:footnote w:id="36">
    <w:p w14:paraId="01E70D46" w14:textId="644347C5" w:rsidR="00235520" w:rsidRPr="008A352C" w:rsidRDefault="00235520" w:rsidP="008A352C">
      <w:pPr>
        <w:pStyle w:val="FootnoteText"/>
      </w:pPr>
      <w:r w:rsidRPr="008A352C">
        <w:rPr>
          <w:rStyle w:val="FootnoteReference"/>
        </w:rPr>
        <w:footnoteRef/>
      </w:r>
      <w:r w:rsidRPr="008A352C">
        <w:t xml:space="preserve"> Minor Amendment</w:t>
      </w:r>
      <w:r>
        <w:t>.</w:t>
      </w:r>
    </w:p>
  </w:footnote>
  <w:footnote w:id="37">
    <w:p w14:paraId="454BAF44" w14:textId="6BE42AFC" w:rsidR="00235520" w:rsidRDefault="00235520">
      <w:pPr>
        <w:pStyle w:val="FootnoteText"/>
      </w:pPr>
      <w:r>
        <w:rPr>
          <w:rStyle w:val="FootnoteReference"/>
        </w:rPr>
        <w:footnoteRef/>
      </w:r>
      <w:r>
        <w:t xml:space="preserve"> Second Minor Amendment.</w:t>
      </w:r>
    </w:p>
  </w:footnote>
  <w:footnote w:id="38">
    <w:p w14:paraId="17F4D946" w14:textId="5E5D79B6" w:rsidR="00235520" w:rsidRPr="008A352C" w:rsidRDefault="00235520" w:rsidP="008A352C">
      <w:pPr>
        <w:pStyle w:val="FootnoteText"/>
      </w:pPr>
      <w:r w:rsidRPr="008A352C">
        <w:rPr>
          <w:rStyle w:val="FootnoteReference"/>
        </w:rPr>
        <w:footnoteRef/>
      </w:r>
      <w:r w:rsidRPr="008A352C">
        <w:t xml:space="preserve"> </w:t>
      </w:r>
      <w:r w:rsidRPr="008A352C">
        <w:rPr>
          <w:i/>
        </w:rPr>
        <w:t>MCLM/SCRRA Order</w:t>
      </w:r>
      <w:r w:rsidRPr="008A352C">
        <w:t>, 29 FCC Rcd at 10888</w:t>
      </w:r>
      <w:r>
        <w:t>,</w:t>
      </w:r>
      <w:r w:rsidRPr="008A352C">
        <w:t xml:space="preserve"> para. 41</w:t>
      </w:r>
      <w:r>
        <w:t>;</w:t>
      </w:r>
      <w:r w:rsidRPr="008A352C">
        <w:t xml:space="preserve"> </w:t>
      </w:r>
      <w:r>
        <w:rPr>
          <w:i/>
        </w:rPr>
        <w:t>i</w:t>
      </w:r>
      <w:r w:rsidRPr="00EA3C7E">
        <w:rPr>
          <w:i/>
        </w:rPr>
        <w:t>d</w:t>
      </w:r>
      <w:r w:rsidRPr="008A352C">
        <w:t xml:space="preserve">. </w:t>
      </w:r>
      <w:r>
        <w:t xml:space="preserve">at 10881, </w:t>
      </w:r>
      <w:r w:rsidRPr="008A352C">
        <w:t>para</w:t>
      </w:r>
      <w:r>
        <w:t>.</w:t>
      </w:r>
      <w:r w:rsidRPr="008A352C">
        <w:t xml:space="preserve"> 26 (“direct[ing] the Bureau to process the applications”)</w:t>
      </w:r>
      <w:r>
        <w:t>.</w:t>
      </w:r>
    </w:p>
  </w:footnote>
  <w:footnote w:id="39">
    <w:p w14:paraId="274017AB" w14:textId="5DA8F148" w:rsidR="00235520" w:rsidRPr="008A352C" w:rsidRDefault="00235520" w:rsidP="008A352C">
      <w:pPr>
        <w:pStyle w:val="FootnoteText"/>
      </w:pPr>
      <w:r w:rsidRPr="008A352C">
        <w:rPr>
          <w:rStyle w:val="FootnoteReference"/>
        </w:rPr>
        <w:footnoteRef/>
      </w:r>
      <w:r w:rsidRPr="008A352C">
        <w:t xml:space="preserve"> Havens Petition to Deny at 9</w:t>
      </w:r>
      <w:r>
        <w:t xml:space="preserve"> &amp;</w:t>
      </w:r>
      <w:r w:rsidRPr="008A352C">
        <w:t xml:space="preserve"> n.4.</w:t>
      </w:r>
    </w:p>
  </w:footnote>
  <w:footnote w:id="40">
    <w:p w14:paraId="60D8BF4E" w14:textId="63AD0DE3" w:rsidR="00235520" w:rsidRPr="008A352C" w:rsidRDefault="00235520" w:rsidP="008A352C">
      <w:pPr>
        <w:pStyle w:val="FootnoteText"/>
        <w:rPr>
          <w:b/>
        </w:rPr>
      </w:pPr>
      <w:r w:rsidRPr="008A352C">
        <w:rPr>
          <w:rStyle w:val="FootnoteReference"/>
        </w:rPr>
        <w:footnoteRef/>
      </w:r>
      <w:r w:rsidRPr="008A352C">
        <w:t xml:space="preserve"> </w:t>
      </w:r>
      <w:r w:rsidRPr="008A352C">
        <w:rPr>
          <w:i/>
        </w:rPr>
        <w:t>See</w:t>
      </w:r>
      <w:r w:rsidRPr="008A352C">
        <w:t xml:space="preserve"> </w:t>
      </w:r>
      <w:r w:rsidRPr="008A352C">
        <w:rPr>
          <w:i/>
        </w:rPr>
        <w:t>Applications of AT&amp;T Mobility Spectrum LLC</w:t>
      </w:r>
      <w:r w:rsidRPr="008A352C">
        <w:t>, Memorandum Opinion and Order, 27 FCC Rcd 16459, 16465</w:t>
      </w:r>
      <w:r>
        <w:t xml:space="preserve">, para. </w:t>
      </w:r>
      <w:r w:rsidRPr="008A352C">
        <w:t xml:space="preserve">16 (2012); </w:t>
      </w:r>
      <w:r w:rsidRPr="008A352C">
        <w:rPr>
          <w:i/>
        </w:rPr>
        <w:t>Wireless Co., L.P.</w:t>
      </w:r>
      <w:r w:rsidRPr="008A352C">
        <w:t>, Order, 10 FCC Rcd 13233, 13235</w:t>
      </w:r>
      <w:r>
        <w:t xml:space="preserve">, para. </w:t>
      </w:r>
      <w:r w:rsidRPr="008A352C">
        <w:t>7 (WTB 1995) (</w:t>
      </w:r>
      <w:r w:rsidRPr="008A352C">
        <w:rPr>
          <w:i/>
        </w:rPr>
        <w:t>Wireless Co.</w:t>
      </w:r>
      <w:r w:rsidRPr="008A352C">
        <w:t xml:space="preserve">), citing </w:t>
      </w:r>
      <w:r w:rsidRPr="008A352C">
        <w:rPr>
          <w:i/>
        </w:rPr>
        <w:t>Sierra Club v. Morton</w:t>
      </w:r>
      <w:r w:rsidRPr="008A352C">
        <w:t xml:space="preserve">, 405 U.S. 727, 733 (1972).  </w:t>
      </w:r>
      <w:r w:rsidRPr="008A352C">
        <w:rPr>
          <w:i/>
        </w:rPr>
        <w:t>See also</w:t>
      </w:r>
      <w:r w:rsidRPr="008A352C">
        <w:t xml:space="preserve"> </w:t>
      </w:r>
      <w:r w:rsidRPr="008A352C">
        <w:rPr>
          <w:i/>
        </w:rPr>
        <w:t>New World Radio, Inc. v. FCC</w:t>
      </w:r>
      <w:r w:rsidRPr="008A352C">
        <w:t>, 294 F.3d 164, 170</w:t>
      </w:r>
      <w:r w:rsidRPr="008A352C">
        <w:rPr>
          <w:b/>
        </w:rPr>
        <w:t xml:space="preserve"> </w:t>
      </w:r>
      <w:r w:rsidRPr="008A352C">
        <w:t xml:space="preserve">(D.C. Cir. 2002); </w:t>
      </w:r>
      <w:r w:rsidRPr="008A352C">
        <w:rPr>
          <w:i/>
        </w:rPr>
        <w:t>Touchtel Corporation</w:t>
      </w:r>
      <w:r w:rsidRPr="008A352C">
        <w:t>, Order on Reconsideration, 29 FCC Rcd 16249, 16250-51</w:t>
      </w:r>
      <w:r>
        <w:t>,</w:t>
      </w:r>
      <w:r w:rsidRPr="008A352C">
        <w:t xml:space="preserve"> para. 7 (WTB Broadband Div. 2014) (</w:t>
      </w:r>
      <w:r w:rsidRPr="008A352C">
        <w:rPr>
          <w:i/>
        </w:rPr>
        <w:t>Touchtel</w:t>
      </w:r>
      <w:r w:rsidRPr="008A352C">
        <w:t>).</w:t>
      </w:r>
    </w:p>
  </w:footnote>
  <w:footnote w:id="41">
    <w:p w14:paraId="2959D59F" w14:textId="78FBDCD1" w:rsidR="00235520" w:rsidRPr="008A352C" w:rsidRDefault="00235520" w:rsidP="008A352C">
      <w:pPr>
        <w:pStyle w:val="FootnoteText"/>
        <w:rPr>
          <w:i/>
        </w:rPr>
      </w:pPr>
      <w:r w:rsidRPr="008A352C">
        <w:rPr>
          <w:rStyle w:val="FootnoteReference"/>
        </w:rPr>
        <w:footnoteRef/>
      </w:r>
      <w:r w:rsidRPr="008A352C">
        <w:t xml:space="preserve"> </w:t>
      </w:r>
      <w:r w:rsidRPr="008A352C">
        <w:rPr>
          <w:i/>
          <w:iCs/>
        </w:rPr>
        <w:t>Wireless Co</w:t>
      </w:r>
      <w:r w:rsidRPr="008A352C">
        <w:t>., 10 FCC Rcd at 13235</w:t>
      </w:r>
      <w:r>
        <w:t>,</w:t>
      </w:r>
      <w:r w:rsidRPr="008A352C">
        <w:t xml:space="preserve"> </w:t>
      </w:r>
      <w:r>
        <w:t xml:space="preserve">para. </w:t>
      </w:r>
      <w:r w:rsidRPr="008A352C">
        <w:t xml:space="preserve">7; </w:t>
      </w:r>
      <w:r w:rsidRPr="008A352C">
        <w:rPr>
          <w:i/>
        </w:rPr>
        <w:t>Touchtel</w:t>
      </w:r>
      <w:r w:rsidRPr="008A352C">
        <w:t>, 29 FCC Rcd at 16250-51</w:t>
      </w:r>
      <w:r>
        <w:t>,</w:t>
      </w:r>
      <w:r w:rsidRPr="008A352C">
        <w:t xml:space="preserve"> para. 7.</w:t>
      </w:r>
    </w:p>
  </w:footnote>
  <w:footnote w:id="42">
    <w:p w14:paraId="766509CD" w14:textId="77777777" w:rsidR="00235520" w:rsidRPr="008A352C" w:rsidRDefault="00235520" w:rsidP="008A352C">
      <w:pPr>
        <w:pStyle w:val="FootnoteText"/>
      </w:pPr>
      <w:r w:rsidRPr="008A352C">
        <w:rPr>
          <w:rStyle w:val="FootnoteReference"/>
        </w:rPr>
        <w:footnoteRef/>
      </w:r>
      <w:r w:rsidRPr="008A352C">
        <w:t xml:space="preserve"> </w:t>
      </w:r>
      <w:r w:rsidRPr="008A352C">
        <w:rPr>
          <w:i/>
        </w:rPr>
        <w:t xml:space="preserve">Conference Group, LLC v. FCC, </w:t>
      </w:r>
      <w:r w:rsidRPr="008A352C">
        <w:t xml:space="preserve">720 F.3d 957, 962 (D.C. Cir. 2013), </w:t>
      </w:r>
      <w:r w:rsidRPr="008A352C">
        <w:rPr>
          <w:i/>
        </w:rPr>
        <w:t xml:space="preserve">quoting Lujan v. Defenders of Wildlife, </w:t>
      </w:r>
      <w:r w:rsidRPr="008A352C">
        <w:t xml:space="preserve">504 U.S. 555, 560 (1992).  The </w:t>
      </w:r>
      <w:r w:rsidRPr="008A352C">
        <w:rPr>
          <w:i/>
        </w:rPr>
        <w:t>Lujan</w:t>
      </w:r>
      <w:r w:rsidRPr="008A352C">
        <w:t xml:space="preserve"> Court stated that the constitutional minimum of standing requires that the plaintiff must have suffered an “injury in fact,” an invasion of a legally protected interest which is (a) concrete and particularized, and (b) </w:t>
      </w:r>
      <w:r w:rsidRPr="008A352C">
        <w:rPr>
          <w:bCs/>
        </w:rPr>
        <w:t>actual</w:t>
      </w:r>
      <w:r w:rsidRPr="008A352C">
        <w:t xml:space="preserve"> </w:t>
      </w:r>
      <w:r w:rsidRPr="008A352C">
        <w:rPr>
          <w:bCs/>
        </w:rPr>
        <w:t>or</w:t>
      </w:r>
      <w:r w:rsidRPr="008A352C">
        <w:t xml:space="preserve"> </w:t>
      </w:r>
      <w:r w:rsidRPr="008A352C">
        <w:rPr>
          <w:bCs/>
        </w:rPr>
        <w:t>imminent</w:t>
      </w:r>
      <w:r w:rsidRPr="008A352C">
        <w:t xml:space="preserve">, </w:t>
      </w:r>
      <w:r w:rsidRPr="008A352C">
        <w:rPr>
          <w:bCs/>
        </w:rPr>
        <w:t>not</w:t>
      </w:r>
      <w:r w:rsidRPr="008A352C">
        <w:t xml:space="preserve"> </w:t>
      </w:r>
      <w:r w:rsidRPr="008A352C">
        <w:rPr>
          <w:bCs/>
        </w:rPr>
        <w:t>conjectural</w:t>
      </w:r>
      <w:r w:rsidRPr="008A352C">
        <w:t xml:space="preserve"> </w:t>
      </w:r>
      <w:r w:rsidRPr="008A352C">
        <w:rPr>
          <w:bCs/>
        </w:rPr>
        <w:t>or</w:t>
      </w:r>
      <w:r w:rsidRPr="008A352C">
        <w:t xml:space="preserve"> </w:t>
      </w:r>
      <w:r w:rsidRPr="008A352C">
        <w:rPr>
          <w:bCs/>
        </w:rPr>
        <w:t>hypothetical</w:t>
      </w:r>
      <w:r w:rsidRPr="008A352C">
        <w:t xml:space="preserve">.  Second, there must be a causal connection between the injury and the conduct complained of; the injury has to be fairly traceable to the challenged action of the defendant.  Third, it must be likely, as opposed to merely speculative, that the injury will be redressed by a favorable decision.  </w:t>
      </w:r>
      <w:r w:rsidRPr="008A352C">
        <w:rPr>
          <w:i/>
          <w:iCs/>
        </w:rPr>
        <w:t xml:space="preserve">See </w:t>
      </w:r>
      <w:r w:rsidRPr="008A352C">
        <w:rPr>
          <w:rStyle w:val="Emphasis"/>
        </w:rPr>
        <w:t>Lujan v. Defenders of Wildlife</w:t>
      </w:r>
      <w:r w:rsidRPr="008A352C">
        <w:t>, 504 U.S. 555, 560-61 (1992).</w:t>
      </w:r>
    </w:p>
  </w:footnote>
  <w:footnote w:id="43">
    <w:p w14:paraId="424680A8" w14:textId="36A0DA86" w:rsidR="00235520" w:rsidRPr="00D0701F" w:rsidRDefault="00235520">
      <w:pPr>
        <w:pStyle w:val="FootnoteText"/>
      </w:pPr>
      <w:r>
        <w:rPr>
          <w:rStyle w:val="FootnoteReference"/>
        </w:rPr>
        <w:footnoteRef/>
      </w:r>
      <w:r>
        <w:t xml:space="preserve"> </w:t>
      </w:r>
      <w:r w:rsidRPr="00FD2190">
        <w:t xml:space="preserve">Havens </w:t>
      </w:r>
      <w:r w:rsidRPr="00D0701F">
        <w:t>Petition to Deny at 9.</w:t>
      </w:r>
    </w:p>
  </w:footnote>
  <w:footnote w:id="44">
    <w:p w14:paraId="43A679A7" w14:textId="30039585" w:rsidR="00235520" w:rsidRDefault="00235520">
      <w:pPr>
        <w:pStyle w:val="FootnoteText"/>
      </w:pPr>
      <w:r>
        <w:rPr>
          <w:rStyle w:val="FootnoteReference"/>
        </w:rPr>
        <w:footnoteRef/>
      </w:r>
      <w:r>
        <w:t xml:space="preserve"> </w:t>
      </w:r>
      <w:r w:rsidRPr="00FD2190">
        <w:rPr>
          <w:i/>
        </w:rPr>
        <w:t>See MCLM/SCRRA Order</w:t>
      </w:r>
      <w:r w:rsidRPr="00FD2190">
        <w:t xml:space="preserve">, 29 FCC Rcd at 10883-84, para. 31 (“allowing the SCRRA Applications to be addressed outside the hearing pursuant to Footnote 7 is a tailored response to a narrow and demonstrated need, involves only a limited amount of spectrum in a single geographic area, and is unlikely to undermine the deterrent to licensee misconduct posed by the </w:t>
      </w:r>
      <w:r w:rsidRPr="00FD2190">
        <w:rPr>
          <w:i/>
        </w:rPr>
        <w:t>Jefferson Radio</w:t>
      </w:r>
      <w:r w:rsidRPr="00FD2190">
        <w:t xml:space="preserve"> policy”).  </w:t>
      </w:r>
    </w:p>
  </w:footnote>
  <w:footnote w:id="45">
    <w:p w14:paraId="076E8760" w14:textId="20F410C9" w:rsidR="00235520" w:rsidRPr="008A352C" w:rsidRDefault="00235520" w:rsidP="008A352C">
      <w:pPr>
        <w:pStyle w:val="FootnoteText"/>
      </w:pPr>
      <w:r w:rsidRPr="008A352C">
        <w:rPr>
          <w:rStyle w:val="FootnoteReference"/>
        </w:rPr>
        <w:footnoteRef/>
      </w:r>
      <w:r w:rsidRPr="008A352C">
        <w:t xml:space="preserve"> Havens Petition to Deny at </w:t>
      </w:r>
      <w:r>
        <w:t>8-</w:t>
      </w:r>
      <w:r w:rsidRPr="008A352C">
        <w:t>9</w:t>
      </w:r>
      <w:r>
        <w:t xml:space="preserve"> &amp; n.3</w:t>
      </w:r>
      <w:r w:rsidRPr="008A352C">
        <w:t>.</w:t>
      </w:r>
    </w:p>
  </w:footnote>
  <w:footnote w:id="46">
    <w:p w14:paraId="409A9DD6" w14:textId="27208A40" w:rsidR="00235520" w:rsidRDefault="00235520">
      <w:pPr>
        <w:pStyle w:val="FootnoteText"/>
      </w:pPr>
      <w:r>
        <w:rPr>
          <w:rStyle w:val="FootnoteReference"/>
        </w:rPr>
        <w:footnoteRef/>
      </w:r>
      <w:r>
        <w:t xml:space="preserve"> </w:t>
      </w:r>
      <w:r>
        <w:rPr>
          <w:i/>
        </w:rPr>
        <w:t>Id.</w:t>
      </w:r>
      <w:r w:rsidRPr="008A352C">
        <w:t xml:space="preserve"> at </w:t>
      </w:r>
      <w:r>
        <w:t>38.</w:t>
      </w:r>
    </w:p>
  </w:footnote>
  <w:footnote w:id="47">
    <w:p w14:paraId="364C2C97" w14:textId="26647FD6" w:rsidR="00235520" w:rsidRPr="008A352C" w:rsidRDefault="00235520" w:rsidP="008A352C">
      <w:pPr>
        <w:pStyle w:val="FootnoteText"/>
      </w:pPr>
      <w:r w:rsidRPr="008A352C">
        <w:rPr>
          <w:rStyle w:val="FootnoteReference"/>
        </w:rPr>
        <w:footnoteRef/>
      </w:r>
      <w:r w:rsidRPr="008A352C">
        <w:t xml:space="preserve"> </w:t>
      </w:r>
      <w:r>
        <w:rPr>
          <w:i/>
        </w:rPr>
        <w:t>Id.</w:t>
      </w:r>
      <w:r w:rsidRPr="003A15E3">
        <w:t xml:space="preserve"> </w:t>
      </w:r>
      <w:r w:rsidRPr="008A352C">
        <w:t>at 11.  On April 2</w:t>
      </w:r>
      <w:r>
        <w:t>2</w:t>
      </w:r>
      <w:r w:rsidRPr="008A352C">
        <w:t xml:space="preserve">, 2010, one week before petitions to deny were due, the Havens Entities argued they needed more time to prepare their petition.  </w:t>
      </w:r>
      <w:r w:rsidRPr="008A352C">
        <w:rPr>
          <w:i/>
        </w:rPr>
        <w:t>See</w:t>
      </w:r>
      <w:r w:rsidRPr="008A352C">
        <w:t xml:space="preserve"> Havens Entities Motion to Extend Pleading Cycle</w:t>
      </w:r>
      <w:r>
        <w:t>,</w:t>
      </w:r>
      <w:r w:rsidRPr="008A352C">
        <w:t xml:space="preserve"> </w:t>
      </w:r>
      <w:r>
        <w:t>ULS File No. 0004144435 (</w:t>
      </w:r>
      <w:r w:rsidRPr="008A352C">
        <w:t>filed Apr</w:t>
      </w:r>
      <w:r>
        <w:t>.</w:t>
      </w:r>
      <w:r w:rsidRPr="008A352C">
        <w:t xml:space="preserve"> 2</w:t>
      </w:r>
      <w:r>
        <w:t>2</w:t>
      </w:r>
      <w:r w:rsidRPr="008A352C">
        <w:t>, 2010</w:t>
      </w:r>
      <w:r>
        <w:t>)</w:t>
      </w:r>
      <w:r w:rsidRPr="008A352C">
        <w:t xml:space="preserve">.  Among other things, the Havens Entities claimed that an employee’s work on the petition was hampered by an earthquake in Chile that occurred two months prior to the filing deadline.  </w:t>
      </w:r>
      <w:r w:rsidRPr="008A352C">
        <w:rPr>
          <w:i/>
        </w:rPr>
        <w:t>Id</w:t>
      </w:r>
      <w:r w:rsidRPr="008A352C">
        <w:t>. at 8.</w:t>
      </w:r>
    </w:p>
  </w:footnote>
  <w:footnote w:id="48">
    <w:p w14:paraId="235777F8" w14:textId="7888EC43" w:rsidR="00235520" w:rsidRPr="008A352C" w:rsidRDefault="00235520" w:rsidP="008A352C">
      <w:pPr>
        <w:pStyle w:val="FootnoteText"/>
      </w:pPr>
      <w:r w:rsidRPr="008A352C">
        <w:rPr>
          <w:rStyle w:val="FootnoteReference"/>
        </w:rPr>
        <w:footnoteRef/>
      </w:r>
      <w:r w:rsidRPr="008A352C">
        <w:t xml:space="preserve"> </w:t>
      </w:r>
      <w:r w:rsidRPr="008A352C">
        <w:rPr>
          <w:i/>
        </w:rPr>
        <w:t>See supra</w:t>
      </w:r>
      <w:r w:rsidRPr="008A352C">
        <w:t xml:space="preserve"> </w:t>
      </w:r>
      <w:r w:rsidRPr="00CA7E36">
        <w:t xml:space="preserve">note </w:t>
      </w:r>
      <w:r>
        <w:t>31</w:t>
      </w:r>
      <w:r w:rsidRPr="008A352C">
        <w:t xml:space="preserve">.    </w:t>
      </w:r>
    </w:p>
  </w:footnote>
  <w:footnote w:id="49">
    <w:p w14:paraId="6DA23A23" w14:textId="77777777" w:rsidR="00235520" w:rsidRPr="008A352C" w:rsidRDefault="00235520" w:rsidP="008A352C">
      <w:pPr>
        <w:pStyle w:val="FootnoteText"/>
      </w:pPr>
      <w:r w:rsidRPr="008A352C">
        <w:rPr>
          <w:rStyle w:val="FootnoteReference"/>
        </w:rPr>
        <w:footnoteRef/>
      </w:r>
      <w:r w:rsidRPr="008A352C">
        <w:t xml:space="preserve"> Havens Petition to Deny at 11.  </w:t>
      </w:r>
    </w:p>
  </w:footnote>
  <w:footnote w:id="50">
    <w:p w14:paraId="039D30C7" w14:textId="37DCB708"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w:t>
      </w:r>
      <w:r>
        <w:rPr>
          <w:i/>
        </w:rPr>
        <w:t>id.</w:t>
      </w:r>
      <w:r w:rsidRPr="008A352C">
        <w:t xml:space="preserve"> at 16 n.10.  </w:t>
      </w:r>
    </w:p>
  </w:footnote>
  <w:footnote w:id="51">
    <w:p w14:paraId="4064F0AD" w14:textId="0E41AC5F" w:rsidR="00235520" w:rsidRPr="008A352C" w:rsidRDefault="00235520" w:rsidP="008A352C">
      <w:pPr>
        <w:pStyle w:val="FootnoteText"/>
      </w:pPr>
      <w:r w:rsidRPr="008A352C">
        <w:rPr>
          <w:rStyle w:val="FootnoteReference"/>
        </w:rPr>
        <w:footnoteRef/>
      </w:r>
      <w:r w:rsidRPr="008A352C">
        <w:t xml:space="preserve"> </w:t>
      </w:r>
      <w:r w:rsidRPr="008F2424">
        <w:rPr>
          <w:i/>
        </w:rPr>
        <w:t>See, e.g.</w:t>
      </w:r>
      <w:r w:rsidRPr="008F2424">
        <w:t>,</w:t>
      </w:r>
      <w:r w:rsidRPr="008A352C">
        <w:t xml:space="preserve"> </w:t>
      </w:r>
      <w:r w:rsidRPr="008F2424">
        <w:rPr>
          <w:i/>
        </w:rPr>
        <w:t>HDO</w:t>
      </w:r>
      <w:r>
        <w:t>, 26 FCC Rcd at 6527-28, paras. 20-22.</w:t>
      </w:r>
    </w:p>
  </w:footnote>
  <w:footnote w:id="52">
    <w:p w14:paraId="7B71E107" w14:textId="3CE22F44" w:rsidR="00235520" w:rsidRPr="008A352C" w:rsidRDefault="00235520" w:rsidP="008A352C">
      <w:pPr>
        <w:pStyle w:val="FootnoteText"/>
      </w:pPr>
      <w:r w:rsidRPr="008A352C">
        <w:rPr>
          <w:rStyle w:val="FootnoteReference"/>
        </w:rPr>
        <w:footnoteRef/>
      </w:r>
      <w:r w:rsidRPr="008A352C">
        <w:t xml:space="preserve"> </w:t>
      </w:r>
      <w:r w:rsidRPr="004E5EBD">
        <w:rPr>
          <w:i/>
        </w:rPr>
        <w:t>HDO</w:t>
      </w:r>
      <w:r w:rsidRPr="004E5EBD">
        <w:t>, 26 FCC Rcd 6520.</w:t>
      </w:r>
      <w:r w:rsidRPr="008A352C">
        <w:t xml:space="preserve">  </w:t>
      </w:r>
    </w:p>
  </w:footnote>
  <w:footnote w:id="53">
    <w:p w14:paraId="5AD2D4FC" w14:textId="29668EF1" w:rsidR="00235520" w:rsidRPr="008A352C" w:rsidRDefault="00235520" w:rsidP="008A352C">
      <w:pPr>
        <w:pStyle w:val="FootnoteText"/>
      </w:pPr>
      <w:r w:rsidRPr="008A352C">
        <w:rPr>
          <w:rStyle w:val="FootnoteReference"/>
        </w:rPr>
        <w:footnoteRef/>
      </w:r>
      <w:r w:rsidRPr="008A352C">
        <w:t xml:space="preserve"> On April 22, 2015, Chief Administrative Law Judge Richard L. Sippel excluded Mr. </w:t>
      </w:r>
      <w:r w:rsidRPr="008A352C">
        <w:rPr>
          <w:bCs/>
        </w:rPr>
        <w:t>Havens</w:t>
      </w:r>
      <w:r w:rsidRPr="008A352C">
        <w:t xml:space="preserve"> and several related entities from further participation in the hearing citing their pattern of disruptive conduct, and certified a question concerning Mr. </w:t>
      </w:r>
      <w:r w:rsidRPr="008A352C">
        <w:rPr>
          <w:bCs/>
        </w:rPr>
        <w:t>Havens</w:t>
      </w:r>
      <w:r w:rsidRPr="008A352C">
        <w:t xml:space="preserve">' </w:t>
      </w:r>
      <w:r w:rsidRPr="008A352C">
        <w:rPr>
          <w:bCs/>
        </w:rPr>
        <w:t>character</w:t>
      </w:r>
      <w:r w:rsidRPr="008A352C">
        <w:t xml:space="preserve"> qualifications to the Commission.  </w:t>
      </w:r>
      <w:r w:rsidRPr="008A352C">
        <w:rPr>
          <w:i/>
        </w:rPr>
        <w:t>See</w:t>
      </w:r>
      <w:r w:rsidRPr="008A352C">
        <w:t xml:space="preserve"> </w:t>
      </w:r>
      <w:r w:rsidRPr="008A352C">
        <w:rPr>
          <w:i/>
        </w:rPr>
        <w:t>Maritime Communications/Land Mobile, LLC</w:t>
      </w:r>
      <w:r w:rsidRPr="008A352C">
        <w:t>, EB Docket No. 11-71, FCC 15M-14</w:t>
      </w:r>
      <w:r>
        <w:t xml:space="preserve">, </w:t>
      </w:r>
      <w:r w:rsidRPr="008A352C">
        <w:t>Memorandum Opinion and Order</w:t>
      </w:r>
      <w:r>
        <w:t>,</w:t>
      </w:r>
      <w:r w:rsidRPr="008A352C">
        <w:t xml:space="preserve"> 2015 WL 1890837</w:t>
      </w:r>
      <w:r>
        <w:t xml:space="preserve"> </w:t>
      </w:r>
      <w:r w:rsidRPr="008A352C">
        <w:t xml:space="preserve">at </w:t>
      </w:r>
      <w:r>
        <w:t>*</w:t>
      </w:r>
      <w:r w:rsidRPr="008A352C">
        <w:t>1</w:t>
      </w:r>
      <w:r>
        <w:t>0,</w:t>
      </w:r>
      <w:r w:rsidRPr="008A352C">
        <w:t xml:space="preserve"> paras. 25-26 (ALJ 2015</w:t>
      </w:r>
      <w:r w:rsidRPr="00F53C3A">
        <w:t xml:space="preserve">), </w:t>
      </w:r>
      <w:r w:rsidRPr="00F53C3A">
        <w:rPr>
          <w:i/>
        </w:rPr>
        <w:t>petition for reconsideration pending</w:t>
      </w:r>
      <w:r w:rsidRPr="00F53C3A">
        <w:t>.</w:t>
      </w:r>
      <w:r w:rsidRPr="008A352C">
        <w:t xml:space="preserve">  </w:t>
      </w:r>
    </w:p>
  </w:footnote>
  <w:footnote w:id="54">
    <w:p w14:paraId="6541A2BC" w14:textId="77777777" w:rsidR="00235520" w:rsidRPr="008A352C" w:rsidRDefault="00235520" w:rsidP="008A352C">
      <w:pPr>
        <w:pStyle w:val="FootnoteText"/>
      </w:pPr>
      <w:r w:rsidRPr="008A352C">
        <w:rPr>
          <w:rStyle w:val="FootnoteReference"/>
        </w:rPr>
        <w:footnoteRef/>
      </w:r>
      <w:r w:rsidRPr="008A352C">
        <w:t xml:space="preserve"> Havens Petition to Deny at 71.</w:t>
      </w:r>
    </w:p>
  </w:footnote>
  <w:footnote w:id="55">
    <w:p w14:paraId="220CE250" w14:textId="5E866FA4"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w:t>
      </w:r>
      <w:r>
        <w:rPr>
          <w:i/>
        </w:rPr>
        <w:t>id.</w:t>
      </w:r>
      <w:r w:rsidRPr="008A352C">
        <w:t xml:space="preserve"> at 42 n.23 (FOIA Control No. 2010-379); </w:t>
      </w:r>
      <w:r w:rsidRPr="008A352C">
        <w:rPr>
          <w:i/>
        </w:rPr>
        <w:t>id</w:t>
      </w:r>
      <w:r w:rsidRPr="008A352C">
        <w:t xml:space="preserve">. at 51 (FOIA Control Nos. 2007-177 and 2007-178); </w:t>
      </w:r>
      <w:r w:rsidRPr="008A352C">
        <w:rPr>
          <w:i/>
        </w:rPr>
        <w:t>id</w:t>
      </w:r>
      <w:r w:rsidRPr="008A352C">
        <w:t xml:space="preserve">. at 57 n.30; </w:t>
      </w:r>
      <w:r w:rsidRPr="008A352C">
        <w:rPr>
          <w:i/>
        </w:rPr>
        <w:t>id</w:t>
      </w:r>
      <w:r w:rsidRPr="008A352C">
        <w:t xml:space="preserve">. at 64 n.39 (FOIA Control No. 2007-178); </w:t>
      </w:r>
      <w:r w:rsidRPr="008A352C">
        <w:rPr>
          <w:i/>
        </w:rPr>
        <w:t>id</w:t>
      </w:r>
      <w:r w:rsidRPr="008A352C">
        <w:t xml:space="preserve">. at </w:t>
      </w:r>
      <w:r>
        <w:t>68-69</w:t>
      </w:r>
      <w:r w:rsidRPr="008A352C">
        <w:t xml:space="preserve"> FOIA Control Nos. 2009-089 and 2010-379).</w:t>
      </w:r>
    </w:p>
  </w:footnote>
  <w:footnote w:id="56">
    <w:p w14:paraId="6352CCA2" w14:textId="79024138" w:rsidR="00235520" w:rsidRPr="008A352C" w:rsidRDefault="00235520" w:rsidP="008A352C">
      <w:pPr>
        <w:pStyle w:val="FootnoteText"/>
      </w:pPr>
      <w:r w:rsidRPr="008A352C">
        <w:rPr>
          <w:rStyle w:val="FootnoteReference"/>
        </w:rPr>
        <w:footnoteRef/>
      </w:r>
      <w:r w:rsidRPr="008A352C">
        <w:t xml:space="preserve"> </w:t>
      </w:r>
      <w:r w:rsidRPr="00803421">
        <w:rPr>
          <w:i/>
        </w:rPr>
        <w:t>See</w:t>
      </w:r>
      <w:r>
        <w:t xml:space="preserve"> 47 CFR §§ 0.461(i) and (j) (procedures for seeking review of Commission FOIA determinations).</w:t>
      </w:r>
    </w:p>
  </w:footnote>
  <w:footnote w:id="57">
    <w:p w14:paraId="7A815E2E" w14:textId="5D741230" w:rsidR="00235520" w:rsidRPr="008A352C" w:rsidRDefault="00235520" w:rsidP="008A352C">
      <w:pPr>
        <w:pStyle w:val="FootnoteText"/>
      </w:pPr>
      <w:r w:rsidRPr="008A352C">
        <w:rPr>
          <w:rStyle w:val="FootnoteReference"/>
        </w:rPr>
        <w:footnoteRef/>
      </w:r>
      <w:r w:rsidRPr="008A352C">
        <w:t xml:space="preserve"> </w:t>
      </w:r>
      <w:r>
        <w:t xml:space="preserve">Havens Entities </w:t>
      </w:r>
      <w:r w:rsidRPr="008A352C">
        <w:t>Further Statement at 4.</w:t>
      </w:r>
    </w:p>
  </w:footnote>
  <w:footnote w:id="58">
    <w:p w14:paraId="50070A2A" w14:textId="2EF32651" w:rsidR="00235520" w:rsidRPr="008A352C" w:rsidRDefault="00235520" w:rsidP="008A352C">
      <w:pPr>
        <w:pStyle w:val="FootnoteText"/>
      </w:pPr>
      <w:r w:rsidRPr="008A352C">
        <w:rPr>
          <w:rStyle w:val="FootnoteReference"/>
        </w:rPr>
        <w:footnoteRef/>
      </w:r>
      <w:r w:rsidRPr="008A352C">
        <w:t xml:space="preserve"> Havens Petition to Deny at 1-2</w:t>
      </w:r>
      <w:r>
        <w:t>.</w:t>
      </w:r>
      <w:r w:rsidRPr="008A352C">
        <w:t xml:space="preserve"> </w:t>
      </w:r>
    </w:p>
  </w:footnote>
  <w:footnote w:id="59">
    <w:p w14:paraId="391DC60C" w14:textId="46E7306A" w:rsidR="00235520" w:rsidRPr="008A352C" w:rsidRDefault="00235520" w:rsidP="008A352C">
      <w:pPr>
        <w:pStyle w:val="FootnoteText"/>
      </w:pPr>
      <w:r w:rsidRPr="008A352C">
        <w:rPr>
          <w:rStyle w:val="FootnoteReference"/>
        </w:rPr>
        <w:footnoteRef/>
      </w:r>
      <w:r w:rsidRPr="008A352C">
        <w:t xml:space="preserve"> </w:t>
      </w:r>
      <w:r w:rsidRPr="008A352C">
        <w:rPr>
          <w:i/>
        </w:rPr>
        <w:t>MCLM/SCRRA Order</w:t>
      </w:r>
      <w:r w:rsidRPr="008A352C">
        <w:t xml:space="preserve">, 29 FCC Rcd at </w:t>
      </w:r>
      <w:r>
        <w:t>10880,</w:t>
      </w:r>
      <w:r w:rsidRPr="008A352C">
        <w:t xml:space="preserve"> para. 25 (“we conclude that the SCRRA Applications should be removed from the hearing in order to facilitate SCRRA’s implementation of PTC”)</w:t>
      </w:r>
      <w:r>
        <w:t>.</w:t>
      </w:r>
    </w:p>
  </w:footnote>
  <w:footnote w:id="60">
    <w:p w14:paraId="46439D90" w14:textId="52462DCC" w:rsidR="00235520" w:rsidRPr="008A352C" w:rsidRDefault="00235520" w:rsidP="008A352C">
      <w:pPr>
        <w:pStyle w:val="FootnoteText"/>
      </w:pPr>
      <w:r w:rsidRPr="008A352C">
        <w:rPr>
          <w:rStyle w:val="FootnoteReference"/>
        </w:rPr>
        <w:footnoteRef/>
      </w:r>
      <w:r w:rsidRPr="008A352C">
        <w:t xml:space="preserve"> </w:t>
      </w:r>
      <w:r>
        <w:rPr>
          <w:i/>
        </w:rPr>
        <w:t>Id.</w:t>
      </w:r>
      <w:r w:rsidRPr="008A352C">
        <w:t xml:space="preserve"> at </w:t>
      </w:r>
      <w:r>
        <w:t>10885</w:t>
      </w:r>
      <w:r w:rsidRPr="00CA7E36">
        <w:t>, para. 33.</w:t>
      </w:r>
    </w:p>
  </w:footnote>
  <w:footnote w:id="61">
    <w:p w14:paraId="3193E02E" w14:textId="120D83F2" w:rsidR="00071412" w:rsidRPr="00071412" w:rsidRDefault="00071412">
      <w:pPr>
        <w:pStyle w:val="FootnoteText"/>
      </w:pPr>
      <w:r>
        <w:rPr>
          <w:rStyle w:val="FootnoteReference"/>
        </w:rPr>
        <w:footnoteRef/>
      </w:r>
      <w:r>
        <w:t xml:space="preserve"> </w:t>
      </w:r>
      <w:r w:rsidR="00BA7E38">
        <w:rPr>
          <w:i/>
        </w:rPr>
        <w:t xml:space="preserve">See </w:t>
      </w:r>
      <w:r>
        <w:rPr>
          <w:i/>
        </w:rPr>
        <w:t xml:space="preserve">Calvary Chapel of Honolulu, Inc. Maka’ainana Broadcasting Company, LTD., </w:t>
      </w:r>
      <w:r>
        <w:t xml:space="preserve">Memorandum Opinion and Order, 30 FCC Rcd 14910, </w:t>
      </w:r>
      <w:r w:rsidR="00BA7E38">
        <w:t>14911, para. 4 and n.10 (2015) (“the Bureau is bound by the decisions and guidelines set forth by the Commission and has no authority to alter or depart from Commission precedent”).</w:t>
      </w:r>
    </w:p>
  </w:footnote>
  <w:footnote w:id="62">
    <w:p w14:paraId="2B008A09" w14:textId="65117BB6" w:rsidR="00235520" w:rsidRPr="008A352C" w:rsidRDefault="00235520" w:rsidP="008A352C">
      <w:pPr>
        <w:pStyle w:val="FootnoteText"/>
      </w:pPr>
      <w:r w:rsidRPr="008A352C">
        <w:rPr>
          <w:rStyle w:val="FootnoteReference"/>
        </w:rPr>
        <w:footnoteRef/>
      </w:r>
      <w:r w:rsidRPr="008A352C">
        <w:t xml:space="preserve"> The Havens Entities also attempt to interject state law claims regarding MCLM’s fitness to be a Commission licensee.  </w:t>
      </w:r>
      <w:r w:rsidRPr="008A352C">
        <w:rPr>
          <w:i/>
        </w:rPr>
        <w:t>See</w:t>
      </w:r>
      <w:r w:rsidRPr="008A352C">
        <w:t xml:space="preserve">, </w:t>
      </w:r>
      <w:r w:rsidRPr="008A352C">
        <w:rPr>
          <w:i/>
        </w:rPr>
        <w:t>e.g.</w:t>
      </w:r>
      <w:r w:rsidRPr="008A352C">
        <w:t xml:space="preserve">, </w:t>
      </w:r>
      <w:r>
        <w:t xml:space="preserve">Havens </w:t>
      </w:r>
      <w:r w:rsidRPr="008A352C">
        <w:t xml:space="preserve">Petition to Deny at 16-21 (arguing that MCLM does not exist as a legal entity); </w:t>
      </w:r>
      <w:r w:rsidRPr="00DC48B9">
        <w:rPr>
          <w:i/>
        </w:rPr>
        <w:t>id</w:t>
      </w:r>
      <w:r w:rsidRPr="008A352C">
        <w:t xml:space="preserve">. at 52 (“MCLM does not exist as a legal entity under corporate law.”).  Such claims are beyond the scope of this proceeding and we </w:t>
      </w:r>
      <w:r>
        <w:t>need</w:t>
      </w:r>
      <w:r w:rsidRPr="008A352C">
        <w:t xml:space="preserve"> not address them here.  </w:t>
      </w:r>
    </w:p>
  </w:footnote>
  <w:footnote w:id="63">
    <w:p w14:paraId="4EBC4440" w14:textId="6957BE0E" w:rsidR="00235520" w:rsidRPr="008A352C" w:rsidRDefault="00235520" w:rsidP="008A352C">
      <w:pPr>
        <w:pStyle w:val="FootnoteText"/>
      </w:pPr>
      <w:r w:rsidRPr="008A352C">
        <w:rPr>
          <w:rStyle w:val="FootnoteReference"/>
        </w:rPr>
        <w:footnoteRef/>
      </w:r>
      <w:r w:rsidRPr="008A352C">
        <w:t xml:space="preserve"> </w:t>
      </w:r>
      <w:r w:rsidRPr="008A352C">
        <w:rPr>
          <w:i/>
        </w:rPr>
        <w:t>See generally</w:t>
      </w:r>
      <w:r w:rsidRPr="008A352C">
        <w:t xml:space="preserve"> </w:t>
      </w:r>
      <w:r>
        <w:rPr>
          <w:i/>
        </w:rPr>
        <w:t>id.</w:t>
      </w:r>
      <w:r w:rsidRPr="008A352C">
        <w:t xml:space="preserve"> at 39-42; </w:t>
      </w:r>
      <w:r w:rsidRPr="008A352C">
        <w:rPr>
          <w:i/>
        </w:rPr>
        <w:t>id</w:t>
      </w:r>
      <w:r w:rsidRPr="008A352C">
        <w:t>. at 49 n.26 (“Many of the new facts in this Petition [to Deny] . . . are being provided via reference and incorporation of Petitioners’ pleadings in other proceedings that are already before the FCC.”).</w:t>
      </w:r>
    </w:p>
  </w:footnote>
  <w:footnote w:id="64">
    <w:p w14:paraId="279321F2" w14:textId="11E5A4BB" w:rsidR="00235520" w:rsidRPr="008A352C" w:rsidRDefault="00235520" w:rsidP="008A352C">
      <w:pPr>
        <w:pStyle w:val="FootnoteText"/>
      </w:pPr>
      <w:r w:rsidRPr="008A352C">
        <w:rPr>
          <w:rStyle w:val="FootnoteReference"/>
        </w:rPr>
        <w:footnoteRef/>
      </w:r>
      <w:r w:rsidRPr="008A352C">
        <w:t xml:space="preserve"> </w:t>
      </w:r>
      <w:r w:rsidRPr="008A352C">
        <w:rPr>
          <w:i/>
        </w:rPr>
        <w:t>See, e.g.,</w:t>
      </w:r>
      <w:r w:rsidRPr="008A352C">
        <w:t xml:space="preserve"> </w:t>
      </w:r>
      <w:r w:rsidRPr="008A352C">
        <w:rPr>
          <w:i/>
        </w:rPr>
        <w:t>Petition of Core Communications, Inc. for Forbearance From Sections 251(g) and 254(g) of the Communications Act and Implementing Rules</w:t>
      </w:r>
      <w:r w:rsidRPr="008A352C">
        <w:t xml:space="preserve">, Memorandum Opinion and Order, 22 FCC Rcd 14118, 14215, para. 13 n.48 (2007) (“the Commission is not obligated to search the record” to determine whether arguments incorporated by reference may be relevant); </w:t>
      </w:r>
      <w:r w:rsidRPr="008A352C">
        <w:rPr>
          <w:i/>
        </w:rPr>
        <w:t>see also WAIT Radio v. FCC</w:t>
      </w:r>
      <w:r w:rsidRPr="008A352C">
        <w:t>, 41</w:t>
      </w:r>
      <w:r>
        <w:t>8</w:t>
      </w:r>
      <w:r w:rsidRPr="008A352C">
        <w:t xml:space="preserve"> F.2d 1153, 1157 n.9 (D.C. Cir. 1969) (an “agency is not bound to process in depth what are only generalized pleas, a requirement that would condemn it to divert resources of time and personnel to hollow claims”).</w:t>
      </w:r>
    </w:p>
  </w:footnote>
  <w:footnote w:id="65">
    <w:p w14:paraId="5289FA75" w14:textId="77777777" w:rsidR="00235520" w:rsidRPr="008A352C" w:rsidRDefault="00235520" w:rsidP="008A352C">
      <w:pPr>
        <w:pStyle w:val="FootnoteText"/>
      </w:pPr>
      <w:r w:rsidRPr="008A352C">
        <w:rPr>
          <w:rStyle w:val="FootnoteReference"/>
        </w:rPr>
        <w:footnoteRef/>
      </w:r>
      <w:r w:rsidRPr="008A352C">
        <w:t xml:space="preserve"> Havens Petition to Deny at 43-49.</w:t>
      </w:r>
    </w:p>
  </w:footnote>
  <w:footnote w:id="66">
    <w:p w14:paraId="125A4787" w14:textId="6622FBD8" w:rsidR="00235520" w:rsidRPr="008A352C" w:rsidRDefault="00235520" w:rsidP="008A352C">
      <w:pPr>
        <w:pStyle w:val="FootnoteText"/>
      </w:pPr>
      <w:r w:rsidRPr="008A352C">
        <w:rPr>
          <w:rStyle w:val="FootnoteReference"/>
        </w:rPr>
        <w:footnoteRef/>
      </w:r>
      <w:r w:rsidRPr="008A352C">
        <w:t xml:space="preserve"> </w:t>
      </w:r>
      <w:r w:rsidRPr="008A352C">
        <w:rPr>
          <w:i/>
        </w:rPr>
        <w:t>See generally</w:t>
      </w:r>
      <w:r w:rsidRPr="008A352C">
        <w:t xml:space="preserve"> </w:t>
      </w:r>
      <w:r>
        <w:rPr>
          <w:i/>
        </w:rPr>
        <w:t>id.</w:t>
      </w:r>
      <w:r w:rsidRPr="008A352C">
        <w:t xml:space="preserve"> at 49-65; </w:t>
      </w:r>
      <w:r>
        <w:rPr>
          <w:i/>
        </w:rPr>
        <w:t xml:space="preserve">id. </w:t>
      </w:r>
      <w:r w:rsidRPr="008A352C">
        <w:t xml:space="preserve">at 52 (New Facts 1, alleging “MCLM does not exist as a legal entity”); </w:t>
      </w:r>
      <w:r>
        <w:rPr>
          <w:i/>
        </w:rPr>
        <w:t xml:space="preserve">id. </w:t>
      </w:r>
      <w:r w:rsidRPr="008A352C">
        <w:t xml:space="preserve">at 53 (New Facts 2, alleging “unauthorized transfer of control”); </w:t>
      </w:r>
      <w:r>
        <w:rPr>
          <w:i/>
        </w:rPr>
        <w:t xml:space="preserve">id. </w:t>
      </w:r>
      <w:r w:rsidRPr="008A352C">
        <w:t>at 54</w:t>
      </w:r>
      <w:r>
        <w:t>-55</w:t>
      </w:r>
      <w:r w:rsidRPr="008A352C">
        <w:t xml:space="preserve"> (New Facts 3, alleging “disregard for FCC rules and law”); </w:t>
      </w:r>
      <w:r>
        <w:rPr>
          <w:i/>
        </w:rPr>
        <w:t xml:space="preserve">id. </w:t>
      </w:r>
      <w:r w:rsidRPr="008A352C">
        <w:t xml:space="preserve">at 56 (New Facts 4, alleging failure to disclose ownership and control); </w:t>
      </w:r>
      <w:r>
        <w:rPr>
          <w:i/>
        </w:rPr>
        <w:t xml:space="preserve">id. </w:t>
      </w:r>
      <w:r w:rsidRPr="008A352C">
        <w:t xml:space="preserve">at 56 (New Facts 5, alleging same); </w:t>
      </w:r>
      <w:r>
        <w:rPr>
          <w:i/>
        </w:rPr>
        <w:t xml:space="preserve">id. </w:t>
      </w:r>
      <w:r w:rsidRPr="008A352C">
        <w:t xml:space="preserve">at 57 (New Facts 6, alleging unlawful operation); </w:t>
      </w:r>
      <w:r>
        <w:rPr>
          <w:i/>
        </w:rPr>
        <w:t xml:space="preserve">id. </w:t>
      </w:r>
      <w:r w:rsidRPr="008A352C">
        <w:t xml:space="preserve">at 57 (New Facts 7, alleging nonpayment of fees); </w:t>
      </w:r>
      <w:r>
        <w:rPr>
          <w:i/>
        </w:rPr>
        <w:t xml:space="preserve">id. </w:t>
      </w:r>
      <w:r w:rsidRPr="008A352C">
        <w:t xml:space="preserve">at 57 (New Facts 8, alleging lack of candor); </w:t>
      </w:r>
      <w:r>
        <w:rPr>
          <w:i/>
        </w:rPr>
        <w:t xml:space="preserve">id. </w:t>
      </w:r>
      <w:r w:rsidRPr="008A352C">
        <w:t xml:space="preserve">at 58 (New Facts 9, alleging illegal operation); </w:t>
      </w:r>
      <w:r>
        <w:rPr>
          <w:i/>
        </w:rPr>
        <w:t xml:space="preserve">id. </w:t>
      </w:r>
      <w:r w:rsidRPr="008A352C">
        <w:t xml:space="preserve">at 58 (New Facts 10, alleging unlawful transfer of control, and lack of character and fitness); </w:t>
      </w:r>
      <w:r>
        <w:rPr>
          <w:i/>
        </w:rPr>
        <w:t xml:space="preserve">id. </w:t>
      </w:r>
      <w:r w:rsidRPr="008A352C">
        <w:t xml:space="preserve">at 58-64 (New Facts 11, alleging noncompliance with FCC rules and lack of candor); </w:t>
      </w:r>
      <w:r>
        <w:rPr>
          <w:i/>
        </w:rPr>
        <w:t xml:space="preserve">id. </w:t>
      </w:r>
      <w:r w:rsidRPr="008A352C">
        <w:t>at 64</w:t>
      </w:r>
      <w:r>
        <w:t>-65</w:t>
      </w:r>
      <w:r w:rsidRPr="008A352C">
        <w:t xml:space="preserve"> (New Facts 12, alleging the making of false certifications). </w:t>
      </w:r>
    </w:p>
  </w:footnote>
  <w:footnote w:id="67">
    <w:p w14:paraId="635E81FA" w14:textId="2F03921D"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SCRRA Waiver Request.  SCRRA initially also requested waiver of Rule Sections 80.102(a), 80.123(d), 80.123(e), 80.123(g), 80.215(h)(5), 80.475(c), and 80.479(c), but has withdrawn its request as to those rules.  </w:t>
      </w:r>
      <w:r w:rsidRPr="008A352C">
        <w:rPr>
          <w:i/>
        </w:rPr>
        <w:t>See</w:t>
      </w:r>
      <w:r w:rsidRPr="008A352C">
        <w:t xml:space="preserve"> Minor Amendment</w:t>
      </w:r>
      <w:r>
        <w:t xml:space="preserve"> and Second Minor Amendment.</w:t>
      </w:r>
    </w:p>
  </w:footnote>
  <w:footnote w:id="68">
    <w:p w14:paraId="7D2A5B6E" w14:textId="77777777" w:rsidR="00235520" w:rsidRPr="008A352C" w:rsidRDefault="00235520" w:rsidP="00F6668A">
      <w:pPr>
        <w:pStyle w:val="FootnoteText"/>
      </w:pPr>
      <w:r w:rsidRPr="008A352C">
        <w:rPr>
          <w:rStyle w:val="FootnoteReference"/>
        </w:rPr>
        <w:footnoteRef/>
      </w:r>
      <w:r w:rsidRPr="008A352C">
        <w:t xml:space="preserve"> </w:t>
      </w:r>
      <w:r w:rsidRPr="008A352C">
        <w:rPr>
          <w:i/>
        </w:rPr>
        <w:t>See</w:t>
      </w:r>
      <w:r w:rsidRPr="008A352C">
        <w:t xml:space="preserve"> Havens Petition to Deny at </w:t>
      </w:r>
      <w:r>
        <w:t>33</w:t>
      </w:r>
      <w:r w:rsidRPr="008A352C">
        <w:t>; Reply to Comments at 6-7.</w:t>
      </w:r>
    </w:p>
  </w:footnote>
  <w:footnote w:id="69">
    <w:p w14:paraId="0DDC8D32" w14:textId="087E6AB8" w:rsidR="00235520" w:rsidRDefault="00235520">
      <w:pPr>
        <w:pStyle w:val="FootnoteText"/>
      </w:pPr>
      <w:r>
        <w:rPr>
          <w:rStyle w:val="FootnoteReference"/>
        </w:rPr>
        <w:footnoteRef/>
      </w:r>
      <w:r>
        <w:t xml:space="preserve"> </w:t>
      </w:r>
      <w:r w:rsidRPr="007A69D9">
        <w:t xml:space="preserve">The Commission has held that waiver requests are best suited to a case-by-case analysis.  </w:t>
      </w:r>
      <w:r w:rsidRPr="007A69D9">
        <w:rPr>
          <w:i/>
        </w:rPr>
        <w:t>See, e.g.</w:t>
      </w:r>
      <w:r w:rsidRPr="007A69D9">
        <w:t xml:space="preserve">, </w:t>
      </w:r>
      <w:r w:rsidRPr="007A69D9">
        <w:rPr>
          <w:i/>
        </w:rPr>
        <w:t>Facilitating the Deployment of Text-to-911 and Other Next Generation 911 Applications</w:t>
      </w:r>
      <w:r w:rsidRPr="007A69D9">
        <w:t>, Report and Order, PS Docket Nos. 11-153 and 10-255, 28 FCC Rcd 7556, 7578</w:t>
      </w:r>
      <w:r>
        <w:t>,</w:t>
      </w:r>
      <w:r w:rsidRPr="007A69D9">
        <w:t xml:space="preserve"> para. 62 (2013).</w:t>
      </w:r>
    </w:p>
  </w:footnote>
  <w:footnote w:id="70">
    <w:p w14:paraId="7EDFD100" w14:textId="77777777" w:rsidR="00235520" w:rsidRPr="008A352C" w:rsidRDefault="00235520" w:rsidP="008A352C">
      <w:pPr>
        <w:pStyle w:val="FootnoteText"/>
      </w:pPr>
      <w:r w:rsidRPr="008A352C">
        <w:rPr>
          <w:rStyle w:val="FootnoteReference"/>
        </w:rPr>
        <w:footnoteRef/>
      </w:r>
      <w:r w:rsidRPr="008A352C">
        <w:t xml:space="preserve"> </w:t>
      </w:r>
      <w:r w:rsidRPr="008A352C">
        <w:rPr>
          <w:i/>
        </w:rPr>
        <w:t>National Railroad Passenger Corporation (d/b/a Amtrak), Request for Waiver of Certain Part 80 Automated Maritime Telecommunications System Rules to Implement Positive Train Control</w:t>
      </w:r>
      <w:r w:rsidRPr="008A352C">
        <w:t>, Order, 30 FCC Rcd 2038 (WTB MD 2015) (</w:t>
      </w:r>
      <w:r w:rsidRPr="008A352C">
        <w:rPr>
          <w:i/>
        </w:rPr>
        <w:t>Amtrak Part 80 Waiver Order</w:t>
      </w:r>
      <w:r w:rsidRPr="008A352C">
        <w:t>).</w:t>
      </w:r>
    </w:p>
  </w:footnote>
  <w:footnote w:id="71">
    <w:p w14:paraId="6B61F285" w14:textId="77777777" w:rsidR="00235520" w:rsidRPr="008A352C" w:rsidRDefault="00235520" w:rsidP="008A352C">
      <w:pPr>
        <w:pStyle w:val="FootnoteText"/>
      </w:pPr>
      <w:r w:rsidRPr="008A352C">
        <w:rPr>
          <w:rStyle w:val="FootnoteReference"/>
        </w:rPr>
        <w:footnoteRef/>
      </w:r>
      <w:r w:rsidRPr="008A352C">
        <w:t xml:space="preserve"> SCRRA Opposition at 5-6. </w:t>
      </w:r>
    </w:p>
  </w:footnote>
  <w:footnote w:id="72">
    <w:p w14:paraId="27A1CC88" w14:textId="77777777" w:rsidR="00235520" w:rsidRPr="008A352C" w:rsidRDefault="00235520" w:rsidP="008A352C">
      <w:pPr>
        <w:pStyle w:val="FootnoteText"/>
      </w:pPr>
      <w:r w:rsidRPr="008A352C">
        <w:rPr>
          <w:rStyle w:val="FootnoteReference"/>
        </w:rPr>
        <w:footnoteRef/>
      </w:r>
      <w:r w:rsidRPr="008A352C">
        <w:t xml:space="preserve"> Havens Petition to Deny at 34.  </w:t>
      </w:r>
    </w:p>
  </w:footnote>
  <w:footnote w:id="73">
    <w:p w14:paraId="05304CC2" w14:textId="4D454464" w:rsidR="00235520" w:rsidRPr="008A352C" w:rsidRDefault="00235520" w:rsidP="008A352C">
      <w:pPr>
        <w:pStyle w:val="FootnoteText"/>
      </w:pPr>
      <w:r w:rsidRPr="008A352C">
        <w:rPr>
          <w:rStyle w:val="FootnoteReference"/>
        </w:rPr>
        <w:footnoteRef/>
      </w:r>
      <w:r w:rsidRPr="008A352C">
        <w:t xml:space="preserve"> Havens Entities Further </w:t>
      </w:r>
      <w:r>
        <w:t>S</w:t>
      </w:r>
      <w:r w:rsidRPr="008A352C">
        <w:t xml:space="preserve">tatement at 2.  </w:t>
      </w:r>
    </w:p>
  </w:footnote>
  <w:footnote w:id="74">
    <w:p w14:paraId="28FD6FAA" w14:textId="672488B9" w:rsidR="00235520" w:rsidRPr="008A352C" w:rsidRDefault="00235520" w:rsidP="008A352C">
      <w:pPr>
        <w:pStyle w:val="FootnoteText"/>
      </w:pPr>
      <w:r w:rsidRPr="008A352C">
        <w:rPr>
          <w:rStyle w:val="FootnoteReference"/>
        </w:rPr>
        <w:footnoteRef/>
      </w:r>
      <w:r w:rsidRPr="008A352C">
        <w:t xml:space="preserve"> </w:t>
      </w:r>
      <w:r w:rsidRPr="008A352C">
        <w:rPr>
          <w:i/>
        </w:rPr>
        <w:t>See supra</w:t>
      </w:r>
      <w:r w:rsidRPr="008A352C">
        <w:t xml:space="preserve"> discussion at para</w:t>
      </w:r>
      <w:r>
        <w:t>graph</w:t>
      </w:r>
      <w:r w:rsidRPr="00CA7E36">
        <w:t xml:space="preserve"> 3.</w:t>
      </w:r>
    </w:p>
  </w:footnote>
  <w:footnote w:id="75">
    <w:p w14:paraId="1DB1A7A6" w14:textId="52EB19E9" w:rsidR="00235520" w:rsidRPr="008A352C" w:rsidRDefault="00235520" w:rsidP="008A352C">
      <w:pPr>
        <w:pStyle w:val="FootnoteText"/>
      </w:pPr>
      <w:r w:rsidRPr="008A352C">
        <w:rPr>
          <w:rStyle w:val="FootnoteReference"/>
        </w:rPr>
        <w:footnoteRef/>
      </w:r>
      <w:r w:rsidRPr="008A352C">
        <w:t xml:space="preserve"> </w:t>
      </w:r>
      <w:r w:rsidRPr="008A352C">
        <w:rPr>
          <w:i/>
        </w:rPr>
        <w:t>MCLM/SCRRA Order</w:t>
      </w:r>
      <w:r w:rsidRPr="008A352C">
        <w:t>, 29 FCC Rcd at 10882</w:t>
      </w:r>
      <w:r>
        <w:t>,</w:t>
      </w:r>
      <w:r w:rsidRPr="008A352C">
        <w:t xml:space="preserve"> para. 29.</w:t>
      </w:r>
    </w:p>
  </w:footnote>
  <w:footnote w:id="76">
    <w:p w14:paraId="43794B72" w14:textId="3EF75E84" w:rsidR="00235520" w:rsidRPr="008A352C" w:rsidRDefault="00235520" w:rsidP="008A352C">
      <w:pPr>
        <w:pStyle w:val="FootnoteText"/>
      </w:pPr>
      <w:r w:rsidRPr="008A352C">
        <w:rPr>
          <w:rStyle w:val="FootnoteReference"/>
        </w:rPr>
        <w:footnoteRef/>
      </w:r>
      <w:r w:rsidRPr="008A352C">
        <w:t xml:space="preserve"> The NTSB found that a PTC system could have prevented a May 12, 2015</w:t>
      </w:r>
      <w:r>
        <w:t>,</w:t>
      </w:r>
      <w:r w:rsidRPr="008A352C">
        <w:t xml:space="preserve"> accident in Philadelphia, where Amtrak train 188 derailed as it was going 106 miles per hour through a curve subject to a permanent 50</w:t>
      </w:r>
      <w:r>
        <w:t xml:space="preserve"> </w:t>
      </w:r>
      <w:r w:rsidRPr="008A352C">
        <w:t>miles per hour speed restriction</w:t>
      </w:r>
      <w:r>
        <w:t xml:space="preserve">.  </w:t>
      </w:r>
      <w:r w:rsidRPr="009A5407">
        <w:t>NTSB, Derailment of Amtrak Passenger Train 188, Philadelphia, Pennsylvania, May 12, 2015, Accident Report, NTSB/RAR-16-02 at vi (2016), http://www.ntsb.gov/investigations/AccidentReports/Pages/RAR1602.aspx</w:t>
      </w:r>
      <w:r>
        <w:t xml:space="preserve">. </w:t>
      </w:r>
    </w:p>
  </w:footnote>
  <w:footnote w:id="77">
    <w:p w14:paraId="1F501A79" w14:textId="77777777" w:rsidR="00235520" w:rsidRPr="008A352C" w:rsidRDefault="00235520" w:rsidP="008A352C">
      <w:pPr>
        <w:pStyle w:val="FootnoteText"/>
      </w:pPr>
      <w:r w:rsidRPr="008A352C">
        <w:rPr>
          <w:rStyle w:val="FootnoteReference"/>
        </w:rPr>
        <w:footnoteRef/>
      </w:r>
      <w:r w:rsidRPr="008A352C">
        <w:t xml:space="preserve"> </w:t>
      </w:r>
      <w:r w:rsidRPr="008A352C">
        <w:rPr>
          <w:i/>
        </w:rPr>
        <w:t>See, e.g.</w:t>
      </w:r>
      <w:r w:rsidRPr="008A352C">
        <w:t>, Havens Petition to Deny at 33.</w:t>
      </w:r>
    </w:p>
  </w:footnote>
  <w:footnote w:id="78">
    <w:p w14:paraId="5F14676D" w14:textId="395AEB84" w:rsidR="00235520" w:rsidRPr="008A352C" w:rsidRDefault="00235520" w:rsidP="008A352C">
      <w:pPr>
        <w:pStyle w:val="FootnoteText"/>
      </w:pPr>
      <w:r w:rsidRPr="008A352C">
        <w:rPr>
          <w:rStyle w:val="FootnoteReference"/>
        </w:rPr>
        <w:footnoteRef/>
      </w:r>
      <w:r w:rsidRPr="008A352C">
        <w:t xml:space="preserve"> 47 U</w:t>
      </w:r>
      <w:r>
        <w:t>.</w:t>
      </w:r>
      <w:r w:rsidRPr="008A352C">
        <w:t>S</w:t>
      </w:r>
      <w:r>
        <w:t>.</w:t>
      </w:r>
      <w:r w:rsidRPr="008A352C">
        <w:t>C</w:t>
      </w:r>
      <w:r>
        <w:t>.</w:t>
      </w:r>
      <w:r w:rsidRPr="008A352C">
        <w:t xml:space="preserve"> § 151.</w:t>
      </w:r>
    </w:p>
  </w:footnote>
  <w:footnote w:id="79">
    <w:p w14:paraId="2CD0A7C7" w14:textId="77777777" w:rsidR="00235520" w:rsidRPr="008A352C" w:rsidRDefault="00235520" w:rsidP="008A352C">
      <w:pPr>
        <w:pStyle w:val="FootnoteText"/>
      </w:pPr>
      <w:r w:rsidRPr="008A352C">
        <w:rPr>
          <w:rStyle w:val="FootnoteReference"/>
        </w:rPr>
        <w:footnoteRef/>
      </w:r>
      <w:r w:rsidRPr="008A352C">
        <w:t xml:space="preserve"> SCRRA Opposition at 6.  </w:t>
      </w:r>
      <w:r w:rsidRPr="008A352C">
        <w:rPr>
          <w:i/>
        </w:rPr>
        <w:t>See also</w:t>
      </w:r>
      <w:r w:rsidRPr="008A352C">
        <w:t xml:space="preserve"> SCRRA Waiver Request at 14.</w:t>
      </w:r>
    </w:p>
  </w:footnote>
  <w:footnote w:id="80">
    <w:p w14:paraId="5BC13557" w14:textId="2B7040F7"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SCRRA Opposition at 6, citing </w:t>
      </w:r>
      <w:r w:rsidRPr="008A352C">
        <w:rPr>
          <w:i/>
        </w:rPr>
        <w:t>Maritel, Inc. and Mobex Network Services, LLC</w:t>
      </w:r>
      <w:r w:rsidRPr="008A352C">
        <w:t>, Report and Order, 22 FCC Rcd 8971, 8986-8</w:t>
      </w:r>
      <w:r>
        <w:t>7,</w:t>
      </w:r>
      <w:r w:rsidRPr="008A352C">
        <w:t xml:space="preserve"> para. 26 (2007) (</w:t>
      </w:r>
      <w:r w:rsidRPr="008A352C">
        <w:rPr>
          <w:i/>
        </w:rPr>
        <w:t>Flexibility Order</w:t>
      </w:r>
      <w:r w:rsidRPr="008A352C">
        <w:t xml:space="preserve">), </w:t>
      </w:r>
      <w:r w:rsidRPr="008A352C">
        <w:rPr>
          <w:i/>
        </w:rPr>
        <w:t>aff'd</w:t>
      </w:r>
      <w:r w:rsidRPr="008A352C">
        <w:t xml:space="preserve">, 25 FCC Rcd 533 (2010), </w:t>
      </w:r>
      <w:r w:rsidRPr="008A352C">
        <w:rPr>
          <w:i/>
        </w:rPr>
        <w:t>aff'd</w:t>
      </w:r>
      <w:r w:rsidRPr="008A352C">
        <w:t>, 26 FCC Rcd 2491</w:t>
      </w:r>
      <w:r>
        <w:t xml:space="preserve"> (2011)</w:t>
      </w:r>
      <w:r w:rsidRPr="008A352C">
        <w:t xml:space="preserve">, </w:t>
      </w:r>
      <w:r w:rsidRPr="008A352C">
        <w:rPr>
          <w:i/>
        </w:rPr>
        <w:t>review dismissed</w:t>
      </w:r>
      <w:r w:rsidRPr="008A352C">
        <w:t xml:space="preserve">, 26 FCC Rcd 16579 (2011).  </w:t>
      </w:r>
    </w:p>
  </w:footnote>
  <w:footnote w:id="81">
    <w:p w14:paraId="044783E2" w14:textId="7297CB29" w:rsidR="00235520" w:rsidRPr="008A352C" w:rsidRDefault="00235520" w:rsidP="008A352C">
      <w:pPr>
        <w:pStyle w:val="FootnoteText"/>
      </w:pPr>
      <w:r w:rsidRPr="008A352C">
        <w:rPr>
          <w:rStyle w:val="FootnoteReference"/>
        </w:rPr>
        <w:footnoteRef/>
      </w:r>
      <w:r w:rsidRPr="008A352C">
        <w:t xml:space="preserve"> </w:t>
      </w:r>
      <w:r>
        <w:t xml:space="preserve">Havens Entities Further Statement at 10 &amp; n.11; </w:t>
      </w:r>
      <w:r>
        <w:rPr>
          <w:i/>
        </w:rPr>
        <w:t xml:space="preserve">see also </w:t>
      </w:r>
      <w:r w:rsidRPr="00B24DEC">
        <w:t>Havens Petition to Deny at 34.</w:t>
      </w:r>
    </w:p>
  </w:footnote>
  <w:footnote w:id="82">
    <w:p w14:paraId="469B33D1" w14:textId="370941D8" w:rsidR="00235520" w:rsidRPr="008A352C" w:rsidRDefault="00235520" w:rsidP="008A352C">
      <w:pPr>
        <w:pStyle w:val="FootnoteText"/>
      </w:pPr>
      <w:r w:rsidRPr="008A352C">
        <w:rPr>
          <w:rStyle w:val="FootnoteReference"/>
        </w:rPr>
        <w:footnoteRef/>
      </w:r>
      <w:r w:rsidRPr="008A352C">
        <w:t xml:space="preserve"> </w:t>
      </w:r>
      <w:r>
        <w:t xml:space="preserve">Havens Entities </w:t>
      </w:r>
      <w:r w:rsidRPr="008A352C">
        <w:t xml:space="preserve">Reply at 8 (citing Metrolink November 9, 2009 Memorandum, Contract No. PO370-10, Item 17 at 2, </w:t>
      </w:r>
      <w:r>
        <w:t>which notes</w:t>
      </w:r>
      <w:r w:rsidRPr="008A352C">
        <w:t xml:space="preserve"> that SCRRA is “determining exactly how much spectrum is necessary for its PTC system,” that one megahertz may be “more than will be necessary for SCRRA’s short and mid-term PTC needs,” and that it “may sell or lease any excess spectrum”).  The Metrolink November 9, 2009 Memorandum is attached as Exhibit 1 to the </w:t>
      </w:r>
      <w:r>
        <w:t xml:space="preserve">Havens Entities </w:t>
      </w:r>
      <w:r w:rsidRPr="008A352C">
        <w:t xml:space="preserve">Reply.   </w:t>
      </w:r>
    </w:p>
  </w:footnote>
  <w:footnote w:id="83">
    <w:p w14:paraId="4B1FB40A" w14:textId="161E39A2" w:rsidR="00235520" w:rsidRPr="008A352C" w:rsidRDefault="00235520" w:rsidP="008A352C">
      <w:pPr>
        <w:pStyle w:val="FootnoteText"/>
      </w:pPr>
      <w:r w:rsidRPr="008A352C">
        <w:rPr>
          <w:rStyle w:val="FootnoteReference"/>
        </w:rPr>
        <w:footnoteRef/>
      </w:r>
      <w:r w:rsidRPr="008A352C">
        <w:t xml:space="preserve"> </w:t>
      </w:r>
      <w:r w:rsidRPr="008A352C">
        <w:rPr>
          <w:i/>
        </w:rPr>
        <w:t>See, e.g.</w:t>
      </w:r>
      <w:r w:rsidRPr="008A352C">
        <w:t xml:space="preserve">, </w:t>
      </w:r>
      <w:r w:rsidRPr="000B5341">
        <w:t>ENL/Havens/SSF Reply at 6 (asserting PTC using TETRA is successful outside the United States and that U.S. railroads “refuse to consider this proven solution”)</w:t>
      </w:r>
      <w:r>
        <w:t xml:space="preserve">; </w:t>
      </w:r>
      <w:r w:rsidRPr="008A352C">
        <w:t xml:space="preserve">Havens Entities Further </w:t>
      </w:r>
      <w:r>
        <w:t>S</w:t>
      </w:r>
      <w:r w:rsidRPr="008A352C">
        <w:t xml:space="preserve">tatement at </w:t>
      </w:r>
      <w:r>
        <w:t>6</w:t>
      </w:r>
      <w:r w:rsidRPr="000B5341">
        <w:t>-8 (asserting the railroads cling to a “teddy bear” concept of PTC as a “single technology platform”).</w:t>
      </w:r>
    </w:p>
  </w:footnote>
  <w:footnote w:id="84">
    <w:p w14:paraId="0F76509D" w14:textId="70243FF0" w:rsidR="00235520" w:rsidRPr="008A352C" w:rsidRDefault="00235520" w:rsidP="00394AB4">
      <w:pPr>
        <w:pStyle w:val="FootnoteText"/>
      </w:pPr>
      <w:r w:rsidRPr="008A352C">
        <w:rPr>
          <w:rStyle w:val="FootnoteReference"/>
        </w:rPr>
        <w:footnoteRef/>
      </w:r>
      <w:r w:rsidRPr="008A352C">
        <w:t xml:space="preserve"> </w:t>
      </w:r>
      <w:r w:rsidRPr="008A352C">
        <w:rPr>
          <w:i/>
        </w:rPr>
        <w:t>MCLM/SCRRA Order</w:t>
      </w:r>
      <w:r>
        <w:t>, 29 FCC Rcd at 10883, p</w:t>
      </w:r>
      <w:r w:rsidRPr="008A352C">
        <w:t>ara. 30</w:t>
      </w:r>
      <w:r>
        <w:t xml:space="preserve">.  </w:t>
      </w:r>
    </w:p>
  </w:footnote>
  <w:footnote w:id="85">
    <w:p w14:paraId="1A4AB8AE" w14:textId="6F4C7822" w:rsidR="00235520" w:rsidRPr="008A352C" w:rsidRDefault="00235520" w:rsidP="008A352C">
      <w:pPr>
        <w:pStyle w:val="FootnoteText"/>
      </w:pPr>
      <w:r w:rsidRPr="008A352C">
        <w:rPr>
          <w:rStyle w:val="FootnoteReference"/>
        </w:rPr>
        <w:footnoteRef/>
      </w:r>
      <w:r w:rsidRPr="008A352C">
        <w:t xml:space="preserve"> </w:t>
      </w:r>
      <w:r>
        <w:rPr>
          <w:i/>
        </w:rPr>
        <w:t>Id.</w:t>
      </w:r>
      <w:r>
        <w:t xml:space="preserve"> at 10884, </w:t>
      </w:r>
      <w:r w:rsidRPr="000821CD">
        <w:t>para. 32.</w:t>
      </w:r>
    </w:p>
  </w:footnote>
  <w:footnote w:id="86">
    <w:p w14:paraId="01D8133A" w14:textId="58D5C607" w:rsidR="00176B9B" w:rsidRDefault="00176B9B">
      <w:pPr>
        <w:pStyle w:val="FootnoteText"/>
      </w:pPr>
      <w:r>
        <w:rPr>
          <w:rStyle w:val="FootnoteReference"/>
        </w:rPr>
        <w:footnoteRef/>
      </w:r>
      <w:r>
        <w:t xml:space="preserve"> </w:t>
      </w:r>
      <w:r w:rsidRPr="00176B9B">
        <w:rPr>
          <w:i/>
        </w:rPr>
        <w:t>See supra</w:t>
      </w:r>
      <w:r>
        <w:t xml:space="preserve"> discussion at para</w:t>
      </w:r>
      <w:r w:rsidR="005803BF">
        <w:t>graph</w:t>
      </w:r>
      <w:r>
        <w:t xml:space="preserve"> 23.</w:t>
      </w:r>
    </w:p>
  </w:footnote>
  <w:footnote w:id="87">
    <w:p w14:paraId="04083726" w14:textId="1C1AF20E" w:rsidR="0083329B" w:rsidRDefault="0083329B">
      <w:pPr>
        <w:pStyle w:val="FootnoteText"/>
      </w:pPr>
      <w:r>
        <w:rPr>
          <w:rStyle w:val="FootnoteReference"/>
        </w:rPr>
        <w:footnoteRef/>
      </w:r>
      <w:r>
        <w:t xml:space="preserve"> </w:t>
      </w:r>
      <w:r w:rsidRPr="0083329B">
        <w:rPr>
          <w:i/>
        </w:rPr>
        <w:t>See infra</w:t>
      </w:r>
      <w:r>
        <w:t xml:space="preserve"> discussion at para</w:t>
      </w:r>
      <w:r w:rsidR="005803BF">
        <w:t>graph</w:t>
      </w:r>
      <w:r>
        <w:t xml:space="preserve"> 40.</w:t>
      </w:r>
    </w:p>
  </w:footnote>
  <w:footnote w:id="88">
    <w:p w14:paraId="3F9BA4E8" w14:textId="5193B531" w:rsidR="00235520" w:rsidRPr="008A352C" w:rsidRDefault="00235520" w:rsidP="008A352C">
      <w:pPr>
        <w:pStyle w:val="FootnoteText"/>
      </w:pPr>
      <w:r w:rsidRPr="008A352C">
        <w:rPr>
          <w:rStyle w:val="FootnoteReference"/>
        </w:rPr>
        <w:footnoteRef/>
      </w:r>
      <w:r w:rsidRPr="008A352C">
        <w:t xml:space="preserve"> 47 CFR § 80.92(a).</w:t>
      </w:r>
    </w:p>
  </w:footnote>
  <w:footnote w:id="89">
    <w:p w14:paraId="51122CE0" w14:textId="3DBBB8BF" w:rsidR="00235520" w:rsidRPr="008A352C" w:rsidRDefault="00235520" w:rsidP="008A352C">
      <w:pPr>
        <w:pStyle w:val="FootnoteText"/>
      </w:pPr>
      <w:r w:rsidRPr="008A352C">
        <w:rPr>
          <w:rStyle w:val="FootnoteReference"/>
        </w:rPr>
        <w:footnoteRef/>
      </w:r>
      <w:r w:rsidRPr="008A352C">
        <w:t xml:space="preserve"> 47 CFR § 80.105.</w:t>
      </w:r>
    </w:p>
  </w:footnote>
  <w:footnote w:id="90">
    <w:p w14:paraId="415069FD" w14:textId="5D4C0E60" w:rsidR="00235520" w:rsidRPr="008A352C" w:rsidRDefault="00235520" w:rsidP="008A352C">
      <w:pPr>
        <w:pStyle w:val="FootnoteText"/>
      </w:pPr>
      <w:r w:rsidRPr="008A352C">
        <w:rPr>
          <w:rStyle w:val="FootnoteReference"/>
        </w:rPr>
        <w:footnoteRef/>
      </w:r>
      <w:r w:rsidRPr="008A352C">
        <w:t xml:space="preserve"> 47 CFR § 80.123(a).</w:t>
      </w:r>
    </w:p>
  </w:footnote>
  <w:footnote w:id="91">
    <w:p w14:paraId="44FED5DE" w14:textId="0EFA4D99" w:rsidR="00235520" w:rsidRPr="008A352C" w:rsidRDefault="00235520" w:rsidP="008A352C">
      <w:pPr>
        <w:pStyle w:val="FootnoteText"/>
      </w:pPr>
      <w:r w:rsidRPr="008A352C">
        <w:rPr>
          <w:rStyle w:val="FootnoteReference"/>
        </w:rPr>
        <w:footnoteRef/>
      </w:r>
      <w:r w:rsidRPr="008A352C">
        <w:t xml:space="preserve"> 47 CFR § 80.123(b).</w:t>
      </w:r>
    </w:p>
  </w:footnote>
  <w:footnote w:id="92">
    <w:p w14:paraId="7F5F8002" w14:textId="60FF58C4" w:rsidR="00235520" w:rsidRPr="008A352C" w:rsidRDefault="00235520" w:rsidP="008A352C">
      <w:pPr>
        <w:pStyle w:val="FootnoteText"/>
      </w:pPr>
      <w:r w:rsidRPr="008A352C">
        <w:rPr>
          <w:rStyle w:val="FootnoteReference"/>
        </w:rPr>
        <w:footnoteRef/>
      </w:r>
      <w:r w:rsidRPr="008A352C">
        <w:t xml:space="preserve"> 47 CFR § 80.123(c).</w:t>
      </w:r>
    </w:p>
  </w:footnote>
  <w:footnote w:id="93">
    <w:p w14:paraId="0DBECF2E" w14:textId="6B2C9D23" w:rsidR="00235520" w:rsidRPr="008A352C" w:rsidRDefault="00235520" w:rsidP="008A352C">
      <w:pPr>
        <w:pStyle w:val="FootnoteText"/>
      </w:pPr>
      <w:r w:rsidRPr="008A352C">
        <w:rPr>
          <w:rStyle w:val="FootnoteReference"/>
        </w:rPr>
        <w:footnoteRef/>
      </w:r>
      <w:r w:rsidRPr="008A352C">
        <w:t xml:space="preserve"> 47 CFR § 80.123(f).</w:t>
      </w:r>
    </w:p>
  </w:footnote>
  <w:footnote w:id="94">
    <w:p w14:paraId="75C47254" w14:textId="157A6408" w:rsidR="00235520" w:rsidRPr="008A352C" w:rsidRDefault="00235520" w:rsidP="008A352C">
      <w:pPr>
        <w:pStyle w:val="FootnoteText"/>
      </w:pPr>
      <w:r w:rsidRPr="008A352C">
        <w:rPr>
          <w:rStyle w:val="FootnoteReference"/>
        </w:rPr>
        <w:footnoteRef/>
      </w:r>
      <w:r w:rsidRPr="008A352C">
        <w:t xml:space="preserve"> 47 CFR § 80.385(a)(2).</w:t>
      </w:r>
    </w:p>
  </w:footnote>
  <w:footnote w:id="95">
    <w:p w14:paraId="0C62FC3A" w14:textId="43FC4C60" w:rsidR="00235520" w:rsidRPr="008A352C" w:rsidRDefault="00235520" w:rsidP="008A352C">
      <w:pPr>
        <w:pStyle w:val="FootnoteText"/>
        <w:rPr>
          <w:i/>
        </w:rPr>
      </w:pPr>
      <w:r w:rsidRPr="008A352C">
        <w:rPr>
          <w:rStyle w:val="FootnoteReference"/>
        </w:rPr>
        <w:footnoteRef/>
      </w:r>
      <w:r w:rsidRPr="008A352C">
        <w:t xml:space="preserve"> 47 CFR § 1.925(b)(3); </w:t>
      </w:r>
      <w:r w:rsidRPr="008A352C">
        <w:rPr>
          <w:i/>
        </w:rPr>
        <w:t>see also WAIT Radio v FCC</w:t>
      </w:r>
      <w:r w:rsidRPr="008A352C">
        <w:t xml:space="preserve">, 418 F. 2d 1153, 1159 (D.C. Cir. 1969).  </w:t>
      </w:r>
    </w:p>
  </w:footnote>
  <w:footnote w:id="96">
    <w:p w14:paraId="4C72EC5A" w14:textId="5064A949" w:rsidR="00235520" w:rsidRPr="008A352C" w:rsidRDefault="00235520" w:rsidP="008A352C">
      <w:pPr>
        <w:pStyle w:val="FootnoteText"/>
      </w:pPr>
      <w:r w:rsidRPr="008A352C">
        <w:rPr>
          <w:rStyle w:val="FootnoteReference"/>
        </w:rPr>
        <w:footnoteRef/>
      </w:r>
      <w:r w:rsidRPr="008A352C">
        <w:t xml:space="preserve"> 47 CFR § 1.3.</w:t>
      </w:r>
    </w:p>
  </w:footnote>
  <w:footnote w:id="97">
    <w:p w14:paraId="6FE203C5" w14:textId="42CCD6B8" w:rsidR="00235520" w:rsidRPr="008A352C" w:rsidRDefault="00235520" w:rsidP="008A352C">
      <w:pPr>
        <w:pStyle w:val="FootnoteText"/>
      </w:pPr>
      <w:r w:rsidRPr="008A352C">
        <w:rPr>
          <w:rStyle w:val="FootnoteReference"/>
        </w:rPr>
        <w:footnoteRef/>
      </w:r>
      <w:r w:rsidRPr="008A352C">
        <w:t xml:space="preserve"> </w:t>
      </w:r>
      <w:r w:rsidRPr="008A352C">
        <w:rPr>
          <w:i/>
        </w:rPr>
        <w:t>See</w:t>
      </w:r>
      <w:r w:rsidRPr="008A352C">
        <w:t xml:space="preserve"> </w:t>
      </w:r>
      <w:r w:rsidRPr="008A352C">
        <w:rPr>
          <w:i/>
        </w:rPr>
        <w:t xml:space="preserve">Flexibility Order, </w:t>
      </w:r>
      <w:r w:rsidRPr="008A352C">
        <w:t xml:space="preserve">22 FCC Rcd </w:t>
      </w:r>
      <w:r>
        <w:t>at</w:t>
      </w:r>
      <w:r w:rsidRPr="008A352C">
        <w:t xml:space="preserve"> 8986-87</w:t>
      </w:r>
      <w:r>
        <w:t>,</w:t>
      </w:r>
      <w:r w:rsidRPr="008A352C">
        <w:t xml:space="preserve"> para. 26.</w:t>
      </w:r>
    </w:p>
  </w:footnote>
  <w:footnote w:id="98">
    <w:p w14:paraId="2F7B3DBF" w14:textId="391DF57A" w:rsidR="00235520" w:rsidRPr="008A352C" w:rsidRDefault="00235520" w:rsidP="008A352C">
      <w:pPr>
        <w:pStyle w:val="FootnoteText"/>
      </w:pPr>
      <w:r w:rsidRPr="008A352C">
        <w:rPr>
          <w:rStyle w:val="FootnoteReference"/>
        </w:rPr>
        <w:footnoteRef/>
      </w:r>
      <w:r w:rsidRPr="008A352C">
        <w:t xml:space="preserve"> 47 CFR § 80.92(a).</w:t>
      </w:r>
    </w:p>
  </w:footnote>
  <w:footnote w:id="99">
    <w:p w14:paraId="25FC8D79" w14:textId="250BD30A" w:rsidR="00235520" w:rsidRPr="008A352C" w:rsidRDefault="00235520" w:rsidP="008A352C">
      <w:pPr>
        <w:pStyle w:val="FootnoteText"/>
      </w:pPr>
      <w:r w:rsidRPr="008A352C">
        <w:rPr>
          <w:rStyle w:val="FootnoteReference"/>
        </w:rPr>
        <w:footnoteRef/>
      </w:r>
      <w:r w:rsidRPr="008A352C">
        <w:t xml:space="preserve"> SCRRA Waiver Request at </w:t>
      </w:r>
      <w:r>
        <w:t>7</w:t>
      </w:r>
      <w:r w:rsidRPr="008A352C">
        <w:t xml:space="preserve"> n.18.</w:t>
      </w:r>
    </w:p>
  </w:footnote>
  <w:footnote w:id="100">
    <w:p w14:paraId="64CC2090" w14:textId="63A9B2A6" w:rsidR="00235520" w:rsidRPr="008A352C" w:rsidRDefault="00235520" w:rsidP="008A352C">
      <w:pPr>
        <w:pStyle w:val="FootnoteText"/>
      </w:pPr>
      <w:r w:rsidRPr="008A352C">
        <w:rPr>
          <w:rStyle w:val="FootnoteReference"/>
        </w:rPr>
        <w:footnoteRef/>
      </w:r>
      <w:r w:rsidRPr="008A352C">
        <w:t xml:space="preserve"> </w:t>
      </w:r>
      <w:r>
        <w:rPr>
          <w:i/>
        </w:rPr>
        <w:t>Id</w:t>
      </w:r>
      <w:r w:rsidRPr="008A352C">
        <w:t>.</w:t>
      </w:r>
    </w:p>
  </w:footnote>
  <w:footnote w:id="101">
    <w:p w14:paraId="28AED105" w14:textId="77F05DCA" w:rsidR="00235520" w:rsidRDefault="00235520">
      <w:pPr>
        <w:pStyle w:val="FootnoteText"/>
      </w:pPr>
      <w:r>
        <w:rPr>
          <w:rStyle w:val="FootnoteReference"/>
        </w:rPr>
        <w:footnoteRef/>
      </w:r>
      <w:r>
        <w:t xml:space="preserve"> </w:t>
      </w:r>
      <w:r w:rsidRPr="008A352C">
        <w:rPr>
          <w:i/>
        </w:rPr>
        <w:t>Amtrak Part 80 Waiver Order</w:t>
      </w:r>
      <w:r w:rsidRPr="008A352C">
        <w:t xml:space="preserve">, 30 FCC Rcd at </w:t>
      </w:r>
      <w:r>
        <w:t>2041,</w:t>
      </w:r>
      <w:r w:rsidRPr="008A352C">
        <w:t xml:space="preserve"> para</w:t>
      </w:r>
      <w:r>
        <w:t>.</w:t>
      </w:r>
      <w:r w:rsidRPr="008A352C">
        <w:t xml:space="preserve"> 11.</w:t>
      </w:r>
    </w:p>
  </w:footnote>
  <w:footnote w:id="102">
    <w:p w14:paraId="060A2AB4" w14:textId="32A0696E" w:rsidR="00235520" w:rsidRPr="008A352C" w:rsidRDefault="00235520" w:rsidP="008A352C">
      <w:pPr>
        <w:pStyle w:val="FootnoteText"/>
      </w:pPr>
      <w:r w:rsidRPr="008A352C">
        <w:rPr>
          <w:rStyle w:val="FootnoteReference"/>
        </w:rPr>
        <w:footnoteRef/>
      </w:r>
      <w:r w:rsidRPr="008A352C">
        <w:t xml:space="preserve"> 47 CFR § 1.925(b)(3)(i).</w:t>
      </w:r>
    </w:p>
  </w:footnote>
  <w:footnote w:id="103">
    <w:p w14:paraId="4F14EE91" w14:textId="77777777" w:rsidR="00235520" w:rsidRPr="008A352C" w:rsidRDefault="00235520" w:rsidP="008A352C">
      <w:pPr>
        <w:pStyle w:val="FootnoteText"/>
      </w:pPr>
      <w:r w:rsidRPr="008A352C">
        <w:rPr>
          <w:rStyle w:val="FootnoteReference"/>
        </w:rPr>
        <w:footnoteRef/>
      </w:r>
      <w:r w:rsidRPr="008A352C">
        <w:t xml:space="preserve"> 47 CFR § 80.105.</w:t>
      </w:r>
    </w:p>
  </w:footnote>
  <w:footnote w:id="104">
    <w:p w14:paraId="71110CD6" w14:textId="77777777" w:rsidR="00235520" w:rsidRPr="008A352C" w:rsidRDefault="00235520" w:rsidP="008A352C">
      <w:pPr>
        <w:pStyle w:val="FootnoteText"/>
      </w:pPr>
      <w:r w:rsidRPr="008A352C">
        <w:rPr>
          <w:rStyle w:val="FootnoteReference"/>
        </w:rPr>
        <w:footnoteRef/>
      </w:r>
      <w:r w:rsidRPr="008A352C">
        <w:t xml:space="preserve"> 47 CFR § 80.123(b).</w:t>
      </w:r>
    </w:p>
  </w:footnote>
  <w:footnote w:id="105">
    <w:p w14:paraId="5C48F509" w14:textId="77777777" w:rsidR="00235520" w:rsidRPr="008A352C" w:rsidRDefault="00235520" w:rsidP="00553BAE">
      <w:pPr>
        <w:pStyle w:val="FootnoteText"/>
      </w:pPr>
      <w:r w:rsidRPr="008A352C">
        <w:rPr>
          <w:rStyle w:val="FootnoteReference"/>
        </w:rPr>
        <w:footnoteRef/>
      </w:r>
      <w:r w:rsidRPr="008A352C">
        <w:t xml:space="preserve"> SCRRA Waiver Request at 6.  </w:t>
      </w:r>
    </w:p>
  </w:footnote>
  <w:footnote w:id="106">
    <w:p w14:paraId="75ED2FFC" w14:textId="003785B7" w:rsidR="00235520" w:rsidRPr="008A352C" w:rsidRDefault="00235520" w:rsidP="00553BAE">
      <w:pPr>
        <w:pStyle w:val="FootnoteText"/>
      </w:pPr>
      <w:r w:rsidRPr="008A352C">
        <w:rPr>
          <w:rStyle w:val="FootnoteReference"/>
        </w:rPr>
        <w:footnoteRef/>
      </w:r>
      <w:r w:rsidRPr="008A352C">
        <w:t xml:space="preserve"> </w:t>
      </w:r>
      <w:r>
        <w:rPr>
          <w:i/>
        </w:rPr>
        <w:t>Id</w:t>
      </w:r>
      <w:r>
        <w:t xml:space="preserve">.  </w:t>
      </w:r>
    </w:p>
  </w:footnote>
  <w:footnote w:id="107">
    <w:p w14:paraId="2756CEF5" w14:textId="77777777" w:rsidR="00235520" w:rsidRPr="008A352C" w:rsidRDefault="00235520" w:rsidP="00553BAE">
      <w:pPr>
        <w:pStyle w:val="FootnoteText"/>
      </w:pPr>
      <w:r w:rsidRPr="008A352C">
        <w:rPr>
          <w:rStyle w:val="FootnoteReference"/>
        </w:rPr>
        <w:footnoteRef/>
      </w:r>
      <w:r w:rsidRPr="008A352C">
        <w:t xml:space="preserve"> FRA Letter at 2.</w:t>
      </w:r>
    </w:p>
  </w:footnote>
  <w:footnote w:id="108">
    <w:p w14:paraId="3626579E" w14:textId="77777777" w:rsidR="00235520" w:rsidRPr="008A352C" w:rsidRDefault="00235520" w:rsidP="008A352C">
      <w:pPr>
        <w:pStyle w:val="FootnoteText"/>
      </w:pPr>
      <w:r w:rsidRPr="008A352C">
        <w:rPr>
          <w:rStyle w:val="FootnoteReference"/>
        </w:rPr>
        <w:footnoteRef/>
      </w:r>
      <w:r w:rsidRPr="008A352C">
        <w:t xml:space="preserve"> Havens Petition to Deny at 34.</w:t>
      </w:r>
    </w:p>
  </w:footnote>
  <w:footnote w:id="109">
    <w:p w14:paraId="78B97ECA" w14:textId="5B4B0BAA" w:rsidR="00235520" w:rsidRPr="008A352C" w:rsidRDefault="00235520" w:rsidP="008A352C">
      <w:pPr>
        <w:pStyle w:val="FootnoteText"/>
      </w:pPr>
      <w:r w:rsidRPr="008A352C">
        <w:rPr>
          <w:rStyle w:val="FootnoteReference"/>
        </w:rPr>
        <w:footnoteRef/>
      </w:r>
      <w:r w:rsidRPr="008A352C">
        <w:t xml:space="preserve"> </w:t>
      </w:r>
      <w:r w:rsidRPr="008A352C">
        <w:rPr>
          <w:i/>
        </w:rPr>
        <w:t>Amtrak Part 80 Waiver Order</w:t>
      </w:r>
      <w:r w:rsidRPr="008A352C">
        <w:t xml:space="preserve">, 30 FCC Rcd at </w:t>
      </w:r>
      <w:r>
        <w:t>2041,</w:t>
      </w:r>
      <w:r w:rsidRPr="008A352C">
        <w:t xml:space="preserve"> para. 11</w:t>
      </w:r>
      <w:r>
        <w:t>.</w:t>
      </w:r>
    </w:p>
  </w:footnote>
  <w:footnote w:id="110">
    <w:p w14:paraId="1B8E36D6" w14:textId="70D301F0" w:rsidR="00235520" w:rsidRPr="008A352C" w:rsidRDefault="00235520" w:rsidP="00BB188C">
      <w:pPr>
        <w:pStyle w:val="FootnoteText"/>
      </w:pPr>
      <w:r w:rsidRPr="008A352C">
        <w:rPr>
          <w:rStyle w:val="FootnoteReference"/>
        </w:rPr>
        <w:footnoteRef/>
      </w:r>
      <w:r w:rsidRPr="008A352C">
        <w:t xml:space="preserve"> SCRRA Waiver Request 9-12.</w:t>
      </w:r>
      <w:r>
        <w:t xml:space="preserve">  </w:t>
      </w:r>
      <w:r w:rsidRPr="00553BAE">
        <w:t>SCRRA states that it provided a copy of the SCRRA Applications to the United States Coast Guard (USCG) and that the USCG had no objection.</w:t>
      </w:r>
      <w:r>
        <w:t xml:space="preserve">  </w:t>
      </w:r>
      <w:r w:rsidRPr="00553BAE">
        <w:rPr>
          <w:i/>
        </w:rPr>
        <w:t>Id</w:t>
      </w:r>
      <w:r>
        <w:t>. at 10 n.23.</w:t>
      </w:r>
    </w:p>
  </w:footnote>
  <w:footnote w:id="111">
    <w:p w14:paraId="0A062E0E" w14:textId="6D11772C" w:rsidR="00235520" w:rsidRPr="008A352C" w:rsidRDefault="00235520" w:rsidP="00BB188C">
      <w:pPr>
        <w:pStyle w:val="FootnoteText"/>
      </w:pPr>
      <w:r w:rsidRPr="008A352C">
        <w:rPr>
          <w:rStyle w:val="FootnoteReference"/>
        </w:rPr>
        <w:footnoteRef/>
      </w:r>
      <w:r w:rsidRPr="008A352C">
        <w:t xml:space="preserve"> </w:t>
      </w:r>
      <w:r>
        <w:rPr>
          <w:i/>
        </w:rPr>
        <w:t>Id.</w:t>
      </w:r>
      <w:r w:rsidRPr="008A352C">
        <w:t xml:space="preserve"> at 12</w:t>
      </w:r>
      <w:r>
        <w:t>.</w:t>
      </w:r>
      <w:r w:rsidRPr="008A352C">
        <w:t xml:space="preserve"> </w:t>
      </w:r>
    </w:p>
  </w:footnote>
  <w:footnote w:id="112">
    <w:p w14:paraId="7F420B82" w14:textId="690B52BF" w:rsidR="00235520" w:rsidRPr="008A352C" w:rsidRDefault="00235520" w:rsidP="008A352C">
      <w:pPr>
        <w:pStyle w:val="FootnoteText"/>
      </w:pPr>
      <w:r w:rsidRPr="008A352C">
        <w:rPr>
          <w:rStyle w:val="FootnoteReference"/>
        </w:rPr>
        <w:footnoteRef/>
      </w:r>
      <w:r w:rsidRPr="008A352C">
        <w:t xml:space="preserve"> </w:t>
      </w:r>
      <w:r w:rsidRPr="008A352C">
        <w:rPr>
          <w:i/>
        </w:rPr>
        <w:t>Amtrak Part 80 Waiver Order</w:t>
      </w:r>
      <w:r w:rsidRPr="008A352C">
        <w:t xml:space="preserve">, 30 FCC Rcd at </w:t>
      </w:r>
      <w:r>
        <w:t>2042,</w:t>
      </w:r>
      <w:r w:rsidRPr="008A352C">
        <w:t xml:space="preserve"> para. 13.  </w:t>
      </w:r>
    </w:p>
  </w:footnote>
  <w:footnote w:id="113">
    <w:p w14:paraId="27E6B993" w14:textId="77F3C9E3" w:rsidR="00235520" w:rsidRPr="008A352C" w:rsidRDefault="00235520" w:rsidP="008A352C">
      <w:pPr>
        <w:pStyle w:val="FootnoteText"/>
      </w:pPr>
      <w:r w:rsidRPr="008A352C">
        <w:rPr>
          <w:rStyle w:val="FootnoteReference"/>
        </w:rPr>
        <w:footnoteRef/>
      </w:r>
      <w:r w:rsidRPr="008A352C">
        <w:t xml:space="preserve"> 47 CFR § 1.925(b)(3)(ii).  </w:t>
      </w:r>
      <w:r w:rsidRPr="008A352C">
        <w:rPr>
          <w:i/>
        </w:rPr>
        <w:t xml:space="preserve">See also </w:t>
      </w:r>
      <w:r w:rsidRPr="00DC48B9">
        <w:rPr>
          <w:i/>
        </w:rPr>
        <w:t>County of Silverbow, Montana</w:t>
      </w:r>
      <w:r w:rsidRPr="008A352C">
        <w:t xml:space="preserve">, </w:t>
      </w:r>
      <w:r w:rsidRPr="00DC48B9">
        <w:t>Order</w:t>
      </w:r>
      <w:r w:rsidRPr="008A352C">
        <w:t>, 24 FCC Rcd 12547, 12565</w:t>
      </w:r>
      <w:r>
        <w:t>,</w:t>
      </w:r>
      <w:r w:rsidRPr="008A352C">
        <w:t xml:space="preserve"> </w:t>
      </w:r>
      <w:r>
        <w:t>para.</w:t>
      </w:r>
      <w:r w:rsidRPr="008A352C">
        <w:t xml:space="preserve"> 41 (PSHSB PD 2009) </w:t>
      </w:r>
      <w:r>
        <w:t>(</w:t>
      </w:r>
      <w:r>
        <w:rPr>
          <w:i/>
        </w:rPr>
        <w:t>Silverbow Order</w:t>
      </w:r>
      <w:r>
        <w:t xml:space="preserve">) </w:t>
      </w:r>
      <w:r w:rsidRPr="008A352C">
        <w:t>(waiving Sections 80.105 and 80.106 to permit use of VHF Public Coast station frequencies in a Public Safety PLMR system).</w:t>
      </w:r>
    </w:p>
  </w:footnote>
  <w:footnote w:id="114">
    <w:p w14:paraId="596A08FA" w14:textId="5092DB0C" w:rsidR="00235520" w:rsidRPr="008A352C" w:rsidRDefault="00235520" w:rsidP="008A352C">
      <w:pPr>
        <w:pStyle w:val="FootnoteText"/>
      </w:pPr>
      <w:r w:rsidRPr="008A352C">
        <w:rPr>
          <w:rStyle w:val="FootnoteReference"/>
        </w:rPr>
        <w:footnoteRef/>
      </w:r>
      <w:r w:rsidRPr="008A352C">
        <w:t xml:space="preserve"> 47 CFR § 80.123(a).</w:t>
      </w:r>
    </w:p>
  </w:footnote>
  <w:footnote w:id="115">
    <w:p w14:paraId="53E75116" w14:textId="6DE04AF8" w:rsidR="00235520" w:rsidRPr="008A352C" w:rsidRDefault="00235520" w:rsidP="008A352C">
      <w:pPr>
        <w:pStyle w:val="FootnoteText"/>
      </w:pPr>
      <w:r w:rsidRPr="008A352C">
        <w:rPr>
          <w:rStyle w:val="FootnoteReference"/>
        </w:rPr>
        <w:footnoteRef/>
      </w:r>
      <w:r w:rsidRPr="008A352C">
        <w:t xml:space="preserve"> SCRRA Waiver Request at </w:t>
      </w:r>
      <w:r>
        <w:t>1</w:t>
      </w:r>
      <w:r w:rsidRPr="008A352C">
        <w:t>.</w:t>
      </w:r>
    </w:p>
  </w:footnote>
  <w:footnote w:id="116">
    <w:p w14:paraId="6C1E92E7" w14:textId="25672FC9" w:rsidR="00235520" w:rsidRPr="008A352C" w:rsidRDefault="00235520" w:rsidP="008A352C">
      <w:pPr>
        <w:pStyle w:val="FootnoteText"/>
      </w:pPr>
      <w:r w:rsidRPr="008A352C">
        <w:rPr>
          <w:rStyle w:val="FootnoteReference"/>
        </w:rPr>
        <w:footnoteRef/>
      </w:r>
      <w:r w:rsidRPr="008A352C">
        <w:t xml:space="preserve"> </w:t>
      </w:r>
      <w:r w:rsidRPr="008A352C">
        <w:rPr>
          <w:i/>
        </w:rPr>
        <w:t>See PHI</w:t>
      </w:r>
      <w:r>
        <w:rPr>
          <w:i/>
        </w:rPr>
        <w:t xml:space="preserve"> Service Co.</w:t>
      </w:r>
      <w:r w:rsidRPr="008A352C">
        <w:t xml:space="preserve">, </w:t>
      </w:r>
      <w:r>
        <w:t xml:space="preserve">Order, </w:t>
      </w:r>
      <w:r w:rsidRPr="008A352C">
        <w:t xml:space="preserve">29 FCC Rcd </w:t>
      </w:r>
      <w:r>
        <w:t>8176,</w:t>
      </w:r>
      <w:r w:rsidRPr="008A352C">
        <w:t xml:space="preserve"> 8179</w:t>
      </w:r>
      <w:r>
        <w:t>,</w:t>
      </w:r>
      <w:r w:rsidRPr="008A352C">
        <w:t xml:space="preserve"> </w:t>
      </w:r>
      <w:r>
        <w:t>para.</w:t>
      </w:r>
      <w:r w:rsidRPr="008A352C">
        <w:t xml:space="preserve"> 9</w:t>
      </w:r>
      <w:r>
        <w:t xml:space="preserve"> (WTB MD 2014)</w:t>
      </w:r>
      <w:r w:rsidRPr="008A352C">
        <w:t xml:space="preserve">. </w:t>
      </w:r>
    </w:p>
  </w:footnote>
  <w:footnote w:id="117">
    <w:p w14:paraId="6BF6A6EB" w14:textId="02A10113" w:rsidR="00235520" w:rsidRPr="008A352C" w:rsidRDefault="00235520" w:rsidP="008A352C">
      <w:pPr>
        <w:pStyle w:val="FootnoteText"/>
      </w:pPr>
      <w:r w:rsidRPr="008A352C">
        <w:rPr>
          <w:rStyle w:val="FootnoteReference"/>
        </w:rPr>
        <w:footnoteRef/>
      </w:r>
      <w:r w:rsidRPr="008A352C">
        <w:t xml:space="preserve"> </w:t>
      </w:r>
      <w:r w:rsidRPr="008A352C">
        <w:rPr>
          <w:i/>
        </w:rPr>
        <w:t>Amtrak Part 80 Waiver Order</w:t>
      </w:r>
      <w:r w:rsidRPr="008A352C">
        <w:t xml:space="preserve">, 30 FCC Rcd at </w:t>
      </w:r>
      <w:r>
        <w:t>2042,</w:t>
      </w:r>
      <w:r w:rsidRPr="008A352C">
        <w:t xml:space="preserve"> para</w:t>
      </w:r>
      <w:r>
        <w:t>.</w:t>
      </w:r>
      <w:r w:rsidRPr="008A352C">
        <w:t xml:space="preserve"> 12.</w:t>
      </w:r>
    </w:p>
  </w:footnote>
  <w:footnote w:id="118">
    <w:p w14:paraId="706E8113" w14:textId="22AC3577" w:rsidR="00235520" w:rsidRPr="008A352C" w:rsidRDefault="00235520" w:rsidP="008A352C">
      <w:pPr>
        <w:pStyle w:val="FootnoteText"/>
      </w:pPr>
      <w:r w:rsidRPr="008A352C">
        <w:rPr>
          <w:rStyle w:val="FootnoteReference"/>
        </w:rPr>
        <w:footnoteRef/>
      </w:r>
      <w:r w:rsidRPr="008A352C">
        <w:t xml:space="preserve"> 47 CFR § 1.925(b)(3)(ii).</w:t>
      </w:r>
    </w:p>
  </w:footnote>
  <w:footnote w:id="119">
    <w:p w14:paraId="5A5AB1E8" w14:textId="3958BD93" w:rsidR="00235520" w:rsidRPr="008A352C" w:rsidRDefault="00235520" w:rsidP="008A352C">
      <w:pPr>
        <w:pStyle w:val="FootnoteText"/>
      </w:pPr>
      <w:r w:rsidRPr="008A352C">
        <w:rPr>
          <w:rStyle w:val="FootnoteReference"/>
        </w:rPr>
        <w:footnoteRef/>
      </w:r>
      <w:r w:rsidRPr="008A352C">
        <w:t xml:space="preserve"> 47 CFR § 80.123(c)</w:t>
      </w:r>
      <w:r>
        <w:t xml:space="preserve"> (“</w:t>
      </w:r>
      <w:r w:rsidRPr="00D21847">
        <w:t>Land station identification shall consist of the associated public coast station's call sign, followed by a unique numeric or alphabetic unit identifier</w:t>
      </w:r>
      <w:r>
        <w:t>.”)</w:t>
      </w:r>
      <w:r w:rsidRPr="008A352C">
        <w:t>.</w:t>
      </w:r>
    </w:p>
  </w:footnote>
  <w:footnote w:id="120">
    <w:p w14:paraId="646802CC" w14:textId="77777777" w:rsidR="00235520" w:rsidRPr="008A352C" w:rsidRDefault="00235520" w:rsidP="008A352C">
      <w:pPr>
        <w:pStyle w:val="FootnoteText"/>
      </w:pPr>
      <w:r w:rsidRPr="008A352C">
        <w:rPr>
          <w:rStyle w:val="FootnoteReference"/>
        </w:rPr>
        <w:footnoteRef/>
      </w:r>
      <w:r w:rsidRPr="008A352C">
        <w:t xml:space="preserve"> SCRRA Waiver Request at 6</w:t>
      </w:r>
      <w:r>
        <w:t xml:space="preserve"> n.16</w:t>
      </w:r>
      <w:r w:rsidRPr="008A352C">
        <w:t>.</w:t>
      </w:r>
    </w:p>
  </w:footnote>
  <w:footnote w:id="121">
    <w:p w14:paraId="066C3E0B" w14:textId="00B6C68A" w:rsidR="00235520" w:rsidRPr="00AD375F" w:rsidRDefault="00235520">
      <w:pPr>
        <w:pStyle w:val="FootnoteText"/>
      </w:pPr>
      <w:r>
        <w:rPr>
          <w:rStyle w:val="FootnoteReference"/>
        </w:rPr>
        <w:footnoteRef/>
      </w:r>
      <w:r>
        <w:t xml:space="preserve"> 47 CFR § 80.102; </w:t>
      </w:r>
      <w:r>
        <w:rPr>
          <w:i/>
        </w:rPr>
        <w:t xml:space="preserve">Regionet Wireless License, LLC, </w:t>
      </w:r>
      <w:r>
        <w:t xml:space="preserve">Order, 15 FCC Rcd 16119, 16119, para. 1 (2000) </w:t>
      </w:r>
      <w:r w:rsidRPr="00125FE6">
        <w:t>(“AMTS stations are no longer required to identify themselves, by giving their call sign, in English, at the beginning and end of each communication with any other station and at fifteen minute intervals when transmission is sustained for more than fifteen minutes</w:t>
      </w:r>
      <w:r>
        <w:t>.</w:t>
      </w:r>
      <w:r w:rsidRPr="00125FE6">
        <w:t>”</w:t>
      </w:r>
      <w:r>
        <w:t xml:space="preserve">).  </w:t>
      </w:r>
    </w:p>
  </w:footnote>
  <w:footnote w:id="122">
    <w:p w14:paraId="4CA50B48" w14:textId="5036F321" w:rsidR="00235520" w:rsidRPr="008A352C" w:rsidRDefault="00235520" w:rsidP="008A352C">
      <w:pPr>
        <w:pStyle w:val="FootnoteText"/>
      </w:pPr>
      <w:r w:rsidRPr="008A352C">
        <w:rPr>
          <w:rStyle w:val="FootnoteReference"/>
        </w:rPr>
        <w:footnoteRef/>
      </w:r>
      <w:r w:rsidRPr="008A352C">
        <w:t xml:space="preserve"> 47 CFR</w:t>
      </w:r>
      <w:r w:rsidRPr="008A352C">
        <w:rPr>
          <w:color w:val="FF0000"/>
        </w:rPr>
        <w:t xml:space="preserve"> </w:t>
      </w:r>
      <w:r w:rsidRPr="008A352C">
        <w:t>§ 80.123(f).</w:t>
      </w:r>
    </w:p>
  </w:footnote>
  <w:footnote w:id="123">
    <w:p w14:paraId="72AE949B" w14:textId="77777777" w:rsidR="00235520" w:rsidRPr="008A352C" w:rsidRDefault="00235520" w:rsidP="008A352C">
      <w:pPr>
        <w:pStyle w:val="FootnoteText"/>
      </w:pPr>
      <w:r w:rsidRPr="008A352C">
        <w:rPr>
          <w:rStyle w:val="FootnoteReference"/>
        </w:rPr>
        <w:footnoteRef/>
      </w:r>
      <w:r w:rsidRPr="008A352C">
        <w:t xml:space="preserve"> SCRRA Waiver Request at 6 </w:t>
      </w:r>
      <w:r>
        <w:t>n.17.</w:t>
      </w:r>
      <w:r w:rsidRPr="008A352C">
        <w:t xml:space="preserve"> </w:t>
      </w:r>
    </w:p>
  </w:footnote>
  <w:footnote w:id="124">
    <w:p w14:paraId="2E87FB24" w14:textId="6FFD50B3" w:rsidR="00235520" w:rsidRPr="008A352C" w:rsidRDefault="00235520" w:rsidP="008A352C">
      <w:pPr>
        <w:pStyle w:val="FootnoteText"/>
      </w:pPr>
      <w:r w:rsidRPr="008A352C">
        <w:rPr>
          <w:rStyle w:val="FootnoteReference"/>
        </w:rPr>
        <w:footnoteRef/>
      </w:r>
      <w:r w:rsidRPr="008A352C">
        <w:t xml:space="preserve"> </w:t>
      </w:r>
      <w:r w:rsidRPr="008A352C">
        <w:rPr>
          <w:i/>
        </w:rPr>
        <w:t>Amtrak Part 80 Waiver Order</w:t>
      </w:r>
      <w:r w:rsidRPr="008A352C">
        <w:t xml:space="preserve">, 30 FCC Rcd at </w:t>
      </w:r>
      <w:r>
        <w:t>2042,</w:t>
      </w:r>
      <w:r w:rsidRPr="008A352C">
        <w:t xml:space="preserve"> para. 13.</w:t>
      </w:r>
    </w:p>
  </w:footnote>
  <w:footnote w:id="125">
    <w:p w14:paraId="31BA5F3B" w14:textId="60B95F34" w:rsidR="00235520" w:rsidRPr="008A352C" w:rsidRDefault="00235520" w:rsidP="008A352C">
      <w:pPr>
        <w:pStyle w:val="FootnoteText"/>
      </w:pPr>
      <w:r w:rsidRPr="008A352C">
        <w:rPr>
          <w:rStyle w:val="FootnoteReference"/>
        </w:rPr>
        <w:footnoteRef/>
      </w:r>
      <w:r w:rsidRPr="008A352C">
        <w:t xml:space="preserve"> 47 CFR § 1.925(b)(3)(ii).</w:t>
      </w:r>
    </w:p>
  </w:footnote>
  <w:footnote w:id="126">
    <w:p w14:paraId="7207D08B" w14:textId="77777777" w:rsidR="00235520" w:rsidRPr="008A352C" w:rsidRDefault="00235520" w:rsidP="008A352C">
      <w:pPr>
        <w:pStyle w:val="FootnoteText"/>
      </w:pPr>
      <w:r w:rsidRPr="008A352C">
        <w:rPr>
          <w:rStyle w:val="FootnoteReference"/>
        </w:rPr>
        <w:footnoteRef/>
      </w:r>
      <w:r w:rsidRPr="008A352C">
        <w:t xml:space="preserve"> 47 CFR § 80.385(a)(2).</w:t>
      </w:r>
    </w:p>
  </w:footnote>
  <w:footnote w:id="127">
    <w:p w14:paraId="30D85677" w14:textId="2787E522" w:rsidR="00235520" w:rsidRPr="008A352C" w:rsidRDefault="00235520" w:rsidP="008A352C">
      <w:pPr>
        <w:pStyle w:val="FootnoteText"/>
      </w:pPr>
      <w:r w:rsidRPr="008A352C">
        <w:rPr>
          <w:rStyle w:val="FootnoteReference"/>
        </w:rPr>
        <w:footnoteRef/>
      </w:r>
      <w:r w:rsidRPr="008A352C">
        <w:t xml:space="preserve"> SCRRA Waiver Request at 9</w:t>
      </w:r>
      <w:r>
        <w:t>.</w:t>
      </w:r>
    </w:p>
  </w:footnote>
  <w:footnote w:id="128">
    <w:p w14:paraId="7B0DA7D4" w14:textId="640DD478" w:rsidR="00235520" w:rsidRPr="008A352C" w:rsidRDefault="00235520" w:rsidP="00807AA1">
      <w:pPr>
        <w:pStyle w:val="FootnoteText"/>
      </w:pPr>
      <w:r w:rsidRPr="008A352C">
        <w:rPr>
          <w:rStyle w:val="FootnoteReference"/>
        </w:rPr>
        <w:footnoteRef/>
      </w:r>
      <w:r w:rsidRPr="008A352C">
        <w:t xml:space="preserve"> </w:t>
      </w:r>
      <w:r w:rsidRPr="008A352C">
        <w:rPr>
          <w:i/>
        </w:rPr>
        <w:t>Amtrak Part 80 Waiver Order</w:t>
      </w:r>
      <w:r w:rsidRPr="008A352C">
        <w:t xml:space="preserve">, 30 FCC Rcd at </w:t>
      </w:r>
      <w:r w:rsidRPr="000E63F0">
        <w:t>2042-</w:t>
      </w:r>
      <w:r>
        <w:t>43,</w:t>
      </w:r>
      <w:r w:rsidRPr="008A352C">
        <w:t xml:space="preserve"> para. 1</w:t>
      </w:r>
      <w:r>
        <w:t>4</w:t>
      </w:r>
      <w:r w:rsidRPr="008A352C">
        <w:t>.</w:t>
      </w:r>
    </w:p>
  </w:footnote>
  <w:footnote w:id="129">
    <w:p w14:paraId="7679D158" w14:textId="7F02740B" w:rsidR="00235520" w:rsidRPr="008A352C" w:rsidRDefault="00235520" w:rsidP="00106C38">
      <w:pPr>
        <w:pStyle w:val="FootnoteText"/>
        <w:tabs>
          <w:tab w:val="left" w:pos="3120"/>
        </w:tabs>
      </w:pPr>
      <w:r w:rsidRPr="008A352C">
        <w:rPr>
          <w:rStyle w:val="FootnoteReference"/>
        </w:rPr>
        <w:footnoteRef/>
      </w:r>
      <w:r w:rsidRPr="008A352C">
        <w:t xml:space="preserve"> 47 CFR § 1.925(b)(3)(ii).</w:t>
      </w:r>
      <w:r>
        <w:tab/>
      </w:r>
    </w:p>
  </w:footnote>
  <w:footnote w:id="130">
    <w:p w14:paraId="32C5840E" w14:textId="77777777" w:rsidR="00235520" w:rsidRDefault="00235520" w:rsidP="00B156FD">
      <w:pPr>
        <w:pStyle w:val="FootnoteText"/>
      </w:pPr>
      <w:r>
        <w:rPr>
          <w:rStyle w:val="FootnoteReference"/>
        </w:rPr>
        <w:footnoteRef/>
      </w:r>
      <w:r>
        <w:t xml:space="preserve"> SCRRA Waiver Request at 1-2.  </w:t>
      </w:r>
    </w:p>
  </w:footnote>
  <w:footnote w:id="131">
    <w:p w14:paraId="374ACCF7" w14:textId="5215CDF1" w:rsidR="00235520" w:rsidRPr="008A352C" w:rsidRDefault="00235520" w:rsidP="000C5E5A">
      <w:pPr>
        <w:pStyle w:val="FootnoteText"/>
      </w:pPr>
      <w:r w:rsidRPr="008A352C">
        <w:rPr>
          <w:rStyle w:val="FootnoteReference"/>
        </w:rPr>
        <w:footnoteRef/>
      </w:r>
      <w:r w:rsidRPr="008A352C">
        <w:t xml:space="preserve"> </w:t>
      </w:r>
      <w:r>
        <w:rPr>
          <w:i/>
        </w:rPr>
        <w:t>Id.</w:t>
      </w:r>
      <w:r w:rsidRPr="008A352C">
        <w:t xml:space="preserve"> at 6.  </w:t>
      </w:r>
    </w:p>
  </w:footnote>
  <w:footnote w:id="132">
    <w:p w14:paraId="38FC3211" w14:textId="3E1B4391" w:rsidR="00235520" w:rsidRDefault="00235520">
      <w:pPr>
        <w:pStyle w:val="FootnoteText"/>
      </w:pPr>
      <w:r>
        <w:rPr>
          <w:rStyle w:val="FootnoteReference"/>
        </w:rPr>
        <w:footnoteRef/>
      </w:r>
      <w:r>
        <w:t xml:space="preserve"> </w:t>
      </w:r>
      <w:r w:rsidRPr="008A352C">
        <w:t>47 CFR § 80</w:t>
      </w:r>
      <w:r>
        <w:t>.106.</w:t>
      </w:r>
    </w:p>
  </w:footnote>
  <w:footnote w:id="133">
    <w:p w14:paraId="5E67E81F" w14:textId="77777777" w:rsidR="00235520" w:rsidRDefault="00235520" w:rsidP="00B156FD">
      <w:pPr>
        <w:pStyle w:val="FootnoteText"/>
      </w:pPr>
      <w:r>
        <w:rPr>
          <w:rStyle w:val="FootnoteReference"/>
        </w:rPr>
        <w:footnoteRef/>
      </w:r>
      <w:r>
        <w:t xml:space="preserve"> </w:t>
      </w:r>
      <w:r w:rsidRPr="008A352C">
        <w:rPr>
          <w:i/>
        </w:rPr>
        <w:t>Amtrak Part 80 Waiver Order</w:t>
      </w:r>
      <w:r w:rsidRPr="008A352C">
        <w:t xml:space="preserve">, 30 FCC Rcd at </w:t>
      </w:r>
      <w:r>
        <w:t>2042,</w:t>
      </w:r>
      <w:r w:rsidRPr="008A352C">
        <w:t xml:space="preserve"> para. 13.  </w:t>
      </w:r>
    </w:p>
  </w:footnote>
  <w:footnote w:id="134">
    <w:p w14:paraId="5340E1B3" w14:textId="16AB9C31" w:rsidR="00235520" w:rsidRDefault="00235520" w:rsidP="00B156FD">
      <w:pPr>
        <w:pStyle w:val="FootnoteText"/>
      </w:pPr>
      <w:r>
        <w:rPr>
          <w:rStyle w:val="FootnoteReference"/>
        </w:rPr>
        <w:footnoteRef/>
      </w:r>
      <w:r>
        <w:t xml:space="preserve"> </w:t>
      </w:r>
      <w:r>
        <w:rPr>
          <w:i/>
        </w:rPr>
        <w:t>Id</w:t>
      </w:r>
      <w:r w:rsidRPr="008A352C">
        <w:t xml:space="preserve">.  </w:t>
      </w:r>
    </w:p>
  </w:footnote>
  <w:footnote w:id="135">
    <w:p w14:paraId="7B1F7434" w14:textId="6F2A48D0" w:rsidR="00235520" w:rsidRDefault="00235520" w:rsidP="00B156FD">
      <w:pPr>
        <w:pStyle w:val="FootnoteText"/>
      </w:pPr>
      <w:r>
        <w:rPr>
          <w:rStyle w:val="FootnoteReference"/>
        </w:rPr>
        <w:footnoteRef/>
      </w:r>
      <w:r>
        <w:t xml:space="preserve"> </w:t>
      </w:r>
      <w:r w:rsidRPr="008A352C">
        <w:t xml:space="preserve">47 CFR § 1.925(b)(3)(ii).  </w:t>
      </w:r>
      <w:r w:rsidRPr="008A352C">
        <w:rPr>
          <w:i/>
        </w:rPr>
        <w:t xml:space="preserve">See also </w:t>
      </w:r>
      <w:r w:rsidRPr="00DC48B9">
        <w:rPr>
          <w:i/>
        </w:rPr>
        <w:t>Silverbow</w:t>
      </w:r>
      <w:r>
        <w:rPr>
          <w:i/>
        </w:rPr>
        <w:t xml:space="preserve"> </w:t>
      </w:r>
      <w:r w:rsidRPr="003A15E3">
        <w:rPr>
          <w:i/>
        </w:rPr>
        <w:t>Order</w:t>
      </w:r>
      <w:r w:rsidRPr="008A352C">
        <w:t xml:space="preserve">, 24 FCC Rcd </w:t>
      </w:r>
      <w:r>
        <w:t>at</w:t>
      </w:r>
      <w:r w:rsidRPr="008A352C">
        <w:t xml:space="preserve"> 12565</w:t>
      </w:r>
      <w:r>
        <w:t>,</w:t>
      </w:r>
      <w:r w:rsidRPr="008A352C">
        <w:t xml:space="preserve"> </w:t>
      </w:r>
      <w:r>
        <w:t>para.</w:t>
      </w:r>
      <w:r w:rsidRPr="008A352C">
        <w:t xml:space="preserve"> 41 (waiving Sections 80.105 and 80.106 to permit use of VHF Public Coast station frequencies in a Public Safety PLMR system).</w:t>
      </w:r>
    </w:p>
  </w:footnote>
  <w:footnote w:id="136">
    <w:p w14:paraId="3445789D" w14:textId="5B411B6E" w:rsidR="00235520" w:rsidRPr="00125FE6" w:rsidRDefault="00235520">
      <w:pPr>
        <w:pStyle w:val="FootnoteText"/>
      </w:pPr>
      <w:r>
        <w:rPr>
          <w:rStyle w:val="FootnoteReference"/>
        </w:rPr>
        <w:footnoteRef/>
      </w:r>
      <w:r>
        <w:t xml:space="preserve"> This includes all rules </w:t>
      </w:r>
      <w:r w:rsidRPr="00125FE6">
        <w:t>discussed above with the exception of 47 CFR § 80.123(c), which does not require a waiver.</w:t>
      </w:r>
      <w:r>
        <w:t xml:space="preserve">  </w:t>
      </w:r>
      <w:r w:rsidRPr="00292E90">
        <w:rPr>
          <w:i/>
        </w:rPr>
        <w:t xml:space="preserve">See supra </w:t>
      </w:r>
      <w:r w:rsidRPr="00292E90">
        <w:t>discussion at paragraph 35.</w:t>
      </w:r>
      <w:r>
        <w:t xml:space="preserve">   </w:t>
      </w:r>
    </w:p>
  </w:footnote>
  <w:footnote w:id="137">
    <w:p w14:paraId="5BCD942D" w14:textId="2526FA7E" w:rsidR="00235520" w:rsidRDefault="00235520">
      <w:pPr>
        <w:pStyle w:val="FootnoteText"/>
      </w:pPr>
      <w:r>
        <w:rPr>
          <w:rStyle w:val="FootnoteReference"/>
        </w:rPr>
        <w:footnoteRef/>
      </w:r>
      <w:r>
        <w:t xml:space="preserve"> 47 CFR § 1.3. </w:t>
      </w:r>
    </w:p>
  </w:footnote>
  <w:footnote w:id="138">
    <w:p w14:paraId="1C64B788" w14:textId="77777777" w:rsidR="00235520" w:rsidRDefault="00235520" w:rsidP="00F15BB2">
      <w:pPr>
        <w:pStyle w:val="FootnoteText"/>
      </w:pPr>
      <w:r>
        <w:rPr>
          <w:rStyle w:val="FootnoteReference"/>
        </w:rPr>
        <w:footnoteRef/>
      </w:r>
      <w:r>
        <w:t xml:space="preserve"> SCRRA Public Interest Statement </w:t>
      </w:r>
      <w:r>
        <w:rPr>
          <w:bCs/>
        </w:rPr>
        <w:t>at 1.</w:t>
      </w:r>
    </w:p>
  </w:footnote>
  <w:footnote w:id="139">
    <w:p w14:paraId="5EE1AD2D" w14:textId="77777777" w:rsidR="00235520" w:rsidRDefault="00235520" w:rsidP="00F15BB2">
      <w:pPr>
        <w:pStyle w:val="FootnoteText"/>
      </w:pPr>
      <w:r>
        <w:rPr>
          <w:rStyle w:val="FootnoteReference"/>
        </w:rPr>
        <w:footnoteRef/>
      </w:r>
      <w:r>
        <w:t xml:space="preserve"> 47 CFR </w:t>
      </w:r>
      <w:r w:rsidRPr="00CB2D72">
        <w:t xml:space="preserve">§ </w:t>
      </w:r>
      <w:r>
        <w:t xml:space="preserve">20.9(a)(5).  </w:t>
      </w:r>
      <w:r w:rsidRPr="00A43A49">
        <w:t>CMRS is defined as a mobile service that is (1) provided for profit, (2) interconnected to the public switched network, and (3) either publically available or effectively available to a substantial portion of the public</w:t>
      </w:r>
      <w:r>
        <w:t xml:space="preserve">.  47 CFR </w:t>
      </w:r>
      <w:r w:rsidRPr="00CB2D72">
        <w:t xml:space="preserve">§ </w:t>
      </w:r>
      <w:r>
        <w:t>20.3.</w:t>
      </w:r>
    </w:p>
  </w:footnote>
  <w:footnote w:id="140">
    <w:p w14:paraId="12BD9036" w14:textId="77777777" w:rsidR="00235520" w:rsidRPr="00CB2D72" w:rsidRDefault="00235520" w:rsidP="00F15BB2">
      <w:pPr>
        <w:pStyle w:val="FootnoteText"/>
      </w:pPr>
      <w:r w:rsidRPr="00CB2D72">
        <w:rPr>
          <w:rStyle w:val="FootnoteReference"/>
        </w:rPr>
        <w:footnoteRef/>
      </w:r>
      <w:r w:rsidRPr="00CB2D72">
        <w:t xml:space="preserve"> </w:t>
      </w:r>
      <w:r w:rsidRPr="0044164F">
        <w:t>PMRS is defined as a mobile service that is neither a CMRS nor the functional equivalent of a service that meets the definition of CMRS.</w:t>
      </w:r>
      <w:r>
        <w:t xml:space="preserve">  47 CFR </w:t>
      </w:r>
      <w:r w:rsidRPr="008A352C">
        <w:t>§</w:t>
      </w:r>
      <w:r>
        <w:t xml:space="preserve"> 20.3. </w:t>
      </w:r>
    </w:p>
  </w:footnote>
  <w:footnote w:id="141">
    <w:p w14:paraId="0D521A92" w14:textId="77777777" w:rsidR="00235520" w:rsidRDefault="00235520" w:rsidP="00F15BB2">
      <w:pPr>
        <w:pStyle w:val="FootnoteText"/>
      </w:pPr>
      <w:r>
        <w:rPr>
          <w:rStyle w:val="FootnoteReference"/>
        </w:rPr>
        <w:footnoteRef/>
      </w:r>
      <w:r>
        <w:t xml:space="preserve"> </w:t>
      </w:r>
      <w:r w:rsidRPr="00CB2D72">
        <w:t>47 CFR § 20.9(b)</w:t>
      </w:r>
      <w:r>
        <w:t>(1).</w:t>
      </w:r>
      <w:r w:rsidRPr="00CB2D72">
        <w:t xml:space="preserve"> </w:t>
      </w:r>
      <w:r>
        <w:t xml:space="preserve">  </w:t>
      </w:r>
    </w:p>
  </w:footnote>
  <w:footnote w:id="142">
    <w:p w14:paraId="21D21A4C" w14:textId="44384AD9" w:rsidR="00235520" w:rsidRDefault="00235520" w:rsidP="00F15BB2">
      <w:pPr>
        <w:pStyle w:val="FootnoteText"/>
      </w:pPr>
      <w:r>
        <w:rPr>
          <w:rStyle w:val="FootnoteReference"/>
        </w:rPr>
        <w:footnoteRef/>
      </w:r>
      <w:r>
        <w:t xml:space="preserve"> </w:t>
      </w:r>
      <w:r>
        <w:rPr>
          <w:i/>
        </w:rPr>
        <w:t>Id</w:t>
      </w:r>
      <w:r>
        <w:t xml:space="preserve">.  </w:t>
      </w:r>
      <w:r w:rsidRPr="0018241B">
        <w:rPr>
          <w:i/>
        </w:rPr>
        <w:t>See also</w:t>
      </w:r>
      <w:r>
        <w:t xml:space="preserve"> 47 CFR § 20.3 (CMRS definition). </w:t>
      </w:r>
    </w:p>
  </w:footnote>
  <w:footnote w:id="143">
    <w:p w14:paraId="1447A57C" w14:textId="3132E950" w:rsidR="00235520" w:rsidRDefault="00235520" w:rsidP="00F15BB2">
      <w:pPr>
        <w:pStyle w:val="FootnoteText"/>
      </w:pPr>
      <w:r>
        <w:rPr>
          <w:rStyle w:val="FootnoteReference"/>
        </w:rPr>
        <w:footnoteRef/>
      </w:r>
      <w:r>
        <w:t xml:space="preserve"> </w:t>
      </w:r>
      <w:r w:rsidRPr="00CB2D72">
        <w:t>47 CFR § 20.9(b)</w:t>
      </w:r>
      <w:r>
        <w:t>(1).</w:t>
      </w:r>
    </w:p>
  </w:footnote>
  <w:footnote w:id="144">
    <w:p w14:paraId="1BA451A7" w14:textId="77777777" w:rsidR="00235520" w:rsidRPr="00FF130A" w:rsidRDefault="00235520" w:rsidP="00F15BB2">
      <w:pPr>
        <w:pStyle w:val="FootnoteText"/>
      </w:pPr>
      <w:r>
        <w:rPr>
          <w:rStyle w:val="FootnoteReference"/>
        </w:rPr>
        <w:footnoteRef/>
      </w:r>
      <w:r>
        <w:t xml:space="preserve"> 47 CFR</w:t>
      </w:r>
      <w:r w:rsidRPr="00CB2D72">
        <w:t xml:space="preserve"> § 20.9(b)</w:t>
      </w:r>
      <w:r>
        <w:t>(2).</w:t>
      </w:r>
      <w:r w:rsidRPr="00CB2D72">
        <w:t xml:space="preserve"> </w:t>
      </w:r>
      <w:r>
        <w:t xml:space="preserve">  </w:t>
      </w:r>
    </w:p>
  </w:footnote>
  <w:footnote w:id="145">
    <w:p w14:paraId="09DD31B6" w14:textId="37DA118C" w:rsidR="00235520" w:rsidRPr="00390B3E" w:rsidRDefault="00235520" w:rsidP="00F15BB2">
      <w:pPr>
        <w:pStyle w:val="FootnoteText"/>
      </w:pPr>
      <w:r>
        <w:rPr>
          <w:rStyle w:val="FootnoteReference"/>
        </w:rPr>
        <w:footnoteRef/>
      </w:r>
      <w:r>
        <w:t xml:space="preserve"> </w:t>
      </w:r>
      <w:r w:rsidRPr="00390B3E">
        <w:rPr>
          <w:i/>
        </w:rPr>
        <w:t xml:space="preserve">See </w:t>
      </w:r>
      <w:r w:rsidRPr="0018241B">
        <w:rPr>
          <w:i/>
        </w:rPr>
        <w:t>supra</w:t>
      </w:r>
      <w:r w:rsidRPr="0018241B">
        <w:t xml:space="preserve"> note 18,</w:t>
      </w:r>
      <w:r>
        <w:t xml:space="preserve"> </w:t>
      </w:r>
      <w:r w:rsidRPr="00390B3E">
        <w:rPr>
          <w:i/>
        </w:rPr>
        <w:t>MCLM/SCRRA Public Notice</w:t>
      </w:r>
      <w:r>
        <w:t>.</w:t>
      </w:r>
    </w:p>
  </w:footnote>
  <w:footnote w:id="146">
    <w:p w14:paraId="05C8D5E2" w14:textId="5F2B4960" w:rsidR="00235520" w:rsidRDefault="00235520" w:rsidP="00F15BB2">
      <w:pPr>
        <w:pStyle w:val="FootnoteText"/>
      </w:pPr>
      <w:r>
        <w:rPr>
          <w:rStyle w:val="FootnoteReference"/>
        </w:rPr>
        <w:footnoteRef/>
      </w:r>
      <w:r>
        <w:t xml:space="preserve"> Certification Pursuant to Section 20.9(b), FCC </w:t>
      </w:r>
      <w:r>
        <w:rPr>
          <w:bCs/>
        </w:rPr>
        <w:t xml:space="preserve">File No. 0004153701 </w:t>
      </w:r>
      <w:r>
        <w:t>at 1</w:t>
      </w:r>
      <w:r>
        <w:rPr>
          <w:bCs/>
        </w:rPr>
        <w:t xml:space="preserve"> (filed Mar. 4, 2010).</w:t>
      </w:r>
    </w:p>
  </w:footnote>
  <w:footnote w:id="147">
    <w:p w14:paraId="04C1EC83" w14:textId="6EB45797" w:rsidR="00235520" w:rsidRDefault="00235520" w:rsidP="00F15BB2">
      <w:pPr>
        <w:pStyle w:val="FootnoteText"/>
      </w:pPr>
      <w:r>
        <w:rPr>
          <w:rStyle w:val="FootnoteReference"/>
        </w:rPr>
        <w:footnoteRef/>
      </w:r>
      <w:r>
        <w:t xml:space="preserve"> </w:t>
      </w:r>
      <w:r>
        <w:rPr>
          <w:i/>
        </w:rPr>
        <w:t>Id</w:t>
      </w:r>
      <w:r>
        <w:rPr>
          <w:bCs/>
        </w:rPr>
        <w:t>.</w:t>
      </w:r>
      <w:r>
        <w:t xml:space="preserve"> </w:t>
      </w:r>
    </w:p>
  </w:footnote>
  <w:footnote w:id="148">
    <w:p w14:paraId="1E9B13EA" w14:textId="755AF2E6" w:rsidR="00235520" w:rsidRDefault="00235520" w:rsidP="00F15BB2">
      <w:pPr>
        <w:pStyle w:val="FootnoteText"/>
      </w:pPr>
      <w:r>
        <w:rPr>
          <w:rStyle w:val="FootnoteReference"/>
        </w:rPr>
        <w:footnoteRef/>
      </w:r>
      <w:r>
        <w:t xml:space="preserve"> </w:t>
      </w:r>
      <w:r>
        <w:rPr>
          <w:i/>
        </w:rPr>
        <w:t>Id</w:t>
      </w:r>
      <w:r>
        <w:rPr>
          <w:bCs/>
        </w:rPr>
        <w:t>.</w:t>
      </w:r>
    </w:p>
  </w:footnote>
  <w:footnote w:id="149">
    <w:p w14:paraId="3E57C5EF" w14:textId="752ED07D" w:rsidR="00235520" w:rsidRPr="004578D6" w:rsidRDefault="00235520" w:rsidP="00F15BB2">
      <w:pPr>
        <w:pStyle w:val="FootnoteText"/>
      </w:pPr>
      <w:r>
        <w:rPr>
          <w:rStyle w:val="FootnoteReference"/>
        </w:rPr>
        <w:footnoteRef/>
      </w:r>
      <w:r>
        <w:t xml:space="preserve"> </w:t>
      </w:r>
      <w:r>
        <w:rPr>
          <w:i/>
        </w:rPr>
        <w:t>Id.</w:t>
      </w:r>
      <w:r>
        <w:rPr>
          <w:bCs/>
        </w:rPr>
        <w:t xml:space="preserve"> </w:t>
      </w:r>
      <w:r>
        <w:t xml:space="preserve">at 1-2.  </w:t>
      </w:r>
    </w:p>
  </w:footnote>
  <w:footnote w:id="150">
    <w:p w14:paraId="48513811" w14:textId="77777777" w:rsidR="00235520" w:rsidRDefault="00235520" w:rsidP="00F15BB2">
      <w:pPr>
        <w:pStyle w:val="FootnoteText"/>
      </w:pPr>
      <w:r>
        <w:rPr>
          <w:rStyle w:val="FootnoteReference"/>
        </w:rPr>
        <w:footnoteRef/>
      </w:r>
      <w:r>
        <w:t xml:space="preserve"> Havens Petition to Deny at </w:t>
      </w:r>
      <w:r>
        <w:rPr>
          <w:szCs w:val="22"/>
        </w:rPr>
        <w:t>38-39</w:t>
      </w:r>
      <w:r>
        <w:t xml:space="preserve">.  </w:t>
      </w:r>
      <w:r>
        <w:rPr>
          <w:szCs w:val="22"/>
        </w:rPr>
        <w:t xml:space="preserve">These arguments include the assertion that MCLM’s petitions to deny unrelated Havens Entities’ Section 20.9(b) applications in a separate, unrelated proceeding demonstrates a lack of candor on MCLM’s part.  </w:t>
      </w:r>
      <w:r w:rsidRPr="007A6FFA">
        <w:rPr>
          <w:i/>
          <w:szCs w:val="22"/>
        </w:rPr>
        <w:t>Id</w:t>
      </w:r>
      <w:r>
        <w:rPr>
          <w:szCs w:val="22"/>
        </w:rPr>
        <w:t>.</w:t>
      </w:r>
      <w:r>
        <w:t xml:space="preserve"> </w:t>
      </w:r>
    </w:p>
  </w:footnote>
  <w:footnote w:id="151">
    <w:p w14:paraId="6EE0C0A2" w14:textId="50C4D20F" w:rsidR="00235520" w:rsidRPr="0074596D" w:rsidRDefault="00235520" w:rsidP="00F15BB2">
      <w:pPr>
        <w:pStyle w:val="FootnoteText"/>
      </w:pPr>
      <w:r>
        <w:rPr>
          <w:rStyle w:val="FootnoteReference"/>
        </w:rPr>
        <w:footnoteRef/>
      </w:r>
      <w:r>
        <w:t xml:space="preserve"> </w:t>
      </w:r>
      <w:r>
        <w:rPr>
          <w:i/>
        </w:rPr>
        <w:t xml:space="preserve">See </w:t>
      </w:r>
      <w:r w:rsidRPr="0018241B">
        <w:rPr>
          <w:i/>
        </w:rPr>
        <w:t xml:space="preserve">supra </w:t>
      </w:r>
      <w:r w:rsidRPr="0018241B">
        <w:t>para</w:t>
      </w:r>
      <w:r w:rsidR="005803BF">
        <w:t>graph</w:t>
      </w:r>
      <w:r w:rsidRPr="0018241B">
        <w:t xml:space="preserve"> 19.</w:t>
      </w:r>
    </w:p>
  </w:footnote>
  <w:footnote w:id="152">
    <w:p w14:paraId="1F18566D" w14:textId="77777777" w:rsidR="00235520" w:rsidRDefault="00235520" w:rsidP="00F253F2">
      <w:pPr>
        <w:pStyle w:val="FootnoteText"/>
      </w:pPr>
      <w:r>
        <w:rPr>
          <w:rStyle w:val="FootnoteReference"/>
        </w:rPr>
        <w:footnoteRef/>
      </w:r>
      <w:r>
        <w:t xml:space="preserve"> 47 CF</w:t>
      </w:r>
      <w:r w:rsidRPr="00CB2D72">
        <w:t>R § 20.9(b)</w:t>
      </w:r>
      <w:r>
        <w:t>(2).</w:t>
      </w:r>
    </w:p>
  </w:footnote>
  <w:footnote w:id="153">
    <w:p w14:paraId="3D2F2C43" w14:textId="4D71A308" w:rsidR="00235520" w:rsidRPr="002974F2" w:rsidRDefault="00235520" w:rsidP="00F15BB2">
      <w:pPr>
        <w:pStyle w:val="FootnoteText"/>
      </w:pPr>
      <w:r>
        <w:rPr>
          <w:rStyle w:val="FootnoteReference"/>
        </w:rPr>
        <w:footnoteRef/>
      </w:r>
      <w:r>
        <w:t xml:space="preserve"> Certification Pursuant to Section 20.9(b), FCC File No. </w:t>
      </w:r>
      <w:r w:rsidRPr="00B30F70">
        <w:t>0004144435</w:t>
      </w:r>
      <w:r>
        <w:t xml:space="preserve"> at 2 (filed Mar. 3, 2010) (</w:t>
      </w:r>
      <w:r w:rsidRPr="00A22E27">
        <w:t>SCRRA Section 20.9(b) Certification)</w:t>
      </w:r>
      <w:r>
        <w:t xml:space="preserve">, </w:t>
      </w:r>
      <w:r>
        <w:rPr>
          <w:i/>
        </w:rPr>
        <w:t xml:space="preserve">citing to </w:t>
      </w:r>
      <w:r>
        <w:t>47 CFR § 20.3.</w:t>
      </w:r>
    </w:p>
  </w:footnote>
  <w:footnote w:id="154">
    <w:p w14:paraId="55C1E8A5" w14:textId="77777777" w:rsidR="00235520" w:rsidRPr="00224ED4" w:rsidRDefault="00235520" w:rsidP="00F15BB2">
      <w:pPr>
        <w:pStyle w:val="FootnoteText"/>
      </w:pPr>
      <w:r>
        <w:rPr>
          <w:rStyle w:val="FootnoteReference"/>
        </w:rPr>
        <w:footnoteRef/>
      </w:r>
      <w:r>
        <w:t xml:space="preserve"> </w:t>
      </w:r>
      <w:r w:rsidRPr="00BF0937">
        <w:t>SCRRA Section 20.9(b) Certification</w:t>
      </w:r>
      <w:r>
        <w:t xml:space="preserve"> at 1-2.  SCRRA states that trains will automatically stop when the PTC system interprets the lack of its own signal reception as a lack of movement authority.  </w:t>
      </w:r>
      <w:r>
        <w:rPr>
          <w:i/>
        </w:rPr>
        <w:t xml:space="preserve">Id. </w:t>
      </w:r>
      <w:r>
        <w:t xml:space="preserve">at 2.  </w:t>
      </w:r>
    </w:p>
  </w:footnote>
  <w:footnote w:id="155">
    <w:p w14:paraId="0B06E7C6" w14:textId="77777777" w:rsidR="00235520" w:rsidRPr="000C0FB5" w:rsidRDefault="00235520" w:rsidP="00F15BB2">
      <w:pPr>
        <w:pStyle w:val="FootnoteText"/>
      </w:pPr>
      <w:r>
        <w:rPr>
          <w:rStyle w:val="FootnoteReference"/>
        </w:rPr>
        <w:footnoteRef/>
      </w:r>
      <w:r>
        <w:t xml:space="preserve"> </w:t>
      </w:r>
      <w:r>
        <w:rPr>
          <w:i/>
        </w:rPr>
        <w:t xml:space="preserve">See </w:t>
      </w:r>
      <w:r>
        <w:t>47 CFR</w:t>
      </w:r>
      <w:r w:rsidRPr="00CB2D72">
        <w:t xml:space="preserve"> § 20.9(b)</w:t>
      </w:r>
      <w:r>
        <w:t>(2).</w:t>
      </w:r>
      <w:r w:rsidRPr="00CB2D72">
        <w:t xml:space="preserve"> </w:t>
      </w:r>
      <w:r>
        <w:t xml:space="preserve">  </w:t>
      </w:r>
    </w:p>
  </w:footnote>
  <w:footnote w:id="156">
    <w:p w14:paraId="22F644A3" w14:textId="77777777" w:rsidR="00235520" w:rsidRDefault="00235520" w:rsidP="00F15BB2">
      <w:pPr>
        <w:pStyle w:val="FootnoteText"/>
      </w:pPr>
      <w:r>
        <w:rPr>
          <w:rStyle w:val="FootnoteReference"/>
        </w:rPr>
        <w:footnoteRef/>
      </w:r>
      <w:r>
        <w:t xml:space="preserve"> ITL/THL/VSL Reply at 23.  </w:t>
      </w:r>
    </w:p>
  </w:footnote>
  <w:footnote w:id="157">
    <w:p w14:paraId="5CB3F369" w14:textId="29BB7486" w:rsidR="00235520" w:rsidRDefault="00235520" w:rsidP="00F15BB2">
      <w:pPr>
        <w:pStyle w:val="FootnoteText"/>
      </w:pPr>
      <w:r>
        <w:rPr>
          <w:rStyle w:val="FootnoteReference"/>
        </w:rPr>
        <w:footnoteRef/>
      </w:r>
      <w:r>
        <w:t xml:space="preserve"> </w:t>
      </w:r>
      <w:r w:rsidRPr="001751C8">
        <w:rPr>
          <w:i/>
        </w:rPr>
        <w:t>See supra</w:t>
      </w:r>
      <w:r>
        <w:t xml:space="preserve"> </w:t>
      </w:r>
      <w:r w:rsidRPr="00181AE0">
        <w:t>note</w:t>
      </w:r>
      <w:r>
        <w:t xml:space="preserve"> </w:t>
      </w:r>
      <w:r w:rsidR="005803BF">
        <w:t>81</w:t>
      </w:r>
      <w:r>
        <w:t>.</w:t>
      </w:r>
    </w:p>
  </w:footnote>
  <w:footnote w:id="158">
    <w:p w14:paraId="7E8DE6F2" w14:textId="4D3375A1" w:rsidR="00235520" w:rsidRPr="00DF2AB4" w:rsidRDefault="00235520" w:rsidP="00F15BB2">
      <w:pPr>
        <w:pStyle w:val="FootnoteText"/>
      </w:pPr>
      <w:r>
        <w:rPr>
          <w:rStyle w:val="FootnoteReference"/>
        </w:rPr>
        <w:footnoteRef/>
      </w:r>
      <w:r>
        <w:t xml:space="preserve"> </w:t>
      </w:r>
      <w:r>
        <w:rPr>
          <w:i/>
        </w:rPr>
        <w:t xml:space="preserve">See </w:t>
      </w:r>
      <w:r>
        <w:t>ITL/THL/VSL Reply at 23.</w:t>
      </w:r>
    </w:p>
  </w:footnote>
  <w:footnote w:id="159">
    <w:p w14:paraId="24E1D005" w14:textId="69F042A3" w:rsidR="00235520" w:rsidRDefault="00235520" w:rsidP="00F15BB2">
      <w:pPr>
        <w:pStyle w:val="FootnoteText"/>
      </w:pPr>
      <w:r>
        <w:rPr>
          <w:rStyle w:val="FootnoteReference"/>
        </w:rPr>
        <w:footnoteRef/>
      </w:r>
      <w:r>
        <w:t xml:space="preserve"> </w:t>
      </w:r>
      <w:r>
        <w:rPr>
          <w:i/>
        </w:rPr>
        <w:t xml:space="preserve">See Applications of Verde Systems, LLC, </w:t>
      </w:r>
      <w:r>
        <w:t>Order, 25 FCC Rcd 9166, 9170, para. 9 (WTB MD 2010) (finding that statement describing intent to operate on a private, internal basis without interconnection to the public switched network sufficiently demonstrates that operations would not be within the definition of a CMRS.)</w:t>
      </w:r>
      <w:r w:rsidRPr="00DB0BBB">
        <w:rPr>
          <w:szCs w:val="22"/>
        </w:rPr>
        <w:t xml:space="preserve"> </w:t>
      </w:r>
      <w:r>
        <w:rPr>
          <w:szCs w:val="22"/>
        </w:rPr>
        <w:t xml:space="preserve"> The Commission has stated that when weighing the sufficiency of Section 20.9(b) certifications, it would “rely primarily upon applicants’ representations regarding their regulatory status.”  </w:t>
      </w:r>
      <w:r w:rsidRPr="00A41B28">
        <w:rPr>
          <w:i/>
          <w:szCs w:val="22"/>
        </w:rPr>
        <w:t>Id</w:t>
      </w:r>
      <w:r>
        <w:rPr>
          <w:szCs w:val="22"/>
        </w:rPr>
        <w:t xml:space="preserve">. </w:t>
      </w:r>
      <w:r>
        <w:t xml:space="preserve">at 9169, para. 6 n.24, citing </w:t>
      </w:r>
      <w:r>
        <w:rPr>
          <w:i/>
        </w:rPr>
        <w:t xml:space="preserve">Amendment of the Commission’s Rules Concerning Maritime Communications, </w:t>
      </w:r>
      <w:r>
        <w:t xml:space="preserve">Third Report and Order and Memorandum Opinion and Order, 13 FCC Rcd 19853, 19879, para. 54 (1998).  </w:t>
      </w:r>
    </w:p>
  </w:footnote>
  <w:footnote w:id="160">
    <w:p w14:paraId="24C7FC8A" w14:textId="65ECC3B3" w:rsidR="00235520" w:rsidRDefault="00235520">
      <w:pPr>
        <w:pStyle w:val="FootnoteText"/>
      </w:pPr>
      <w:r>
        <w:rPr>
          <w:rStyle w:val="FootnoteReference"/>
        </w:rPr>
        <w:footnoteRef/>
      </w:r>
      <w:r>
        <w:t xml:space="preserve"> </w:t>
      </w:r>
      <w:r w:rsidRPr="00CB2D72">
        <w:t>47 CFR § 20.9(b)</w:t>
      </w:r>
      <w:r>
        <w:t>(1).</w:t>
      </w:r>
      <w:r w:rsidRPr="00CB2D72">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6036" w14:textId="77777777" w:rsidR="0089446C" w:rsidRDefault="0089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0DE7" w14:textId="18102386" w:rsidR="00235520" w:rsidRDefault="00235520" w:rsidP="00810B6F">
    <w:pPr>
      <w:pStyle w:val="Header"/>
      <w:rPr>
        <w:b w:val="0"/>
      </w:rPr>
    </w:pPr>
    <w:r>
      <w:tab/>
    </w:r>
    <w:r w:rsidRPr="00BA70E1">
      <w:t>Federal Communications Commission</w:t>
    </w:r>
    <w:r w:rsidRPr="00BA70E1">
      <w:tab/>
      <w:t>DA 16-</w:t>
    </w:r>
    <w:r w:rsidR="000D2E93">
      <w:t>1040</w:t>
    </w:r>
  </w:p>
  <w:p w14:paraId="049B4B49" w14:textId="77777777" w:rsidR="00235520" w:rsidRDefault="0023552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61EF105" wp14:editId="5C1115A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3282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4A3E671" w14:textId="77777777" w:rsidR="00235520" w:rsidRDefault="0023552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83031" w14:textId="561A790A" w:rsidR="00235520" w:rsidRDefault="00235520" w:rsidP="003E1BE1">
    <w:pPr>
      <w:pStyle w:val="Header"/>
      <w:tabs>
        <w:tab w:val="left" w:pos="1020"/>
      </w:tabs>
      <w:rPr>
        <w:b w:val="0"/>
      </w:rPr>
    </w:pPr>
    <w:r>
      <w:rPr>
        <w:noProof/>
      </w:rPr>
      <mc:AlternateContent>
        <mc:Choice Requires="wps">
          <w:drawing>
            <wp:anchor distT="0" distB="0" distL="114300" distR="114300" simplePos="0" relativeHeight="251658240" behindDoc="1" locked="0" layoutInCell="0" allowOverlap="1" wp14:anchorId="16784A10" wp14:editId="1FBE099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E8C7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tab/>
      <w:t>Federal Communications Commission</w:t>
    </w:r>
    <w:r>
      <w:tab/>
      <w:t>DA 16-</w:t>
    </w:r>
    <w:r w:rsidR="000D2E93">
      <w:t>1040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5A40B46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4514311"/>
    <w:multiLevelType w:val="hybridMultilevel"/>
    <w:tmpl w:val="D2EE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F6"/>
    <w:rsid w:val="0000044A"/>
    <w:rsid w:val="0000058B"/>
    <w:rsid w:val="00000DCA"/>
    <w:rsid w:val="00002753"/>
    <w:rsid w:val="000109D0"/>
    <w:rsid w:val="00017525"/>
    <w:rsid w:val="00033AFF"/>
    <w:rsid w:val="00036039"/>
    <w:rsid w:val="0003629A"/>
    <w:rsid w:val="00037F90"/>
    <w:rsid w:val="00040BF3"/>
    <w:rsid w:val="00044C8C"/>
    <w:rsid w:val="000466DF"/>
    <w:rsid w:val="0005326F"/>
    <w:rsid w:val="000545F9"/>
    <w:rsid w:val="00057C69"/>
    <w:rsid w:val="00061539"/>
    <w:rsid w:val="00071412"/>
    <w:rsid w:val="00074392"/>
    <w:rsid w:val="000821CD"/>
    <w:rsid w:val="000875BF"/>
    <w:rsid w:val="0009446E"/>
    <w:rsid w:val="00096D8C"/>
    <w:rsid w:val="000B0188"/>
    <w:rsid w:val="000B5341"/>
    <w:rsid w:val="000C0B65"/>
    <w:rsid w:val="000C1826"/>
    <w:rsid w:val="000C2DC3"/>
    <w:rsid w:val="000C3103"/>
    <w:rsid w:val="000C584C"/>
    <w:rsid w:val="000C5E5A"/>
    <w:rsid w:val="000C5F16"/>
    <w:rsid w:val="000C752A"/>
    <w:rsid w:val="000D1A60"/>
    <w:rsid w:val="000D27FE"/>
    <w:rsid w:val="000D2E93"/>
    <w:rsid w:val="000D7083"/>
    <w:rsid w:val="000E05FE"/>
    <w:rsid w:val="000E3D42"/>
    <w:rsid w:val="000E613F"/>
    <w:rsid w:val="000E63F0"/>
    <w:rsid w:val="000F7767"/>
    <w:rsid w:val="00101971"/>
    <w:rsid w:val="00103D9A"/>
    <w:rsid w:val="00103E6B"/>
    <w:rsid w:val="00106C38"/>
    <w:rsid w:val="00113FC6"/>
    <w:rsid w:val="00115B10"/>
    <w:rsid w:val="00117219"/>
    <w:rsid w:val="00122BD5"/>
    <w:rsid w:val="00124C05"/>
    <w:rsid w:val="00125FE6"/>
    <w:rsid w:val="00126CAC"/>
    <w:rsid w:val="00131176"/>
    <w:rsid w:val="00133F79"/>
    <w:rsid w:val="00134692"/>
    <w:rsid w:val="00143ECD"/>
    <w:rsid w:val="00152F55"/>
    <w:rsid w:val="00153467"/>
    <w:rsid w:val="00163E5B"/>
    <w:rsid w:val="00165C95"/>
    <w:rsid w:val="00167854"/>
    <w:rsid w:val="00171283"/>
    <w:rsid w:val="00176B9B"/>
    <w:rsid w:val="0018086B"/>
    <w:rsid w:val="00181AE0"/>
    <w:rsid w:val="0018241B"/>
    <w:rsid w:val="00183669"/>
    <w:rsid w:val="00187875"/>
    <w:rsid w:val="001908D0"/>
    <w:rsid w:val="00192867"/>
    <w:rsid w:val="001947A4"/>
    <w:rsid w:val="00194A66"/>
    <w:rsid w:val="00194AF0"/>
    <w:rsid w:val="0019615F"/>
    <w:rsid w:val="001968CB"/>
    <w:rsid w:val="00196D74"/>
    <w:rsid w:val="00197653"/>
    <w:rsid w:val="001B4CBD"/>
    <w:rsid w:val="001B56F6"/>
    <w:rsid w:val="001C38A6"/>
    <w:rsid w:val="001C7F30"/>
    <w:rsid w:val="001D11A5"/>
    <w:rsid w:val="001D3917"/>
    <w:rsid w:val="001D3E95"/>
    <w:rsid w:val="001D5338"/>
    <w:rsid w:val="001D6BCF"/>
    <w:rsid w:val="001E01CA"/>
    <w:rsid w:val="001E14D0"/>
    <w:rsid w:val="001E4AE3"/>
    <w:rsid w:val="001F2EA3"/>
    <w:rsid w:val="001F7B3E"/>
    <w:rsid w:val="002022F1"/>
    <w:rsid w:val="002043DC"/>
    <w:rsid w:val="00205692"/>
    <w:rsid w:val="00207488"/>
    <w:rsid w:val="00216A6A"/>
    <w:rsid w:val="00217C5F"/>
    <w:rsid w:val="00220739"/>
    <w:rsid w:val="002210DC"/>
    <w:rsid w:val="002332C3"/>
    <w:rsid w:val="00234FB6"/>
    <w:rsid w:val="00235520"/>
    <w:rsid w:val="0023691F"/>
    <w:rsid w:val="00237C9D"/>
    <w:rsid w:val="00257E8E"/>
    <w:rsid w:val="002653B9"/>
    <w:rsid w:val="0026606E"/>
    <w:rsid w:val="00271B2F"/>
    <w:rsid w:val="00275CF5"/>
    <w:rsid w:val="00276428"/>
    <w:rsid w:val="0028183B"/>
    <w:rsid w:val="0028301F"/>
    <w:rsid w:val="00283AA5"/>
    <w:rsid w:val="00285017"/>
    <w:rsid w:val="0028725C"/>
    <w:rsid w:val="00292E90"/>
    <w:rsid w:val="002A2D2E"/>
    <w:rsid w:val="002B3E87"/>
    <w:rsid w:val="002C00E8"/>
    <w:rsid w:val="002C0311"/>
    <w:rsid w:val="002C1E14"/>
    <w:rsid w:val="002C4683"/>
    <w:rsid w:val="002D4565"/>
    <w:rsid w:val="002D46D3"/>
    <w:rsid w:val="002D51E5"/>
    <w:rsid w:val="002D650B"/>
    <w:rsid w:val="002D6E09"/>
    <w:rsid w:val="002D7273"/>
    <w:rsid w:val="002E302B"/>
    <w:rsid w:val="002E516A"/>
    <w:rsid w:val="002F04CB"/>
    <w:rsid w:val="002F0AF2"/>
    <w:rsid w:val="002F2C25"/>
    <w:rsid w:val="00302BAC"/>
    <w:rsid w:val="0030562A"/>
    <w:rsid w:val="00307EE3"/>
    <w:rsid w:val="00310DAD"/>
    <w:rsid w:val="003126C5"/>
    <w:rsid w:val="00316FD2"/>
    <w:rsid w:val="00317A31"/>
    <w:rsid w:val="003246BD"/>
    <w:rsid w:val="00326285"/>
    <w:rsid w:val="003309A6"/>
    <w:rsid w:val="00334394"/>
    <w:rsid w:val="003348F0"/>
    <w:rsid w:val="00343749"/>
    <w:rsid w:val="0034565B"/>
    <w:rsid w:val="0035518D"/>
    <w:rsid w:val="003648BF"/>
    <w:rsid w:val="003660ED"/>
    <w:rsid w:val="00366EFC"/>
    <w:rsid w:val="00370390"/>
    <w:rsid w:val="00381600"/>
    <w:rsid w:val="00387D6D"/>
    <w:rsid w:val="00392EC0"/>
    <w:rsid w:val="00394AB4"/>
    <w:rsid w:val="00394B88"/>
    <w:rsid w:val="003965B1"/>
    <w:rsid w:val="003A15E3"/>
    <w:rsid w:val="003A2945"/>
    <w:rsid w:val="003A555A"/>
    <w:rsid w:val="003A6B12"/>
    <w:rsid w:val="003A7A2B"/>
    <w:rsid w:val="003B01CC"/>
    <w:rsid w:val="003B0550"/>
    <w:rsid w:val="003B694F"/>
    <w:rsid w:val="003C169F"/>
    <w:rsid w:val="003C2C1A"/>
    <w:rsid w:val="003E1BE1"/>
    <w:rsid w:val="003E539C"/>
    <w:rsid w:val="003F171C"/>
    <w:rsid w:val="003F41BC"/>
    <w:rsid w:val="00401C64"/>
    <w:rsid w:val="004059FE"/>
    <w:rsid w:val="004106D0"/>
    <w:rsid w:val="00412FC5"/>
    <w:rsid w:val="00414AAB"/>
    <w:rsid w:val="00415C0A"/>
    <w:rsid w:val="00417593"/>
    <w:rsid w:val="00417DE5"/>
    <w:rsid w:val="00422276"/>
    <w:rsid w:val="004242F1"/>
    <w:rsid w:val="00424AA9"/>
    <w:rsid w:val="0042579D"/>
    <w:rsid w:val="0042591E"/>
    <w:rsid w:val="00430B44"/>
    <w:rsid w:val="00433F05"/>
    <w:rsid w:val="004363F7"/>
    <w:rsid w:val="00440E13"/>
    <w:rsid w:val="00444F45"/>
    <w:rsid w:val="00445A00"/>
    <w:rsid w:val="00451B0F"/>
    <w:rsid w:val="00463EA3"/>
    <w:rsid w:val="0046422C"/>
    <w:rsid w:val="00464D9E"/>
    <w:rsid w:val="0046556E"/>
    <w:rsid w:val="00472895"/>
    <w:rsid w:val="00472F75"/>
    <w:rsid w:val="00474D8B"/>
    <w:rsid w:val="004815FD"/>
    <w:rsid w:val="00485D00"/>
    <w:rsid w:val="00486010"/>
    <w:rsid w:val="0048718F"/>
    <w:rsid w:val="00492AAD"/>
    <w:rsid w:val="004A4181"/>
    <w:rsid w:val="004A4FF7"/>
    <w:rsid w:val="004A6E6D"/>
    <w:rsid w:val="004A7393"/>
    <w:rsid w:val="004B1446"/>
    <w:rsid w:val="004B4594"/>
    <w:rsid w:val="004B45D9"/>
    <w:rsid w:val="004B6092"/>
    <w:rsid w:val="004B66AF"/>
    <w:rsid w:val="004B66D3"/>
    <w:rsid w:val="004C121C"/>
    <w:rsid w:val="004C241C"/>
    <w:rsid w:val="004C2EE3"/>
    <w:rsid w:val="004C6B63"/>
    <w:rsid w:val="004D0A3D"/>
    <w:rsid w:val="004D2A6F"/>
    <w:rsid w:val="004E483C"/>
    <w:rsid w:val="004E4A22"/>
    <w:rsid w:val="004E5EBD"/>
    <w:rsid w:val="004F1F82"/>
    <w:rsid w:val="00501872"/>
    <w:rsid w:val="00501A07"/>
    <w:rsid w:val="00502648"/>
    <w:rsid w:val="00503756"/>
    <w:rsid w:val="00503C94"/>
    <w:rsid w:val="00510EA3"/>
    <w:rsid w:val="00511968"/>
    <w:rsid w:val="00516E7C"/>
    <w:rsid w:val="00517A86"/>
    <w:rsid w:val="00520D44"/>
    <w:rsid w:val="00527B75"/>
    <w:rsid w:val="00530093"/>
    <w:rsid w:val="00532B28"/>
    <w:rsid w:val="005355B5"/>
    <w:rsid w:val="00543075"/>
    <w:rsid w:val="005454CA"/>
    <w:rsid w:val="0054776D"/>
    <w:rsid w:val="00553BAE"/>
    <w:rsid w:val="00553EEC"/>
    <w:rsid w:val="00554249"/>
    <w:rsid w:val="0055614C"/>
    <w:rsid w:val="0057283E"/>
    <w:rsid w:val="00576E65"/>
    <w:rsid w:val="005803BF"/>
    <w:rsid w:val="005857FF"/>
    <w:rsid w:val="0059084B"/>
    <w:rsid w:val="005A475F"/>
    <w:rsid w:val="005A620A"/>
    <w:rsid w:val="005A6E0F"/>
    <w:rsid w:val="005A76FB"/>
    <w:rsid w:val="005A791B"/>
    <w:rsid w:val="005B2F96"/>
    <w:rsid w:val="005C07BA"/>
    <w:rsid w:val="005C2AFF"/>
    <w:rsid w:val="005C718B"/>
    <w:rsid w:val="005D1BE1"/>
    <w:rsid w:val="005E14C2"/>
    <w:rsid w:val="005E62C1"/>
    <w:rsid w:val="005E70B3"/>
    <w:rsid w:val="005F04B0"/>
    <w:rsid w:val="005F1926"/>
    <w:rsid w:val="005F775D"/>
    <w:rsid w:val="00601140"/>
    <w:rsid w:val="0060229E"/>
    <w:rsid w:val="00602A72"/>
    <w:rsid w:val="00607BA5"/>
    <w:rsid w:val="00607EC8"/>
    <w:rsid w:val="006105E8"/>
    <w:rsid w:val="00610FA7"/>
    <w:rsid w:val="0061180A"/>
    <w:rsid w:val="00614AD4"/>
    <w:rsid w:val="00620FC0"/>
    <w:rsid w:val="00621C63"/>
    <w:rsid w:val="00626EB6"/>
    <w:rsid w:val="00635FED"/>
    <w:rsid w:val="00640262"/>
    <w:rsid w:val="006453AF"/>
    <w:rsid w:val="00647B59"/>
    <w:rsid w:val="006502C7"/>
    <w:rsid w:val="00650607"/>
    <w:rsid w:val="00651F0A"/>
    <w:rsid w:val="00655BC6"/>
    <w:rsid w:val="00655D03"/>
    <w:rsid w:val="00656E25"/>
    <w:rsid w:val="00661F04"/>
    <w:rsid w:val="006652C5"/>
    <w:rsid w:val="00667132"/>
    <w:rsid w:val="00672FB2"/>
    <w:rsid w:val="006734E1"/>
    <w:rsid w:val="00676CC1"/>
    <w:rsid w:val="00681A16"/>
    <w:rsid w:val="00683388"/>
    <w:rsid w:val="00683F84"/>
    <w:rsid w:val="006842F3"/>
    <w:rsid w:val="006845EF"/>
    <w:rsid w:val="00686CC4"/>
    <w:rsid w:val="00687E27"/>
    <w:rsid w:val="006954AA"/>
    <w:rsid w:val="00696E5B"/>
    <w:rsid w:val="006A6A81"/>
    <w:rsid w:val="006B0A0D"/>
    <w:rsid w:val="006B114E"/>
    <w:rsid w:val="006C540A"/>
    <w:rsid w:val="006C576A"/>
    <w:rsid w:val="006D49E5"/>
    <w:rsid w:val="006D4A0A"/>
    <w:rsid w:val="006D6790"/>
    <w:rsid w:val="006E0AFD"/>
    <w:rsid w:val="006E1D18"/>
    <w:rsid w:val="006E75A4"/>
    <w:rsid w:val="006F1BAC"/>
    <w:rsid w:val="006F7393"/>
    <w:rsid w:val="006F7973"/>
    <w:rsid w:val="006F7DF5"/>
    <w:rsid w:val="0070224F"/>
    <w:rsid w:val="00702785"/>
    <w:rsid w:val="0070362C"/>
    <w:rsid w:val="00710BD2"/>
    <w:rsid w:val="007115F7"/>
    <w:rsid w:val="007149F5"/>
    <w:rsid w:val="00716836"/>
    <w:rsid w:val="007209B0"/>
    <w:rsid w:val="00723CD0"/>
    <w:rsid w:val="00730C63"/>
    <w:rsid w:val="00741CCF"/>
    <w:rsid w:val="00744EF5"/>
    <w:rsid w:val="00746AD0"/>
    <w:rsid w:val="007555DD"/>
    <w:rsid w:val="007635C3"/>
    <w:rsid w:val="007747EE"/>
    <w:rsid w:val="00775650"/>
    <w:rsid w:val="00777F0C"/>
    <w:rsid w:val="00785689"/>
    <w:rsid w:val="0078771E"/>
    <w:rsid w:val="0079249F"/>
    <w:rsid w:val="0079357E"/>
    <w:rsid w:val="00793604"/>
    <w:rsid w:val="00796041"/>
    <w:rsid w:val="0079754B"/>
    <w:rsid w:val="007A1E6D"/>
    <w:rsid w:val="007A5843"/>
    <w:rsid w:val="007A69D9"/>
    <w:rsid w:val="007B0EB2"/>
    <w:rsid w:val="007C2232"/>
    <w:rsid w:val="007D4090"/>
    <w:rsid w:val="007D55D0"/>
    <w:rsid w:val="007D7788"/>
    <w:rsid w:val="007E2C83"/>
    <w:rsid w:val="007E7868"/>
    <w:rsid w:val="007F38B4"/>
    <w:rsid w:val="007F6395"/>
    <w:rsid w:val="007F773D"/>
    <w:rsid w:val="00800B2D"/>
    <w:rsid w:val="00803421"/>
    <w:rsid w:val="00805101"/>
    <w:rsid w:val="00806F54"/>
    <w:rsid w:val="00807AA1"/>
    <w:rsid w:val="00810B6F"/>
    <w:rsid w:val="00810D78"/>
    <w:rsid w:val="00811787"/>
    <w:rsid w:val="00812B4B"/>
    <w:rsid w:val="00815B7B"/>
    <w:rsid w:val="008216F9"/>
    <w:rsid w:val="00822CE0"/>
    <w:rsid w:val="00831BD3"/>
    <w:rsid w:val="0083329B"/>
    <w:rsid w:val="00836262"/>
    <w:rsid w:val="00841AB1"/>
    <w:rsid w:val="00846162"/>
    <w:rsid w:val="00850573"/>
    <w:rsid w:val="00852A4A"/>
    <w:rsid w:val="00853C9C"/>
    <w:rsid w:val="00866975"/>
    <w:rsid w:val="00867B80"/>
    <w:rsid w:val="008718B4"/>
    <w:rsid w:val="0087738F"/>
    <w:rsid w:val="00884202"/>
    <w:rsid w:val="0088613F"/>
    <w:rsid w:val="0089218B"/>
    <w:rsid w:val="00892967"/>
    <w:rsid w:val="0089446C"/>
    <w:rsid w:val="008A05FC"/>
    <w:rsid w:val="008A0BD8"/>
    <w:rsid w:val="008A0D2B"/>
    <w:rsid w:val="008A1C5D"/>
    <w:rsid w:val="008A352C"/>
    <w:rsid w:val="008B0437"/>
    <w:rsid w:val="008B1E0A"/>
    <w:rsid w:val="008B1E52"/>
    <w:rsid w:val="008B262C"/>
    <w:rsid w:val="008B3247"/>
    <w:rsid w:val="008B469E"/>
    <w:rsid w:val="008B4F9C"/>
    <w:rsid w:val="008C68F1"/>
    <w:rsid w:val="008C6D16"/>
    <w:rsid w:val="008D07F3"/>
    <w:rsid w:val="008D7AB5"/>
    <w:rsid w:val="008D7CB2"/>
    <w:rsid w:val="008E244F"/>
    <w:rsid w:val="008E6C05"/>
    <w:rsid w:val="008F2305"/>
    <w:rsid w:val="008F2424"/>
    <w:rsid w:val="008F4510"/>
    <w:rsid w:val="008F4623"/>
    <w:rsid w:val="008F496E"/>
    <w:rsid w:val="00906440"/>
    <w:rsid w:val="0091082B"/>
    <w:rsid w:val="009114F0"/>
    <w:rsid w:val="009123EA"/>
    <w:rsid w:val="00913B0D"/>
    <w:rsid w:val="00916193"/>
    <w:rsid w:val="00917585"/>
    <w:rsid w:val="00921803"/>
    <w:rsid w:val="009240F1"/>
    <w:rsid w:val="009250C3"/>
    <w:rsid w:val="00925F07"/>
    <w:rsid w:val="00926503"/>
    <w:rsid w:val="00926CB4"/>
    <w:rsid w:val="009440DF"/>
    <w:rsid w:val="00945CEA"/>
    <w:rsid w:val="00954092"/>
    <w:rsid w:val="00954CD9"/>
    <w:rsid w:val="009704EB"/>
    <w:rsid w:val="00971F71"/>
    <w:rsid w:val="009726D8"/>
    <w:rsid w:val="00974850"/>
    <w:rsid w:val="009774C4"/>
    <w:rsid w:val="0099075C"/>
    <w:rsid w:val="00995EAC"/>
    <w:rsid w:val="009A2C54"/>
    <w:rsid w:val="009A5407"/>
    <w:rsid w:val="009B3BCC"/>
    <w:rsid w:val="009B3E0E"/>
    <w:rsid w:val="009B3FF5"/>
    <w:rsid w:val="009C7958"/>
    <w:rsid w:val="009D1AC0"/>
    <w:rsid w:val="009D396E"/>
    <w:rsid w:val="009D7DAA"/>
    <w:rsid w:val="009E162D"/>
    <w:rsid w:val="009E67A6"/>
    <w:rsid w:val="009F5B6C"/>
    <w:rsid w:val="009F76DB"/>
    <w:rsid w:val="009F7814"/>
    <w:rsid w:val="00A010F5"/>
    <w:rsid w:val="00A05C46"/>
    <w:rsid w:val="00A13673"/>
    <w:rsid w:val="00A20BDF"/>
    <w:rsid w:val="00A22E27"/>
    <w:rsid w:val="00A2386D"/>
    <w:rsid w:val="00A25AD5"/>
    <w:rsid w:val="00A300C5"/>
    <w:rsid w:val="00A32A21"/>
    <w:rsid w:val="00A32C3B"/>
    <w:rsid w:val="00A37106"/>
    <w:rsid w:val="00A45F4F"/>
    <w:rsid w:val="00A46198"/>
    <w:rsid w:val="00A50D21"/>
    <w:rsid w:val="00A526EE"/>
    <w:rsid w:val="00A53E95"/>
    <w:rsid w:val="00A600A9"/>
    <w:rsid w:val="00A65F69"/>
    <w:rsid w:val="00A773E3"/>
    <w:rsid w:val="00A779BB"/>
    <w:rsid w:val="00A77AB1"/>
    <w:rsid w:val="00A82FE1"/>
    <w:rsid w:val="00A85D1A"/>
    <w:rsid w:val="00A90395"/>
    <w:rsid w:val="00A9757F"/>
    <w:rsid w:val="00A97AD9"/>
    <w:rsid w:val="00AA55B7"/>
    <w:rsid w:val="00AA5B9E"/>
    <w:rsid w:val="00AB0535"/>
    <w:rsid w:val="00AB0E2E"/>
    <w:rsid w:val="00AB215A"/>
    <w:rsid w:val="00AB2407"/>
    <w:rsid w:val="00AB3F7D"/>
    <w:rsid w:val="00AB53DF"/>
    <w:rsid w:val="00AB72E1"/>
    <w:rsid w:val="00AC03F6"/>
    <w:rsid w:val="00AC187D"/>
    <w:rsid w:val="00AC275C"/>
    <w:rsid w:val="00AC4199"/>
    <w:rsid w:val="00AD375F"/>
    <w:rsid w:val="00AD4513"/>
    <w:rsid w:val="00AD5B2B"/>
    <w:rsid w:val="00AE7796"/>
    <w:rsid w:val="00AF181B"/>
    <w:rsid w:val="00AF4508"/>
    <w:rsid w:val="00AF5931"/>
    <w:rsid w:val="00B01BDF"/>
    <w:rsid w:val="00B02197"/>
    <w:rsid w:val="00B02AD2"/>
    <w:rsid w:val="00B02DEF"/>
    <w:rsid w:val="00B02ED8"/>
    <w:rsid w:val="00B07E5C"/>
    <w:rsid w:val="00B12D1F"/>
    <w:rsid w:val="00B156FD"/>
    <w:rsid w:val="00B24DEC"/>
    <w:rsid w:val="00B30F70"/>
    <w:rsid w:val="00B335A7"/>
    <w:rsid w:val="00B33A31"/>
    <w:rsid w:val="00B34487"/>
    <w:rsid w:val="00B37ACC"/>
    <w:rsid w:val="00B40EA4"/>
    <w:rsid w:val="00B42F77"/>
    <w:rsid w:val="00B45A3A"/>
    <w:rsid w:val="00B63728"/>
    <w:rsid w:val="00B66F99"/>
    <w:rsid w:val="00B714E9"/>
    <w:rsid w:val="00B75040"/>
    <w:rsid w:val="00B753D0"/>
    <w:rsid w:val="00B75FCE"/>
    <w:rsid w:val="00B811F7"/>
    <w:rsid w:val="00B81691"/>
    <w:rsid w:val="00B81780"/>
    <w:rsid w:val="00B909E2"/>
    <w:rsid w:val="00BA1DE9"/>
    <w:rsid w:val="00BA5DC6"/>
    <w:rsid w:val="00BA6196"/>
    <w:rsid w:val="00BA70E1"/>
    <w:rsid w:val="00BA7E38"/>
    <w:rsid w:val="00BB188C"/>
    <w:rsid w:val="00BB1CBD"/>
    <w:rsid w:val="00BB23AD"/>
    <w:rsid w:val="00BB31DC"/>
    <w:rsid w:val="00BB5570"/>
    <w:rsid w:val="00BC6D8C"/>
    <w:rsid w:val="00BD382B"/>
    <w:rsid w:val="00BE0FC0"/>
    <w:rsid w:val="00BE3DED"/>
    <w:rsid w:val="00BE43BF"/>
    <w:rsid w:val="00C032C2"/>
    <w:rsid w:val="00C03756"/>
    <w:rsid w:val="00C1187D"/>
    <w:rsid w:val="00C132B3"/>
    <w:rsid w:val="00C13A70"/>
    <w:rsid w:val="00C22197"/>
    <w:rsid w:val="00C2362B"/>
    <w:rsid w:val="00C24B93"/>
    <w:rsid w:val="00C302D4"/>
    <w:rsid w:val="00C33CBD"/>
    <w:rsid w:val="00C34006"/>
    <w:rsid w:val="00C3793F"/>
    <w:rsid w:val="00C41F83"/>
    <w:rsid w:val="00C4221F"/>
    <w:rsid w:val="00C426B1"/>
    <w:rsid w:val="00C436C5"/>
    <w:rsid w:val="00C478DC"/>
    <w:rsid w:val="00C542E6"/>
    <w:rsid w:val="00C64F43"/>
    <w:rsid w:val="00C66160"/>
    <w:rsid w:val="00C67536"/>
    <w:rsid w:val="00C721AC"/>
    <w:rsid w:val="00C8530E"/>
    <w:rsid w:val="00C90D6A"/>
    <w:rsid w:val="00C92E0B"/>
    <w:rsid w:val="00C934A5"/>
    <w:rsid w:val="00C95C21"/>
    <w:rsid w:val="00CA0FCA"/>
    <w:rsid w:val="00CA247E"/>
    <w:rsid w:val="00CA3804"/>
    <w:rsid w:val="00CA5A59"/>
    <w:rsid w:val="00CA6557"/>
    <w:rsid w:val="00CA7E36"/>
    <w:rsid w:val="00CB67F7"/>
    <w:rsid w:val="00CC72B6"/>
    <w:rsid w:val="00CD56FE"/>
    <w:rsid w:val="00CE356A"/>
    <w:rsid w:val="00CF1FDA"/>
    <w:rsid w:val="00CF5F00"/>
    <w:rsid w:val="00CF7952"/>
    <w:rsid w:val="00D0079E"/>
    <w:rsid w:val="00D0218D"/>
    <w:rsid w:val="00D0701F"/>
    <w:rsid w:val="00D0720C"/>
    <w:rsid w:val="00D073AD"/>
    <w:rsid w:val="00D12578"/>
    <w:rsid w:val="00D12CA7"/>
    <w:rsid w:val="00D2067B"/>
    <w:rsid w:val="00D21847"/>
    <w:rsid w:val="00D21974"/>
    <w:rsid w:val="00D21AFB"/>
    <w:rsid w:val="00D24ABC"/>
    <w:rsid w:val="00D25FB5"/>
    <w:rsid w:val="00D32B12"/>
    <w:rsid w:val="00D44223"/>
    <w:rsid w:val="00D46424"/>
    <w:rsid w:val="00D46426"/>
    <w:rsid w:val="00D4690D"/>
    <w:rsid w:val="00D51547"/>
    <w:rsid w:val="00D54C85"/>
    <w:rsid w:val="00D55A29"/>
    <w:rsid w:val="00D56578"/>
    <w:rsid w:val="00D6270D"/>
    <w:rsid w:val="00D62DD8"/>
    <w:rsid w:val="00D65040"/>
    <w:rsid w:val="00D6518D"/>
    <w:rsid w:val="00D67C84"/>
    <w:rsid w:val="00D7415D"/>
    <w:rsid w:val="00D853AF"/>
    <w:rsid w:val="00D92244"/>
    <w:rsid w:val="00D939F6"/>
    <w:rsid w:val="00DA1B02"/>
    <w:rsid w:val="00DA2529"/>
    <w:rsid w:val="00DA4A41"/>
    <w:rsid w:val="00DA5B8C"/>
    <w:rsid w:val="00DA6D0C"/>
    <w:rsid w:val="00DB130A"/>
    <w:rsid w:val="00DB2EBB"/>
    <w:rsid w:val="00DB40FE"/>
    <w:rsid w:val="00DB4A47"/>
    <w:rsid w:val="00DB6A38"/>
    <w:rsid w:val="00DB7C1E"/>
    <w:rsid w:val="00DB7D49"/>
    <w:rsid w:val="00DC10A1"/>
    <w:rsid w:val="00DC2924"/>
    <w:rsid w:val="00DC48B9"/>
    <w:rsid w:val="00DC655F"/>
    <w:rsid w:val="00DD0B59"/>
    <w:rsid w:val="00DD7EBD"/>
    <w:rsid w:val="00DE04E9"/>
    <w:rsid w:val="00DE21F6"/>
    <w:rsid w:val="00DF62B6"/>
    <w:rsid w:val="00E00B4D"/>
    <w:rsid w:val="00E07225"/>
    <w:rsid w:val="00E077C3"/>
    <w:rsid w:val="00E13038"/>
    <w:rsid w:val="00E146D7"/>
    <w:rsid w:val="00E2492E"/>
    <w:rsid w:val="00E36FFD"/>
    <w:rsid w:val="00E371A9"/>
    <w:rsid w:val="00E3739B"/>
    <w:rsid w:val="00E51142"/>
    <w:rsid w:val="00E5409F"/>
    <w:rsid w:val="00E5465D"/>
    <w:rsid w:val="00E548B1"/>
    <w:rsid w:val="00E56551"/>
    <w:rsid w:val="00E62EF4"/>
    <w:rsid w:val="00E67E67"/>
    <w:rsid w:val="00E8228C"/>
    <w:rsid w:val="00E82AB7"/>
    <w:rsid w:val="00E87CCE"/>
    <w:rsid w:val="00E95670"/>
    <w:rsid w:val="00EA3C7E"/>
    <w:rsid w:val="00EA62FC"/>
    <w:rsid w:val="00EB1B00"/>
    <w:rsid w:val="00EB22A5"/>
    <w:rsid w:val="00EB79BE"/>
    <w:rsid w:val="00EC151C"/>
    <w:rsid w:val="00EC1963"/>
    <w:rsid w:val="00EC7C4D"/>
    <w:rsid w:val="00ED2531"/>
    <w:rsid w:val="00ED29B2"/>
    <w:rsid w:val="00ED4A3A"/>
    <w:rsid w:val="00EE6488"/>
    <w:rsid w:val="00EE77EB"/>
    <w:rsid w:val="00F02016"/>
    <w:rsid w:val="00F021FA"/>
    <w:rsid w:val="00F0287E"/>
    <w:rsid w:val="00F0451B"/>
    <w:rsid w:val="00F05844"/>
    <w:rsid w:val="00F110BA"/>
    <w:rsid w:val="00F1498E"/>
    <w:rsid w:val="00F157F2"/>
    <w:rsid w:val="00F15BB2"/>
    <w:rsid w:val="00F253F2"/>
    <w:rsid w:val="00F25A11"/>
    <w:rsid w:val="00F26DC8"/>
    <w:rsid w:val="00F415CB"/>
    <w:rsid w:val="00F43185"/>
    <w:rsid w:val="00F464FE"/>
    <w:rsid w:val="00F4665F"/>
    <w:rsid w:val="00F46DFB"/>
    <w:rsid w:val="00F522A0"/>
    <w:rsid w:val="00F53C3A"/>
    <w:rsid w:val="00F62E97"/>
    <w:rsid w:val="00F64209"/>
    <w:rsid w:val="00F6668A"/>
    <w:rsid w:val="00F70043"/>
    <w:rsid w:val="00F82370"/>
    <w:rsid w:val="00F86524"/>
    <w:rsid w:val="00F90732"/>
    <w:rsid w:val="00F91F72"/>
    <w:rsid w:val="00F93BF5"/>
    <w:rsid w:val="00F95655"/>
    <w:rsid w:val="00FA18D0"/>
    <w:rsid w:val="00FB0333"/>
    <w:rsid w:val="00FB3562"/>
    <w:rsid w:val="00FB4F5C"/>
    <w:rsid w:val="00FB650F"/>
    <w:rsid w:val="00FB688A"/>
    <w:rsid w:val="00FC340A"/>
    <w:rsid w:val="00FC6B2D"/>
    <w:rsid w:val="00FC720A"/>
    <w:rsid w:val="00FD2190"/>
    <w:rsid w:val="00FD5AE8"/>
    <w:rsid w:val="00FE1316"/>
    <w:rsid w:val="00FE651D"/>
    <w:rsid w:val="00FE7194"/>
    <w:rsid w:val="00FE7BF5"/>
    <w:rsid w:val="00FE7C7B"/>
    <w:rsid w:val="00FF2351"/>
    <w:rsid w:val="00F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82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1F6"/>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2,Footnote Text Char2 Char Char,Footnote Text Char3 Char Char Char1,Footnote Text Char2 Char Char Char Char1,fn,f"/>
    <w:link w:val="FootnoteTextChar"/>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2 Char,Footnote Text Char2 Char Char Char,Footnote Text Char3 Char Char Char1 Char"/>
    <w:link w:val="FootnoteText"/>
    <w:rsid w:val="00DE21F6"/>
  </w:style>
  <w:style w:type="character" w:customStyle="1" w:styleId="ParaNumChar">
    <w:name w:val="ParaNum Char"/>
    <w:link w:val="ParaNum"/>
    <w:rsid w:val="00DE21F6"/>
    <w:rPr>
      <w:snapToGrid w:val="0"/>
      <w:kern w:val="28"/>
      <w:sz w:val="22"/>
    </w:rPr>
  </w:style>
  <w:style w:type="character" w:styleId="Emphasis">
    <w:name w:val="Emphasis"/>
    <w:uiPriority w:val="20"/>
    <w:qFormat/>
    <w:rsid w:val="00DE21F6"/>
    <w:rPr>
      <w:i/>
      <w:iCs/>
    </w:rPr>
  </w:style>
  <w:style w:type="character" w:customStyle="1" w:styleId="FooterChar">
    <w:name w:val="Footer Char"/>
    <w:link w:val="Footer"/>
    <w:uiPriority w:val="99"/>
    <w:rsid w:val="00DE21F6"/>
    <w:rPr>
      <w:snapToGrid w:val="0"/>
      <w:kern w:val="28"/>
      <w:sz w:val="22"/>
    </w:rPr>
  </w:style>
  <w:style w:type="paragraph" w:styleId="BalloonText">
    <w:name w:val="Balloon Text"/>
    <w:basedOn w:val="Normal"/>
    <w:link w:val="BalloonTextChar"/>
    <w:rsid w:val="009D7DAA"/>
    <w:rPr>
      <w:rFonts w:ascii="Segoe UI" w:hAnsi="Segoe UI" w:cs="Segoe UI"/>
      <w:sz w:val="18"/>
      <w:szCs w:val="18"/>
    </w:rPr>
  </w:style>
  <w:style w:type="character" w:customStyle="1" w:styleId="BalloonTextChar">
    <w:name w:val="Balloon Text Char"/>
    <w:basedOn w:val="DefaultParagraphFont"/>
    <w:link w:val="BalloonText"/>
    <w:rsid w:val="009D7DAA"/>
    <w:rPr>
      <w:rFonts w:ascii="Segoe UI" w:hAnsi="Segoe UI" w:cs="Segoe UI"/>
      <w:snapToGrid w:val="0"/>
      <w:kern w:val="28"/>
      <w:sz w:val="18"/>
      <w:szCs w:val="18"/>
    </w:rPr>
  </w:style>
  <w:style w:type="character" w:styleId="CommentReference">
    <w:name w:val="annotation reference"/>
    <w:basedOn w:val="DefaultParagraphFont"/>
    <w:rsid w:val="0079249F"/>
    <w:rPr>
      <w:sz w:val="16"/>
      <w:szCs w:val="16"/>
    </w:rPr>
  </w:style>
  <w:style w:type="paragraph" w:styleId="CommentText">
    <w:name w:val="annotation text"/>
    <w:basedOn w:val="Normal"/>
    <w:link w:val="CommentTextChar"/>
    <w:rsid w:val="0079249F"/>
    <w:rPr>
      <w:sz w:val="20"/>
    </w:rPr>
  </w:style>
  <w:style w:type="character" w:customStyle="1" w:styleId="CommentTextChar">
    <w:name w:val="Comment Text Char"/>
    <w:basedOn w:val="DefaultParagraphFont"/>
    <w:link w:val="CommentText"/>
    <w:rsid w:val="0079249F"/>
    <w:rPr>
      <w:snapToGrid w:val="0"/>
      <w:kern w:val="28"/>
    </w:rPr>
  </w:style>
  <w:style w:type="paragraph" w:styleId="CommentSubject">
    <w:name w:val="annotation subject"/>
    <w:basedOn w:val="CommentText"/>
    <w:next w:val="CommentText"/>
    <w:link w:val="CommentSubjectChar"/>
    <w:rsid w:val="0079249F"/>
    <w:rPr>
      <w:b/>
      <w:bCs/>
    </w:rPr>
  </w:style>
  <w:style w:type="character" w:customStyle="1" w:styleId="CommentSubjectChar">
    <w:name w:val="Comment Subject Char"/>
    <w:basedOn w:val="CommentTextChar"/>
    <w:link w:val="CommentSubject"/>
    <w:rsid w:val="0079249F"/>
    <w:rPr>
      <w:b/>
      <w:bCs/>
      <w:snapToGrid w:val="0"/>
      <w:kern w:val="28"/>
    </w:rPr>
  </w:style>
  <w:style w:type="paragraph" w:styleId="Revision">
    <w:name w:val="Revision"/>
    <w:hidden/>
    <w:uiPriority w:val="99"/>
    <w:semiHidden/>
    <w:rsid w:val="0079249F"/>
    <w:rPr>
      <w:snapToGrid w:val="0"/>
      <w:kern w:val="28"/>
      <w:sz w:val="22"/>
    </w:rPr>
  </w:style>
  <w:style w:type="character" w:styleId="FollowedHyperlink">
    <w:name w:val="FollowedHyperlink"/>
    <w:basedOn w:val="DefaultParagraphFont"/>
    <w:rsid w:val="009E16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1F6"/>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2,Footnote Text Char2 Char Char,Footnote Text Char3 Char Char Char1,Footnote Text Char2 Char Char Char Char1,fn,f"/>
    <w:link w:val="FootnoteTextChar"/>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2 Char,Footnote Text Char2 Char Char Char,Footnote Text Char3 Char Char Char1 Char"/>
    <w:link w:val="FootnoteText"/>
    <w:rsid w:val="00DE21F6"/>
  </w:style>
  <w:style w:type="character" w:customStyle="1" w:styleId="ParaNumChar">
    <w:name w:val="ParaNum Char"/>
    <w:link w:val="ParaNum"/>
    <w:rsid w:val="00DE21F6"/>
    <w:rPr>
      <w:snapToGrid w:val="0"/>
      <w:kern w:val="28"/>
      <w:sz w:val="22"/>
    </w:rPr>
  </w:style>
  <w:style w:type="character" w:styleId="Emphasis">
    <w:name w:val="Emphasis"/>
    <w:uiPriority w:val="20"/>
    <w:qFormat/>
    <w:rsid w:val="00DE21F6"/>
    <w:rPr>
      <w:i/>
      <w:iCs/>
    </w:rPr>
  </w:style>
  <w:style w:type="character" w:customStyle="1" w:styleId="FooterChar">
    <w:name w:val="Footer Char"/>
    <w:link w:val="Footer"/>
    <w:uiPriority w:val="99"/>
    <w:rsid w:val="00DE21F6"/>
    <w:rPr>
      <w:snapToGrid w:val="0"/>
      <w:kern w:val="28"/>
      <w:sz w:val="22"/>
    </w:rPr>
  </w:style>
  <w:style w:type="paragraph" w:styleId="BalloonText">
    <w:name w:val="Balloon Text"/>
    <w:basedOn w:val="Normal"/>
    <w:link w:val="BalloonTextChar"/>
    <w:rsid w:val="009D7DAA"/>
    <w:rPr>
      <w:rFonts w:ascii="Segoe UI" w:hAnsi="Segoe UI" w:cs="Segoe UI"/>
      <w:sz w:val="18"/>
      <w:szCs w:val="18"/>
    </w:rPr>
  </w:style>
  <w:style w:type="character" w:customStyle="1" w:styleId="BalloonTextChar">
    <w:name w:val="Balloon Text Char"/>
    <w:basedOn w:val="DefaultParagraphFont"/>
    <w:link w:val="BalloonText"/>
    <w:rsid w:val="009D7DAA"/>
    <w:rPr>
      <w:rFonts w:ascii="Segoe UI" w:hAnsi="Segoe UI" w:cs="Segoe UI"/>
      <w:snapToGrid w:val="0"/>
      <w:kern w:val="28"/>
      <w:sz w:val="18"/>
      <w:szCs w:val="18"/>
    </w:rPr>
  </w:style>
  <w:style w:type="character" w:styleId="CommentReference">
    <w:name w:val="annotation reference"/>
    <w:basedOn w:val="DefaultParagraphFont"/>
    <w:rsid w:val="0079249F"/>
    <w:rPr>
      <w:sz w:val="16"/>
      <w:szCs w:val="16"/>
    </w:rPr>
  </w:style>
  <w:style w:type="paragraph" w:styleId="CommentText">
    <w:name w:val="annotation text"/>
    <w:basedOn w:val="Normal"/>
    <w:link w:val="CommentTextChar"/>
    <w:rsid w:val="0079249F"/>
    <w:rPr>
      <w:sz w:val="20"/>
    </w:rPr>
  </w:style>
  <w:style w:type="character" w:customStyle="1" w:styleId="CommentTextChar">
    <w:name w:val="Comment Text Char"/>
    <w:basedOn w:val="DefaultParagraphFont"/>
    <w:link w:val="CommentText"/>
    <w:rsid w:val="0079249F"/>
    <w:rPr>
      <w:snapToGrid w:val="0"/>
      <w:kern w:val="28"/>
    </w:rPr>
  </w:style>
  <w:style w:type="paragraph" w:styleId="CommentSubject">
    <w:name w:val="annotation subject"/>
    <w:basedOn w:val="CommentText"/>
    <w:next w:val="CommentText"/>
    <w:link w:val="CommentSubjectChar"/>
    <w:rsid w:val="0079249F"/>
    <w:rPr>
      <w:b/>
      <w:bCs/>
    </w:rPr>
  </w:style>
  <w:style w:type="character" w:customStyle="1" w:styleId="CommentSubjectChar">
    <w:name w:val="Comment Subject Char"/>
    <w:basedOn w:val="CommentTextChar"/>
    <w:link w:val="CommentSubject"/>
    <w:rsid w:val="0079249F"/>
    <w:rPr>
      <w:b/>
      <w:bCs/>
      <w:snapToGrid w:val="0"/>
      <w:kern w:val="28"/>
    </w:rPr>
  </w:style>
  <w:style w:type="paragraph" w:styleId="Revision">
    <w:name w:val="Revision"/>
    <w:hidden/>
    <w:uiPriority w:val="99"/>
    <w:semiHidden/>
    <w:rsid w:val="0079249F"/>
    <w:rPr>
      <w:snapToGrid w:val="0"/>
      <w:kern w:val="28"/>
      <w:sz w:val="22"/>
    </w:rPr>
  </w:style>
  <w:style w:type="character" w:styleId="FollowedHyperlink">
    <w:name w:val="FollowedHyperlink"/>
    <w:basedOn w:val="DefaultParagraphFont"/>
    <w:rsid w:val="009E1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8575">
      <w:bodyDiv w:val="1"/>
      <w:marLeft w:val="0"/>
      <w:marRight w:val="0"/>
      <w:marTop w:val="0"/>
      <w:marBottom w:val="0"/>
      <w:divBdr>
        <w:top w:val="none" w:sz="0" w:space="0" w:color="auto"/>
        <w:left w:val="none" w:sz="0" w:space="0" w:color="auto"/>
        <w:bottom w:val="none" w:sz="0" w:space="0" w:color="auto"/>
        <w:right w:val="none" w:sz="0" w:space="0" w:color="auto"/>
      </w:divBdr>
    </w:div>
    <w:div w:id="1298879359">
      <w:bodyDiv w:val="1"/>
      <w:marLeft w:val="0"/>
      <w:marRight w:val="0"/>
      <w:marTop w:val="0"/>
      <w:marBottom w:val="0"/>
      <w:divBdr>
        <w:top w:val="none" w:sz="0" w:space="0" w:color="auto"/>
        <w:left w:val="none" w:sz="0" w:space="0" w:color="auto"/>
        <w:bottom w:val="none" w:sz="0" w:space="0" w:color="auto"/>
        <w:right w:val="none" w:sz="0" w:space="0" w:color="auto"/>
      </w:divBdr>
      <w:divsChild>
        <w:div w:id="1353066284">
          <w:marLeft w:val="0"/>
          <w:marRight w:val="0"/>
          <w:marTop w:val="0"/>
          <w:marBottom w:val="0"/>
          <w:divBdr>
            <w:top w:val="none" w:sz="0" w:space="0" w:color="auto"/>
            <w:left w:val="single" w:sz="6" w:space="0" w:color="BBBBBB"/>
            <w:bottom w:val="single" w:sz="6" w:space="0" w:color="BBBBBB"/>
            <w:right w:val="single" w:sz="6" w:space="0" w:color="BBBBBB"/>
          </w:divBdr>
          <w:divsChild>
            <w:div w:id="143545088">
              <w:marLeft w:val="0"/>
              <w:marRight w:val="0"/>
              <w:marTop w:val="0"/>
              <w:marBottom w:val="0"/>
              <w:divBdr>
                <w:top w:val="none" w:sz="0" w:space="0" w:color="auto"/>
                <w:left w:val="none" w:sz="0" w:space="0" w:color="auto"/>
                <w:bottom w:val="none" w:sz="0" w:space="0" w:color="auto"/>
                <w:right w:val="none" w:sz="0" w:space="0" w:color="auto"/>
              </w:divBdr>
              <w:divsChild>
                <w:div w:id="1832986573">
                  <w:marLeft w:val="0"/>
                  <w:marRight w:val="0"/>
                  <w:marTop w:val="0"/>
                  <w:marBottom w:val="0"/>
                  <w:divBdr>
                    <w:top w:val="none" w:sz="0" w:space="0" w:color="auto"/>
                    <w:left w:val="none" w:sz="0" w:space="0" w:color="auto"/>
                    <w:bottom w:val="none" w:sz="0" w:space="0" w:color="auto"/>
                    <w:right w:val="none" w:sz="0" w:space="0" w:color="auto"/>
                  </w:divBdr>
                  <w:divsChild>
                    <w:div w:id="1765760042">
                      <w:marLeft w:val="0"/>
                      <w:marRight w:val="0"/>
                      <w:marTop w:val="0"/>
                      <w:marBottom w:val="0"/>
                      <w:divBdr>
                        <w:top w:val="none" w:sz="0" w:space="0" w:color="auto"/>
                        <w:left w:val="none" w:sz="0" w:space="0" w:color="auto"/>
                        <w:bottom w:val="none" w:sz="0" w:space="0" w:color="auto"/>
                        <w:right w:val="none" w:sz="0" w:space="0" w:color="auto"/>
                      </w:divBdr>
                      <w:divsChild>
                        <w:div w:id="2086880737">
                          <w:marLeft w:val="0"/>
                          <w:marRight w:val="0"/>
                          <w:marTop w:val="0"/>
                          <w:marBottom w:val="0"/>
                          <w:divBdr>
                            <w:top w:val="none" w:sz="0" w:space="0" w:color="auto"/>
                            <w:left w:val="none" w:sz="0" w:space="0" w:color="auto"/>
                            <w:bottom w:val="none" w:sz="0" w:space="0" w:color="auto"/>
                            <w:right w:val="none" w:sz="0" w:space="0" w:color="auto"/>
                          </w:divBdr>
                          <w:divsChild>
                            <w:div w:id="1172719631">
                              <w:marLeft w:val="0"/>
                              <w:marRight w:val="0"/>
                              <w:marTop w:val="0"/>
                              <w:marBottom w:val="0"/>
                              <w:divBdr>
                                <w:top w:val="none" w:sz="0" w:space="0" w:color="auto"/>
                                <w:left w:val="none" w:sz="0" w:space="0" w:color="auto"/>
                                <w:bottom w:val="none" w:sz="0" w:space="0" w:color="auto"/>
                                <w:right w:val="none" w:sz="0" w:space="0" w:color="auto"/>
                              </w:divBdr>
                              <w:divsChild>
                                <w:div w:id="52001152">
                                  <w:marLeft w:val="0"/>
                                  <w:marRight w:val="0"/>
                                  <w:marTop w:val="0"/>
                                  <w:marBottom w:val="0"/>
                                  <w:divBdr>
                                    <w:top w:val="none" w:sz="0" w:space="0" w:color="auto"/>
                                    <w:left w:val="none" w:sz="0" w:space="0" w:color="auto"/>
                                    <w:bottom w:val="none" w:sz="0" w:space="0" w:color="auto"/>
                                    <w:right w:val="none" w:sz="0" w:space="0" w:color="auto"/>
                                  </w:divBdr>
                                  <w:divsChild>
                                    <w:div w:id="1088228560">
                                      <w:marLeft w:val="0"/>
                                      <w:marRight w:val="0"/>
                                      <w:marTop w:val="0"/>
                                      <w:marBottom w:val="0"/>
                                      <w:divBdr>
                                        <w:top w:val="none" w:sz="0" w:space="0" w:color="auto"/>
                                        <w:left w:val="none" w:sz="0" w:space="0" w:color="auto"/>
                                        <w:bottom w:val="none" w:sz="0" w:space="0" w:color="auto"/>
                                        <w:right w:val="none" w:sz="0" w:space="0" w:color="auto"/>
                                      </w:divBdr>
                                      <w:divsChild>
                                        <w:div w:id="384527483">
                                          <w:marLeft w:val="1200"/>
                                          <w:marRight w:val="1200"/>
                                          <w:marTop w:val="0"/>
                                          <w:marBottom w:val="0"/>
                                          <w:divBdr>
                                            <w:top w:val="none" w:sz="0" w:space="0" w:color="auto"/>
                                            <w:left w:val="none" w:sz="0" w:space="0" w:color="auto"/>
                                            <w:bottom w:val="none" w:sz="0" w:space="0" w:color="auto"/>
                                            <w:right w:val="none" w:sz="0" w:space="0" w:color="auto"/>
                                          </w:divBdr>
                                          <w:divsChild>
                                            <w:div w:id="34157979">
                                              <w:marLeft w:val="0"/>
                                              <w:marRight w:val="0"/>
                                              <w:marTop w:val="0"/>
                                              <w:marBottom w:val="0"/>
                                              <w:divBdr>
                                                <w:top w:val="none" w:sz="0" w:space="0" w:color="auto"/>
                                                <w:left w:val="none" w:sz="0" w:space="0" w:color="auto"/>
                                                <w:bottom w:val="none" w:sz="0" w:space="0" w:color="auto"/>
                                                <w:right w:val="none" w:sz="0" w:space="0" w:color="auto"/>
                                              </w:divBdr>
                                              <w:divsChild>
                                                <w:div w:id="1817647496">
                                                  <w:marLeft w:val="0"/>
                                                  <w:marRight w:val="0"/>
                                                  <w:marTop w:val="240"/>
                                                  <w:marBottom w:val="0"/>
                                                  <w:divBdr>
                                                    <w:top w:val="none" w:sz="0" w:space="0" w:color="auto"/>
                                                    <w:left w:val="none" w:sz="0" w:space="0" w:color="auto"/>
                                                    <w:bottom w:val="none" w:sz="0" w:space="0" w:color="auto"/>
                                                    <w:right w:val="none" w:sz="0" w:space="0" w:color="auto"/>
                                                  </w:divBdr>
                                                  <w:divsChild>
                                                    <w:div w:id="814566902">
                                                      <w:marLeft w:val="0"/>
                                                      <w:marRight w:val="0"/>
                                                      <w:marTop w:val="0"/>
                                                      <w:marBottom w:val="0"/>
                                                      <w:divBdr>
                                                        <w:top w:val="none" w:sz="0" w:space="0" w:color="auto"/>
                                                        <w:left w:val="none" w:sz="0" w:space="0" w:color="auto"/>
                                                        <w:bottom w:val="none" w:sz="0" w:space="0" w:color="auto"/>
                                                        <w:right w:val="none" w:sz="0" w:space="0" w:color="auto"/>
                                                      </w:divBdr>
                                                      <w:divsChild>
                                                        <w:div w:id="531848573">
                                                          <w:marLeft w:val="1275"/>
                                                          <w:marRight w:val="0"/>
                                                          <w:marTop w:val="0"/>
                                                          <w:marBottom w:val="0"/>
                                                          <w:divBdr>
                                                            <w:top w:val="none" w:sz="0" w:space="0" w:color="auto"/>
                                                            <w:left w:val="none" w:sz="0" w:space="0" w:color="auto"/>
                                                            <w:bottom w:val="none" w:sz="0" w:space="0" w:color="auto"/>
                                                            <w:right w:val="none" w:sz="0" w:space="0" w:color="auto"/>
                                                          </w:divBdr>
                                                          <w:divsChild>
                                                            <w:div w:id="140659578">
                                                              <w:marLeft w:val="0"/>
                                                              <w:marRight w:val="0"/>
                                                              <w:marTop w:val="0"/>
                                                              <w:marBottom w:val="0"/>
                                                              <w:divBdr>
                                                                <w:top w:val="none" w:sz="0" w:space="0" w:color="auto"/>
                                                                <w:left w:val="none" w:sz="0" w:space="0" w:color="auto"/>
                                                                <w:bottom w:val="none" w:sz="0" w:space="0" w:color="auto"/>
                                                                <w:right w:val="none" w:sz="0" w:space="0" w:color="auto"/>
                                                              </w:divBdr>
                                                              <w:divsChild>
                                                                <w:div w:id="15171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734013">
      <w:bodyDiv w:val="1"/>
      <w:marLeft w:val="0"/>
      <w:marRight w:val="0"/>
      <w:marTop w:val="0"/>
      <w:marBottom w:val="0"/>
      <w:divBdr>
        <w:top w:val="none" w:sz="0" w:space="0" w:color="auto"/>
        <w:left w:val="none" w:sz="0" w:space="0" w:color="auto"/>
        <w:bottom w:val="none" w:sz="0" w:space="0" w:color="auto"/>
        <w:right w:val="none" w:sz="0" w:space="0" w:color="auto"/>
      </w:divBdr>
    </w:div>
    <w:div w:id="19845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5687</Words>
  <Characters>31029</Characters>
  <Application>Microsoft Office Word</Application>
  <DocSecurity>0</DocSecurity>
  <Lines>451</Lines>
  <Paragraphs>101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2016-09-13T16:04:00Z</cp:lastPrinted>
  <dcterms:created xsi:type="dcterms:W3CDTF">2016-09-14T17:54:00Z</dcterms:created>
  <dcterms:modified xsi:type="dcterms:W3CDTF">2016-09-14T17:54:00Z</dcterms:modified>
  <cp:category> </cp:category>
  <cp:contentStatus> </cp:contentStatus>
</cp:coreProperties>
</file>