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954FA5" w:rsidRPr="001731B4" w:rsidRDefault="009B393C" w:rsidP="00954FA5">
      <w:pPr>
        <w:suppressAutoHyphens/>
        <w:spacing w:after="120"/>
        <w:ind w:left="7920"/>
        <w:jc w:val="right"/>
        <w:rPr>
          <w:b/>
          <w:szCs w:val="22"/>
        </w:rPr>
      </w:pPr>
      <w:r>
        <w:rPr>
          <w:b/>
          <w:szCs w:val="22"/>
        </w:rPr>
        <w:lastRenderedPageBreak/>
        <w:t>DA 16-1070</w:t>
      </w:r>
    </w:p>
    <w:p w:rsidR="00954FA5" w:rsidRPr="001731B4" w:rsidRDefault="00954FA5" w:rsidP="00954FA5">
      <w:pPr>
        <w:suppressAutoHyphens/>
        <w:spacing w:after="240"/>
        <w:ind w:left="720"/>
        <w:jc w:val="right"/>
        <w:rPr>
          <w:b/>
          <w:szCs w:val="22"/>
        </w:rPr>
      </w:pPr>
      <w:r>
        <w:rPr>
          <w:b/>
          <w:szCs w:val="22"/>
        </w:rPr>
        <w:t xml:space="preserve"> Released:  September 21</w:t>
      </w:r>
      <w:r w:rsidRPr="001731B4">
        <w:rPr>
          <w:b/>
          <w:szCs w:val="22"/>
        </w:rPr>
        <w:t>, 2016</w:t>
      </w:r>
    </w:p>
    <w:p w:rsidR="00954FA5" w:rsidRPr="001731B4" w:rsidRDefault="00954FA5" w:rsidP="00954FA5">
      <w:pPr>
        <w:autoSpaceDE w:val="0"/>
        <w:autoSpaceDN w:val="0"/>
        <w:adjustRightInd w:val="0"/>
        <w:jc w:val="center"/>
        <w:rPr>
          <w:b/>
          <w:szCs w:val="22"/>
        </w:rPr>
      </w:pPr>
      <w:r w:rsidRPr="001731B4">
        <w:rPr>
          <w:b/>
          <w:szCs w:val="22"/>
        </w:rPr>
        <w:t xml:space="preserve">APPLICATIONS FILED FOR THE TRANSFER OF CONTROL OF </w:t>
      </w:r>
    </w:p>
    <w:p w:rsidR="00954FA5" w:rsidRPr="001731B4" w:rsidRDefault="00954FA5" w:rsidP="00954FA5">
      <w:pPr>
        <w:autoSpaceDE w:val="0"/>
        <w:autoSpaceDN w:val="0"/>
        <w:adjustRightInd w:val="0"/>
        <w:jc w:val="center"/>
        <w:rPr>
          <w:b/>
          <w:szCs w:val="22"/>
        </w:rPr>
      </w:pPr>
      <w:r w:rsidRPr="001731B4">
        <w:rPr>
          <w:b/>
          <w:szCs w:val="22"/>
        </w:rPr>
        <w:t xml:space="preserve">RCN TELECOM SERVICES, LLC AND GRANDE COMMUNICATIONS NETWORKS LLC </w:t>
      </w:r>
    </w:p>
    <w:p w:rsidR="00954FA5" w:rsidRPr="001731B4" w:rsidRDefault="00954FA5" w:rsidP="00954FA5">
      <w:pPr>
        <w:autoSpaceDE w:val="0"/>
        <w:autoSpaceDN w:val="0"/>
        <w:adjustRightInd w:val="0"/>
        <w:jc w:val="center"/>
        <w:rPr>
          <w:b/>
          <w:szCs w:val="22"/>
        </w:rPr>
      </w:pPr>
      <w:r w:rsidRPr="001731B4">
        <w:rPr>
          <w:b/>
          <w:szCs w:val="22"/>
        </w:rPr>
        <w:t>TO RADIATE HOLDINGS, L.P.</w:t>
      </w:r>
    </w:p>
    <w:p w:rsidR="00954FA5" w:rsidRPr="001731B4" w:rsidRDefault="00954FA5" w:rsidP="00954FA5">
      <w:pPr>
        <w:autoSpaceDE w:val="0"/>
        <w:autoSpaceDN w:val="0"/>
        <w:adjustRightInd w:val="0"/>
        <w:jc w:val="center"/>
        <w:rPr>
          <w:b/>
          <w:szCs w:val="22"/>
        </w:rPr>
      </w:pPr>
    </w:p>
    <w:p w:rsidR="00954FA5" w:rsidRPr="001731B4" w:rsidRDefault="00954FA5" w:rsidP="00954FA5">
      <w:pPr>
        <w:suppressAutoHyphens/>
        <w:spacing w:after="240"/>
        <w:jc w:val="center"/>
        <w:rPr>
          <w:b/>
          <w:caps/>
          <w:szCs w:val="22"/>
        </w:rPr>
      </w:pPr>
      <w:r w:rsidRPr="001731B4">
        <w:rPr>
          <w:b/>
          <w:caps/>
          <w:szCs w:val="22"/>
        </w:rPr>
        <w:t xml:space="preserve"> Pleading Cycle Established</w:t>
      </w:r>
    </w:p>
    <w:p w:rsidR="00954FA5" w:rsidRPr="001731B4" w:rsidRDefault="00954FA5" w:rsidP="00954FA5">
      <w:pPr>
        <w:suppressAutoHyphens/>
        <w:spacing w:after="240"/>
        <w:jc w:val="center"/>
        <w:rPr>
          <w:b/>
          <w:szCs w:val="22"/>
        </w:rPr>
      </w:pPr>
      <w:r w:rsidRPr="001731B4">
        <w:rPr>
          <w:b/>
          <w:szCs w:val="22"/>
        </w:rPr>
        <w:t>WC Docket No. 16-276</w:t>
      </w:r>
    </w:p>
    <w:p w:rsidR="00954FA5" w:rsidRPr="001731B4" w:rsidRDefault="00954FA5" w:rsidP="00954FA5">
      <w:pPr>
        <w:suppressAutoHyphens/>
        <w:rPr>
          <w:b/>
          <w:szCs w:val="22"/>
        </w:rPr>
      </w:pPr>
      <w:r>
        <w:rPr>
          <w:b/>
          <w:szCs w:val="22"/>
        </w:rPr>
        <w:t>Comments/Petitions Due:  October 21, 2016</w:t>
      </w:r>
    </w:p>
    <w:p w:rsidR="00954FA5" w:rsidRPr="001731B4" w:rsidRDefault="00954FA5" w:rsidP="00954FA5">
      <w:pPr>
        <w:suppressAutoHyphens/>
        <w:rPr>
          <w:b/>
          <w:szCs w:val="22"/>
        </w:rPr>
      </w:pPr>
      <w:r w:rsidRPr="001731B4">
        <w:rPr>
          <w:b/>
          <w:szCs w:val="22"/>
        </w:rPr>
        <w:t>Reply Comments/Oppositions to Petitions</w:t>
      </w:r>
      <w:r>
        <w:rPr>
          <w:b/>
          <w:szCs w:val="22"/>
        </w:rPr>
        <w:t xml:space="preserve"> Due:  November 7, 2016</w:t>
      </w:r>
    </w:p>
    <w:p w:rsidR="00954FA5" w:rsidRPr="001731B4" w:rsidRDefault="00954FA5" w:rsidP="00954FA5">
      <w:pPr>
        <w:autoSpaceDE w:val="0"/>
        <w:autoSpaceDN w:val="0"/>
        <w:adjustRightInd w:val="0"/>
        <w:rPr>
          <w:rFonts w:ascii="Arial" w:hAnsi="Arial" w:cs="Arial"/>
          <w:szCs w:val="22"/>
        </w:rPr>
      </w:pPr>
    </w:p>
    <w:p w:rsidR="00954FA5" w:rsidRPr="001731B4" w:rsidRDefault="00954FA5" w:rsidP="00954FA5">
      <w:pPr>
        <w:autoSpaceDE w:val="0"/>
        <w:autoSpaceDN w:val="0"/>
        <w:adjustRightInd w:val="0"/>
        <w:ind w:firstLine="720"/>
        <w:rPr>
          <w:snapToGrid/>
          <w:kern w:val="0"/>
          <w:szCs w:val="22"/>
        </w:rPr>
      </w:pPr>
      <w:r w:rsidRPr="001731B4">
        <w:t xml:space="preserve">Radiate Holdings, L.P. (Radiate Holdings), Yankee Cable Partners, LLC (Yankee Partners), and Grande Investment L.P. (Grande Investment) (together, Applicants) filed a series of </w:t>
      </w:r>
      <w:r w:rsidRPr="001731B4">
        <w:rPr>
          <w:szCs w:val="22"/>
        </w:rPr>
        <w:t>applications, pursuant to sections 214 and 310(d) of the Communications Act of 1934, as amended (Act), and sections 63.04, 63.18, and 63.24 of the Commission’s rules,</w:t>
      </w:r>
      <w:r w:rsidRPr="001731B4">
        <w:rPr>
          <w:vertAlign w:val="superscript"/>
        </w:rPr>
        <w:footnoteReference w:id="1"/>
      </w:r>
      <w:r w:rsidRPr="001731B4">
        <w:rPr>
          <w:szCs w:val="22"/>
        </w:rPr>
        <w:t xml:space="preserve"> seeking approval to transfer control of various licenses and authorizations</w:t>
      </w:r>
      <w:r w:rsidRPr="001731B4">
        <w:rPr>
          <w:szCs w:val="22"/>
          <w:vertAlign w:val="superscript"/>
        </w:rPr>
        <w:footnoteReference w:id="2"/>
      </w:r>
      <w:r w:rsidRPr="001731B4">
        <w:rPr>
          <w:szCs w:val="22"/>
        </w:rPr>
        <w:t xml:space="preserve"> held by Yankee Partners and Grande Investment to Radiate Holdings.</w:t>
      </w:r>
      <w:r w:rsidRPr="001731B4">
        <w:rPr>
          <w:kern w:val="0"/>
        </w:rPr>
        <w:t xml:space="preserve">  </w:t>
      </w:r>
      <w:r w:rsidRPr="001731B4">
        <w:rPr>
          <w:snapToGrid/>
          <w:kern w:val="0"/>
          <w:szCs w:val="22"/>
        </w:rPr>
        <w:t>Pursuant to the proposed transaction, Yankee Partners would sell all of its interests in RCN Telecom Services, LLC (RCN-TS) to Radiate Holdings, and Grande Investment would sell all of its interests in Grande Communications Networks LLC (Grande Networks) to Radiate Holdings, whereby RCN-TS and Grande Networks, along with their operating subsidiaries, would become wholly owned, indirect subsidiaries of Radiate Holdings.</w:t>
      </w:r>
      <w:r w:rsidRPr="001731B4">
        <w:rPr>
          <w:snapToGrid/>
          <w:kern w:val="0"/>
          <w:szCs w:val="22"/>
          <w:vertAlign w:val="superscript"/>
        </w:rPr>
        <w:footnoteReference w:id="3"/>
      </w:r>
    </w:p>
    <w:p w:rsidR="00954FA5" w:rsidRPr="001731B4" w:rsidRDefault="00954FA5" w:rsidP="00954FA5">
      <w:pPr>
        <w:autoSpaceDE w:val="0"/>
        <w:autoSpaceDN w:val="0"/>
        <w:adjustRightInd w:val="0"/>
        <w:rPr>
          <w:szCs w:val="22"/>
        </w:rPr>
      </w:pPr>
    </w:p>
    <w:p w:rsidR="00954FA5" w:rsidRPr="001731B4" w:rsidRDefault="00954FA5" w:rsidP="00954FA5">
      <w:pPr>
        <w:widowControl/>
        <w:autoSpaceDE w:val="0"/>
        <w:autoSpaceDN w:val="0"/>
        <w:adjustRightInd w:val="0"/>
        <w:ind w:firstLine="720"/>
        <w:rPr>
          <w:szCs w:val="22"/>
        </w:rPr>
      </w:pPr>
      <w:r w:rsidRPr="001731B4">
        <w:rPr>
          <w:szCs w:val="22"/>
        </w:rPr>
        <w:t xml:space="preserve">Yankee Partners, a Delaware limited liability company, wholly owns Yankee Parent, a Delaware limited liability company, and through Yankee Parent, indirectly owns 100 percent of the interest in RCN-TS.  RCN-TS and its subsidiaries provide digital television, high-speed Internet, and voice telecommunications services to approximately 474,000 subscribers in Illinois, Massachusetts, Maryland, </w:t>
      </w:r>
      <w:r w:rsidRPr="001731B4">
        <w:rPr>
          <w:szCs w:val="22"/>
        </w:rPr>
        <w:lastRenderedPageBreak/>
        <w:t>New York, Pennsylvania, Virginia, and Washington, D.C.</w:t>
      </w:r>
      <w:r w:rsidRPr="001731B4">
        <w:rPr>
          <w:szCs w:val="22"/>
          <w:vertAlign w:val="superscript"/>
        </w:rPr>
        <w:footnoteReference w:id="4"/>
      </w:r>
      <w:r w:rsidRPr="001731B4">
        <w:rPr>
          <w:szCs w:val="22"/>
        </w:rPr>
        <w:t xml:space="preserve">  Yankee Partners is an indirect subsidiary of ABRY Partners VI, L.P., a Delaware limited partnership.</w:t>
      </w:r>
      <w:r w:rsidRPr="001731B4">
        <w:rPr>
          <w:szCs w:val="22"/>
          <w:vertAlign w:val="superscript"/>
        </w:rPr>
        <w:footnoteReference w:id="5"/>
      </w:r>
      <w:r w:rsidRPr="001731B4">
        <w:rPr>
          <w:szCs w:val="22"/>
        </w:rPr>
        <w:t xml:space="preserve">  </w:t>
      </w:r>
    </w:p>
    <w:p w:rsidR="00954FA5" w:rsidRPr="001731B4" w:rsidRDefault="00954FA5" w:rsidP="00954FA5">
      <w:pPr>
        <w:autoSpaceDE w:val="0"/>
        <w:autoSpaceDN w:val="0"/>
        <w:adjustRightInd w:val="0"/>
        <w:ind w:firstLine="720"/>
        <w:rPr>
          <w:szCs w:val="22"/>
        </w:rPr>
      </w:pPr>
    </w:p>
    <w:p w:rsidR="00954FA5" w:rsidRPr="001731B4" w:rsidRDefault="00954FA5" w:rsidP="00954FA5">
      <w:pPr>
        <w:ind w:firstLine="720"/>
        <w:rPr>
          <w:szCs w:val="22"/>
        </w:rPr>
      </w:pPr>
      <w:r w:rsidRPr="001731B4">
        <w:rPr>
          <w:szCs w:val="22"/>
        </w:rPr>
        <w:t>Grande Investment, a Delaware limited partnership, is the direct 100 percent owner of Grande Parent, a Delaware limited liability company, and through Grande Parent, the indirect 100 percent owner of Grande Networks.</w:t>
      </w:r>
      <w:r w:rsidRPr="001731B4">
        <w:rPr>
          <w:szCs w:val="22"/>
          <w:vertAlign w:val="superscript"/>
        </w:rPr>
        <w:footnoteReference w:id="6"/>
      </w:r>
      <w:r w:rsidRPr="001731B4">
        <w:rPr>
          <w:szCs w:val="22"/>
        </w:rPr>
        <w:t xml:space="preserve">  Grande Networks provides digital television, high-speed Internet, and voice telecommunications services to approximately 166,500 subscribers in Texas.</w:t>
      </w:r>
      <w:r w:rsidRPr="001731B4">
        <w:rPr>
          <w:szCs w:val="22"/>
          <w:vertAlign w:val="superscript"/>
        </w:rPr>
        <w:footnoteReference w:id="7"/>
      </w:r>
      <w:r w:rsidRPr="001731B4">
        <w:rPr>
          <w:szCs w:val="22"/>
        </w:rPr>
        <w:t xml:space="preserve">  Grande Investment is an indirect subsidiary of ABRY Partners VI, L.P.</w:t>
      </w:r>
      <w:r w:rsidRPr="001731B4">
        <w:rPr>
          <w:szCs w:val="22"/>
          <w:vertAlign w:val="superscript"/>
        </w:rPr>
        <w:footnoteReference w:id="8"/>
      </w:r>
      <w:r w:rsidRPr="001731B4">
        <w:rPr>
          <w:szCs w:val="22"/>
        </w:rPr>
        <w:t xml:space="preserve">   </w:t>
      </w:r>
    </w:p>
    <w:p w:rsidR="00954FA5" w:rsidRPr="001731B4" w:rsidRDefault="00954FA5" w:rsidP="00954FA5">
      <w:pPr>
        <w:ind w:firstLine="720"/>
        <w:rPr>
          <w:szCs w:val="22"/>
        </w:rPr>
      </w:pPr>
    </w:p>
    <w:p w:rsidR="00954FA5" w:rsidRPr="001731B4" w:rsidRDefault="00954FA5" w:rsidP="00954FA5">
      <w:pPr>
        <w:ind w:firstLine="720"/>
        <w:rPr>
          <w:szCs w:val="22"/>
        </w:rPr>
      </w:pPr>
      <w:r w:rsidRPr="001731B4">
        <w:rPr>
          <w:szCs w:val="22"/>
        </w:rPr>
        <w:t>Radiate Holdings, a Delaware limited partnership, is a holding company that will be majority owned and controlled by certain investment funds ultimately controlled by the principals of TPG Capital, L.P.</w:t>
      </w:r>
      <w:r>
        <w:rPr>
          <w:szCs w:val="22"/>
        </w:rPr>
        <w:t xml:space="preserve"> (TGP Capital).</w:t>
      </w:r>
      <w:r w:rsidRPr="001731B4">
        <w:rPr>
          <w:szCs w:val="22"/>
          <w:vertAlign w:val="superscript"/>
        </w:rPr>
        <w:footnoteReference w:id="9"/>
      </w:r>
      <w:r w:rsidRPr="001731B4">
        <w:rPr>
          <w:szCs w:val="22"/>
        </w:rPr>
        <w:t xml:space="preserve">  The following U.S. citizens are the principals of TGP Capital:  David Bonderman and James G. Coulter.</w:t>
      </w:r>
      <w:r w:rsidRPr="001731B4">
        <w:rPr>
          <w:szCs w:val="22"/>
          <w:vertAlign w:val="superscript"/>
        </w:rPr>
        <w:footnoteReference w:id="10"/>
      </w:r>
      <w:r w:rsidRPr="001731B4">
        <w:rPr>
          <w:szCs w:val="22"/>
        </w:rPr>
        <w:t xml:space="preserve">  Applicants state that Radiate Holdings will be managed by a Delaware limited liability company, Radiate Holdings GP, LLC (Radiate GP), formed for the purpose of serving as the general partner of Radiate Holdings.</w:t>
      </w:r>
      <w:r w:rsidRPr="001731B4">
        <w:rPr>
          <w:szCs w:val="22"/>
          <w:vertAlign w:val="superscript"/>
        </w:rPr>
        <w:footnoteReference w:id="11"/>
      </w:r>
      <w:r w:rsidRPr="001731B4">
        <w:rPr>
          <w:szCs w:val="22"/>
        </w:rPr>
        <w:t xml:space="preserve">  Radiate GP will have responsibility for the management, operation, and control of Radiate Holdings.</w:t>
      </w:r>
      <w:r w:rsidRPr="001731B4">
        <w:rPr>
          <w:szCs w:val="22"/>
          <w:vertAlign w:val="superscript"/>
        </w:rPr>
        <w:footnoteReference w:id="12"/>
      </w:r>
      <w:r w:rsidRPr="001731B4">
        <w:rPr>
          <w:szCs w:val="22"/>
        </w:rPr>
        <w:t xml:space="preserve">  Applicants state that the Board of Directors of Radiate GP will initially consist of not less than seven members and will be controlled by TGP Capital and its affiliates.</w:t>
      </w:r>
      <w:r w:rsidRPr="001731B4">
        <w:rPr>
          <w:szCs w:val="22"/>
          <w:vertAlign w:val="superscript"/>
        </w:rPr>
        <w:footnoteReference w:id="13"/>
      </w:r>
      <w:r w:rsidRPr="001731B4">
        <w:rPr>
          <w:szCs w:val="22"/>
        </w:rPr>
        <w:t xml:space="preserve">  </w:t>
      </w:r>
      <w:r w:rsidRPr="00427222">
        <w:t>The direct limited partners in Radiate Holdings will be TPG VII Radiate Holdings I, L.P., a Delaware limi</w:t>
      </w:r>
      <w:r>
        <w:t>ted partnership in which David</w:t>
      </w:r>
      <w:r w:rsidRPr="00427222">
        <w:t xml:space="preserve"> Bonderman and </w:t>
      </w:r>
      <w:r>
        <w:t xml:space="preserve">James G. </w:t>
      </w:r>
      <w:r w:rsidRPr="00427222">
        <w:t xml:space="preserve">Coulter have indirect 100 percent control; Google Capital, which consists of a series of Delaware limited partnerships ultimately owned by Alphabet Inc.; Rio FD Holdings, LLC, an affiliate of Dragoneer Investment Group, LLC, a Delaware limited liability company; and certain members of </w:t>
      </w:r>
      <w:r>
        <w:t xml:space="preserve"> the</w:t>
      </w:r>
      <w:r w:rsidRPr="00427222">
        <w:t xml:space="preserve"> management team from Patriot Media Consulting, LLC</w:t>
      </w:r>
      <w:r>
        <w:t xml:space="preserve"> (Patriot Media)</w:t>
      </w:r>
      <w:r w:rsidRPr="00427222">
        <w:t>.</w:t>
      </w:r>
      <w:r>
        <w:rPr>
          <w:rStyle w:val="FootnoteReference"/>
        </w:rPr>
        <w:footnoteReference w:id="14"/>
      </w:r>
      <w:r>
        <w:t xml:space="preserve">  </w:t>
      </w:r>
      <w:r>
        <w:rPr>
          <w:szCs w:val="22"/>
        </w:rPr>
        <w:t>Patriot Media</w:t>
      </w:r>
      <w:r w:rsidRPr="001731B4">
        <w:rPr>
          <w:szCs w:val="22"/>
        </w:rPr>
        <w:t>, a New Jersey limited liability company that currently manages the business of RCN-TS and Grande Networks and their respective subsidiaries on behalf of Yankee Parent and Grande Parent LLC, respectively, will, post-transaction, continue to manage both RCN-TS and Grande Networks on behalf of Radiate Holdings.</w:t>
      </w:r>
      <w:r w:rsidRPr="001731B4">
        <w:rPr>
          <w:szCs w:val="22"/>
          <w:vertAlign w:val="superscript"/>
        </w:rPr>
        <w:footnoteReference w:id="15"/>
      </w:r>
      <w:r w:rsidRPr="001731B4">
        <w:rPr>
          <w:szCs w:val="22"/>
        </w:rPr>
        <w:t xml:space="preserve">  </w:t>
      </w:r>
    </w:p>
    <w:p w:rsidR="00954FA5" w:rsidRPr="001731B4" w:rsidRDefault="00954FA5" w:rsidP="00954FA5">
      <w:pPr>
        <w:ind w:firstLine="720"/>
        <w:rPr>
          <w:szCs w:val="22"/>
        </w:rPr>
      </w:pPr>
    </w:p>
    <w:p w:rsidR="00954FA5" w:rsidRPr="001731B4" w:rsidRDefault="00954FA5" w:rsidP="00954FA5">
      <w:pPr>
        <w:widowControl/>
        <w:ind w:firstLine="720"/>
        <w:rPr>
          <w:szCs w:val="22"/>
        </w:rPr>
      </w:pPr>
      <w:r w:rsidRPr="001731B4">
        <w:rPr>
          <w:szCs w:val="22"/>
        </w:rPr>
        <w:t>On August 12, 2016, Radiate Holdco, LLC (Holdco), a Delaware limited liability company and an indirect subsidiary of Radiate Holdings, entered into a Membership Interest Purchase Agreement with Yankee Partners and its wholly owned subsidiary, Yankee Parent.</w:t>
      </w:r>
      <w:r w:rsidRPr="001731B4">
        <w:rPr>
          <w:szCs w:val="22"/>
          <w:vertAlign w:val="superscript"/>
        </w:rPr>
        <w:footnoteReference w:id="16"/>
      </w:r>
      <w:r w:rsidRPr="001731B4">
        <w:rPr>
          <w:szCs w:val="22"/>
        </w:rPr>
        <w:t xml:space="preserve">  At closing, Holdco will acquire from </w:t>
      </w:r>
      <w:r w:rsidRPr="001731B4">
        <w:rPr>
          <w:szCs w:val="22"/>
        </w:rPr>
        <w:lastRenderedPageBreak/>
        <w:t>Yankee Partners all of the outstanding membership interests of Yankee Parent.</w:t>
      </w:r>
      <w:r w:rsidRPr="001731B4">
        <w:rPr>
          <w:szCs w:val="22"/>
          <w:vertAlign w:val="superscript"/>
        </w:rPr>
        <w:footnoteReference w:id="17"/>
      </w:r>
      <w:r w:rsidRPr="001731B4">
        <w:rPr>
          <w:szCs w:val="22"/>
        </w:rPr>
        <w:t xml:space="preserve">  As a result, Yankee Parent will become a wholly owned, direct subsidiary of Holdco.</w:t>
      </w:r>
      <w:r w:rsidRPr="001731B4">
        <w:rPr>
          <w:szCs w:val="22"/>
          <w:vertAlign w:val="superscript"/>
        </w:rPr>
        <w:footnoteReference w:id="18"/>
      </w:r>
      <w:r w:rsidRPr="001731B4">
        <w:rPr>
          <w:szCs w:val="22"/>
        </w:rPr>
        <w:t xml:space="preserve">  All of Yankee Parent’s existing subsidiaries that hold Commission licenses or authorizations will remain intact and will continue to hold their operating assets.</w:t>
      </w:r>
      <w:r w:rsidRPr="001731B4">
        <w:rPr>
          <w:szCs w:val="22"/>
          <w:vertAlign w:val="superscript"/>
        </w:rPr>
        <w:footnoteReference w:id="19"/>
      </w:r>
      <w:r w:rsidRPr="001731B4">
        <w:rPr>
          <w:szCs w:val="22"/>
        </w:rPr>
        <w:t xml:space="preserve">  On the same date, Holdco also entered into a Membership Interest Purchase Agreement with Grande Investment and its wholly owned subsidiary Grande Parent.</w:t>
      </w:r>
      <w:r w:rsidRPr="001731B4">
        <w:rPr>
          <w:szCs w:val="22"/>
          <w:vertAlign w:val="superscript"/>
        </w:rPr>
        <w:footnoteReference w:id="20"/>
      </w:r>
      <w:r w:rsidRPr="001731B4">
        <w:rPr>
          <w:szCs w:val="22"/>
        </w:rPr>
        <w:t xml:space="preserve">  At closing, Holdco will acquire from Grande Investment all of the outstanding membership interests of Grande Parent.</w:t>
      </w:r>
      <w:r w:rsidRPr="001731B4">
        <w:rPr>
          <w:szCs w:val="22"/>
          <w:vertAlign w:val="superscript"/>
        </w:rPr>
        <w:footnoteReference w:id="21"/>
      </w:r>
      <w:r w:rsidRPr="001731B4">
        <w:rPr>
          <w:szCs w:val="22"/>
        </w:rPr>
        <w:t xml:space="preserve">  As a result, Grande Parent will become a wholly owned, direct subsidiary of Holdco.</w:t>
      </w:r>
      <w:r w:rsidRPr="001731B4">
        <w:rPr>
          <w:szCs w:val="22"/>
          <w:vertAlign w:val="superscript"/>
        </w:rPr>
        <w:footnoteReference w:id="22"/>
      </w:r>
      <w:r w:rsidRPr="001731B4">
        <w:rPr>
          <w:szCs w:val="22"/>
        </w:rPr>
        <w:t xml:space="preserve">  Grande Networks, the wholly owned subsidiary of Grande Parent that holds Commission licenses or authorizations, will remain intact and will continue to hold its operating assets and will become an indirect, wholly owned subsidiary of Radiate Holdings.</w:t>
      </w:r>
      <w:r w:rsidRPr="001731B4">
        <w:rPr>
          <w:szCs w:val="22"/>
          <w:vertAlign w:val="superscript"/>
        </w:rPr>
        <w:footnoteReference w:id="23"/>
      </w:r>
      <w:r w:rsidRPr="001731B4">
        <w:rPr>
          <w:szCs w:val="22"/>
        </w:rPr>
        <w:t xml:space="preserve">  Grande Networks will thereby become an indirect, wholly owned subsidiary of Radiate Holdings.</w:t>
      </w:r>
      <w:r w:rsidRPr="001731B4">
        <w:rPr>
          <w:szCs w:val="22"/>
          <w:vertAlign w:val="superscript"/>
        </w:rPr>
        <w:footnoteReference w:id="24"/>
      </w:r>
      <w:r w:rsidRPr="001731B4">
        <w:rPr>
          <w:szCs w:val="22"/>
        </w:rPr>
        <w:t xml:space="preserve">  In sum, Applicants state that at the close of the transactions, Radiate Holdings will become the indirect 100 percent owner of Yankee Parent, which currently is the 100 percent </w:t>
      </w:r>
      <w:r>
        <w:rPr>
          <w:szCs w:val="22"/>
        </w:rPr>
        <w:t xml:space="preserve">indirect </w:t>
      </w:r>
      <w:r w:rsidRPr="001731B4">
        <w:rPr>
          <w:szCs w:val="22"/>
        </w:rPr>
        <w:t xml:space="preserve">owner of RCN-TS.  Radiate Holdings will also become the indirect 100 percent owner of Grande Parent, which is currently the 100 percent direct owner of Grande Networks.  </w:t>
      </w:r>
    </w:p>
    <w:p w:rsidR="00954FA5" w:rsidRPr="001731B4" w:rsidRDefault="00954FA5" w:rsidP="00954FA5">
      <w:pPr>
        <w:autoSpaceDE w:val="0"/>
        <w:autoSpaceDN w:val="0"/>
        <w:adjustRightInd w:val="0"/>
        <w:ind w:firstLine="720"/>
        <w:rPr>
          <w:szCs w:val="22"/>
        </w:rPr>
      </w:pPr>
    </w:p>
    <w:p w:rsidR="00954FA5" w:rsidRPr="001731B4" w:rsidRDefault="00954FA5" w:rsidP="00954FA5">
      <w:pPr>
        <w:widowControl/>
        <w:autoSpaceDE w:val="0"/>
        <w:autoSpaceDN w:val="0"/>
        <w:adjustRightInd w:val="0"/>
        <w:rPr>
          <w:szCs w:val="22"/>
        </w:rPr>
      </w:pPr>
      <w:r w:rsidRPr="001731B4">
        <w:rPr>
          <w:szCs w:val="22"/>
        </w:rPr>
        <w:tab/>
        <w:t>Applicants assert that grant of the transfer of control applications will serve the public interest without posing any harm to consumers.</w:t>
      </w:r>
      <w:r w:rsidRPr="001731B4">
        <w:rPr>
          <w:szCs w:val="22"/>
          <w:vertAlign w:val="superscript"/>
        </w:rPr>
        <w:footnoteReference w:id="25"/>
      </w:r>
      <w:r w:rsidRPr="001731B4">
        <w:rPr>
          <w:szCs w:val="22"/>
        </w:rPr>
        <w:t xml:space="preserve">  They state that the proposed transaction will not result in consolidation of overlapping cable or telecommunications providers and will result in a stronger competitor to larger providers of video, high-speed Internet, voice, and business data services.</w:t>
      </w:r>
      <w:r w:rsidRPr="001731B4">
        <w:rPr>
          <w:szCs w:val="22"/>
          <w:vertAlign w:val="superscript"/>
        </w:rPr>
        <w:footnoteReference w:id="26"/>
      </w:r>
      <w:r w:rsidRPr="001731B4">
        <w:rPr>
          <w:szCs w:val="22"/>
        </w:rPr>
        <w:t xml:space="preserve">  Applicants state that the proposed transaction will result in more favorable financing and programming arrangements and achieve greater operational efficiencies.</w:t>
      </w:r>
      <w:r w:rsidRPr="001731B4">
        <w:rPr>
          <w:szCs w:val="22"/>
          <w:vertAlign w:val="superscript"/>
        </w:rPr>
        <w:footnoteReference w:id="27"/>
      </w:r>
      <w:r w:rsidRPr="001731B4">
        <w:rPr>
          <w:szCs w:val="22"/>
        </w:rPr>
        <w:t xml:space="preserve">  Applicants contend that this will “facilitate system improvements such as completing a footprint-wide upgrade to DOCSIS 3.1 that will further increase Internet speeds and will enable the operating subsidiaries to compete more effectively against larger, national rivals in both the residential and business sectors.”</w:t>
      </w:r>
      <w:r w:rsidRPr="001731B4">
        <w:rPr>
          <w:szCs w:val="22"/>
          <w:vertAlign w:val="superscript"/>
        </w:rPr>
        <w:footnoteReference w:id="28"/>
      </w:r>
      <w:r w:rsidRPr="001731B4">
        <w:rPr>
          <w:szCs w:val="22"/>
        </w:rPr>
        <w:t xml:space="preserve">  Applicants argue that these “investments and improvements will drive other competitors to make their own investments and improvements.”</w:t>
      </w:r>
      <w:r w:rsidRPr="001731B4">
        <w:rPr>
          <w:szCs w:val="22"/>
          <w:vertAlign w:val="superscript"/>
        </w:rPr>
        <w:footnoteReference w:id="29"/>
      </w:r>
      <w:r w:rsidRPr="001731B4">
        <w:rPr>
          <w:szCs w:val="22"/>
        </w:rPr>
        <w:t xml:space="preserve">  Applicants state that the proposed transaction will “not reduce the number of head-to-head competitors in any market or create an entity with either the incentive or ability to limit consumers’ access to OVD services.”</w:t>
      </w:r>
      <w:r w:rsidRPr="001731B4">
        <w:rPr>
          <w:szCs w:val="22"/>
          <w:vertAlign w:val="superscript"/>
        </w:rPr>
        <w:footnoteReference w:id="30"/>
      </w:r>
    </w:p>
    <w:p w:rsidR="00954FA5" w:rsidRPr="001731B4" w:rsidRDefault="00954FA5" w:rsidP="00954FA5">
      <w:pPr>
        <w:widowControl/>
        <w:rPr>
          <w:b/>
          <w:color w:val="000000"/>
          <w:szCs w:val="22"/>
        </w:rPr>
      </w:pPr>
    </w:p>
    <w:p w:rsidR="00954FA5" w:rsidRPr="001731B4" w:rsidRDefault="00954FA5" w:rsidP="00954FA5">
      <w:pPr>
        <w:keepNext/>
        <w:rPr>
          <w:color w:val="000000"/>
          <w:szCs w:val="22"/>
        </w:rPr>
      </w:pPr>
      <w:r w:rsidRPr="001731B4">
        <w:rPr>
          <w:b/>
          <w:color w:val="000000"/>
          <w:szCs w:val="22"/>
        </w:rPr>
        <w:lastRenderedPageBreak/>
        <w:t>SECTION 214 AUTHORIZATIONS</w:t>
      </w:r>
    </w:p>
    <w:p w:rsidR="00954FA5" w:rsidRPr="001731B4" w:rsidRDefault="00954FA5" w:rsidP="00954FA5">
      <w:pPr>
        <w:keepNext/>
        <w:rPr>
          <w:color w:val="000000"/>
          <w:szCs w:val="22"/>
        </w:rPr>
      </w:pPr>
    </w:p>
    <w:p w:rsidR="00954FA5" w:rsidRPr="001731B4" w:rsidRDefault="00954FA5" w:rsidP="00954FA5">
      <w:pPr>
        <w:keepNext/>
        <w:ind w:firstLine="720"/>
        <w:rPr>
          <w:b/>
          <w:color w:val="000000"/>
          <w:szCs w:val="22"/>
        </w:rPr>
      </w:pPr>
      <w:r w:rsidRPr="001731B4">
        <w:rPr>
          <w:b/>
          <w:color w:val="000000"/>
          <w:szCs w:val="22"/>
        </w:rPr>
        <w:t>A.</w:t>
      </w:r>
      <w:r w:rsidRPr="001731B4">
        <w:rPr>
          <w:b/>
          <w:color w:val="000000"/>
          <w:szCs w:val="22"/>
        </w:rPr>
        <w:tab/>
        <w:t>International</w:t>
      </w:r>
    </w:p>
    <w:p w:rsidR="00954FA5" w:rsidRPr="001731B4" w:rsidRDefault="00954FA5" w:rsidP="00954FA5">
      <w:pPr>
        <w:keepNext/>
        <w:rPr>
          <w:color w:val="000000"/>
          <w:szCs w:val="22"/>
        </w:rPr>
      </w:pPr>
    </w:p>
    <w:p w:rsidR="00954FA5" w:rsidRPr="001731B4" w:rsidRDefault="00954FA5" w:rsidP="00954FA5">
      <w:pPr>
        <w:spacing w:after="240"/>
        <w:ind w:firstLine="720"/>
        <w:rPr>
          <w:color w:val="000000"/>
          <w:szCs w:val="22"/>
        </w:rPr>
      </w:pPr>
      <w:r w:rsidRPr="001731B4">
        <w:rPr>
          <w:color w:val="000000"/>
          <w:szCs w:val="22"/>
        </w:rPr>
        <w:t>The applications for consent to the transfer of control of the international section 214 authorizations from Yankee Partners and Grande Investment to Radiate Holdings have been assigned the file number</w:t>
      </w:r>
      <w:r>
        <w:rPr>
          <w:color w:val="000000"/>
          <w:szCs w:val="22"/>
        </w:rPr>
        <w:t>s</w:t>
      </w:r>
      <w:r w:rsidRPr="001731B4">
        <w:rPr>
          <w:color w:val="000000"/>
          <w:szCs w:val="22"/>
        </w:rPr>
        <w:t xml:space="preserve"> listed below.</w:t>
      </w:r>
    </w:p>
    <w:tbl>
      <w:tblPr>
        <w:tblW w:w="9357" w:type="dxa"/>
        <w:tblLook w:val="01E0" w:firstRow="1" w:lastRow="1" w:firstColumn="1" w:lastColumn="1" w:noHBand="0" w:noVBand="0"/>
      </w:tblPr>
      <w:tblGrid>
        <w:gridCol w:w="2767"/>
        <w:gridCol w:w="3736"/>
        <w:gridCol w:w="2854"/>
      </w:tblGrid>
      <w:tr w:rsidR="00954FA5" w:rsidRPr="001731B4" w:rsidTr="00D3498C">
        <w:trPr>
          <w:trHeight w:val="131"/>
        </w:trPr>
        <w:tc>
          <w:tcPr>
            <w:tcW w:w="2767" w:type="dxa"/>
          </w:tcPr>
          <w:p w:rsidR="00954FA5" w:rsidRPr="001731B4" w:rsidRDefault="00954FA5" w:rsidP="00D3498C">
            <w:pPr>
              <w:rPr>
                <w:b/>
                <w:color w:val="000000"/>
                <w:szCs w:val="22"/>
              </w:rPr>
            </w:pPr>
            <w:r w:rsidRPr="001731B4">
              <w:rPr>
                <w:b/>
                <w:color w:val="000000"/>
                <w:szCs w:val="22"/>
              </w:rPr>
              <w:t>File Number</w:t>
            </w:r>
          </w:p>
          <w:p w:rsidR="00954FA5" w:rsidRDefault="00954FA5" w:rsidP="00D3498C">
            <w:pPr>
              <w:rPr>
                <w:color w:val="000000"/>
                <w:szCs w:val="22"/>
              </w:rPr>
            </w:pPr>
          </w:p>
          <w:p w:rsidR="00954FA5" w:rsidRPr="001731B4" w:rsidRDefault="00954FA5" w:rsidP="00D3498C">
            <w:pPr>
              <w:rPr>
                <w:color w:val="000000"/>
                <w:szCs w:val="22"/>
              </w:rPr>
            </w:pPr>
            <w:r w:rsidRPr="001731B4">
              <w:rPr>
                <w:color w:val="000000"/>
                <w:szCs w:val="22"/>
              </w:rPr>
              <w:t>ITC-T/C-20160901-00257</w:t>
            </w:r>
          </w:p>
          <w:p w:rsidR="00954FA5" w:rsidRPr="001731B4" w:rsidRDefault="00954FA5" w:rsidP="00D3498C">
            <w:pPr>
              <w:rPr>
                <w:color w:val="000000"/>
                <w:szCs w:val="22"/>
              </w:rPr>
            </w:pPr>
          </w:p>
          <w:p w:rsidR="00954FA5" w:rsidRPr="001731B4" w:rsidRDefault="00954FA5" w:rsidP="00D3498C">
            <w:pPr>
              <w:rPr>
                <w:color w:val="000000"/>
                <w:szCs w:val="22"/>
              </w:rPr>
            </w:pPr>
          </w:p>
          <w:p w:rsidR="00954FA5" w:rsidRPr="001731B4" w:rsidRDefault="00954FA5" w:rsidP="00D3498C">
            <w:pPr>
              <w:rPr>
                <w:color w:val="000000"/>
                <w:szCs w:val="22"/>
              </w:rPr>
            </w:pPr>
          </w:p>
          <w:p w:rsidR="00954FA5" w:rsidRPr="001731B4" w:rsidRDefault="00954FA5" w:rsidP="00D3498C">
            <w:pPr>
              <w:rPr>
                <w:color w:val="000000"/>
                <w:szCs w:val="22"/>
              </w:rPr>
            </w:pPr>
            <w:r w:rsidRPr="001731B4">
              <w:rPr>
                <w:color w:val="000000"/>
                <w:szCs w:val="22"/>
              </w:rPr>
              <w:t>ITC-T/C-20160901-00258</w:t>
            </w:r>
          </w:p>
          <w:p w:rsidR="00954FA5" w:rsidRPr="001731B4" w:rsidRDefault="00954FA5" w:rsidP="00D3498C">
            <w:pPr>
              <w:rPr>
                <w:color w:val="000000"/>
                <w:szCs w:val="22"/>
              </w:rPr>
            </w:pPr>
          </w:p>
          <w:p w:rsidR="00954FA5" w:rsidRPr="001731B4" w:rsidRDefault="00954FA5" w:rsidP="00D3498C">
            <w:pPr>
              <w:rPr>
                <w:color w:val="000000"/>
                <w:szCs w:val="22"/>
              </w:rPr>
            </w:pPr>
            <w:r w:rsidRPr="001731B4">
              <w:rPr>
                <w:color w:val="000000"/>
                <w:szCs w:val="22"/>
              </w:rPr>
              <w:t>ITC-T/C-20160901-00259</w:t>
            </w:r>
          </w:p>
          <w:p w:rsidR="00954FA5" w:rsidRPr="001731B4" w:rsidRDefault="00954FA5" w:rsidP="00D3498C">
            <w:pPr>
              <w:rPr>
                <w:color w:val="000000"/>
                <w:szCs w:val="22"/>
              </w:rPr>
            </w:pPr>
          </w:p>
          <w:p w:rsidR="00954FA5" w:rsidRPr="001731B4" w:rsidRDefault="00954FA5" w:rsidP="00D3498C">
            <w:pPr>
              <w:rPr>
                <w:color w:val="000000"/>
                <w:szCs w:val="22"/>
              </w:rPr>
            </w:pPr>
            <w:r w:rsidRPr="001731B4">
              <w:rPr>
                <w:color w:val="000000"/>
                <w:szCs w:val="22"/>
              </w:rPr>
              <w:t>ITC-T/C-20160901-00260</w:t>
            </w:r>
          </w:p>
          <w:p w:rsidR="00954FA5" w:rsidRPr="001731B4" w:rsidRDefault="00954FA5" w:rsidP="00D3498C">
            <w:pPr>
              <w:rPr>
                <w:color w:val="000000"/>
                <w:szCs w:val="22"/>
              </w:rPr>
            </w:pPr>
          </w:p>
          <w:p w:rsidR="00954FA5" w:rsidRPr="001731B4" w:rsidRDefault="00954FA5" w:rsidP="00D3498C">
            <w:pPr>
              <w:rPr>
                <w:color w:val="000000"/>
                <w:szCs w:val="22"/>
              </w:rPr>
            </w:pPr>
            <w:r w:rsidRPr="001731B4">
              <w:rPr>
                <w:color w:val="000000"/>
                <w:szCs w:val="22"/>
              </w:rPr>
              <w:t xml:space="preserve">ITC-T/C-20160901-00261 </w:t>
            </w:r>
          </w:p>
          <w:p w:rsidR="00954FA5" w:rsidRPr="001731B4" w:rsidRDefault="00954FA5" w:rsidP="00D3498C">
            <w:pPr>
              <w:rPr>
                <w:color w:val="000000"/>
                <w:szCs w:val="22"/>
              </w:rPr>
            </w:pPr>
          </w:p>
          <w:p w:rsidR="00954FA5" w:rsidRPr="001731B4" w:rsidRDefault="00954FA5" w:rsidP="00D3498C">
            <w:pPr>
              <w:rPr>
                <w:color w:val="000000"/>
                <w:szCs w:val="22"/>
              </w:rPr>
            </w:pPr>
            <w:r w:rsidRPr="001731B4">
              <w:rPr>
                <w:color w:val="000000"/>
                <w:szCs w:val="22"/>
              </w:rPr>
              <w:t>ITC-T/C-20160901-00262</w:t>
            </w:r>
          </w:p>
          <w:p w:rsidR="00954FA5" w:rsidRPr="001731B4" w:rsidRDefault="00954FA5" w:rsidP="00D3498C">
            <w:pPr>
              <w:rPr>
                <w:color w:val="000000"/>
                <w:szCs w:val="22"/>
                <w:highlight w:val="yellow"/>
              </w:rPr>
            </w:pPr>
            <w:r w:rsidRPr="001731B4">
              <w:rPr>
                <w:color w:val="000000"/>
                <w:szCs w:val="22"/>
              </w:rPr>
              <w:t>ITC-T/C-20160901-00263</w:t>
            </w:r>
          </w:p>
        </w:tc>
        <w:tc>
          <w:tcPr>
            <w:tcW w:w="3736" w:type="dxa"/>
          </w:tcPr>
          <w:p w:rsidR="00954FA5" w:rsidRPr="001731B4" w:rsidRDefault="00954FA5" w:rsidP="00D3498C">
            <w:pPr>
              <w:rPr>
                <w:b/>
                <w:color w:val="000000"/>
                <w:szCs w:val="22"/>
              </w:rPr>
            </w:pPr>
            <w:r w:rsidRPr="001731B4">
              <w:rPr>
                <w:b/>
                <w:color w:val="000000"/>
                <w:szCs w:val="22"/>
              </w:rPr>
              <w:t>Authorization Holder</w:t>
            </w:r>
          </w:p>
          <w:p w:rsidR="00954FA5" w:rsidRDefault="00954FA5" w:rsidP="00D3498C">
            <w:pPr>
              <w:rPr>
                <w:color w:val="000000"/>
                <w:szCs w:val="22"/>
              </w:rPr>
            </w:pPr>
          </w:p>
          <w:p w:rsidR="00954FA5" w:rsidRPr="001731B4" w:rsidRDefault="00954FA5" w:rsidP="00D3498C">
            <w:pPr>
              <w:rPr>
                <w:color w:val="000000"/>
                <w:szCs w:val="22"/>
              </w:rPr>
            </w:pPr>
            <w:r w:rsidRPr="001731B4">
              <w:rPr>
                <w:color w:val="000000"/>
                <w:szCs w:val="22"/>
              </w:rPr>
              <w:t>RCN Telecom Services (Lehigh) LLC</w:t>
            </w:r>
          </w:p>
          <w:p w:rsidR="00954FA5" w:rsidRPr="001731B4" w:rsidRDefault="00954FA5" w:rsidP="00D3498C">
            <w:pPr>
              <w:rPr>
                <w:color w:val="000000"/>
                <w:szCs w:val="22"/>
              </w:rPr>
            </w:pPr>
          </w:p>
          <w:p w:rsidR="00954FA5" w:rsidRPr="001731B4" w:rsidRDefault="00954FA5" w:rsidP="00D3498C">
            <w:pPr>
              <w:rPr>
                <w:color w:val="000000"/>
                <w:szCs w:val="22"/>
              </w:rPr>
            </w:pPr>
          </w:p>
          <w:p w:rsidR="00954FA5" w:rsidRPr="001731B4" w:rsidRDefault="00954FA5" w:rsidP="00D3498C">
            <w:pPr>
              <w:rPr>
                <w:color w:val="000000"/>
                <w:szCs w:val="22"/>
              </w:rPr>
            </w:pPr>
          </w:p>
          <w:p w:rsidR="00954FA5" w:rsidRPr="001731B4" w:rsidRDefault="00954FA5" w:rsidP="00D3498C">
            <w:pPr>
              <w:rPr>
                <w:color w:val="000000"/>
                <w:szCs w:val="22"/>
              </w:rPr>
            </w:pPr>
            <w:r w:rsidRPr="001731B4">
              <w:rPr>
                <w:color w:val="000000"/>
                <w:szCs w:val="22"/>
              </w:rPr>
              <w:t>Grande Communications Networks LLC</w:t>
            </w:r>
          </w:p>
          <w:p w:rsidR="00954FA5" w:rsidRPr="001731B4" w:rsidRDefault="00954FA5" w:rsidP="00D3498C">
            <w:pPr>
              <w:rPr>
                <w:color w:val="000000"/>
                <w:szCs w:val="22"/>
              </w:rPr>
            </w:pPr>
            <w:r w:rsidRPr="001731B4">
              <w:rPr>
                <w:color w:val="000000"/>
                <w:szCs w:val="22"/>
              </w:rPr>
              <w:t>RCN Telecom Services of Massachusetts, LLC</w:t>
            </w:r>
          </w:p>
          <w:p w:rsidR="00954FA5" w:rsidRPr="001731B4" w:rsidRDefault="00954FA5" w:rsidP="00D3498C">
            <w:pPr>
              <w:rPr>
                <w:color w:val="000000"/>
                <w:szCs w:val="22"/>
              </w:rPr>
            </w:pPr>
            <w:r w:rsidRPr="001731B4">
              <w:rPr>
                <w:color w:val="000000"/>
                <w:szCs w:val="22"/>
              </w:rPr>
              <w:t>RCN Telecom Services of New York, LP</w:t>
            </w:r>
          </w:p>
          <w:p w:rsidR="00954FA5" w:rsidRPr="001731B4" w:rsidRDefault="00954FA5" w:rsidP="00D3498C">
            <w:pPr>
              <w:rPr>
                <w:color w:val="000000"/>
                <w:szCs w:val="22"/>
              </w:rPr>
            </w:pPr>
            <w:r w:rsidRPr="001731B4">
              <w:rPr>
                <w:color w:val="000000"/>
                <w:szCs w:val="22"/>
              </w:rPr>
              <w:t>RCN Telecom Services of Philadelphia LLC</w:t>
            </w:r>
          </w:p>
          <w:p w:rsidR="00954FA5" w:rsidRPr="001731B4" w:rsidRDefault="00954FA5" w:rsidP="00D3498C">
            <w:pPr>
              <w:rPr>
                <w:color w:val="000000"/>
                <w:szCs w:val="22"/>
              </w:rPr>
            </w:pPr>
            <w:r w:rsidRPr="001731B4">
              <w:rPr>
                <w:color w:val="000000"/>
                <w:szCs w:val="22"/>
              </w:rPr>
              <w:t>RCN Telecom Services of Illinois, LLC</w:t>
            </w:r>
            <w:r>
              <w:rPr>
                <w:color w:val="000000"/>
                <w:szCs w:val="22"/>
              </w:rPr>
              <w:t xml:space="preserve"> </w:t>
            </w:r>
            <w:r w:rsidRPr="001731B4">
              <w:rPr>
                <w:color w:val="000000"/>
                <w:szCs w:val="22"/>
              </w:rPr>
              <w:t>Starpower Communications, LLC</w:t>
            </w:r>
          </w:p>
        </w:tc>
        <w:tc>
          <w:tcPr>
            <w:tcW w:w="2854" w:type="dxa"/>
          </w:tcPr>
          <w:p w:rsidR="00954FA5" w:rsidRPr="001731B4" w:rsidRDefault="00954FA5" w:rsidP="00D3498C">
            <w:pPr>
              <w:rPr>
                <w:b/>
                <w:color w:val="000000"/>
                <w:szCs w:val="22"/>
              </w:rPr>
            </w:pPr>
            <w:r w:rsidRPr="001731B4">
              <w:rPr>
                <w:b/>
                <w:color w:val="000000"/>
                <w:szCs w:val="22"/>
              </w:rPr>
              <w:t>Authorization Number</w:t>
            </w:r>
          </w:p>
          <w:p w:rsidR="00954FA5" w:rsidRDefault="00954FA5" w:rsidP="00D3498C">
            <w:pPr>
              <w:rPr>
                <w:color w:val="000000"/>
                <w:szCs w:val="22"/>
              </w:rPr>
            </w:pPr>
          </w:p>
          <w:p w:rsidR="00954FA5" w:rsidRPr="001731B4" w:rsidRDefault="00954FA5" w:rsidP="00D3498C">
            <w:pPr>
              <w:rPr>
                <w:color w:val="000000"/>
                <w:szCs w:val="22"/>
              </w:rPr>
            </w:pPr>
            <w:r w:rsidRPr="001731B4">
              <w:rPr>
                <w:color w:val="000000"/>
                <w:szCs w:val="22"/>
              </w:rPr>
              <w:t>ITC-214-19961004-00490</w:t>
            </w:r>
          </w:p>
          <w:p w:rsidR="00954FA5" w:rsidRPr="001731B4" w:rsidRDefault="00954FA5" w:rsidP="00D3498C">
            <w:pPr>
              <w:rPr>
                <w:color w:val="000000"/>
                <w:szCs w:val="22"/>
              </w:rPr>
            </w:pPr>
            <w:r w:rsidRPr="001731B4">
              <w:rPr>
                <w:color w:val="000000"/>
                <w:szCs w:val="22"/>
              </w:rPr>
              <w:t>ITC-214-19970717-00411</w:t>
            </w:r>
          </w:p>
          <w:p w:rsidR="00954FA5" w:rsidRPr="001731B4" w:rsidRDefault="00954FA5" w:rsidP="00D3498C">
            <w:pPr>
              <w:rPr>
                <w:color w:val="000000"/>
                <w:szCs w:val="22"/>
              </w:rPr>
            </w:pPr>
            <w:r w:rsidRPr="001731B4">
              <w:rPr>
                <w:color w:val="000000"/>
                <w:szCs w:val="22"/>
              </w:rPr>
              <w:t>ITC-214-19970723-00430</w:t>
            </w:r>
          </w:p>
          <w:p w:rsidR="00954FA5" w:rsidRPr="001731B4" w:rsidRDefault="00954FA5" w:rsidP="00D3498C">
            <w:pPr>
              <w:rPr>
                <w:color w:val="000000"/>
                <w:szCs w:val="22"/>
              </w:rPr>
            </w:pPr>
            <w:r w:rsidRPr="001731B4">
              <w:rPr>
                <w:color w:val="000000"/>
                <w:szCs w:val="22"/>
              </w:rPr>
              <w:t>ITC-214-19981002-00679</w:t>
            </w:r>
          </w:p>
          <w:p w:rsidR="00954FA5" w:rsidRPr="001731B4" w:rsidRDefault="00954FA5" w:rsidP="00D3498C">
            <w:pPr>
              <w:rPr>
                <w:color w:val="000000"/>
                <w:szCs w:val="22"/>
              </w:rPr>
            </w:pPr>
            <w:r w:rsidRPr="001731B4">
              <w:rPr>
                <w:color w:val="000000"/>
                <w:szCs w:val="22"/>
              </w:rPr>
              <w:t>ITC-214-20001108-00651</w:t>
            </w:r>
          </w:p>
          <w:p w:rsidR="00954FA5" w:rsidRPr="001731B4" w:rsidRDefault="00954FA5" w:rsidP="00D3498C">
            <w:pPr>
              <w:rPr>
                <w:color w:val="000000"/>
                <w:szCs w:val="22"/>
              </w:rPr>
            </w:pPr>
          </w:p>
          <w:p w:rsidR="00954FA5" w:rsidRPr="001731B4" w:rsidRDefault="00954FA5" w:rsidP="00D3498C">
            <w:pPr>
              <w:rPr>
                <w:color w:val="000000"/>
                <w:szCs w:val="22"/>
              </w:rPr>
            </w:pPr>
            <w:r w:rsidRPr="001731B4">
              <w:rPr>
                <w:color w:val="000000"/>
                <w:szCs w:val="22"/>
              </w:rPr>
              <w:t>ITC-214-19971027-00661</w:t>
            </w:r>
          </w:p>
          <w:p w:rsidR="00954FA5" w:rsidRPr="001731B4" w:rsidRDefault="00954FA5" w:rsidP="00D3498C">
            <w:pPr>
              <w:rPr>
                <w:color w:val="000000"/>
                <w:szCs w:val="22"/>
              </w:rPr>
            </w:pPr>
          </w:p>
          <w:p w:rsidR="00954FA5" w:rsidRPr="001731B4" w:rsidRDefault="00954FA5" w:rsidP="00D3498C">
            <w:pPr>
              <w:rPr>
                <w:color w:val="000000"/>
                <w:szCs w:val="22"/>
              </w:rPr>
            </w:pPr>
            <w:r w:rsidRPr="001731B4">
              <w:rPr>
                <w:color w:val="000000"/>
                <w:szCs w:val="22"/>
              </w:rPr>
              <w:t>ITC-214-19970707-00384</w:t>
            </w:r>
          </w:p>
          <w:p w:rsidR="00954FA5" w:rsidRPr="001731B4" w:rsidRDefault="00954FA5" w:rsidP="00D3498C">
            <w:pPr>
              <w:rPr>
                <w:color w:val="000000"/>
                <w:szCs w:val="22"/>
              </w:rPr>
            </w:pPr>
          </w:p>
          <w:p w:rsidR="00954FA5" w:rsidRPr="001731B4" w:rsidRDefault="00954FA5" w:rsidP="00D3498C">
            <w:pPr>
              <w:rPr>
                <w:color w:val="000000"/>
                <w:szCs w:val="22"/>
              </w:rPr>
            </w:pPr>
            <w:r w:rsidRPr="001731B4">
              <w:rPr>
                <w:color w:val="000000"/>
                <w:szCs w:val="22"/>
              </w:rPr>
              <w:t>ITC-214-19970707-00379</w:t>
            </w:r>
          </w:p>
          <w:p w:rsidR="00954FA5" w:rsidRPr="001731B4" w:rsidRDefault="00954FA5" w:rsidP="00D3498C">
            <w:pPr>
              <w:rPr>
                <w:color w:val="000000"/>
                <w:szCs w:val="22"/>
              </w:rPr>
            </w:pPr>
          </w:p>
          <w:p w:rsidR="00954FA5" w:rsidRPr="001731B4" w:rsidRDefault="00954FA5" w:rsidP="00D3498C">
            <w:pPr>
              <w:rPr>
                <w:color w:val="000000"/>
                <w:szCs w:val="22"/>
              </w:rPr>
            </w:pPr>
            <w:r w:rsidRPr="001731B4">
              <w:rPr>
                <w:color w:val="000000"/>
                <w:szCs w:val="22"/>
              </w:rPr>
              <w:t>ITC-214-19980731-00532</w:t>
            </w:r>
          </w:p>
          <w:p w:rsidR="00954FA5" w:rsidRPr="001731B4" w:rsidRDefault="00954FA5" w:rsidP="00D3498C">
            <w:pPr>
              <w:rPr>
                <w:color w:val="000000"/>
                <w:szCs w:val="22"/>
              </w:rPr>
            </w:pPr>
            <w:r w:rsidRPr="001731B4">
              <w:rPr>
                <w:color w:val="000000"/>
                <w:szCs w:val="22"/>
              </w:rPr>
              <w:t>ITC-214-19980116-00024</w:t>
            </w:r>
          </w:p>
          <w:p w:rsidR="00954FA5" w:rsidRPr="001731B4" w:rsidRDefault="00954FA5" w:rsidP="00D3498C">
            <w:pPr>
              <w:rPr>
                <w:color w:val="000000"/>
                <w:szCs w:val="22"/>
              </w:rPr>
            </w:pPr>
          </w:p>
        </w:tc>
      </w:tr>
      <w:tr w:rsidR="00954FA5" w:rsidRPr="001731B4" w:rsidTr="00D3498C">
        <w:trPr>
          <w:trHeight w:val="495"/>
        </w:trPr>
        <w:tc>
          <w:tcPr>
            <w:tcW w:w="2767" w:type="dxa"/>
          </w:tcPr>
          <w:p w:rsidR="00954FA5" w:rsidRPr="001731B4" w:rsidRDefault="00954FA5" w:rsidP="00D3498C">
            <w:pPr>
              <w:rPr>
                <w:color w:val="000000"/>
                <w:szCs w:val="22"/>
              </w:rPr>
            </w:pPr>
          </w:p>
        </w:tc>
        <w:tc>
          <w:tcPr>
            <w:tcW w:w="3736" w:type="dxa"/>
          </w:tcPr>
          <w:p w:rsidR="00954FA5" w:rsidRPr="001731B4" w:rsidRDefault="00954FA5" w:rsidP="00D3498C">
            <w:pPr>
              <w:rPr>
                <w:szCs w:val="22"/>
              </w:rPr>
            </w:pPr>
          </w:p>
        </w:tc>
        <w:tc>
          <w:tcPr>
            <w:tcW w:w="2854" w:type="dxa"/>
          </w:tcPr>
          <w:p w:rsidR="00954FA5" w:rsidRPr="001731B4" w:rsidRDefault="00954FA5" w:rsidP="00D3498C">
            <w:pPr>
              <w:rPr>
                <w:szCs w:val="22"/>
              </w:rPr>
            </w:pPr>
          </w:p>
        </w:tc>
      </w:tr>
    </w:tbl>
    <w:p w:rsidR="00954FA5" w:rsidRPr="001731B4" w:rsidRDefault="00954FA5" w:rsidP="00954FA5">
      <w:pPr>
        <w:keepNext/>
        <w:ind w:firstLine="720"/>
        <w:rPr>
          <w:b/>
          <w:color w:val="000000"/>
          <w:szCs w:val="22"/>
        </w:rPr>
      </w:pPr>
      <w:r w:rsidRPr="001731B4">
        <w:rPr>
          <w:b/>
          <w:color w:val="000000"/>
          <w:szCs w:val="22"/>
        </w:rPr>
        <w:t>B.</w:t>
      </w:r>
      <w:r w:rsidRPr="001731B4">
        <w:rPr>
          <w:b/>
          <w:color w:val="000000"/>
          <w:szCs w:val="22"/>
        </w:rPr>
        <w:tab/>
        <w:t>Domestic</w:t>
      </w:r>
    </w:p>
    <w:p w:rsidR="00954FA5" w:rsidRPr="001731B4" w:rsidRDefault="00954FA5" w:rsidP="00954FA5">
      <w:pPr>
        <w:keepNext/>
        <w:ind w:firstLine="720"/>
        <w:rPr>
          <w:b/>
          <w:color w:val="000000"/>
          <w:szCs w:val="22"/>
        </w:rPr>
      </w:pPr>
    </w:p>
    <w:p w:rsidR="00954FA5" w:rsidRPr="001731B4" w:rsidRDefault="00954FA5" w:rsidP="00954FA5">
      <w:pPr>
        <w:ind w:firstLine="720"/>
        <w:rPr>
          <w:color w:val="000000"/>
          <w:szCs w:val="22"/>
          <w:highlight w:val="yellow"/>
        </w:rPr>
      </w:pPr>
      <w:r w:rsidRPr="001731B4">
        <w:rPr>
          <w:color w:val="000000"/>
          <w:szCs w:val="22"/>
        </w:rPr>
        <w:t>Applicants filed an application to transfer control of domestic section 214 authority in connection with the proposed transaction.  In light of the multiple applications pending before the Commission with respect to this transaction and the public interest review associated with them, the domestic transfer of control application is not subject to streamlined treatment.</w:t>
      </w:r>
      <w:r w:rsidRPr="001731B4">
        <w:rPr>
          <w:szCs w:val="22"/>
          <w:vertAlign w:val="superscript"/>
        </w:rPr>
        <w:footnoteReference w:id="31"/>
      </w:r>
      <w:r w:rsidRPr="001731B4">
        <w:rPr>
          <w:color w:val="000000"/>
          <w:szCs w:val="22"/>
        </w:rPr>
        <w:t xml:space="preserve">  </w:t>
      </w:r>
    </w:p>
    <w:p w:rsidR="00954FA5" w:rsidRPr="001731B4" w:rsidRDefault="00954FA5" w:rsidP="00954FA5">
      <w:pPr>
        <w:ind w:firstLine="720"/>
        <w:rPr>
          <w:szCs w:val="22"/>
        </w:rPr>
      </w:pPr>
      <w:bookmarkStart w:id="2" w:name="sp_999_4"/>
      <w:bookmarkStart w:id="3" w:name="SDU_4"/>
      <w:bookmarkStart w:id="4" w:name="citeas((Cite_as:_26_F.C.C.R._13372,_*133"/>
      <w:bookmarkEnd w:id="2"/>
      <w:bookmarkEnd w:id="3"/>
      <w:bookmarkEnd w:id="4"/>
    </w:p>
    <w:p w:rsidR="00954FA5" w:rsidRPr="001731B4" w:rsidRDefault="00954FA5" w:rsidP="00954FA5">
      <w:pPr>
        <w:keepNext/>
        <w:rPr>
          <w:b/>
          <w:color w:val="000000"/>
          <w:szCs w:val="22"/>
        </w:rPr>
      </w:pPr>
      <w:r w:rsidRPr="001731B4">
        <w:rPr>
          <w:b/>
          <w:color w:val="000000"/>
          <w:szCs w:val="22"/>
        </w:rPr>
        <w:t>SECTION 310(d) APPLICATION</w:t>
      </w:r>
      <w:r>
        <w:rPr>
          <w:b/>
          <w:color w:val="000000"/>
          <w:szCs w:val="22"/>
        </w:rPr>
        <w:t>S</w:t>
      </w:r>
    </w:p>
    <w:p w:rsidR="00954FA5" w:rsidRPr="001731B4" w:rsidRDefault="00954FA5" w:rsidP="00954FA5">
      <w:pPr>
        <w:keepNext/>
        <w:rPr>
          <w:color w:val="000000"/>
          <w:szCs w:val="22"/>
        </w:rPr>
      </w:pPr>
    </w:p>
    <w:p w:rsidR="00954FA5" w:rsidRPr="001731B4" w:rsidRDefault="00954FA5" w:rsidP="00954FA5">
      <w:pPr>
        <w:widowControl/>
        <w:autoSpaceDE w:val="0"/>
        <w:autoSpaceDN w:val="0"/>
        <w:adjustRightInd w:val="0"/>
        <w:ind w:firstLine="720"/>
        <w:rPr>
          <w:color w:val="000000"/>
          <w:szCs w:val="22"/>
        </w:rPr>
      </w:pPr>
      <w:r w:rsidRPr="001731B4">
        <w:rPr>
          <w:color w:val="000000"/>
          <w:szCs w:val="22"/>
        </w:rPr>
        <w:t>The application</w:t>
      </w:r>
      <w:r>
        <w:rPr>
          <w:color w:val="000000"/>
          <w:szCs w:val="22"/>
        </w:rPr>
        <w:t>s</w:t>
      </w:r>
      <w:r w:rsidRPr="001731B4">
        <w:rPr>
          <w:color w:val="000000"/>
          <w:szCs w:val="22"/>
        </w:rPr>
        <w:t xml:space="preserve"> for consent to the transfer of control of certain ancillary wireless licenses under section 310(d) ha</w:t>
      </w:r>
      <w:r>
        <w:rPr>
          <w:color w:val="000000"/>
          <w:szCs w:val="22"/>
        </w:rPr>
        <w:t>ve</w:t>
      </w:r>
      <w:r w:rsidRPr="001731B4">
        <w:rPr>
          <w:color w:val="000000"/>
          <w:szCs w:val="22"/>
        </w:rPr>
        <w:t xml:space="preserve"> been assigned the file number</w:t>
      </w:r>
      <w:r>
        <w:rPr>
          <w:color w:val="000000"/>
          <w:szCs w:val="22"/>
        </w:rPr>
        <w:t>s</w:t>
      </w:r>
      <w:r w:rsidRPr="001731B4">
        <w:rPr>
          <w:color w:val="000000"/>
          <w:szCs w:val="22"/>
        </w:rPr>
        <w:t xml:space="preserve"> listed below.</w:t>
      </w:r>
      <w:r w:rsidRPr="001731B4">
        <w:rPr>
          <w:color w:val="000000"/>
          <w:szCs w:val="22"/>
        </w:rPr>
        <w:tab/>
      </w:r>
      <w:r>
        <w:rPr>
          <w:color w:val="000000"/>
          <w:szCs w:val="22"/>
        </w:rPr>
        <w:br/>
      </w:r>
    </w:p>
    <w:p w:rsidR="00954FA5" w:rsidRPr="001731B4" w:rsidRDefault="00954FA5" w:rsidP="00954FA5">
      <w:pPr>
        <w:keepNext/>
        <w:spacing w:after="220"/>
        <w:ind w:left="1440"/>
        <w:jc w:val="both"/>
        <w:outlineLvl w:val="1"/>
        <w:rPr>
          <w:b/>
        </w:rPr>
      </w:pPr>
      <w:r w:rsidRPr="001731B4">
        <w:rPr>
          <w:b/>
        </w:rPr>
        <w:t>Application for Transfer of Control of Wireless Authorizations</w:t>
      </w:r>
    </w:p>
    <w:p w:rsidR="00954FA5" w:rsidRPr="001731B4" w:rsidRDefault="00954FA5" w:rsidP="00954FA5">
      <w:pPr>
        <w:widowControl/>
        <w:spacing w:after="240"/>
        <w:rPr>
          <w:b/>
          <w:color w:val="000000"/>
          <w:szCs w:val="22"/>
        </w:rPr>
      </w:pPr>
      <w:r w:rsidRPr="001731B4">
        <w:rPr>
          <w:b/>
          <w:color w:val="000000"/>
          <w:szCs w:val="22"/>
        </w:rPr>
        <w:t>File Number</w:t>
      </w:r>
      <w:r w:rsidRPr="001731B4">
        <w:rPr>
          <w:b/>
          <w:color w:val="000000"/>
          <w:szCs w:val="22"/>
        </w:rPr>
        <w:tab/>
      </w:r>
      <w:r w:rsidRPr="001731B4">
        <w:rPr>
          <w:b/>
          <w:color w:val="000000"/>
          <w:szCs w:val="22"/>
        </w:rPr>
        <w:tab/>
      </w:r>
      <w:r>
        <w:rPr>
          <w:b/>
          <w:color w:val="000000"/>
          <w:szCs w:val="22"/>
        </w:rPr>
        <w:tab/>
      </w:r>
      <w:r>
        <w:rPr>
          <w:b/>
          <w:color w:val="000000"/>
          <w:szCs w:val="22"/>
        </w:rPr>
        <w:tab/>
      </w:r>
      <w:r w:rsidRPr="001731B4">
        <w:rPr>
          <w:b/>
          <w:color w:val="000000"/>
          <w:szCs w:val="22"/>
        </w:rPr>
        <w:t>Licensee</w:t>
      </w:r>
      <w:r w:rsidRPr="001731B4">
        <w:rPr>
          <w:b/>
          <w:color w:val="000000"/>
          <w:szCs w:val="22"/>
        </w:rPr>
        <w:tab/>
      </w:r>
      <w:r w:rsidRPr="001731B4">
        <w:rPr>
          <w:b/>
          <w:color w:val="000000"/>
          <w:szCs w:val="22"/>
        </w:rPr>
        <w:tab/>
      </w:r>
      <w:r w:rsidRPr="001731B4">
        <w:rPr>
          <w:b/>
          <w:color w:val="000000"/>
          <w:szCs w:val="22"/>
        </w:rPr>
        <w:tab/>
      </w:r>
      <w:r w:rsidRPr="001731B4">
        <w:rPr>
          <w:b/>
          <w:color w:val="000000"/>
          <w:szCs w:val="22"/>
        </w:rPr>
        <w:tab/>
        <w:t>Call Sign</w:t>
      </w:r>
    </w:p>
    <w:p w:rsidR="00954FA5" w:rsidRPr="001731B4" w:rsidRDefault="001F1549" w:rsidP="00954FA5">
      <w:pPr>
        <w:widowControl/>
        <w:spacing w:after="240"/>
        <w:rPr>
          <w:snapToGrid/>
          <w:kern w:val="0"/>
          <w:szCs w:val="22"/>
        </w:rPr>
      </w:pPr>
      <w:r>
        <w:rPr>
          <w:color w:val="262626"/>
          <w:szCs w:val="22"/>
        </w:rPr>
        <w:t>00074</w:t>
      </w:r>
      <w:r w:rsidR="00954FA5" w:rsidRPr="001731B4">
        <w:rPr>
          <w:color w:val="262626"/>
          <w:szCs w:val="22"/>
        </w:rPr>
        <w:t>40512</w:t>
      </w:r>
      <w:r w:rsidR="00954FA5" w:rsidRPr="001731B4">
        <w:rPr>
          <w:color w:val="262626"/>
          <w:szCs w:val="22"/>
        </w:rPr>
        <w:tab/>
      </w:r>
      <w:r w:rsidR="00954FA5" w:rsidRPr="001731B4">
        <w:rPr>
          <w:snapToGrid/>
          <w:kern w:val="0"/>
          <w:szCs w:val="22"/>
        </w:rPr>
        <w:tab/>
      </w:r>
      <w:r w:rsidR="00954FA5" w:rsidRPr="001731B4">
        <w:rPr>
          <w:snapToGrid/>
          <w:kern w:val="0"/>
          <w:szCs w:val="22"/>
        </w:rPr>
        <w:tab/>
        <w:t>Grande Communications Network LLC</w:t>
      </w:r>
      <w:r w:rsidR="00954FA5" w:rsidRPr="001731B4">
        <w:rPr>
          <w:snapToGrid/>
          <w:kern w:val="0"/>
          <w:szCs w:val="22"/>
        </w:rPr>
        <w:tab/>
      </w:r>
      <w:r w:rsidR="00954FA5" w:rsidRPr="001731B4">
        <w:rPr>
          <w:snapToGrid/>
          <w:kern w:val="0"/>
          <w:szCs w:val="22"/>
        </w:rPr>
        <w:tab/>
        <w:t>WQQF562</w:t>
      </w:r>
    </w:p>
    <w:p w:rsidR="00954FA5" w:rsidRPr="001731B4" w:rsidRDefault="00954FA5" w:rsidP="00954FA5">
      <w:pPr>
        <w:keepNext/>
        <w:spacing w:after="220"/>
        <w:ind w:left="1440"/>
        <w:jc w:val="both"/>
        <w:outlineLvl w:val="1"/>
        <w:rPr>
          <w:b/>
          <w:snapToGrid/>
        </w:rPr>
      </w:pPr>
      <w:r w:rsidRPr="001731B4">
        <w:rPr>
          <w:b/>
          <w:snapToGrid/>
        </w:rPr>
        <w:t>Part 78- Cable Television Relay Service (CARS)</w:t>
      </w:r>
    </w:p>
    <w:p w:rsidR="00954FA5" w:rsidRPr="001731B4" w:rsidRDefault="00954FA5" w:rsidP="00954FA5">
      <w:pPr>
        <w:widowControl/>
        <w:spacing w:after="240"/>
        <w:rPr>
          <w:b/>
          <w:color w:val="000000"/>
          <w:szCs w:val="22"/>
        </w:rPr>
      </w:pPr>
      <w:r w:rsidRPr="001731B4">
        <w:rPr>
          <w:b/>
          <w:color w:val="000000"/>
          <w:szCs w:val="22"/>
        </w:rPr>
        <w:t>File Number</w:t>
      </w:r>
      <w:r w:rsidRPr="001731B4">
        <w:rPr>
          <w:b/>
          <w:color w:val="000000"/>
          <w:szCs w:val="22"/>
        </w:rPr>
        <w:tab/>
      </w:r>
      <w:r w:rsidRPr="001731B4">
        <w:rPr>
          <w:b/>
          <w:color w:val="000000"/>
          <w:szCs w:val="22"/>
        </w:rPr>
        <w:tab/>
      </w:r>
      <w:r w:rsidRPr="001731B4">
        <w:rPr>
          <w:b/>
          <w:color w:val="000000"/>
          <w:szCs w:val="22"/>
        </w:rPr>
        <w:tab/>
      </w:r>
      <w:r w:rsidRPr="001731B4">
        <w:rPr>
          <w:b/>
          <w:color w:val="000000"/>
          <w:szCs w:val="22"/>
        </w:rPr>
        <w:tab/>
        <w:t>Licensee</w:t>
      </w:r>
      <w:r w:rsidRPr="001731B4">
        <w:rPr>
          <w:b/>
          <w:color w:val="000000"/>
          <w:szCs w:val="22"/>
        </w:rPr>
        <w:tab/>
      </w:r>
      <w:r w:rsidRPr="001731B4">
        <w:rPr>
          <w:b/>
          <w:color w:val="000000"/>
          <w:szCs w:val="22"/>
        </w:rPr>
        <w:tab/>
      </w:r>
      <w:r w:rsidRPr="001731B4">
        <w:rPr>
          <w:b/>
          <w:color w:val="000000"/>
          <w:szCs w:val="22"/>
        </w:rPr>
        <w:tab/>
      </w:r>
      <w:r w:rsidRPr="001731B4">
        <w:rPr>
          <w:b/>
          <w:color w:val="000000"/>
          <w:szCs w:val="22"/>
        </w:rPr>
        <w:tab/>
        <w:t>Call Sign</w:t>
      </w:r>
    </w:p>
    <w:p w:rsidR="00954FA5" w:rsidRPr="001731B4" w:rsidRDefault="00954FA5" w:rsidP="00954FA5">
      <w:r w:rsidRPr="001731B4">
        <w:t>20160915AA09</w:t>
      </w:r>
      <w:r w:rsidRPr="001731B4">
        <w:tab/>
      </w:r>
      <w:r w:rsidRPr="001731B4">
        <w:tab/>
      </w:r>
      <w:r w:rsidRPr="001731B4">
        <w:tab/>
        <w:t>RCN Telecom Services (Lehigh) LLC</w:t>
      </w:r>
      <w:r w:rsidRPr="001731B4">
        <w:tab/>
      </w:r>
      <w:r w:rsidRPr="001731B4">
        <w:tab/>
        <w:t>WLY-676</w:t>
      </w:r>
    </w:p>
    <w:p w:rsidR="00954FA5" w:rsidRPr="001731B4" w:rsidRDefault="00954FA5" w:rsidP="00954FA5">
      <w:r w:rsidRPr="001731B4">
        <w:t>20160915AB09</w:t>
      </w:r>
      <w:r w:rsidRPr="001731B4">
        <w:tab/>
      </w:r>
      <w:r w:rsidRPr="001731B4">
        <w:tab/>
      </w:r>
      <w:r w:rsidRPr="001731B4">
        <w:tab/>
        <w:t>RCN Telecom Services (Lehigh) LLC</w:t>
      </w:r>
      <w:r w:rsidRPr="001731B4">
        <w:tab/>
      </w:r>
      <w:r w:rsidRPr="001731B4">
        <w:tab/>
        <w:t>WLY-679</w:t>
      </w:r>
    </w:p>
    <w:p w:rsidR="00954FA5" w:rsidRPr="001731B4" w:rsidRDefault="00954FA5" w:rsidP="00954FA5">
      <w:r w:rsidRPr="001731B4">
        <w:lastRenderedPageBreak/>
        <w:t>20160915AC09</w:t>
      </w:r>
      <w:r w:rsidRPr="001731B4">
        <w:tab/>
      </w:r>
      <w:r w:rsidRPr="001731B4">
        <w:tab/>
      </w:r>
      <w:r w:rsidRPr="001731B4">
        <w:tab/>
        <w:t>RCN Telecom Services (Lehigh) LLC</w:t>
      </w:r>
      <w:r w:rsidRPr="001731B4">
        <w:tab/>
      </w:r>
      <w:r>
        <w:tab/>
      </w:r>
      <w:r w:rsidRPr="001731B4">
        <w:t>KD-55018</w:t>
      </w:r>
    </w:p>
    <w:p w:rsidR="00954FA5" w:rsidRPr="001731B4" w:rsidRDefault="00954FA5" w:rsidP="00954FA5"/>
    <w:p w:rsidR="00954FA5" w:rsidRPr="001731B4" w:rsidRDefault="00954FA5" w:rsidP="00954FA5">
      <w:pPr>
        <w:rPr>
          <w:b/>
        </w:rPr>
      </w:pPr>
      <w:r>
        <w:rPr>
          <w:b/>
        </w:rPr>
        <w:tab/>
      </w:r>
      <w:r>
        <w:rPr>
          <w:b/>
        </w:rPr>
        <w:tab/>
        <w:t>Part 25 – Satellite Earth Station License</w:t>
      </w:r>
    </w:p>
    <w:p w:rsidR="00954FA5" w:rsidRDefault="00954FA5" w:rsidP="00954FA5">
      <w:pPr>
        <w:rPr>
          <w:b/>
        </w:rPr>
      </w:pPr>
    </w:p>
    <w:p w:rsidR="00954FA5" w:rsidRDefault="00954FA5" w:rsidP="00954FA5">
      <w:r w:rsidRPr="000401D5">
        <w:rPr>
          <w:b/>
        </w:rPr>
        <w:t>File Number</w:t>
      </w:r>
      <w:r>
        <w:tab/>
      </w:r>
      <w:r>
        <w:tab/>
      </w:r>
      <w:r>
        <w:tab/>
      </w:r>
      <w:r>
        <w:tab/>
      </w:r>
      <w:r w:rsidRPr="000401D5">
        <w:rPr>
          <w:b/>
        </w:rPr>
        <w:t>Licensee</w:t>
      </w:r>
      <w:r>
        <w:tab/>
      </w:r>
      <w:r>
        <w:tab/>
      </w:r>
      <w:r>
        <w:tab/>
      </w:r>
      <w:r>
        <w:tab/>
      </w:r>
      <w:r w:rsidRPr="000401D5">
        <w:rPr>
          <w:b/>
        </w:rPr>
        <w:t>Call Sign</w:t>
      </w:r>
    </w:p>
    <w:p w:rsidR="00954FA5" w:rsidRDefault="00954FA5" w:rsidP="00954FA5"/>
    <w:p w:rsidR="00954FA5" w:rsidRPr="00780655" w:rsidRDefault="00954FA5" w:rsidP="00954FA5">
      <w:r w:rsidRPr="006862D2">
        <w:t>SES-T/C-20160901-00758</w:t>
      </w:r>
      <w:r>
        <w:tab/>
      </w:r>
      <w:r w:rsidRPr="006862D2">
        <w:t>RCN Telecom Services (Lehigh) LLC</w:t>
      </w:r>
      <w:r>
        <w:tab/>
      </w:r>
      <w:r>
        <w:tab/>
      </w:r>
      <w:r w:rsidRPr="006862D2">
        <w:t>E100045</w:t>
      </w:r>
    </w:p>
    <w:p w:rsidR="00954FA5" w:rsidRDefault="00954FA5" w:rsidP="00954FA5">
      <w:pPr>
        <w:ind w:right="720"/>
        <w:rPr>
          <w:b/>
          <w:szCs w:val="22"/>
        </w:rPr>
      </w:pPr>
    </w:p>
    <w:p w:rsidR="00954FA5" w:rsidRPr="001731B4" w:rsidRDefault="00954FA5" w:rsidP="00954FA5">
      <w:pPr>
        <w:ind w:right="720"/>
        <w:rPr>
          <w:szCs w:val="22"/>
        </w:rPr>
      </w:pPr>
      <w:r w:rsidRPr="001731B4">
        <w:rPr>
          <w:b/>
          <w:szCs w:val="22"/>
        </w:rPr>
        <w:t>GENERAL INFORMATION</w:t>
      </w:r>
    </w:p>
    <w:p w:rsidR="00954FA5" w:rsidRPr="001731B4" w:rsidRDefault="00954FA5" w:rsidP="00954FA5">
      <w:pPr>
        <w:ind w:right="720"/>
        <w:rPr>
          <w:szCs w:val="22"/>
        </w:rPr>
      </w:pPr>
    </w:p>
    <w:p w:rsidR="00954FA5" w:rsidRPr="001731B4" w:rsidRDefault="00954FA5" w:rsidP="00954FA5">
      <w:pPr>
        <w:autoSpaceDE w:val="0"/>
        <w:autoSpaceDN w:val="0"/>
        <w:adjustRightInd w:val="0"/>
        <w:ind w:firstLine="720"/>
        <w:rPr>
          <w:szCs w:val="22"/>
        </w:rPr>
      </w:pPr>
      <w:r w:rsidRPr="001731B4">
        <w:rPr>
          <w:szCs w:val="22"/>
        </w:rPr>
        <w:t xml:space="preserve">The applications referenced herein have been found, upon initial review, to be acceptable for filing.  The Commission reserves the right to return any application if, upon further examination, it is determined to be defective and not in conformance with the Commission’s rules and policies.  </w:t>
      </w:r>
    </w:p>
    <w:p w:rsidR="00954FA5" w:rsidRPr="001731B4" w:rsidRDefault="00954FA5" w:rsidP="00954FA5">
      <w:pPr>
        <w:rPr>
          <w:szCs w:val="22"/>
        </w:rPr>
      </w:pPr>
    </w:p>
    <w:p w:rsidR="00954FA5" w:rsidRPr="001731B4" w:rsidRDefault="00954FA5" w:rsidP="00954FA5">
      <w:pPr>
        <w:autoSpaceDE w:val="0"/>
        <w:autoSpaceDN w:val="0"/>
        <w:adjustRightInd w:val="0"/>
        <w:ind w:firstLine="720"/>
        <w:rPr>
          <w:szCs w:val="22"/>
        </w:rPr>
      </w:pPr>
      <w:r w:rsidRPr="001731B4">
        <w:rPr>
          <w:szCs w:val="22"/>
        </w:rPr>
        <w:t xml:space="preserve">Pursuant to section 1.419 of the Commission’s rules, 47 CFR § 1.419, interested parties may file comments and petitions </w:t>
      </w:r>
      <w:r w:rsidRPr="001731B4">
        <w:rPr>
          <w:b/>
          <w:szCs w:val="22"/>
        </w:rPr>
        <w:t>on or</w:t>
      </w:r>
      <w:r w:rsidRPr="001731B4">
        <w:rPr>
          <w:szCs w:val="22"/>
        </w:rPr>
        <w:t xml:space="preserve"> </w:t>
      </w:r>
      <w:r w:rsidRPr="001731B4">
        <w:rPr>
          <w:b/>
          <w:szCs w:val="22"/>
        </w:rPr>
        <w:t>before</w:t>
      </w:r>
      <w:r w:rsidRPr="001731B4">
        <w:rPr>
          <w:szCs w:val="22"/>
        </w:rPr>
        <w:t xml:space="preserve"> </w:t>
      </w:r>
      <w:r>
        <w:rPr>
          <w:b/>
          <w:szCs w:val="22"/>
        </w:rPr>
        <w:t>October 21</w:t>
      </w:r>
      <w:r w:rsidRPr="001731B4">
        <w:rPr>
          <w:b/>
          <w:szCs w:val="22"/>
        </w:rPr>
        <w:t>, 2016,</w:t>
      </w:r>
      <w:r w:rsidRPr="001731B4">
        <w:rPr>
          <w:szCs w:val="22"/>
        </w:rPr>
        <w:t xml:space="preserve"> and reply comments or oppositions to petitions </w:t>
      </w:r>
      <w:r>
        <w:rPr>
          <w:b/>
          <w:szCs w:val="22"/>
        </w:rPr>
        <w:t>on or before Novem</w:t>
      </w:r>
      <w:r w:rsidRPr="001731B4">
        <w:rPr>
          <w:b/>
          <w:szCs w:val="22"/>
        </w:rPr>
        <w:t xml:space="preserve">ber </w:t>
      </w:r>
      <w:r>
        <w:rPr>
          <w:b/>
          <w:szCs w:val="22"/>
        </w:rPr>
        <w:t>7</w:t>
      </w:r>
      <w:r w:rsidRPr="001731B4">
        <w:rPr>
          <w:b/>
          <w:szCs w:val="22"/>
        </w:rPr>
        <w:t>, 2016.</w:t>
      </w:r>
      <w:r w:rsidRPr="001731B4">
        <w:rPr>
          <w:szCs w:val="22"/>
        </w:rPr>
        <w:t xml:space="preserve">   Comments may be filed using the Commission’s Electronic Comment Filing System (ECFS) or by paper.  </w:t>
      </w:r>
      <w:r w:rsidRPr="001731B4">
        <w:rPr>
          <w:i/>
          <w:iCs/>
          <w:szCs w:val="22"/>
        </w:rPr>
        <w:t>See Electronic Filing of Documents in Rulemaking Proceedings</w:t>
      </w:r>
      <w:r w:rsidRPr="001731B4">
        <w:rPr>
          <w:szCs w:val="22"/>
        </w:rPr>
        <w:t>, 63 F</w:t>
      </w:r>
      <w:r>
        <w:rPr>
          <w:szCs w:val="22"/>
        </w:rPr>
        <w:t xml:space="preserve">ed. </w:t>
      </w:r>
      <w:r w:rsidRPr="001731B4">
        <w:rPr>
          <w:szCs w:val="22"/>
        </w:rPr>
        <w:t>R</w:t>
      </w:r>
      <w:r>
        <w:rPr>
          <w:szCs w:val="22"/>
        </w:rPr>
        <w:t>eg.</w:t>
      </w:r>
      <w:r w:rsidRPr="001731B4">
        <w:rPr>
          <w:szCs w:val="22"/>
        </w:rPr>
        <w:t xml:space="preserve"> 24121 (1998).  All filings must be addressed to the Commission’s Secretary, Office of the Secretary, Federal Communications Commission.</w:t>
      </w:r>
    </w:p>
    <w:p w:rsidR="00954FA5" w:rsidRPr="001731B4" w:rsidRDefault="00954FA5" w:rsidP="00954FA5">
      <w:pPr>
        <w:rPr>
          <w:szCs w:val="22"/>
        </w:rPr>
      </w:pPr>
      <w:r w:rsidRPr="001731B4">
        <w:rPr>
          <w:szCs w:val="22"/>
        </w:rPr>
        <w:t> </w:t>
      </w:r>
    </w:p>
    <w:p w:rsidR="00954FA5" w:rsidRPr="001731B4" w:rsidRDefault="00954FA5" w:rsidP="00954FA5">
      <w:pPr>
        <w:widowControl/>
        <w:numPr>
          <w:ilvl w:val="0"/>
          <w:numId w:val="14"/>
        </w:numPr>
        <w:rPr>
          <w:szCs w:val="22"/>
        </w:rPr>
      </w:pPr>
      <w:r w:rsidRPr="001731B4">
        <w:rPr>
          <w:szCs w:val="22"/>
        </w:rPr>
        <w:t>Electronic Filers:  Comments may be filed electronically using the Internet by accessing ECFS at </w:t>
      </w:r>
      <w:hyperlink r:id="rId14" w:history="1">
        <w:r w:rsidRPr="001731B4">
          <w:rPr>
            <w:color w:val="0000FF"/>
            <w:szCs w:val="22"/>
            <w:u w:val="single"/>
          </w:rPr>
          <w:t>http://apps.fcc.gov/ecfs/</w:t>
        </w:r>
      </w:hyperlink>
      <w:r w:rsidRPr="001731B4">
        <w:rPr>
          <w:szCs w:val="22"/>
        </w:rPr>
        <w:t>.</w:t>
      </w:r>
    </w:p>
    <w:p w:rsidR="00954FA5" w:rsidRPr="001731B4" w:rsidRDefault="00954FA5" w:rsidP="00954FA5">
      <w:pPr>
        <w:widowControl/>
        <w:ind w:left="720"/>
        <w:rPr>
          <w:szCs w:val="22"/>
        </w:rPr>
      </w:pPr>
    </w:p>
    <w:p w:rsidR="00954FA5" w:rsidRPr="001731B4" w:rsidRDefault="00954FA5" w:rsidP="00954FA5">
      <w:pPr>
        <w:widowControl/>
        <w:numPr>
          <w:ilvl w:val="0"/>
          <w:numId w:val="15"/>
        </w:numPr>
        <w:rPr>
          <w:szCs w:val="22"/>
        </w:rPr>
      </w:pPr>
      <w:r w:rsidRPr="001731B4">
        <w:rPr>
          <w:szCs w:val="22"/>
        </w:rPr>
        <w:t xml:space="preserve">Paper Filers:  Parties who choose to file by paper must file an original and one copy of each filing.  Paper filings can be sent by hand or messenger delivery, by commercial overnight courier, or by first-class or overnight U.S. Postal Service mail.  </w:t>
      </w:r>
    </w:p>
    <w:p w:rsidR="00954FA5" w:rsidRPr="001731B4" w:rsidRDefault="00954FA5" w:rsidP="00954FA5">
      <w:pPr>
        <w:widowControl/>
        <w:ind w:left="720"/>
        <w:rPr>
          <w:szCs w:val="22"/>
        </w:rPr>
      </w:pPr>
    </w:p>
    <w:p w:rsidR="00954FA5" w:rsidRPr="001731B4" w:rsidRDefault="00954FA5" w:rsidP="00954FA5">
      <w:pPr>
        <w:widowControl/>
        <w:numPr>
          <w:ilvl w:val="1"/>
          <w:numId w:val="15"/>
        </w:numPr>
        <w:rPr>
          <w:szCs w:val="22"/>
        </w:rPr>
      </w:pPr>
      <w:r w:rsidRPr="001731B4">
        <w:rPr>
          <w:szCs w:val="22"/>
        </w:rPr>
        <w:t>All hand-delivered or messenger-delivered paper filings for the Commission’s Secretary must be delivered to FCC Headquarters at 445 12</w:t>
      </w:r>
      <w:r w:rsidRPr="001731B4">
        <w:rPr>
          <w:szCs w:val="22"/>
          <w:vertAlign w:val="superscript"/>
        </w:rPr>
        <w:t>th</w:t>
      </w:r>
      <w:r w:rsidRPr="001731B4">
        <w:rPr>
          <w:szCs w:val="22"/>
        </w:rPr>
        <w:t> St., SW, Room TW-A325, Washington, DC 20554.  The filing hours are 8:00 a.m. to 7:00 p.m.   All hand deliveries must be held together with rubber bands or fasteners.  All envelopes and boxes must be disposed of before entering the building. </w:t>
      </w:r>
    </w:p>
    <w:p w:rsidR="00954FA5" w:rsidRPr="001731B4" w:rsidRDefault="00954FA5" w:rsidP="00954FA5">
      <w:pPr>
        <w:widowControl/>
        <w:ind w:left="1440"/>
        <w:rPr>
          <w:szCs w:val="22"/>
        </w:rPr>
      </w:pPr>
    </w:p>
    <w:p w:rsidR="00954FA5" w:rsidRPr="001731B4" w:rsidRDefault="00954FA5" w:rsidP="00954FA5">
      <w:pPr>
        <w:widowControl/>
        <w:numPr>
          <w:ilvl w:val="1"/>
          <w:numId w:val="15"/>
        </w:numPr>
        <w:rPr>
          <w:szCs w:val="22"/>
        </w:rPr>
      </w:pPr>
      <w:r w:rsidRPr="001731B4">
        <w:rPr>
          <w:szCs w:val="22"/>
        </w:rPr>
        <w:t>Commercial overnight mail (other than U.S. Postal Service Express Mail and Priority Mail) must be sent to 9300 East Hampton Drive, Capitol Heights, MD  20743.</w:t>
      </w:r>
    </w:p>
    <w:p w:rsidR="00954FA5" w:rsidRPr="001731B4" w:rsidRDefault="00954FA5" w:rsidP="00954FA5">
      <w:pPr>
        <w:widowControl/>
        <w:rPr>
          <w:szCs w:val="22"/>
        </w:rPr>
      </w:pPr>
    </w:p>
    <w:p w:rsidR="00954FA5" w:rsidRPr="001731B4" w:rsidRDefault="00954FA5" w:rsidP="00954FA5">
      <w:pPr>
        <w:widowControl/>
        <w:numPr>
          <w:ilvl w:val="1"/>
          <w:numId w:val="15"/>
        </w:numPr>
        <w:rPr>
          <w:szCs w:val="22"/>
        </w:rPr>
      </w:pPr>
      <w:r w:rsidRPr="001731B4">
        <w:rPr>
          <w:szCs w:val="22"/>
        </w:rPr>
        <w:t>U.S. Postal Service first-class, Express, and Priority mail must be addressed to 445 12</w:t>
      </w:r>
      <w:r w:rsidRPr="001731B4">
        <w:rPr>
          <w:szCs w:val="22"/>
          <w:vertAlign w:val="superscript"/>
        </w:rPr>
        <w:t>th</w:t>
      </w:r>
      <w:r w:rsidRPr="001731B4">
        <w:rPr>
          <w:szCs w:val="22"/>
        </w:rPr>
        <w:t> St</w:t>
      </w:r>
      <w:r>
        <w:rPr>
          <w:szCs w:val="22"/>
        </w:rPr>
        <w:t>.</w:t>
      </w:r>
      <w:r w:rsidRPr="001731B4">
        <w:rPr>
          <w:szCs w:val="22"/>
        </w:rPr>
        <w:t>, SW, Washington DC  20554.</w:t>
      </w:r>
    </w:p>
    <w:p w:rsidR="00954FA5" w:rsidRPr="001731B4" w:rsidRDefault="00954FA5" w:rsidP="00954FA5">
      <w:pPr>
        <w:rPr>
          <w:szCs w:val="22"/>
        </w:rPr>
      </w:pPr>
      <w:r w:rsidRPr="001731B4">
        <w:rPr>
          <w:szCs w:val="22"/>
        </w:rPr>
        <w:t> </w:t>
      </w:r>
    </w:p>
    <w:p w:rsidR="00954FA5" w:rsidRPr="001731B4" w:rsidRDefault="00954FA5" w:rsidP="00954FA5">
      <w:pPr>
        <w:ind w:firstLine="720"/>
        <w:rPr>
          <w:szCs w:val="22"/>
        </w:rPr>
      </w:pPr>
      <w:r w:rsidRPr="001731B4">
        <w:rPr>
          <w:szCs w:val="22"/>
        </w:rPr>
        <w:t xml:space="preserve">People with Disabilities:  To request materials in accessible formats for people with disabilities (braille, large print, electronic files, audio format), send an e-mail to </w:t>
      </w:r>
      <w:r w:rsidRPr="001731B4">
        <w:rPr>
          <w:color w:val="000000"/>
          <w:szCs w:val="22"/>
        </w:rPr>
        <w:t>fcc504@fcc.gov</w:t>
      </w:r>
      <w:r w:rsidRPr="001731B4">
        <w:rPr>
          <w:szCs w:val="22"/>
        </w:rPr>
        <w:t xml:space="preserve"> or call the Consumer and Governmental Affairs Bureau at 202-418-0530 (voice), 1-888-835-5322 (tty).</w:t>
      </w:r>
    </w:p>
    <w:p w:rsidR="00954FA5" w:rsidRPr="001731B4" w:rsidRDefault="00954FA5" w:rsidP="00954FA5">
      <w:pPr>
        <w:rPr>
          <w:b/>
          <w:szCs w:val="22"/>
        </w:rPr>
      </w:pPr>
    </w:p>
    <w:p w:rsidR="00954FA5" w:rsidRPr="001731B4" w:rsidRDefault="00954FA5" w:rsidP="00954FA5">
      <w:pPr>
        <w:rPr>
          <w:szCs w:val="22"/>
        </w:rPr>
      </w:pPr>
      <w:r w:rsidRPr="001731B4">
        <w:rPr>
          <w:b/>
          <w:szCs w:val="22"/>
        </w:rPr>
        <w:t>In addition, please provide one copy of each pleading to each of the following</w:t>
      </w:r>
      <w:r w:rsidRPr="001731B4">
        <w:rPr>
          <w:szCs w:val="22"/>
        </w:rPr>
        <w:t>:</w:t>
      </w:r>
    </w:p>
    <w:p w:rsidR="00954FA5" w:rsidRPr="001731B4" w:rsidRDefault="00954FA5" w:rsidP="00954FA5">
      <w:pPr>
        <w:rPr>
          <w:szCs w:val="22"/>
        </w:rPr>
      </w:pPr>
    </w:p>
    <w:p w:rsidR="00954FA5" w:rsidRPr="001731B4" w:rsidRDefault="00954FA5" w:rsidP="00954FA5">
      <w:pPr>
        <w:widowControl/>
        <w:numPr>
          <w:ilvl w:val="0"/>
          <w:numId w:val="13"/>
        </w:numPr>
        <w:spacing w:after="120"/>
        <w:rPr>
          <w:color w:val="000000"/>
          <w:szCs w:val="22"/>
        </w:rPr>
      </w:pPr>
      <w:r w:rsidRPr="001731B4">
        <w:rPr>
          <w:szCs w:val="22"/>
        </w:rPr>
        <w:t>Neil Dellar, Office of General Counsel</w:t>
      </w:r>
      <w:r w:rsidRPr="001731B4">
        <w:rPr>
          <w:color w:val="000000"/>
          <w:szCs w:val="22"/>
        </w:rPr>
        <w:t xml:space="preserve">, </w:t>
      </w:r>
      <w:hyperlink r:id="rId15" w:history="1">
        <w:r w:rsidRPr="001731B4">
          <w:rPr>
            <w:color w:val="0000FF"/>
            <w:szCs w:val="22"/>
            <w:u w:val="single"/>
          </w:rPr>
          <w:t>transactionteam@fcc.gov</w:t>
        </w:r>
      </w:hyperlink>
      <w:r w:rsidRPr="001731B4">
        <w:rPr>
          <w:color w:val="000000"/>
          <w:szCs w:val="22"/>
        </w:rPr>
        <w:t>;</w:t>
      </w:r>
    </w:p>
    <w:p w:rsidR="00954FA5" w:rsidRPr="001731B4" w:rsidRDefault="00954FA5" w:rsidP="00954FA5">
      <w:pPr>
        <w:widowControl/>
        <w:numPr>
          <w:ilvl w:val="0"/>
          <w:numId w:val="13"/>
        </w:numPr>
        <w:spacing w:after="120"/>
        <w:rPr>
          <w:color w:val="000000"/>
          <w:szCs w:val="22"/>
        </w:rPr>
      </w:pPr>
      <w:r w:rsidRPr="001731B4">
        <w:rPr>
          <w:color w:val="000000"/>
          <w:szCs w:val="22"/>
        </w:rPr>
        <w:t xml:space="preserve">Dennis Johnson, Wireline Competition Bureau, </w:t>
      </w:r>
      <w:hyperlink r:id="rId16" w:history="1">
        <w:r w:rsidRPr="001731B4">
          <w:rPr>
            <w:color w:val="0000FF"/>
            <w:szCs w:val="22"/>
            <w:u w:val="single"/>
          </w:rPr>
          <w:t>dennis.johnson@fcc.gov</w:t>
        </w:r>
      </w:hyperlink>
      <w:r w:rsidRPr="001731B4">
        <w:rPr>
          <w:color w:val="000000"/>
          <w:szCs w:val="22"/>
        </w:rPr>
        <w:t>;</w:t>
      </w:r>
    </w:p>
    <w:p w:rsidR="00954FA5" w:rsidRPr="001731B4" w:rsidRDefault="00954FA5" w:rsidP="00954FA5">
      <w:pPr>
        <w:widowControl/>
        <w:numPr>
          <w:ilvl w:val="0"/>
          <w:numId w:val="13"/>
        </w:numPr>
        <w:spacing w:after="120"/>
        <w:rPr>
          <w:color w:val="000000"/>
          <w:szCs w:val="22"/>
        </w:rPr>
      </w:pPr>
      <w:r w:rsidRPr="001731B4">
        <w:rPr>
          <w:color w:val="000000"/>
          <w:szCs w:val="22"/>
        </w:rPr>
        <w:t xml:space="preserve">David Krech, International Bureau, </w:t>
      </w:r>
      <w:hyperlink r:id="rId17" w:history="1">
        <w:r w:rsidRPr="001731B4">
          <w:rPr>
            <w:color w:val="0000FF"/>
            <w:szCs w:val="22"/>
            <w:u w:val="single"/>
          </w:rPr>
          <w:t>david.krech@fcc.gov</w:t>
        </w:r>
      </w:hyperlink>
      <w:r w:rsidRPr="001731B4">
        <w:rPr>
          <w:color w:val="000000"/>
          <w:szCs w:val="22"/>
        </w:rPr>
        <w:t xml:space="preserve">; </w:t>
      </w:r>
    </w:p>
    <w:p w:rsidR="00954FA5" w:rsidRPr="001731B4" w:rsidRDefault="00954FA5" w:rsidP="00954FA5">
      <w:pPr>
        <w:widowControl/>
        <w:numPr>
          <w:ilvl w:val="0"/>
          <w:numId w:val="13"/>
        </w:numPr>
        <w:spacing w:after="120"/>
        <w:rPr>
          <w:color w:val="000000"/>
          <w:szCs w:val="22"/>
        </w:rPr>
      </w:pPr>
      <w:r w:rsidRPr="001731B4">
        <w:rPr>
          <w:color w:val="000000"/>
          <w:szCs w:val="22"/>
        </w:rPr>
        <w:t xml:space="preserve">Sumita Mukhoty, International Bureau, </w:t>
      </w:r>
      <w:hyperlink r:id="rId18" w:history="1">
        <w:r w:rsidRPr="001731B4">
          <w:rPr>
            <w:color w:val="0000FF"/>
            <w:szCs w:val="22"/>
            <w:u w:val="single"/>
          </w:rPr>
          <w:t>sumita.mukhoty@fcc.gov</w:t>
        </w:r>
      </w:hyperlink>
      <w:r w:rsidRPr="001731B4">
        <w:rPr>
          <w:color w:val="000000"/>
          <w:szCs w:val="22"/>
        </w:rPr>
        <w:t>;</w:t>
      </w:r>
    </w:p>
    <w:p w:rsidR="00954FA5" w:rsidRPr="001731B4" w:rsidRDefault="00954FA5" w:rsidP="00954FA5">
      <w:pPr>
        <w:widowControl/>
        <w:numPr>
          <w:ilvl w:val="0"/>
          <w:numId w:val="13"/>
        </w:numPr>
        <w:spacing w:after="120"/>
        <w:rPr>
          <w:color w:val="000000"/>
          <w:szCs w:val="22"/>
        </w:rPr>
      </w:pPr>
      <w:r w:rsidRPr="001731B4">
        <w:rPr>
          <w:color w:val="000000"/>
          <w:szCs w:val="22"/>
        </w:rPr>
        <w:t xml:space="preserve">Brendan Holland, Media Bureau, </w:t>
      </w:r>
      <w:hyperlink r:id="rId19" w:history="1">
        <w:r w:rsidRPr="001731B4">
          <w:rPr>
            <w:color w:val="0000FF"/>
            <w:szCs w:val="22"/>
            <w:u w:val="single"/>
          </w:rPr>
          <w:t>brendan.holland@fcc.gov</w:t>
        </w:r>
      </w:hyperlink>
      <w:r w:rsidRPr="001731B4">
        <w:rPr>
          <w:color w:val="000000"/>
          <w:szCs w:val="22"/>
        </w:rPr>
        <w:t>;</w:t>
      </w:r>
    </w:p>
    <w:p w:rsidR="00954FA5" w:rsidRPr="001731B4" w:rsidRDefault="00954FA5" w:rsidP="00954FA5">
      <w:pPr>
        <w:widowControl/>
        <w:numPr>
          <w:ilvl w:val="0"/>
          <w:numId w:val="13"/>
        </w:numPr>
        <w:spacing w:after="120"/>
        <w:rPr>
          <w:color w:val="000000"/>
          <w:szCs w:val="22"/>
        </w:rPr>
      </w:pPr>
      <w:r w:rsidRPr="001731B4">
        <w:rPr>
          <w:color w:val="000000"/>
          <w:szCs w:val="22"/>
        </w:rPr>
        <w:lastRenderedPageBreak/>
        <w:t xml:space="preserve">Jeffrey Neumann, Media Bureau, </w:t>
      </w:r>
      <w:hyperlink r:id="rId20" w:history="1">
        <w:r w:rsidRPr="001731B4">
          <w:rPr>
            <w:color w:val="0000FF"/>
            <w:szCs w:val="22"/>
            <w:u w:val="single"/>
          </w:rPr>
          <w:t>jeffrey.neumann@fcc.gov</w:t>
        </w:r>
      </w:hyperlink>
      <w:r w:rsidRPr="001731B4">
        <w:rPr>
          <w:color w:val="000000"/>
          <w:szCs w:val="22"/>
        </w:rPr>
        <w:t xml:space="preserve">; </w:t>
      </w:r>
    </w:p>
    <w:p w:rsidR="00954FA5" w:rsidRPr="001731B4" w:rsidRDefault="00954FA5" w:rsidP="00954FA5">
      <w:pPr>
        <w:widowControl/>
        <w:numPr>
          <w:ilvl w:val="0"/>
          <w:numId w:val="13"/>
        </w:numPr>
        <w:spacing w:after="120"/>
        <w:rPr>
          <w:color w:val="000000"/>
          <w:szCs w:val="22"/>
        </w:rPr>
      </w:pPr>
      <w:r w:rsidRPr="001731B4">
        <w:rPr>
          <w:color w:val="000000"/>
          <w:szCs w:val="22"/>
        </w:rPr>
        <w:t xml:space="preserve">Linda Ray, Wireless Telecommunications Bureau, </w:t>
      </w:r>
      <w:hyperlink r:id="rId21" w:history="1">
        <w:r w:rsidRPr="001731B4">
          <w:rPr>
            <w:color w:val="0000FF"/>
            <w:szCs w:val="22"/>
            <w:u w:val="single"/>
          </w:rPr>
          <w:t>linda.ray@fcc.gov</w:t>
        </w:r>
      </w:hyperlink>
      <w:r w:rsidRPr="001731B4">
        <w:rPr>
          <w:color w:val="000000"/>
          <w:szCs w:val="22"/>
        </w:rPr>
        <w:t>;</w:t>
      </w:r>
    </w:p>
    <w:p w:rsidR="00954FA5" w:rsidRPr="001731B4" w:rsidRDefault="00F64821" w:rsidP="00954FA5">
      <w:pPr>
        <w:ind w:firstLine="720"/>
        <w:rPr>
          <w:szCs w:val="22"/>
        </w:rPr>
      </w:pPr>
      <w:bookmarkStart w:id="5" w:name="SR;3162"/>
      <w:bookmarkEnd w:id="5"/>
      <w:r>
        <w:rPr>
          <w:szCs w:val="22"/>
        </w:rPr>
        <w:br w:type="page"/>
      </w:r>
      <w:r w:rsidR="00954FA5" w:rsidRPr="001731B4">
        <w:rPr>
          <w:szCs w:val="22"/>
        </w:rPr>
        <w:t xml:space="preserve">The proceeding in this Notice shall be treated as a “permit-but-disclose” proceeding in accordance with the Commission’s </w:t>
      </w:r>
      <w:r w:rsidR="00954FA5" w:rsidRPr="001731B4">
        <w:rPr>
          <w:i/>
          <w:iCs/>
          <w:szCs w:val="22"/>
        </w:rPr>
        <w:t xml:space="preserve">ex parte </w:t>
      </w:r>
      <w:r w:rsidR="00954FA5" w:rsidRPr="001731B4">
        <w:rPr>
          <w:szCs w:val="22"/>
        </w:rPr>
        <w:t>rules.</w:t>
      </w:r>
      <w:r w:rsidR="00954FA5" w:rsidRPr="001731B4">
        <w:rPr>
          <w:szCs w:val="22"/>
          <w:vertAlign w:val="superscript"/>
        </w:rPr>
        <w:footnoteReference w:id="32"/>
      </w:r>
      <w:r w:rsidR="00954FA5" w:rsidRPr="001731B4">
        <w:rPr>
          <w:szCs w:val="22"/>
        </w:rPr>
        <w:t xml:space="preserve">  Persons making </w:t>
      </w:r>
      <w:r w:rsidR="00954FA5" w:rsidRPr="001731B4">
        <w:rPr>
          <w:i/>
          <w:szCs w:val="22"/>
        </w:rPr>
        <w:t xml:space="preserve">ex parte </w:t>
      </w:r>
      <w:r w:rsidR="00954FA5" w:rsidRPr="001731B4">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954FA5" w:rsidRPr="001731B4">
        <w:rPr>
          <w:i/>
          <w:iCs/>
          <w:szCs w:val="22"/>
        </w:rPr>
        <w:t xml:space="preserve">ex parte </w:t>
      </w:r>
      <w:r w:rsidR="00954FA5" w:rsidRPr="001731B4">
        <w:rPr>
          <w:szCs w:val="22"/>
        </w:rPr>
        <w:t xml:space="preserve">presentations are reminded that memoranda summarizing the presentation must (1) list all persons attending or otherwise participating in the meeting at which the </w:t>
      </w:r>
      <w:r w:rsidR="00954FA5" w:rsidRPr="001731B4">
        <w:rPr>
          <w:i/>
          <w:iCs/>
          <w:szCs w:val="22"/>
        </w:rPr>
        <w:t xml:space="preserve">ex parte </w:t>
      </w:r>
      <w:r w:rsidR="00954FA5" w:rsidRPr="001731B4">
        <w:rPr>
          <w:szCs w:val="22"/>
        </w:rPr>
        <w:t xml:space="preserve">presentation was made, and (2) summarize all data presented and arguments made during the presentation.  If the presentation consisted in whole or in part of data or arguments already reflected in the presenter’s written comments, memoranda, or other filings in the proceeding, then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954FA5" w:rsidRPr="001731B4">
        <w:rPr>
          <w:i/>
          <w:iCs/>
          <w:szCs w:val="22"/>
        </w:rPr>
        <w:t xml:space="preserve">ex parte </w:t>
      </w:r>
      <w:r w:rsidR="00954FA5" w:rsidRPr="001731B4">
        <w:rPr>
          <w:szCs w:val="22"/>
        </w:rPr>
        <w:t xml:space="preserve">meetings are deemed to be written </w:t>
      </w:r>
      <w:r w:rsidR="00954FA5" w:rsidRPr="001731B4">
        <w:rPr>
          <w:i/>
          <w:iCs/>
          <w:szCs w:val="22"/>
        </w:rPr>
        <w:t>ex parte</w:t>
      </w:r>
      <w:r w:rsidR="00954FA5" w:rsidRPr="001731B4">
        <w:rPr>
          <w:szCs w:val="22"/>
        </w:rPr>
        <w:t xml:space="preserve"> presentations and must be filed consistent with rule 1.1206(b), 47 CFR § 1.1206(b).  Participants in this proceeding should familiarize themselves with the Commission’s </w:t>
      </w:r>
      <w:r w:rsidR="00954FA5" w:rsidRPr="001731B4">
        <w:rPr>
          <w:i/>
          <w:iCs/>
          <w:szCs w:val="22"/>
        </w:rPr>
        <w:t xml:space="preserve">ex parte </w:t>
      </w:r>
      <w:r w:rsidR="00954FA5" w:rsidRPr="001731B4">
        <w:rPr>
          <w:szCs w:val="22"/>
        </w:rPr>
        <w:t>rules.</w:t>
      </w:r>
    </w:p>
    <w:p w:rsidR="00954FA5" w:rsidRPr="001731B4" w:rsidRDefault="00954FA5" w:rsidP="00954FA5">
      <w:pPr>
        <w:ind w:firstLine="720"/>
        <w:rPr>
          <w:szCs w:val="22"/>
        </w:rPr>
      </w:pPr>
    </w:p>
    <w:p w:rsidR="00954FA5" w:rsidRPr="001731B4" w:rsidRDefault="00954FA5" w:rsidP="00954FA5">
      <w:pPr>
        <w:spacing w:after="240"/>
        <w:ind w:firstLine="720"/>
        <w:rPr>
          <w:szCs w:val="22"/>
        </w:rPr>
      </w:pPr>
      <w:r w:rsidRPr="001731B4">
        <w:rPr>
          <w:spacing w:val="-2"/>
          <w:szCs w:val="22"/>
        </w:rPr>
        <w:t xml:space="preserve">To allow the Commission to consider fully all substantive issues regarding the applications in as timely and efficient a manner as possible, </w:t>
      </w:r>
      <w:r w:rsidRPr="001731B4">
        <w:rPr>
          <w:szCs w:val="22"/>
        </w:rPr>
        <w:t>petitioners and commenters should raise all issues in their initial filings.  New issues may not be raised in responses or replies.</w:t>
      </w:r>
      <w:r w:rsidRPr="001731B4">
        <w:rPr>
          <w:szCs w:val="22"/>
          <w:vertAlign w:val="superscript"/>
        </w:rPr>
        <w:footnoteReference w:id="33"/>
      </w:r>
      <w:r w:rsidRPr="001731B4">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954FA5" w:rsidRPr="001731B4" w:rsidRDefault="00954FA5" w:rsidP="00954FA5">
      <w:pPr>
        <w:rPr>
          <w:szCs w:val="22"/>
        </w:rPr>
      </w:pPr>
      <w:r w:rsidRPr="001731B4">
        <w:rPr>
          <w:szCs w:val="22"/>
        </w:rPr>
        <w:tab/>
        <w:t>For further information, please contact Dennis Johnson, Wireline Competition Bureau, (202) 418-0809; David Krech, International Bureau, (202) 418-7443; Sumita Mukhoty, International Bureau, (202) 418-7165; Brendan Holland, Media Bureau, (202) 418-2757; Jeffrey Neumann, Media Bureau, (202) 418-2046</w:t>
      </w:r>
      <w:r>
        <w:rPr>
          <w:szCs w:val="22"/>
        </w:rPr>
        <w:t xml:space="preserve">; or </w:t>
      </w:r>
      <w:r w:rsidRPr="001731B4">
        <w:rPr>
          <w:szCs w:val="22"/>
        </w:rPr>
        <w:t>Linda Ray, Wireless Telecommunications Bureau, (202) 418-0257.</w:t>
      </w:r>
    </w:p>
    <w:p w:rsidR="00954FA5" w:rsidRPr="001731B4" w:rsidRDefault="00954FA5" w:rsidP="00954FA5">
      <w:pPr>
        <w:rPr>
          <w:szCs w:val="22"/>
        </w:rPr>
      </w:pPr>
    </w:p>
    <w:p w:rsidR="00954FA5" w:rsidRPr="001731B4" w:rsidRDefault="00954FA5" w:rsidP="00954FA5">
      <w:pPr>
        <w:ind w:left="720" w:right="720"/>
        <w:rPr>
          <w:szCs w:val="22"/>
        </w:rPr>
      </w:pPr>
    </w:p>
    <w:p w:rsidR="00954FA5" w:rsidRPr="001731B4" w:rsidRDefault="00954FA5" w:rsidP="00954FA5">
      <w:pPr>
        <w:jc w:val="center"/>
        <w:rPr>
          <w:sz w:val="24"/>
        </w:rPr>
      </w:pPr>
      <w:r w:rsidRPr="001731B4">
        <w:rPr>
          <w:b/>
          <w:szCs w:val="22"/>
        </w:rPr>
        <w:t>- FCC -</w:t>
      </w:r>
    </w:p>
    <w:p w:rsidR="00954FA5" w:rsidRDefault="00954FA5" w:rsidP="00954FA5">
      <w:pPr>
        <w:jc w:val="center"/>
        <w:rPr>
          <w:b/>
          <w:sz w:val="24"/>
        </w:rPr>
      </w:pPr>
    </w:p>
    <w:p w:rsidR="00954FA5" w:rsidRDefault="00954FA5" w:rsidP="00954FA5">
      <w:pPr>
        <w:jc w:val="center"/>
        <w:rPr>
          <w:sz w:val="24"/>
        </w:rPr>
      </w:pPr>
    </w:p>
    <w:p w:rsidR="00954FA5" w:rsidRDefault="00954FA5" w:rsidP="00954FA5">
      <w:pPr>
        <w:spacing w:before="120" w:after="240"/>
        <w:rPr>
          <w:sz w:val="24"/>
        </w:rPr>
      </w:pPr>
    </w:p>
    <w:p w:rsidR="00602577" w:rsidRDefault="00602577">
      <w:pPr>
        <w:spacing w:before="120" w:after="240"/>
        <w:rPr>
          <w:sz w:val="24"/>
        </w:rPr>
      </w:pPr>
    </w:p>
    <w:sectPr w:rsidR="00602577" w:rsidSect="00954FA5">
      <w:headerReference w:type="even" r:id="rId22"/>
      <w:headerReference w:type="default" r:id="rId23"/>
      <w:footerReference w:type="even" r:id="rId24"/>
      <w:footerReference w:type="default" r:id="rId25"/>
      <w:headerReference w:type="first" r:id="rId26"/>
      <w:footerReference w:type="first" r:id="rId27"/>
      <w:endnotePr>
        <w:numFmt w:val="decimal"/>
      </w:endnotePr>
      <w:type w:val="continuous"/>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100" w:rsidRDefault="00392100">
      <w:r>
        <w:separator/>
      </w:r>
    </w:p>
  </w:endnote>
  <w:endnote w:type="continuationSeparator" w:id="0">
    <w:p w:rsidR="00392100" w:rsidRDefault="0039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96F" w:rsidRDefault="002109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96F" w:rsidRDefault="002109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96F" w:rsidRDefault="0021096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92100" w:rsidP="0055614C">
    <w:pPr>
      <w:pStyle w:val="Footer"/>
      <w:framePr w:wrap="around" w:vAnchor="text" w:hAnchor="margin" w:xAlign="center" w:y="1"/>
    </w:pPr>
    <w:r>
      <w:fldChar w:fldCharType="begin"/>
    </w:r>
    <w:r>
      <w:instrText xml:space="preserve">PAGE  </w:instrText>
    </w:r>
    <w:r>
      <w:fldChar w:fldCharType="end"/>
    </w:r>
  </w:p>
  <w:p w:rsidR="00D25FB5" w:rsidRDefault="00F16A1B">
    <w:pPr>
      <w:pStyle w:val="Footer"/>
    </w:pPr>
  </w:p>
  <w:p w:rsidR="003660ED" w:rsidRDefault="00F16A1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92100" w:rsidP="0055614C">
    <w:pPr>
      <w:pStyle w:val="Footer"/>
      <w:framePr w:wrap="around" w:vAnchor="text" w:hAnchor="margin" w:xAlign="center" w:y="1"/>
    </w:pPr>
    <w:r>
      <w:fldChar w:fldCharType="begin"/>
    </w:r>
    <w:r>
      <w:instrText xml:space="preserve">PAGE  </w:instrText>
    </w:r>
    <w:r>
      <w:fldChar w:fldCharType="separate"/>
    </w:r>
    <w:r w:rsidR="00F16A1B">
      <w:rPr>
        <w:noProof/>
      </w:rPr>
      <w:t>4</w:t>
    </w:r>
    <w:r>
      <w:fldChar w:fldCharType="end"/>
    </w:r>
  </w:p>
  <w:p w:rsidR="003660ED" w:rsidRDefault="00F16A1B" w:rsidP="000E05F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F16A1B"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100" w:rsidRDefault="00392100">
      <w:r>
        <w:separator/>
      </w:r>
    </w:p>
  </w:footnote>
  <w:footnote w:type="continuationSeparator" w:id="0">
    <w:p w:rsidR="00392100" w:rsidRDefault="00392100">
      <w:r>
        <w:continuationSeparator/>
      </w:r>
    </w:p>
  </w:footnote>
  <w:footnote w:id="1">
    <w:p w:rsidR="00954FA5" w:rsidRPr="00954FA5" w:rsidRDefault="00954FA5" w:rsidP="00954FA5">
      <w:pPr>
        <w:pStyle w:val="FootnoteText"/>
        <w:tabs>
          <w:tab w:val="left" w:pos="450"/>
        </w:tabs>
        <w:spacing w:after="120"/>
        <w:rPr>
          <w:sz w:val="20"/>
        </w:rPr>
      </w:pPr>
      <w:r w:rsidRPr="00954FA5">
        <w:rPr>
          <w:rStyle w:val="FootnoteReference"/>
          <w:sz w:val="20"/>
        </w:rPr>
        <w:footnoteRef/>
      </w:r>
      <w:r w:rsidRPr="00954FA5">
        <w:rPr>
          <w:sz w:val="20"/>
        </w:rPr>
        <w:t xml:space="preserve"> 47 U.S.C. §§ 214, 310(d); 47 CFR §§ 63.04, 63.18, 63.24.  Consolidated Applications to Transfer Control of Domestic and International Section 214 Authorizations, WC Docket No. 16-276 (filed Sept. 1, 2016) (Lead Application).  </w:t>
      </w:r>
    </w:p>
  </w:footnote>
  <w:footnote w:id="2">
    <w:p w:rsidR="00954FA5" w:rsidRPr="00954FA5" w:rsidRDefault="00954FA5" w:rsidP="00954FA5">
      <w:pPr>
        <w:pStyle w:val="FootnoteText"/>
        <w:tabs>
          <w:tab w:val="left" w:pos="450"/>
        </w:tabs>
        <w:spacing w:after="120"/>
        <w:rPr>
          <w:sz w:val="20"/>
        </w:rPr>
      </w:pPr>
      <w:r w:rsidRPr="00954FA5">
        <w:rPr>
          <w:rStyle w:val="FootnoteReference"/>
          <w:sz w:val="20"/>
        </w:rPr>
        <w:footnoteRef/>
      </w:r>
      <w:r w:rsidRPr="00954FA5">
        <w:rPr>
          <w:sz w:val="20"/>
        </w:rPr>
        <w:t xml:space="preserve"> In addition to domestic and international section 214 authorizations, Applicants filed applications to transfer control of Cable Television Relay Services licenses, an earth station license, and various private radio licenses listed below.</w:t>
      </w:r>
    </w:p>
  </w:footnote>
  <w:footnote w:id="3">
    <w:p w:rsidR="00954FA5" w:rsidRPr="00954FA5" w:rsidRDefault="00954FA5" w:rsidP="00954FA5">
      <w:pPr>
        <w:pStyle w:val="FootnoteText"/>
        <w:tabs>
          <w:tab w:val="left" w:pos="450"/>
        </w:tabs>
        <w:spacing w:after="120"/>
        <w:rPr>
          <w:sz w:val="20"/>
        </w:rPr>
      </w:pPr>
      <w:r w:rsidRPr="00954FA5">
        <w:rPr>
          <w:rStyle w:val="FootnoteReference"/>
          <w:sz w:val="20"/>
        </w:rPr>
        <w:footnoteRef/>
      </w:r>
      <w:r w:rsidRPr="00954FA5">
        <w:rPr>
          <w:sz w:val="20"/>
        </w:rPr>
        <w:t xml:space="preserve"> Lead Application at 3-4.</w:t>
      </w:r>
    </w:p>
  </w:footnote>
  <w:footnote w:id="4">
    <w:p w:rsidR="00954FA5" w:rsidRPr="00954FA5" w:rsidRDefault="00954FA5" w:rsidP="00954FA5">
      <w:pPr>
        <w:pStyle w:val="FootnoteText"/>
        <w:spacing w:after="120"/>
        <w:rPr>
          <w:i/>
          <w:sz w:val="20"/>
        </w:rPr>
      </w:pPr>
      <w:r w:rsidRPr="00954FA5">
        <w:rPr>
          <w:rStyle w:val="FootnoteReference"/>
          <w:sz w:val="20"/>
        </w:rPr>
        <w:footnoteRef/>
      </w:r>
      <w:r w:rsidRPr="00954FA5">
        <w:rPr>
          <w:sz w:val="20"/>
        </w:rPr>
        <w:t xml:space="preserve"> </w:t>
      </w:r>
      <w:r w:rsidRPr="00954FA5">
        <w:rPr>
          <w:i/>
          <w:sz w:val="20"/>
        </w:rPr>
        <w:t xml:space="preserve">Id. </w:t>
      </w:r>
      <w:r w:rsidRPr="00954FA5">
        <w:rPr>
          <w:sz w:val="20"/>
        </w:rPr>
        <w:t>at 2.</w:t>
      </w:r>
    </w:p>
  </w:footnote>
  <w:footnote w:id="5">
    <w:p w:rsidR="00954FA5" w:rsidRPr="00954FA5" w:rsidRDefault="00954FA5" w:rsidP="00954FA5">
      <w:pPr>
        <w:pStyle w:val="FootnoteText"/>
        <w:spacing w:after="120"/>
        <w:rPr>
          <w:sz w:val="20"/>
        </w:rPr>
      </w:pPr>
      <w:r w:rsidRPr="00954FA5">
        <w:rPr>
          <w:rStyle w:val="FootnoteReference"/>
          <w:sz w:val="20"/>
        </w:rPr>
        <w:footnoteRef/>
      </w:r>
      <w:r w:rsidRPr="00954FA5">
        <w:rPr>
          <w:sz w:val="20"/>
        </w:rPr>
        <w:t xml:space="preserve"> </w:t>
      </w:r>
      <w:r w:rsidRPr="00954FA5">
        <w:rPr>
          <w:i/>
          <w:sz w:val="20"/>
        </w:rPr>
        <w:t>Id</w:t>
      </w:r>
      <w:r w:rsidRPr="00954FA5">
        <w:rPr>
          <w:sz w:val="20"/>
        </w:rPr>
        <w:t>.</w:t>
      </w:r>
    </w:p>
  </w:footnote>
  <w:footnote w:id="6">
    <w:p w:rsidR="00954FA5" w:rsidRPr="00954FA5" w:rsidRDefault="00954FA5" w:rsidP="00954FA5">
      <w:pPr>
        <w:pStyle w:val="FootnoteText"/>
        <w:spacing w:after="120"/>
        <w:rPr>
          <w:sz w:val="20"/>
        </w:rPr>
      </w:pPr>
      <w:r w:rsidRPr="00954FA5">
        <w:rPr>
          <w:rStyle w:val="FootnoteReference"/>
          <w:sz w:val="20"/>
        </w:rPr>
        <w:footnoteRef/>
      </w:r>
      <w:r w:rsidRPr="00954FA5">
        <w:rPr>
          <w:sz w:val="20"/>
        </w:rPr>
        <w:t xml:space="preserve"> </w:t>
      </w:r>
      <w:r w:rsidRPr="00954FA5">
        <w:rPr>
          <w:i/>
          <w:sz w:val="20"/>
        </w:rPr>
        <w:t>Id</w:t>
      </w:r>
      <w:r w:rsidRPr="00954FA5">
        <w:rPr>
          <w:sz w:val="20"/>
        </w:rPr>
        <w:t>. at 3.</w:t>
      </w:r>
    </w:p>
  </w:footnote>
  <w:footnote w:id="7">
    <w:p w:rsidR="00954FA5" w:rsidRPr="00954FA5" w:rsidRDefault="00954FA5" w:rsidP="00954FA5">
      <w:pPr>
        <w:pStyle w:val="FootnoteText"/>
        <w:spacing w:after="120"/>
        <w:rPr>
          <w:sz w:val="20"/>
        </w:rPr>
      </w:pPr>
      <w:r w:rsidRPr="00954FA5">
        <w:rPr>
          <w:rStyle w:val="FootnoteReference"/>
          <w:sz w:val="20"/>
        </w:rPr>
        <w:footnoteRef/>
      </w:r>
      <w:r w:rsidRPr="00954FA5">
        <w:rPr>
          <w:sz w:val="20"/>
        </w:rPr>
        <w:t xml:space="preserve"> </w:t>
      </w:r>
      <w:r w:rsidRPr="00954FA5">
        <w:rPr>
          <w:i/>
          <w:sz w:val="20"/>
        </w:rPr>
        <w:t>Id</w:t>
      </w:r>
      <w:r w:rsidRPr="00954FA5">
        <w:rPr>
          <w:sz w:val="20"/>
        </w:rPr>
        <w:t>.</w:t>
      </w:r>
    </w:p>
  </w:footnote>
  <w:footnote w:id="8">
    <w:p w:rsidR="00954FA5" w:rsidRPr="00954FA5" w:rsidRDefault="00954FA5" w:rsidP="00954FA5">
      <w:pPr>
        <w:pStyle w:val="FootnoteText"/>
        <w:spacing w:after="120"/>
        <w:rPr>
          <w:sz w:val="20"/>
        </w:rPr>
      </w:pPr>
      <w:r w:rsidRPr="00954FA5">
        <w:rPr>
          <w:rStyle w:val="FootnoteReference"/>
          <w:sz w:val="20"/>
        </w:rPr>
        <w:footnoteRef/>
      </w:r>
      <w:r w:rsidRPr="00954FA5">
        <w:rPr>
          <w:sz w:val="20"/>
        </w:rPr>
        <w:t xml:space="preserve"> </w:t>
      </w:r>
      <w:r w:rsidRPr="00954FA5">
        <w:rPr>
          <w:i/>
          <w:sz w:val="20"/>
        </w:rPr>
        <w:t>Id</w:t>
      </w:r>
      <w:r w:rsidRPr="00954FA5">
        <w:rPr>
          <w:sz w:val="20"/>
        </w:rPr>
        <w:t>.</w:t>
      </w:r>
    </w:p>
  </w:footnote>
  <w:footnote w:id="9">
    <w:p w:rsidR="00954FA5" w:rsidRPr="00954FA5" w:rsidRDefault="00954FA5" w:rsidP="00954FA5">
      <w:pPr>
        <w:pStyle w:val="FootnoteText"/>
        <w:spacing w:after="120"/>
        <w:rPr>
          <w:sz w:val="20"/>
        </w:rPr>
      </w:pPr>
      <w:r w:rsidRPr="00954FA5">
        <w:rPr>
          <w:rStyle w:val="FootnoteReference"/>
          <w:sz w:val="20"/>
        </w:rPr>
        <w:footnoteRef/>
      </w:r>
      <w:r w:rsidRPr="00954FA5">
        <w:rPr>
          <w:sz w:val="20"/>
        </w:rPr>
        <w:t xml:space="preserve"> </w:t>
      </w:r>
      <w:r w:rsidRPr="00954FA5">
        <w:rPr>
          <w:i/>
          <w:sz w:val="20"/>
        </w:rPr>
        <w:t>Id.</w:t>
      </w:r>
      <w:r w:rsidRPr="00954FA5">
        <w:rPr>
          <w:sz w:val="20"/>
        </w:rPr>
        <w:t xml:space="preserve"> at 1.</w:t>
      </w:r>
    </w:p>
  </w:footnote>
  <w:footnote w:id="10">
    <w:p w:rsidR="00954FA5" w:rsidRPr="00954FA5" w:rsidRDefault="00954FA5" w:rsidP="00954FA5">
      <w:pPr>
        <w:pStyle w:val="FootnoteText"/>
        <w:spacing w:after="120"/>
        <w:rPr>
          <w:sz w:val="20"/>
        </w:rPr>
      </w:pPr>
      <w:r w:rsidRPr="00954FA5">
        <w:rPr>
          <w:rStyle w:val="FootnoteReference"/>
          <w:sz w:val="20"/>
        </w:rPr>
        <w:footnoteRef/>
      </w:r>
      <w:r w:rsidRPr="00954FA5">
        <w:rPr>
          <w:sz w:val="20"/>
        </w:rPr>
        <w:t xml:space="preserve"> </w:t>
      </w:r>
      <w:r w:rsidRPr="00954FA5">
        <w:rPr>
          <w:i/>
          <w:sz w:val="20"/>
        </w:rPr>
        <w:t>See</w:t>
      </w:r>
      <w:r w:rsidRPr="00954FA5">
        <w:rPr>
          <w:sz w:val="20"/>
        </w:rPr>
        <w:t xml:space="preserve"> </w:t>
      </w:r>
      <w:r w:rsidRPr="00954FA5">
        <w:rPr>
          <w:i/>
          <w:sz w:val="20"/>
        </w:rPr>
        <w:t>id</w:t>
      </w:r>
      <w:r w:rsidRPr="00954FA5">
        <w:rPr>
          <w:sz w:val="20"/>
        </w:rPr>
        <w:t>. at 1-3 for a complete description of the ownership of RCN-TS and Grande Networks post-transaction.</w:t>
      </w:r>
    </w:p>
  </w:footnote>
  <w:footnote w:id="11">
    <w:p w:rsidR="00954FA5" w:rsidRPr="00954FA5" w:rsidRDefault="00954FA5" w:rsidP="00954FA5">
      <w:pPr>
        <w:pStyle w:val="FootnoteText"/>
        <w:spacing w:after="120"/>
        <w:rPr>
          <w:sz w:val="20"/>
        </w:rPr>
      </w:pPr>
      <w:r w:rsidRPr="00954FA5">
        <w:rPr>
          <w:rStyle w:val="FootnoteReference"/>
          <w:sz w:val="20"/>
        </w:rPr>
        <w:footnoteRef/>
      </w:r>
      <w:r w:rsidRPr="00954FA5">
        <w:rPr>
          <w:sz w:val="20"/>
        </w:rPr>
        <w:t xml:space="preserve"> </w:t>
      </w:r>
      <w:r w:rsidRPr="00954FA5">
        <w:rPr>
          <w:i/>
          <w:sz w:val="20"/>
        </w:rPr>
        <w:t>Id</w:t>
      </w:r>
      <w:r w:rsidRPr="00954FA5">
        <w:rPr>
          <w:sz w:val="20"/>
        </w:rPr>
        <w:t xml:space="preserve">. at 2.    </w:t>
      </w:r>
    </w:p>
  </w:footnote>
  <w:footnote w:id="12">
    <w:p w:rsidR="00954FA5" w:rsidRPr="00954FA5" w:rsidRDefault="00954FA5" w:rsidP="00954FA5">
      <w:pPr>
        <w:pStyle w:val="FootnoteText"/>
        <w:spacing w:after="120"/>
        <w:rPr>
          <w:sz w:val="20"/>
        </w:rPr>
      </w:pPr>
      <w:r w:rsidRPr="00954FA5">
        <w:rPr>
          <w:rStyle w:val="FootnoteReference"/>
          <w:sz w:val="20"/>
        </w:rPr>
        <w:footnoteRef/>
      </w:r>
      <w:r w:rsidRPr="00954FA5">
        <w:rPr>
          <w:sz w:val="20"/>
        </w:rPr>
        <w:t xml:space="preserve"> </w:t>
      </w:r>
      <w:r w:rsidRPr="00954FA5">
        <w:rPr>
          <w:i/>
          <w:sz w:val="20"/>
        </w:rPr>
        <w:t>Id</w:t>
      </w:r>
      <w:r w:rsidRPr="00954FA5">
        <w:rPr>
          <w:sz w:val="20"/>
        </w:rPr>
        <w:t>.</w:t>
      </w:r>
    </w:p>
  </w:footnote>
  <w:footnote w:id="13">
    <w:p w:rsidR="00954FA5" w:rsidRPr="00954FA5" w:rsidRDefault="00954FA5" w:rsidP="00954FA5">
      <w:pPr>
        <w:pStyle w:val="FootnoteText"/>
        <w:spacing w:after="120"/>
        <w:rPr>
          <w:sz w:val="20"/>
        </w:rPr>
      </w:pPr>
      <w:r w:rsidRPr="00954FA5">
        <w:rPr>
          <w:rStyle w:val="FootnoteReference"/>
          <w:sz w:val="20"/>
        </w:rPr>
        <w:footnoteRef/>
      </w:r>
      <w:r w:rsidRPr="00954FA5">
        <w:rPr>
          <w:sz w:val="20"/>
        </w:rPr>
        <w:t xml:space="preserve"> Applicants state that Jim Holanda, the current CEO of Patriot Media, and Steve Simmons, the current Chairman of Patriot Media, will each serve as initial members of the Radiate GP Board of Directors, and one member of the Board of Directors of Radiate GP will be appointed by Google Capital.  Applicants state that Google Capital consists of a series of Delaware limited partnerships ultimately owned by Alphabet Inc.  </w:t>
      </w:r>
      <w:r w:rsidRPr="00954FA5">
        <w:rPr>
          <w:i/>
          <w:sz w:val="20"/>
        </w:rPr>
        <w:t>Id</w:t>
      </w:r>
      <w:r w:rsidRPr="00954FA5">
        <w:rPr>
          <w:sz w:val="20"/>
        </w:rPr>
        <w:t>.</w:t>
      </w:r>
    </w:p>
  </w:footnote>
  <w:footnote w:id="14">
    <w:p w:rsidR="00954FA5" w:rsidRPr="00954FA5" w:rsidRDefault="00954FA5" w:rsidP="00954FA5">
      <w:pPr>
        <w:pStyle w:val="FootnoteText"/>
        <w:spacing w:after="120"/>
        <w:rPr>
          <w:sz w:val="20"/>
        </w:rPr>
      </w:pPr>
      <w:r w:rsidRPr="00954FA5">
        <w:rPr>
          <w:rStyle w:val="FootnoteReference"/>
          <w:sz w:val="20"/>
        </w:rPr>
        <w:footnoteRef/>
      </w:r>
      <w:r w:rsidRPr="00954FA5">
        <w:rPr>
          <w:sz w:val="20"/>
        </w:rPr>
        <w:t xml:space="preserve"> </w:t>
      </w:r>
      <w:r w:rsidRPr="00954FA5">
        <w:rPr>
          <w:i/>
          <w:sz w:val="20"/>
        </w:rPr>
        <w:t>Id</w:t>
      </w:r>
      <w:r w:rsidRPr="00954FA5">
        <w:rPr>
          <w:sz w:val="20"/>
        </w:rPr>
        <w:t>. at 1.</w:t>
      </w:r>
    </w:p>
  </w:footnote>
  <w:footnote w:id="15">
    <w:p w:rsidR="00954FA5" w:rsidRPr="00954FA5" w:rsidRDefault="00954FA5" w:rsidP="00954FA5">
      <w:pPr>
        <w:pStyle w:val="FootnoteText"/>
        <w:spacing w:after="120"/>
        <w:rPr>
          <w:sz w:val="20"/>
        </w:rPr>
      </w:pPr>
      <w:r w:rsidRPr="00954FA5">
        <w:rPr>
          <w:rStyle w:val="FootnoteReference"/>
          <w:sz w:val="20"/>
        </w:rPr>
        <w:footnoteRef/>
      </w:r>
      <w:r w:rsidRPr="00954FA5">
        <w:rPr>
          <w:sz w:val="20"/>
        </w:rPr>
        <w:t xml:space="preserve"> </w:t>
      </w:r>
      <w:r w:rsidRPr="00954FA5">
        <w:rPr>
          <w:i/>
          <w:sz w:val="20"/>
        </w:rPr>
        <w:t>Id.</w:t>
      </w:r>
      <w:r w:rsidRPr="00954FA5">
        <w:rPr>
          <w:sz w:val="20"/>
        </w:rPr>
        <w:t xml:space="preserve"> at 6.  All entities are U.S-based.  Applicants state that Radiate Holdings does not directly or through its subsidiaries currently provide telecommunications service in the U.S.  </w:t>
      </w:r>
      <w:r w:rsidRPr="00954FA5">
        <w:rPr>
          <w:i/>
          <w:sz w:val="20"/>
        </w:rPr>
        <w:t>Id</w:t>
      </w:r>
      <w:r w:rsidRPr="00954FA5">
        <w:rPr>
          <w:sz w:val="20"/>
        </w:rPr>
        <w:t>. at 12.</w:t>
      </w:r>
    </w:p>
  </w:footnote>
  <w:footnote w:id="16">
    <w:p w:rsidR="00954FA5" w:rsidRPr="00954FA5" w:rsidRDefault="00954FA5" w:rsidP="00954FA5">
      <w:pPr>
        <w:pStyle w:val="FootnoteText"/>
        <w:spacing w:after="120"/>
        <w:rPr>
          <w:sz w:val="20"/>
        </w:rPr>
      </w:pPr>
      <w:r w:rsidRPr="00954FA5">
        <w:rPr>
          <w:rStyle w:val="FootnoteReference"/>
          <w:sz w:val="20"/>
        </w:rPr>
        <w:footnoteRef/>
      </w:r>
      <w:r w:rsidRPr="00954FA5">
        <w:rPr>
          <w:sz w:val="20"/>
        </w:rPr>
        <w:t xml:space="preserve"> </w:t>
      </w:r>
      <w:r w:rsidRPr="00954FA5">
        <w:rPr>
          <w:i/>
          <w:sz w:val="20"/>
        </w:rPr>
        <w:t>Id</w:t>
      </w:r>
      <w:r w:rsidRPr="00954FA5">
        <w:rPr>
          <w:sz w:val="20"/>
        </w:rPr>
        <w:t>. at 3.</w:t>
      </w:r>
    </w:p>
  </w:footnote>
  <w:footnote w:id="17">
    <w:p w:rsidR="00954FA5" w:rsidRPr="00954FA5" w:rsidRDefault="00954FA5" w:rsidP="00954FA5">
      <w:pPr>
        <w:pStyle w:val="FootnoteText"/>
        <w:spacing w:after="120"/>
        <w:rPr>
          <w:sz w:val="20"/>
        </w:rPr>
      </w:pPr>
      <w:r w:rsidRPr="00954FA5">
        <w:rPr>
          <w:rStyle w:val="FootnoteReference"/>
          <w:sz w:val="20"/>
        </w:rPr>
        <w:footnoteRef/>
      </w:r>
      <w:r w:rsidRPr="00954FA5">
        <w:rPr>
          <w:sz w:val="20"/>
        </w:rPr>
        <w:t xml:space="preserve"> </w:t>
      </w:r>
      <w:r w:rsidRPr="00954FA5">
        <w:rPr>
          <w:i/>
          <w:sz w:val="20"/>
        </w:rPr>
        <w:t>Id</w:t>
      </w:r>
      <w:r w:rsidRPr="00954FA5">
        <w:rPr>
          <w:sz w:val="20"/>
        </w:rPr>
        <w:t>.</w:t>
      </w:r>
    </w:p>
  </w:footnote>
  <w:footnote w:id="18">
    <w:p w:rsidR="00954FA5" w:rsidRPr="00954FA5" w:rsidRDefault="00954FA5" w:rsidP="00954FA5">
      <w:pPr>
        <w:pStyle w:val="FootnoteText"/>
        <w:spacing w:after="120"/>
        <w:rPr>
          <w:sz w:val="20"/>
        </w:rPr>
      </w:pPr>
      <w:r w:rsidRPr="00954FA5">
        <w:rPr>
          <w:rStyle w:val="FootnoteReference"/>
          <w:sz w:val="20"/>
        </w:rPr>
        <w:footnoteRef/>
      </w:r>
      <w:r w:rsidRPr="00954FA5">
        <w:rPr>
          <w:sz w:val="20"/>
        </w:rPr>
        <w:t xml:space="preserve"> </w:t>
      </w:r>
      <w:r w:rsidRPr="00954FA5">
        <w:rPr>
          <w:i/>
          <w:sz w:val="20"/>
        </w:rPr>
        <w:t>Id</w:t>
      </w:r>
      <w:r w:rsidRPr="00954FA5">
        <w:rPr>
          <w:sz w:val="20"/>
        </w:rPr>
        <w:t>.</w:t>
      </w:r>
    </w:p>
  </w:footnote>
  <w:footnote w:id="19">
    <w:p w:rsidR="00954FA5" w:rsidRPr="00954FA5" w:rsidRDefault="00954FA5" w:rsidP="00954FA5">
      <w:pPr>
        <w:pStyle w:val="FootnoteText"/>
        <w:spacing w:after="120"/>
        <w:rPr>
          <w:sz w:val="20"/>
        </w:rPr>
      </w:pPr>
      <w:r w:rsidRPr="00954FA5">
        <w:rPr>
          <w:rStyle w:val="FootnoteReference"/>
          <w:sz w:val="20"/>
        </w:rPr>
        <w:footnoteRef/>
      </w:r>
      <w:r w:rsidRPr="00954FA5">
        <w:rPr>
          <w:sz w:val="20"/>
        </w:rPr>
        <w:t xml:space="preserve"> </w:t>
      </w:r>
      <w:r w:rsidRPr="00954FA5">
        <w:rPr>
          <w:i/>
          <w:sz w:val="20"/>
        </w:rPr>
        <w:t>Id</w:t>
      </w:r>
      <w:r w:rsidRPr="00954FA5">
        <w:rPr>
          <w:sz w:val="20"/>
        </w:rPr>
        <w:t>. at 4.</w:t>
      </w:r>
    </w:p>
  </w:footnote>
  <w:footnote w:id="20">
    <w:p w:rsidR="00954FA5" w:rsidRPr="00954FA5" w:rsidRDefault="00954FA5" w:rsidP="00954FA5">
      <w:pPr>
        <w:pStyle w:val="FootnoteText"/>
        <w:spacing w:after="120"/>
        <w:rPr>
          <w:sz w:val="20"/>
        </w:rPr>
      </w:pPr>
      <w:r w:rsidRPr="00954FA5">
        <w:rPr>
          <w:rStyle w:val="FootnoteReference"/>
          <w:sz w:val="20"/>
        </w:rPr>
        <w:footnoteRef/>
      </w:r>
      <w:r w:rsidRPr="00954FA5">
        <w:rPr>
          <w:sz w:val="20"/>
        </w:rPr>
        <w:t xml:space="preserve"> </w:t>
      </w:r>
      <w:r w:rsidRPr="00954FA5">
        <w:rPr>
          <w:i/>
          <w:sz w:val="20"/>
        </w:rPr>
        <w:t>Id</w:t>
      </w:r>
      <w:r w:rsidRPr="00954FA5">
        <w:rPr>
          <w:sz w:val="20"/>
        </w:rPr>
        <w:t>.</w:t>
      </w:r>
    </w:p>
  </w:footnote>
  <w:footnote w:id="21">
    <w:p w:rsidR="00954FA5" w:rsidRPr="00954FA5" w:rsidRDefault="00954FA5" w:rsidP="00954FA5">
      <w:pPr>
        <w:pStyle w:val="FootnoteText"/>
        <w:spacing w:after="120"/>
        <w:rPr>
          <w:sz w:val="20"/>
        </w:rPr>
      </w:pPr>
      <w:r w:rsidRPr="00954FA5">
        <w:rPr>
          <w:rStyle w:val="FootnoteReference"/>
          <w:sz w:val="20"/>
        </w:rPr>
        <w:footnoteRef/>
      </w:r>
      <w:r w:rsidRPr="00954FA5">
        <w:rPr>
          <w:sz w:val="20"/>
        </w:rPr>
        <w:t xml:space="preserve"> </w:t>
      </w:r>
      <w:r w:rsidRPr="00954FA5">
        <w:rPr>
          <w:i/>
          <w:sz w:val="20"/>
        </w:rPr>
        <w:t>Id</w:t>
      </w:r>
      <w:r w:rsidRPr="00954FA5">
        <w:rPr>
          <w:sz w:val="20"/>
        </w:rPr>
        <w:t>.</w:t>
      </w:r>
    </w:p>
  </w:footnote>
  <w:footnote w:id="22">
    <w:p w:rsidR="00954FA5" w:rsidRPr="00954FA5" w:rsidRDefault="00954FA5" w:rsidP="00954FA5">
      <w:pPr>
        <w:pStyle w:val="FootnoteText"/>
        <w:spacing w:after="120"/>
        <w:rPr>
          <w:sz w:val="20"/>
        </w:rPr>
      </w:pPr>
      <w:r w:rsidRPr="00954FA5">
        <w:rPr>
          <w:rStyle w:val="FootnoteReference"/>
          <w:sz w:val="20"/>
        </w:rPr>
        <w:footnoteRef/>
      </w:r>
      <w:r w:rsidRPr="00954FA5">
        <w:rPr>
          <w:sz w:val="20"/>
        </w:rPr>
        <w:t xml:space="preserve"> </w:t>
      </w:r>
      <w:r w:rsidRPr="00954FA5">
        <w:rPr>
          <w:i/>
          <w:sz w:val="20"/>
        </w:rPr>
        <w:t>Id.</w:t>
      </w:r>
      <w:r w:rsidRPr="00954FA5">
        <w:rPr>
          <w:sz w:val="20"/>
        </w:rPr>
        <w:t xml:space="preserve"> at 3.</w:t>
      </w:r>
    </w:p>
  </w:footnote>
  <w:footnote w:id="23">
    <w:p w:rsidR="00954FA5" w:rsidRPr="00954FA5" w:rsidRDefault="00954FA5" w:rsidP="00954FA5">
      <w:pPr>
        <w:pStyle w:val="FootnoteText"/>
        <w:spacing w:after="120"/>
        <w:rPr>
          <w:sz w:val="20"/>
        </w:rPr>
      </w:pPr>
      <w:r w:rsidRPr="00954FA5">
        <w:rPr>
          <w:rStyle w:val="FootnoteReference"/>
          <w:sz w:val="20"/>
        </w:rPr>
        <w:footnoteRef/>
      </w:r>
      <w:r w:rsidRPr="00954FA5">
        <w:rPr>
          <w:sz w:val="20"/>
        </w:rPr>
        <w:t xml:space="preserve"> </w:t>
      </w:r>
      <w:r w:rsidRPr="00954FA5">
        <w:rPr>
          <w:i/>
          <w:sz w:val="20"/>
        </w:rPr>
        <w:t>Id.</w:t>
      </w:r>
      <w:r w:rsidRPr="00954FA5">
        <w:rPr>
          <w:sz w:val="20"/>
        </w:rPr>
        <w:t xml:space="preserve"> at 4.</w:t>
      </w:r>
    </w:p>
  </w:footnote>
  <w:footnote w:id="24">
    <w:p w:rsidR="00954FA5" w:rsidRPr="00954FA5" w:rsidRDefault="00954FA5" w:rsidP="00954FA5">
      <w:pPr>
        <w:pStyle w:val="FootnoteText"/>
        <w:spacing w:after="120"/>
        <w:rPr>
          <w:sz w:val="20"/>
        </w:rPr>
      </w:pPr>
      <w:r w:rsidRPr="00954FA5">
        <w:rPr>
          <w:rStyle w:val="FootnoteReference"/>
          <w:sz w:val="20"/>
        </w:rPr>
        <w:footnoteRef/>
      </w:r>
      <w:r w:rsidRPr="00954FA5">
        <w:rPr>
          <w:sz w:val="20"/>
        </w:rPr>
        <w:t xml:space="preserve"> </w:t>
      </w:r>
      <w:r w:rsidRPr="00954FA5">
        <w:rPr>
          <w:i/>
          <w:sz w:val="20"/>
        </w:rPr>
        <w:t>Id</w:t>
      </w:r>
      <w:r w:rsidRPr="00954FA5">
        <w:rPr>
          <w:sz w:val="20"/>
        </w:rPr>
        <w:t>.</w:t>
      </w:r>
    </w:p>
  </w:footnote>
  <w:footnote w:id="25">
    <w:p w:rsidR="00954FA5" w:rsidRPr="00954FA5" w:rsidRDefault="00954FA5" w:rsidP="00954FA5">
      <w:pPr>
        <w:pStyle w:val="FootnoteText"/>
        <w:spacing w:after="120"/>
        <w:rPr>
          <w:sz w:val="20"/>
        </w:rPr>
      </w:pPr>
      <w:r w:rsidRPr="00954FA5">
        <w:rPr>
          <w:rStyle w:val="FootnoteReference"/>
          <w:sz w:val="20"/>
        </w:rPr>
        <w:footnoteRef/>
      </w:r>
      <w:r w:rsidRPr="00954FA5">
        <w:rPr>
          <w:sz w:val="20"/>
        </w:rPr>
        <w:t xml:space="preserve"> </w:t>
      </w:r>
      <w:r w:rsidRPr="00954FA5">
        <w:rPr>
          <w:i/>
          <w:sz w:val="20"/>
        </w:rPr>
        <w:t>Id</w:t>
      </w:r>
      <w:r w:rsidRPr="00954FA5">
        <w:rPr>
          <w:sz w:val="20"/>
        </w:rPr>
        <w:t>. at 5-6.</w:t>
      </w:r>
    </w:p>
  </w:footnote>
  <w:footnote w:id="26">
    <w:p w:rsidR="00954FA5" w:rsidRPr="00954FA5" w:rsidRDefault="00954FA5" w:rsidP="00954FA5">
      <w:pPr>
        <w:pStyle w:val="FootnoteText"/>
        <w:spacing w:after="120"/>
        <w:rPr>
          <w:sz w:val="20"/>
        </w:rPr>
      </w:pPr>
      <w:r w:rsidRPr="00954FA5">
        <w:rPr>
          <w:rStyle w:val="FootnoteReference"/>
          <w:sz w:val="20"/>
        </w:rPr>
        <w:footnoteRef/>
      </w:r>
      <w:r w:rsidRPr="00954FA5">
        <w:rPr>
          <w:sz w:val="20"/>
        </w:rPr>
        <w:t xml:space="preserve"> </w:t>
      </w:r>
      <w:r w:rsidRPr="00954FA5">
        <w:rPr>
          <w:i/>
          <w:sz w:val="20"/>
        </w:rPr>
        <w:t>Id</w:t>
      </w:r>
      <w:r w:rsidRPr="00954FA5">
        <w:rPr>
          <w:sz w:val="20"/>
        </w:rPr>
        <w:t>. at 7.</w:t>
      </w:r>
    </w:p>
  </w:footnote>
  <w:footnote w:id="27">
    <w:p w:rsidR="00954FA5" w:rsidRPr="00954FA5" w:rsidRDefault="00954FA5" w:rsidP="00954FA5">
      <w:pPr>
        <w:pStyle w:val="FootnoteText"/>
        <w:spacing w:after="120"/>
        <w:rPr>
          <w:sz w:val="20"/>
        </w:rPr>
      </w:pPr>
      <w:r w:rsidRPr="00954FA5">
        <w:rPr>
          <w:rStyle w:val="FootnoteReference"/>
          <w:sz w:val="20"/>
        </w:rPr>
        <w:footnoteRef/>
      </w:r>
      <w:r w:rsidRPr="00954FA5">
        <w:rPr>
          <w:sz w:val="20"/>
        </w:rPr>
        <w:t xml:space="preserve"> </w:t>
      </w:r>
      <w:r w:rsidRPr="00954FA5">
        <w:rPr>
          <w:i/>
          <w:sz w:val="20"/>
        </w:rPr>
        <w:t>Id</w:t>
      </w:r>
      <w:r w:rsidRPr="00954FA5">
        <w:rPr>
          <w:sz w:val="20"/>
        </w:rPr>
        <w:t>. at 6.</w:t>
      </w:r>
    </w:p>
  </w:footnote>
  <w:footnote w:id="28">
    <w:p w:rsidR="00954FA5" w:rsidRPr="00954FA5" w:rsidRDefault="00954FA5" w:rsidP="00954FA5">
      <w:pPr>
        <w:pStyle w:val="FootnoteText"/>
        <w:spacing w:after="120"/>
        <w:rPr>
          <w:sz w:val="20"/>
        </w:rPr>
      </w:pPr>
      <w:r w:rsidRPr="00954FA5">
        <w:rPr>
          <w:rStyle w:val="FootnoteReference"/>
          <w:sz w:val="20"/>
        </w:rPr>
        <w:footnoteRef/>
      </w:r>
      <w:r w:rsidRPr="00954FA5">
        <w:rPr>
          <w:sz w:val="20"/>
        </w:rPr>
        <w:t xml:space="preserve"> </w:t>
      </w:r>
      <w:r w:rsidRPr="00954FA5">
        <w:rPr>
          <w:i/>
          <w:sz w:val="20"/>
        </w:rPr>
        <w:t>Id</w:t>
      </w:r>
      <w:r w:rsidRPr="00954FA5">
        <w:rPr>
          <w:sz w:val="20"/>
        </w:rPr>
        <w:t xml:space="preserve">. </w:t>
      </w:r>
    </w:p>
  </w:footnote>
  <w:footnote w:id="29">
    <w:p w:rsidR="00954FA5" w:rsidRPr="00954FA5" w:rsidRDefault="00954FA5" w:rsidP="00954FA5">
      <w:pPr>
        <w:pStyle w:val="FootnoteText"/>
        <w:spacing w:after="120"/>
        <w:rPr>
          <w:sz w:val="20"/>
        </w:rPr>
      </w:pPr>
      <w:r w:rsidRPr="00954FA5">
        <w:rPr>
          <w:rStyle w:val="FootnoteReference"/>
          <w:sz w:val="20"/>
        </w:rPr>
        <w:footnoteRef/>
      </w:r>
      <w:r w:rsidRPr="00954FA5">
        <w:rPr>
          <w:sz w:val="20"/>
        </w:rPr>
        <w:t xml:space="preserve"> </w:t>
      </w:r>
      <w:r w:rsidRPr="00954FA5">
        <w:rPr>
          <w:i/>
          <w:sz w:val="20"/>
        </w:rPr>
        <w:t>Id.</w:t>
      </w:r>
      <w:r w:rsidRPr="00954FA5">
        <w:rPr>
          <w:sz w:val="20"/>
        </w:rPr>
        <w:t xml:space="preserve"> at 7.</w:t>
      </w:r>
    </w:p>
  </w:footnote>
  <w:footnote w:id="30">
    <w:p w:rsidR="00954FA5" w:rsidRPr="00954FA5" w:rsidRDefault="00954FA5" w:rsidP="00954FA5">
      <w:pPr>
        <w:pStyle w:val="FootnoteText"/>
        <w:spacing w:after="120"/>
        <w:rPr>
          <w:sz w:val="20"/>
        </w:rPr>
      </w:pPr>
      <w:r w:rsidRPr="00954FA5">
        <w:rPr>
          <w:rStyle w:val="FootnoteReference"/>
          <w:sz w:val="20"/>
        </w:rPr>
        <w:footnoteRef/>
      </w:r>
      <w:r w:rsidRPr="00954FA5">
        <w:rPr>
          <w:sz w:val="20"/>
        </w:rPr>
        <w:t xml:space="preserve"> </w:t>
      </w:r>
      <w:r w:rsidRPr="00954FA5">
        <w:rPr>
          <w:i/>
          <w:sz w:val="20"/>
        </w:rPr>
        <w:t>Id.</w:t>
      </w:r>
      <w:r w:rsidRPr="00954FA5">
        <w:rPr>
          <w:sz w:val="20"/>
        </w:rPr>
        <w:t xml:space="preserve"> at 8.</w:t>
      </w:r>
    </w:p>
  </w:footnote>
  <w:footnote w:id="31">
    <w:p w:rsidR="00954FA5" w:rsidRPr="00954FA5" w:rsidRDefault="00954FA5" w:rsidP="00954FA5">
      <w:pPr>
        <w:pStyle w:val="FootnoteText"/>
        <w:spacing w:after="120"/>
        <w:rPr>
          <w:sz w:val="20"/>
        </w:rPr>
      </w:pPr>
      <w:r w:rsidRPr="00954FA5">
        <w:rPr>
          <w:rStyle w:val="FootnoteReference"/>
          <w:sz w:val="20"/>
        </w:rPr>
        <w:footnoteRef/>
      </w:r>
      <w:r w:rsidRPr="00954FA5">
        <w:rPr>
          <w:sz w:val="20"/>
        </w:rPr>
        <w:t xml:space="preserve"> 47 CFR § 63.03.</w:t>
      </w:r>
    </w:p>
  </w:footnote>
  <w:footnote w:id="32">
    <w:p w:rsidR="00954FA5" w:rsidRPr="00954FA5" w:rsidRDefault="00954FA5" w:rsidP="00954FA5">
      <w:pPr>
        <w:pStyle w:val="FootnoteText"/>
        <w:spacing w:after="120"/>
        <w:rPr>
          <w:i/>
          <w:iCs/>
          <w:sz w:val="20"/>
        </w:rPr>
      </w:pPr>
      <w:r w:rsidRPr="00954FA5">
        <w:rPr>
          <w:rStyle w:val="FootnoteReference"/>
          <w:sz w:val="20"/>
        </w:rPr>
        <w:footnoteRef/>
      </w:r>
      <w:r w:rsidRPr="00954FA5">
        <w:rPr>
          <w:sz w:val="20"/>
        </w:rPr>
        <w:t xml:space="preserve"> 47 CFR § 1.1200 </w:t>
      </w:r>
      <w:r w:rsidRPr="00954FA5">
        <w:rPr>
          <w:i/>
          <w:iCs/>
          <w:sz w:val="20"/>
        </w:rPr>
        <w:t>et seq.</w:t>
      </w:r>
    </w:p>
  </w:footnote>
  <w:footnote w:id="33">
    <w:p w:rsidR="00954FA5" w:rsidRPr="00954FA5" w:rsidRDefault="00954FA5" w:rsidP="00954FA5">
      <w:pPr>
        <w:pStyle w:val="FootnoteText"/>
        <w:spacing w:after="120"/>
        <w:rPr>
          <w:sz w:val="20"/>
        </w:rPr>
      </w:pPr>
      <w:r w:rsidRPr="00954FA5">
        <w:rPr>
          <w:rStyle w:val="FootnoteReference"/>
          <w:sz w:val="20"/>
        </w:rPr>
        <w:footnoteRef/>
      </w:r>
      <w:r w:rsidRPr="00954FA5">
        <w:rPr>
          <w:sz w:val="20"/>
        </w:rPr>
        <w:t xml:space="preserve"> </w:t>
      </w:r>
      <w:r w:rsidRPr="00954FA5">
        <w:rPr>
          <w:i/>
          <w:sz w:val="20"/>
        </w:rPr>
        <w:t>See</w:t>
      </w:r>
      <w:r w:rsidRPr="00954FA5">
        <w:rPr>
          <w:sz w:val="20"/>
        </w:rPr>
        <w:t xml:space="preserve"> 47 CFR § 1.45(c).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96F" w:rsidRDefault="002109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96F" w:rsidRDefault="002109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F16A1B">
    <w:pPr>
      <w:pStyle w:val="Header"/>
      <w:tabs>
        <w:tab w:val="clear" w:pos="4320"/>
        <w:tab w:val="clear" w:pos="8640"/>
      </w:tabs>
      <w:spacing w:before="40"/>
      <w:ind w:firstLine="1080"/>
      <w:rPr>
        <w:rFonts w:ascii="News Gothic MT" w:hAnsi="News Gothic MT"/>
        <w:b/>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D60EFF">
      <w:rPr>
        <w:rFonts w:ascii="News Gothic MT" w:hAnsi="News Gothic MT"/>
        <w:b/>
        <w:sz w:val="96"/>
      </w:rPr>
      <w:t xml:space="preserve">  </w:t>
    </w:r>
    <w:r w:rsidR="00602577">
      <w:rPr>
        <w:rFonts w:ascii="News Gothic MT" w:hAnsi="News Gothic MT"/>
        <w:b/>
        <w:sz w:val="96"/>
      </w:rPr>
      <w:t>PUBLIC NOTICE</w:t>
    </w:r>
  </w:p>
  <w:p w:rsidR="00602577" w:rsidRDefault="00F16A1B">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5168"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6192"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3A" w:rsidRDefault="00F16A1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13A" w:rsidRDefault="00F16A1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F16A1B" w:rsidP="00B338A9">
    <w:pPr>
      <w:pStyle w:val="Header"/>
    </w:pPr>
    <w:r>
      <w:rPr>
        <w:noProof/>
      </w:rPr>
      <w:pict>
        <v:shapetype id="_x0000_t202" coordsize="21600,21600" o:spt="202" path="m,l,21600r21600,l21600,xe">
          <v:stroke joinstyle="miter"/>
          <v:path gradientshapeok="t" o:connecttype="rect"/>
        </v:shapetype>
        <v:shape id="Text Box 3" o:spid="_x0000_s2058" type="#_x0000_t202" style="position:absolute;margin-left:-4.5pt;margin-top:58.35pt;width:244.8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mf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sNebwAW&#10;JLLW7BF0YTXQBgzDYwKTVttvGPXQmDV2X7fEcozkOwXaKrOiCJ0cF8X0IoeFPbWsTy1EUYCqscdo&#10;nN74sfu3xopNCzeNalb6CvTYiCiV56j2KobmizntH4rQ3afr6PX8nC1/AAAA//8DAFBLAwQUAAYA&#10;CAAAACEAlvvy8d8AAAAKAQAADwAAAGRycy9kb3ducmV2LnhtbEyPQU+DQBCF7yb+h82YeDHtQtNC&#10;iyyNmmi8tvYHDDAFIjtL2G2h/97xpMc37+XN9/L9bHt1pdF3jg3EywgUceXqjhsDp6/3xRaUD8g1&#10;9o7JwI087Iv7uxyz2k18oOsxNEpK2GdooA1hyLT2VUsW/dINxOKd3WgxiBwbXY84Sbnt9SqKEm2x&#10;Y/nQ4kBvLVXfx4s1cP6cnja7qfwIp/SwTl6xS0t3M+bxYX55BhVoDn9h+MUXdCiEqXQXrr3qDSx2&#10;MiXIPU5SUBJYb6MEVGlgFacb0EWu/08ofgAAAP//AwBQSwECLQAUAAYACAAAACEAtoM4kv4AAADh&#10;AQAAEwAAAAAAAAAAAAAAAAAAAAAAW0NvbnRlbnRfVHlwZXNdLnhtbFBLAQItABQABgAIAAAAIQA4&#10;/SH/1gAAAJQBAAALAAAAAAAAAAAAAAAAAC8BAABfcmVscy8ucmVsc1BLAQItABQABgAIAAAAIQAB&#10;uQmfhAIAABYFAAAOAAAAAAAAAAAAAAAAAC4CAABkcnMvZTJvRG9jLnhtbFBLAQItABQABgAIAAAA&#10;IQCW+/Lx3wAAAAoBAAAPAAAAAAAAAAAAAAAAAN4EAABkcnMvZG93bnJldi54bWxQSwUGAAAAAAQA&#10;BADzAAAA6gUAAAAA&#10;" o:allowincell="f" stroked="f">
          <v:textbox>
            <w:txbxContent>
              <w:p w:rsidR="00D47505" w:rsidRDefault="00392100" w:rsidP="00D47505">
                <w:pPr>
                  <w:rPr>
                    <w:rFonts w:ascii="Arial" w:hAnsi="Arial"/>
                    <w:b/>
                  </w:rPr>
                </w:pPr>
                <w:r>
                  <w:rPr>
                    <w:rFonts w:ascii="Arial" w:hAnsi="Arial"/>
                    <w:b/>
                  </w:rPr>
                  <w:t>Federal Communications Commission</w:t>
                </w:r>
              </w:p>
              <w:p w:rsidR="00D47505" w:rsidRDefault="00392100"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392100" w:rsidP="00D47505">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7" type="#_x0000_t75" alt="fcc_logo" style="position:absolute;margin-left:-51.25pt;margin-top:10.75pt;width:41.7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392100" w:rsidRPr="00CB366B">
      <w:t>PUBLIC NOTICE</w:t>
    </w:r>
  </w:p>
  <w:p w:rsidR="00D47505" w:rsidRDefault="00F16A1B" w:rsidP="00B338A9">
    <w:pPr>
      <w:pStyle w:val="Header"/>
    </w:pPr>
    <w:r>
      <w:rPr>
        <w:noProof/>
      </w:rPr>
      <w:pict>
        <v:line id="Line 4" o:spid="_x0000_s205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334.4pt,56.7pt" to="3802.4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w:r>
    <w:r>
      <w:rPr>
        <w:noProof/>
      </w:rPr>
      <w:pict>
        <v:shape id="Text Box 5" o:spid="_x0000_s2055" type="#_x0000_t202" style="position:absolute;margin-left:263.25pt;margin-top:14.05pt;width:207.9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Iu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HPSG&#10;YEEiG+APqAsLWDYsPj4mOGnBfqWkx8asqPuyY1ZQot5q1FaR5Xno5LjAiX1q3RytTNcIUVFPyTi9&#10;9mPX74yV2xZvGFWs4RJ12MgokUc2B/Vi08VYDg9E6Oqn6+j1+IytfgA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w+nC&#10;LoICAAAOBQAADgAAAAAAAAAAAAAAAAAuAgAAZHJzL2Uyb0RvYy54bWxQSwECLQAUAAYACAAAACEA&#10;pgCLut8AAAAJAQAADwAAAAAAAAAAAAAAAADcBAAAZHJzL2Rvd25yZXYueG1sUEsFBgAAAAAEAAQA&#10;8wAAAOgFAAAAAA==&#10;" o:allowincell="f" stroked="f">
          <v:textbox inset=",0,,0">
            <w:txbxContent>
              <w:p w:rsidR="00D47505" w:rsidRDefault="00392100" w:rsidP="00D47505">
                <w:pPr>
                  <w:spacing w:before="40"/>
                  <w:jc w:val="right"/>
                  <w:rPr>
                    <w:rFonts w:ascii="Arial" w:hAnsi="Arial"/>
                    <w:b/>
                    <w:sz w:val="16"/>
                  </w:rPr>
                </w:pPr>
                <w:r>
                  <w:rPr>
                    <w:rFonts w:ascii="Arial" w:hAnsi="Arial"/>
                    <w:b/>
                    <w:sz w:val="16"/>
                  </w:rPr>
                  <w:t>News Media Information 202 / 418-0500</w:t>
                </w:r>
              </w:p>
              <w:p w:rsidR="00D47505" w:rsidRDefault="00392100" w:rsidP="00D47505">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D47505" w:rsidRDefault="00392100" w:rsidP="00B338A9">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5EBD39A2"/>
    <w:multiLevelType w:val="hybridMultilevel"/>
    <w:tmpl w:val="50BE077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7"/>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4FA5"/>
    <w:rsid w:val="000265AE"/>
    <w:rsid w:val="001F1549"/>
    <w:rsid w:val="0021096F"/>
    <w:rsid w:val="00277EFB"/>
    <w:rsid w:val="00392100"/>
    <w:rsid w:val="00492EB3"/>
    <w:rsid w:val="00602577"/>
    <w:rsid w:val="00832EA4"/>
    <w:rsid w:val="008D4E17"/>
    <w:rsid w:val="00954FA5"/>
    <w:rsid w:val="009B393C"/>
    <w:rsid w:val="00D17DC0"/>
    <w:rsid w:val="00D60EFF"/>
    <w:rsid w:val="00F16A1B"/>
    <w:rsid w:val="00F64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FA5"/>
    <w:pPr>
      <w:widowControl w:val="0"/>
    </w:pPr>
    <w:rPr>
      <w:snapToGrid w:val="0"/>
      <w:kern w:val="28"/>
      <w:sz w:val="22"/>
    </w:rPr>
  </w:style>
  <w:style w:type="paragraph" w:styleId="Heading1">
    <w:name w:val="heading 1"/>
    <w:basedOn w:val="Normal"/>
    <w:next w:val="Normal"/>
    <w:qFormat/>
    <w:pPr>
      <w:keepNext/>
      <w:numPr>
        <w:numId w:val="2"/>
      </w:numPr>
      <w:suppressAutoHyphens/>
      <w:spacing w:after="220"/>
      <w:jc w:val="both"/>
      <w:outlineLvl w:val="0"/>
    </w:pPr>
    <w:rPr>
      <w:b/>
      <w:caps/>
    </w:rPr>
  </w:style>
  <w:style w:type="paragraph" w:styleId="Heading2">
    <w:name w:val="heading 2"/>
    <w:basedOn w:val="Normal"/>
    <w:next w:val="Normal"/>
    <w:qFormat/>
    <w:pPr>
      <w:keepNext/>
      <w:numPr>
        <w:ilvl w:val="1"/>
        <w:numId w:val="2"/>
      </w:numPr>
      <w:spacing w:after="220"/>
      <w:jc w:val="both"/>
      <w:outlineLvl w:val="1"/>
    </w:pPr>
    <w:rPr>
      <w:b/>
    </w:rPr>
  </w:style>
  <w:style w:type="paragraph" w:styleId="Heading3">
    <w:name w:val="heading 3"/>
    <w:basedOn w:val="Normal"/>
    <w:next w:val="Normal"/>
    <w:qFormat/>
    <w:pPr>
      <w:keepNext/>
      <w:numPr>
        <w:ilvl w:val="2"/>
        <w:numId w:val="2"/>
      </w:numPr>
      <w:spacing w:after="220"/>
      <w:jc w:val="both"/>
      <w:outlineLvl w:val="2"/>
    </w:pPr>
    <w:rPr>
      <w:b/>
    </w:rPr>
  </w:style>
  <w:style w:type="paragraph" w:styleId="Heading4">
    <w:name w:val="heading 4"/>
    <w:basedOn w:val="Normal"/>
    <w:next w:val="Normal"/>
    <w:qFormat/>
    <w:pPr>
      <w:keepNext/>
      <w:numPr>
        <w:ilvl w:val="3"/>
        <w:numId w:val="2"/>
      </w:numPr>
      <w:spacing w:after="220"/>
      <w:jc w:val="both"/>
      <w:outlineLvl w:val="3"/>
    </w:pPr>
    <w:rPr>
      <w:b/>
    </w:rPr>
  </w:style>
  <w:style w:type="paragraph" w:styleId="Heading5">
    <w:name w:val="heading 5"/>
    <w:basedOn w:val="Normal"/>
    <w:next w:val="Normal"/>
    <w:qFormat/>
    <w:pPr>
      <w:keepNext/>
      <w:numPr>
        <w:ilvl w:val="4"/>
        <w:numId w:val="2"/>
      </w:numPr>
      <w:suppressAutoHyphens/>
      <w:spacing w:after="220"/>
      <w:jc w:val="both"/>
      <w:outlineLvl w:val="4"/>
    </w:pPr>
    <w:rPr>
      <w:b/>
    </w:rPr>
  </w:style>
  <w:style w:type="paragraph" w:styleId="Heading6">
    <w:name w:val="heading 6"/>
    <w:basedOn w:val="Normal"/>
    <w:next w:val="Normal"/>
    <w:qFormat/>
    <w:pPr>
      <w:numPr>
        <w:ilvl w:val="5"/>
        <w:numId w:val="2"/>
      </w:numPr>
      <w:spacing w:after="220"/>
      <w:jc w:val="both"/>
      <w:outlineLvl w:val="5"/>
    </w:pPr>
    <w:rPr>
      <w:b/>
    </w:rPr>
  </w:style>
  <w:style w:type="paragraph" w:styleId="Heading7">
    <w:name w:val="heading 7"/>
    <w:basedOn w:val="Normal"/>
    <w:next w:val="Normal"/>
    <w:qFormat/>
    <w:pPr>
      <w:numPr>
        <w:ilvl w:val="7"/>
        <w:numId w:val="2"/>
      </w:numPr>
      <w:spacing w:after="220"/>
      <w:jc w:val="both"/>
      <w:outlineLvl w:val="6"/>
    </w:pPr>
    <w:rPr>
      <w:b/>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spacing w:after="220"/>
      <w:ind w:left="1440" w:right="1440"/>
      <w:jc w:val="both"/>
    </w:pPr>
  </w:style>
  <w:style w:type="paragraph" w:customStyle="1" w:styleId="Bullet">
    <w:name w:val="Bullet"/>
    <w:basedOn w:val="Normal"/>
    <w:pPr>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rPr>
      <w:vertAlign w:val="superscript"/>
    </w:rPr>
  </w:style>
  <w:style w:type="paragraph" w:styleId="FootnoteText">
    <w:name w:val="footnote text"/>
    <w:basedOn w:val="Normal"/>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uiPriority w:val="99"/>
    <w:rsid w:val="00954FA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26"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yperlink" Target="mailto:linda.ray@fcc.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dennis.johnson@fcc.gov" TargetMode="External"/><Relationship Id="rId20" Type="http://schemas.openxmlformats.org/officeDocument/2006/relationships/hyperlink" Target="mailto:jeffrey.neumann@fcc.go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transactionteam@fcc.gov"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brendan.holland@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 Id="rId22" Type="http://schemas.openxmlformats.org/officeDocument/2006/relationships/header" Target="header4.xml"/><Relationship Id="rId27"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hyperlink" Target="https://www.fcc.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6</Pages>
  <Words>2014</Words>
  <Characters>12104</Characters>
  <Application>Microsoft Office Word</Application>
  <DocSecurity>0</DocSecurity>
  <Lines>252</Lines>
  <Paragraphs>80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14156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2016-09-21T21:08:00Z</dcterms:created>
  <dcterms:modified xsi:type="dcterms:W3CDTF">2016-09-21T21:08:00Z</dcterms:modified>
  <cp:category> </cp:category>
  <cp:contentStatus> </cp:contentStatus>
</cp:coreProperties>
</file>