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D4" w:rsidRDefault="00C519D4">
      <w:pPr>
        <w:widowControl/>
        <w:rPr>
          <w:color w:val="000000"/>
          <w:sz w:val="23"/>
        </w:rPr>
        <w:sectPr w:rsidR="00C519D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962B06" w:rsidRPr="00962B06" w:rsidRDefault="00962B06" w:rsidP="00962B06">
      <w:pPr>
        <w:widowControl/>
        <w:suppressAutoHyphens/>
        <w:jc w:val="right"/>
        <w:rPr>
          <w:b/>
          <w:color w:val="000000"/>
        </w:rPr>
      </w:pPr>
      <w:r w:rsidRPr="00962B06">
        <w:rPr>
          <w:b/>
          <w:color w:val="000000"/>
        </w:rPr>
        <w:lastRenderedPageBreak/>
        <w:t>DA 1</w:t>
      </w:r>
      <w:r w:rsidR="00B3117E">
        <w:rPr>
          <w:b/>
          <w:color w:val="000000"/>
        </w:rPr>
        <w:t>6-1080</w:t>
      </w:r>
    </w:p>
    <w:p w:rsidR="00962B06" w:rsidRPr="00962B06" w:rsidRDefault="00962B06" w:rsidP="00962B06">
      <w:pPr>
        <w:widowControl/>
        <w:suppressAutoHyphens/>
        <w:spacing w:after="240"/>
        <w:jc w:val="right"/>
        <w:rPr>
          <w:b/>
          <w:color w:val="000000"/>
        </w:rPr>
      </w:pPr>
      <w:r w:rsidRPr="00962B06">
        <w:rPr>
          <w:b/>
          <w:color w:val="000000"/>
        </w:rPr>
        <w:t xml:space="preserve">Released:  </w:t>
      </w:r>
      <w:r w:rsidR="00D95C19">
        <w:rPr>
          <w:b/>
          <w:color w:val="000000"/>
        </w:rPr>
        <w:t>September 22</w:t>
      </w:r>
      <w:r w:rsidRPr="00962B06">
        <w:rPr>
          <w:b/>
          <w:color w:val="000000"/>
        </w:rPr>
        <w:t>, 201</w:t>
      </w:r>
      <w:r w:rsidR="00D95C19">
        <w:rPr>
          <w:b/>
          <w:color w:val="000000"/>
        </w:rPr>
        <w:t>6</w:t>
      </w:r>
    </w:p>
    <w:p w:rsidR="00D95C19" w:rsidRDefault="00D95C19" w:rsidP="00D95C19">
      <w:pPr>
        <w:jc w:val="center"/>
        <w:rPr>
          <w:b/>
          <w:bCs/>
        </w:rPr>
      </w:pPr>
      <w:r w:rsidRPr="2BCB800D">
        <w:rPr>
          <w:b/>
          <w:bCs/>
        </w:rPr>
        <w:t xml:space="preserve">DOMESTIC SECTION 214 APPLICATION </w:t>
      </w:r>
      <w:r w:rsidR="00E841BD">
        <w:rPr>
          <w:b/>
          <w:bCs/>
        </w:rPr>
        <w:t>GRANTED</w:t>
      </w:r>
      <w:r w:rsidRPr="2BCB800D">
        <w:rPr>
          <w:b/>
          <w:bCs/>
        </w:rPr>
        <w:t xml:space="preserve"> FOR THE </w:t>
      </w:r>
    </w:p>
    <w:p w:rsidR="00962B06" w:rsidRPr="00962B06" w:rsidRDefault="00D95C19" w:rsidP="00D95C19">
      <w:pPr>
        <w:widowControl/>
        <w:suppressAutoHyphens/>
        <w:jc w:val="center"/>
        <w:rPr>
          <w:b/>
          <w:szCs w:val="22"/>
        </w:rPr>
      </w:pPr>
      <w:r>
        <w:rPr>
          <w:b/>
          <w:bCs/>
        </w:rPr>
        <w:t xml:space="preserve">TRANSFER OF CONTROL OF INCONTACT, INC. TO NICE-SYSTEMS LTD. </w:t>
      </w:r>
    </w:p>
    <w:p w:rsidR="00962B06" w:rsidRPr="00962B06" w:rsidRDefault="00962B06" w:rsidP="00962B06">
      <w:pPr>
        <w:widowControl/>
        <w:suppressAutoHyphens/>
        <w:jc w:val="center"/>
        <w:rPr>
          <w:b/>
          <w:color w:val="000000"/>
          <w:szCs w:val="22"/>
        </w:rPr>
      </w:pPr>
    </w:p>
    <w:p w:rsidR="00962B06" w:rsidRPr="00962B06" w:rsidRDefault="00962B06" w:rsidP="00962B06">
      <w:pPr>
        <w:widowControl/>
        <w:suppressAutoHyphens/>
        <w:spacing w:after="240"/>
        <w:jc w:val="center"/>
        <w:rPr>
          <w:b/>
          <w:color w:val="000000"/>
          <w:szCs w:val="22"/>
        </w:rPr>
      </w:pPr>
      <w:r w:rsidRPr="00962B06">
        <w:rPr>
          <w:b/>
          <w:color w:val="000000"/>
          <w:szCs w:val="22"/>
        </w:rPr>
        <w:t>WC Docket No. 1</w:t>
      </w:r>
      <w:r w:rsidR="00D95C19">
        <w:rPr>
          <w:b/>
          <w:color w:val="000000"/>
          <w:szCs w:val="22"/>
        </w:rPr>
        <w:t>6-177</w:t>
      </w:r>
    </w:p>
    <w:p w:rsidR="00962B06" w:rsidRPr="00962B06" w:rsidRDefault="00245958" w:rsidP="006539D4">
      <w:pPr>
        <w:widowControl/>
        <w:autoSpaceDE w:val="0"/>
        <w:autoSpaceDN w:val="0"/>
        <w:adjustRightInd w:val="0"/>
        <w:ind w:firstLine="720"/>
        <w:jc w:val="left"/>
        <w:rPr>
          <w:snapToGrid/>
          <w:kern w:val="0"/>
          <w:szCs w:val="22"/>
        </w:rPr>
      </w:pPr>
      <w:r>
        <w:rPr>
          <w:snapToGrid/>
          <w:color w:val="231F20"/>
          <w:kern w:val="0"/>
          <w:szCs w:val="22"/>
        </w:rPr>
        <w:t>On</w:t>
      </w:r>
      <w:r w:rsidR="00D95C19">
        <w:rPr>
          <w:snapToGrid/>
          <w:color w:val="231F20"/>
          <w:kern w:val="0"/>
          <w:szCs w:val="22"/>
        </w:rPr>
        <w:t xml:space="preserve"> May 31, 2016,</w:t>
      </w:r>
      <w:r w:rsidR="007B0B83" w:rsidRPr="007B0B83">
        <w:rPr>
          <w:snapToGrid/>
          <w:color w:val="231F20"/>
          <w:kern w:val="0"/>
          <w:szCs w:val="22"/>
        </w:rPr>
        <w:t xml:space="preserve"> </w:t>
      </w:r>
      <w:r w:rsidR="00D95C19">
        <w:rPr>
          <w:szCs w:val="22"/>
        </w:rPr>
        <w:t>inContact, Inc. (</w:t>
      </w:r>
      <w:r w:rsidR="00D95C19" w:rsidRPr="00137501">
        <w:rPr>
          <w:szCs w:val="22"/>
        </w:rPr>
        <w:t>inContact) and NICE-Systems Ltd. (NICE Systems</w:t>
      </w:r>
      <w:r w:rsidR="00D95C19">
        <w:rPr>
          <w:szCs w:val="22"/>
        </w:rPr>
        <w:t xml:space="preserve">) </w:t>
      </w:r>
      <w:r w:rsidR="00D95C19" w:rsidRPr="00124705">
        <w:rPr>
          <w:szCs w:val="22"/>
        </w:rPr>
        <w:t>(</w:t>
      </w:r>
      <w:r w:rsidR="00D95C19">
        <w:rPr>
          <w:szCs w:val="22"/>
        </w:rPr>
        <w:t>together</w:t>
      </w:r>
      <w:r w:rsidR="00D95C19" w:rsidRPr="00124705">
        <w:rPr>
          <w:szCs w:val="22"/>
        </w:rPr>
        <w:t>, Applicants)</w:t>
      </w:r>
      <w:r w:rsidR="00D95C19" w:rsidRPr="006F6A1D">
        <w:rPr>
          <w:szCs w:val="22"/>
        </w:rPr>
        <w:t xml:space="preserve"> fi</w:t>
      </w:r>
      <w:r w:rsidR="00D95C19">
        <w:rPr>
          <w:szCs w:val="22"/>
        </w:rPr>
        <w:t>led an application pursuant to s</w:t>
      </w:r>
      <w:r w:rsidR="00D95C19" w:rsidRPr="006F6A1D">
        <w:rPr>
          <w:szCs w:val="22"/>
        </w:rPr>
        <w:t>ection 214 of the Communications Act of 1934, as</w:t>
      </w:r>
      <w:r w:rsidR="00D95C19">
        <w:rPr>
          <w:szCs w:val="22"/>
        </w:rPr>
        <w:t xml:space="preserve"> amended, and s</w:t>
      </w:r>
      <w:r w:rsidR="00D95C19" w:rsidRPr="006F6A1D">
        <w:rPr>
          <w:szCs w:val="22"/>
        </w:rPr>
        <w:t xml:space="preserve">ection 63.03 of the Commission’s rules, </w:t>
      </w:r>
      <w:r w:rsidR="00D95C19">
        <w:rPr>
          <w:szCs w:val="22"/>
        </w:rPr>
        <w:t xml:space="preserve">requesting approval to </w:t>
      </w:r>
      <w:r w:rsidR="00D95C19" w:rsidRPr="006F6A1D">
        <w:rPr>
          <w:szCs w:val="22"/>
        </w:rPr>
        <w:t>transfer</w:t>
      </w:r>
      <w:r w:rsidR="00D95C19">
        <w:rPr>
          <w:szCs w:val="22"/>
        </w:rPr>
        <w:t xml:space="preserve"> control of inContact to NICE Systems</w:t>
      </w:r>
      <w:r w:rsidR="00D95C19" w:rsidRPr="006F6A1D">
        <w:rPr>
          <w:szCs w:val="22"/>
        </w:rPr>
        <w:t>.</w:t>
      </w:r>
      <w:r w:rsidR="00D95C19" w:rsidRPr="006F6A1D">
        <w:rPr>
          <w:rStyle w:val="FootnoteReference"/>
          <w:szCs w:val="22"/>
        </w:rPr>
        <w:footnoteReference w:id="1"/>
      </w:r>
      <w:r w:rsidR="00D95C19">
        <w:rPr>
          <w:szCs w:val="22"/>
        </w:rPr>
        <w:t xml:space="preserve">  </w:t>
      </w:r>
      <w:r w:rsidR="007B0B83" w:rsidRPr="007B0B83">
        <w:rPr>
          <w:snapToGrid/>
          <w:kern w:val="0"/>
          <w:szCs w:val="22"/>
        </w:rPr>
        <w:t xml:space="preserve"> </w:t>
      </w:r>
      <w:r w:rsidR="007B0B83">
        <w:rPr>
          <w:snapToGrid/>
          <w:color w:val="231F20"/>
          <w:kern w:val="0"/>
          <w:szCs w:val="22"/>
        </w:rPr>
        <w:t xml:space="preserve"> </w:t>
      </w:r>
      <w:r w:rsidR="006539D4">
        <w:rPr>
          <w:snapToGrid/>
          <w:kern w:val="0"/>
          <w:szCs w:val="22"/>
        </w:rPr>
        <w:t xml:space="preserve">  </w:t>
      </w:r>
      <w:r w:rsidR="00962B06" w:rsidRPr="00962B06">
        <w:rPr>
          <w:szCs w:val="22"/>
        </w:rPr>
        <w:t xml:space="preserve">  </w:t>
      </w:r>
    </w:p>
    <w:p w:rsidR="00962B06" w:rsidRPr="00962B06" w:rsidRDefault="00962B06" w:rsidP="00962B06">
      <w:pPr>
        <w:ind w:firstLine="720"/>
        <w:rPr>
          <w:szCs w:val="22"/>
        </w:rPr>
      </w:pPr>
    </w:p>
    <w:p w:rsidR="00962B06" w:rsidRPr="00962B06" w:rsidRDefault="00962B06" w:rsidP="006539D4">
      <w:pPr>
        <w:ind w:firstLine="720"/>
        <w:jc w:val="left"/>
        <w:rPr>
          <w:snapToGrid/>
          <w:kern w:val="0"/>
        </w:rPr>
      </w:pPr>
      <w:r w:rsidRPr="00962B06">
        <w:rPr>
          <w:szCs w:val="22"/>
        </w:rPr>
        <w:t xml:space="preserve">On </w:t>
      </w:r>
      <w:r w:rsidR="00D95C19">
        <w:rPr>
          <w:szCs w:val="22"/>
        </w:rPr>
        <w:t>June 15, 2016</w:t>
      </w:r>
      <w:r w:rsidRPr="00962B06">
        <w:rPr>
          <w:szCs w:val="22"/>
        </w:rPr>
        <w:t>, the Wireline Competition Bureau (Bureau) released a Public Notice requesting comment on th</w:t>
      </w:r>
      <w:r w:rsidR="00811BE9">
        <w:rPr>
          <w:szCs w:val="22"/>
        </w:rPr>
        <w:t>e Application</w:t>
      </w:r>
      <w:r w:rsidRPr="00962B06">
        <w:rPr>
          <w:szCs w:val="22"/>
        </w:rPr>
        <w:t>.</w:t>
      </w:r>
      <w:r w:rsidRPr="00962B06">
        <w:rPr>
          <w:szCs w:val="22"/>
          <w:vertAlign w:val="superscript"/>
        </w:rPr>
        <w:footnoteReference w:id="2"/>
      </w:r>
      <w:r w:rsidRPr="00962B06">
        <w:rPr>
          <w:szCs w:val="22"/>
        </w:rPr>
        <w:t xml:space="preserve">  </w:t>
      </w:r>
      <w:r w:rsidR="00D95C19">
        <w:t>On June 16, 2016, the U.S. Department of Justice (DOJ), with the concurrence of the U.S. Department of Defense and the U.S. Department of Homeland Security (collectively, the Executive Branch Agencies) filed a letter requesting that the Commission defer action in WC Docket No. 16-177 while they complete</w:t>
      </w:r>
      <w:r w:rsidR="00E841BD">
        <w:t>d</w:t>
      </w:r>
      <w:r w:rsidR="00D95C19">
        <w:t xml:space="preserve"> their review of any national security, law enforcement, and public safety issues.</w:t>
      </w:r>
      <w:r w:rsidR="00D95C19">
        <w:rPr>
          <w:rStyle w:val="FootnoteReference"/>
        </w:rPr>
        <w:footnoteReference w:id="3"/>
      </w:r>
      <w:r w:rsidR="00D95C19">
        <w:t xml:space="preserve">  </w:t>
      </w:r>
      <w:r w:rsidRPr="00962B06">
        <w:rPr>
          <w:color w:val="000000"/>
          <w:szCs w:val="22"/>
        </w:rPr>
        <w:t xml:space="preserve">We deferred action on the </w:t>
      </w:r>
      <w:r w:rsidR="00E841BD">
        <w:rPr>
          <w:color w:val="000000"/>
          <w:szCs w:val="22"/>
        </w:rPr>
        <w:t>A</w:t>
      </w:r>
      <w:r w:rsidRPr="00962B06">
        <w:rPr>
          <w:color w:val="000000"/>
          <w:szCs w:val="22"/>
        </w:rPr>
        <w:t xml:space="preserve">pplication in response to the </w:t>
      </w:r>
      <w:r w:rsidR="00D95C19">
        <w:rPr>
          <w:color w:val="000000"/>
          <w:szCs w:val="22"/>
        </w:rPr>
        <w:t xml:space="preserve">Executive Branch </w:t>
      </w:r>
      <w:r w:rsidRPr="00962B06">
        <w:rPr>
          <w:color w:val="000000"/>
          <w:szCs w:val="22"/>
        </w:rPr>
        <w:t>Agencies’ request.</w:t>
      </w:r>
      <w:r w:rsidRPr="00962B06">
        <w:rPr>
          <w:szCs w:val="22"/>
          <w:vertAlign w:val="superscript"/>
        </w:rPr>
        <w:footnoteReference w:id="4"/>
      </w:r>
      <w:r w:rsidRPr="00962B06">
        <w:rPr>
          <w:snapToGrid/>
          <w:kern w:val="0"/>
          <w:szCs w:val="22"/>
        </w:rPr>
        <w:t xml:space="preserve">   </w:t>
      </w:r>
    </w:p>
    <w:p w:rsidR="00962B06" w:rsidRPr="00962B06" w:rsidRDefault="00962B06" w:rsidP="00962B06">
      <w:pPr>
        <w:ind w:firstLine="720"/>
        <w:jc w:val="left"/>
        <w:rPr>
          <w:color w:val="000000"/>
          <w:szCs w:val="22"/>
        </w:rPr>
      </w:pPr>
    </w:p>
    <w:p w:rsidR="00962B06" w:rsidRPr="00193AC3" w:rsidRDefault="00962B06" w:rsidP="00962B06">
      <w:pPr>
        <w:ind w:firstLine="720"/>
        <w:jc w:val="left"/>
        <w:rPr>
          <w:color w:val="000000"/>
          <w:szCs w:val="22"/>
        </w:rPr>
      </w:pPr>
      <w:r w:rsidRPr="00193AC3">
        <w:rPr>
          <w:szCs w:val="22"/>
        </w:rPr>
        <w:t xml:space="preserve">On </w:t>
      </w:r>
      <w:r w:rsidR="00D95C19">
        <w:rPr>
          <w:szCs w:val="22"/>
        </w:rPr>
        <w:t>September 21, 2016</w:t>
      </w:r>
      <w:r w:rsidRPr="00193AC3">
        <w:rPr>
          <w:szCs w:val="22"/>
        </w:rPr>
        <w:t xml:space="preserve">, </w:t>
      </w:r>
      <w:r w:rsidR="00274BFF" w:rsidRPr="00193AC3">
        <w:rPr>
          <w:szCs w:val="22"/>
        </w:rPr>
        <w:t xml:space="preserve">the </w:t>
      </w:r>
      <w:r w:rsidR="00D95C19">
        <w:rPr>
          <w:szCs w:val="22"/>
        </w:rPr>
        <w:t xml:space="preserve">Executive Branch </w:t>
      </w:r>
      <w:r w:rsidR="003262F8">
        <w:rPr>
          <w:szCs w:val="22"/>
        </w:rPr>
        <w:t>Agencies</w:t>
      </w:r>
      <w:r w:rsidR="00A03AFB">
        <w:rPr>
          <w:szCs w:val="22"/>
        </w:rPr>
        <w:t xml:space="preserve"> </w:t>
      </w:r>
      <w:r w:rsidR="00274BFF" w:rsidRPr="00193AC3">
        <w:rPr>
          <w:szCs w:val="22"/>
        </w:rPr>
        <w:t xml:space="preserve">submitted </w:t>
      </w:r>
      <w:r w:rsidRPr="00193AC3">
        <w:rPr>
          <w:szCs w:val="22"/>
        </w:rPr>
        <w:t>a Petition to Adopt Conditions to Authorizations and Licenses (Petition).</w:t>
      </w:r>
      <w:r w:rsidRPr="00193AC3">
        <w:rPr>
          <w:szCs w:val="22"/>
          <w:vertAlign w:val="superscript"/>
        </w:rPr>
        <w:footnoteReference w:id="5"/>
      </w:r>
      <w:r w:rsidRPr="00193AC3">
        <w:rPr>
          <w:szCs w:val="22"/>
        </w:rPr>
        <w:t xml:space="preserve">  In the Petition, the </w:t>
      </w:r>
      <w:r w:rsidR="00D95C19">
        <w:rPr>
          <w:szCs w:val="22"/>
        </w:rPr>
        <w:t xml:space="preserve">Executive Branch </w:t>
      </w:r>
      <w:r w:rsidR="003262F8">
        <w:rPr>
          <w:szCs w:val="22"/>
        </w:rPr>
        <w:t>Agencies</w:t>
      </w:r>
      <w:r w:rsidR="00274BFF" w:rsidRPr="00193AC3">
        <w:rPr>
          <w:szCs w:val="22"/>
        </w:rPr>
        <w:t xml:space="preserve"> </w:t>
      </w:r>
      <w:r w:rsidRPr="00193AC3">
        <w:rPr>
          <w:szCs w:val="22"/>
        </w:rPr>
        <w:t>advise the Commission that</w:t>
      </w:r>
      <w:r w:rsidR="003262F8">
        <w:rPr>
          <w:szCs w:val="22"/>
        </w:rPr>
        <w:t xml:space="preserve"> they have no objection to the Commission </w:t>
      </w:r>
      <w:r w:rsidR="00D95C19">
        <w:rPr>
          <w:szCs w:val="22"/>
        </w:rPr>
        <w:t xml:space="preserve">approving the authority sought in the Application </w:t>
      </w:r>
      <w:r w:rsidRPr="00193AC3">
        <w:rPr>
          <w:szCs w:val="22"/>
        </w:rPr>
        <w:t xml:space="preserve">provided </w:t>
      </w:r>
      <w:r w:rsidR="00D95C19">
        <w:rPr>
          <w:szCs w:val="22"/>
        </w:rPr>
        <w:t xml:space="preserve">that </w:t>
      </w:r>
      <w:r w:rsidRPr="00193AC3">
        <w:rPr>
          <w:szCs w:val="22"/>
        </w:rPr>
        <w:t xml:space="preserve">the </w:t>
      </w:r>
      <w:r w:rsidRPr="00193AC3">
        <w:rPr>
          <w:color w:val="000000"/>
          <w:szCs w:val="22"/>
        </w:rPr>
        <w:t xml:space="preserve">Commission </w:t>
      </w:r>
      <w:r w:rsidR="00D95C19">
        <w:rPr>
          <w:color w:val="000000"/>
          <w:szCs w:val="22"/>
        </w:rPr>
        <w:t>“</w:t>
      </w:r>
      <w:r w:rsidRPr="00193AC3">
        <w:rPr>
          <w:color w:val="000000"/>
          <w:szCs w:val="22"/>
        </w:rPr>
        <w:t xml:space="preserve">conditions its </w:t>
      </w:r>
      <w:r w:rsidR="00D95C19">
        <w:rPr>
          <w:color w:val="000000"/>
          <w:szCs w:val="22"/>
        </w:rPr>
        <w:t xml:space="preserve">approval on the assurance of inContact, Inc. (‘inContact’) and NICE, Ltd. (“NICE’) abiding by the commitments and undertakings set forth in the attached September 20, 2016 Letter of Agreement (‘Agreement’) between inContact, NICE, and the </w:t>
      </w:r>
      <w:r w:rsidR="00D95C19">
        <w:rPr>
          <w:color w:val="000000"/>
          <w:szCs w:val="22"/>
        </w:rPr>
        <w:lastRenderedPageBreak/>
        <w:t>DOJ.”</w:t>
      </w:r>
      <w:bookmarkStart w:id="1" w:name="SearchTerm"/>
      <w:r w:rsidRPr="00193AC3">
        <w:rPr>
          <w:szCs w:val="22"/>
          <w:vertAlign w:val="superscript"/>
        </w:rPr>
        <w:footnoteReference w:id="6"/>
      </w:r>
      <w:r w:rsidRPr="00193AC3">
        <w:rPr>
          <w:color w:val="000000"/>
          <w:szCs w:val="22"/>
        </w:rPr>
        <w:t xml:space="preserve">  </w:t>
      </w:r>
      <w:r w:rsidR="008B1ED5">
        <w:rPr>
          <w:color w:val="000000"/>
          <w:szCs w:val="22"/>
        </w:rPr>
        <w:t>DOJ</w:t>
      </w:r>
      <w:r w:rsidR="00193AC3" w:rsidRPr="00193AC3">
        <w:rPr>
          <w:color w:val="000000"/>
          <w:szCs w:val="22"/>
        </w:rPr>
        <w:t xml:space="preserve"> </w:t>
      </w:r>
      <w:r w:rsidRPr="00193AC3">
        <w:rPr>
          <w:color w:val="000000"/>
          <w:szCs w:val="22"/>
        </w:rPr>
        <w:t xml:space="preserve">filed the </w:t>
      </w:r>
      <w:bookmarkStart w:id="2" w:name="SR;381"/>
      <w:bookmarkEnd w:id="2"/>
      <w:r w:rsidRPr="00193AC3">
        <w:rPr>
          <w:color w:val="000000"/>
          <w:szCs w:val="22"/>
        </w:rPr>
        <w:t>Petition</w:t>
      </w:r>
      <w:r w:rsidR="00193AC3" w:rsidRPr="00193AC3">
        <w:rPr>
          <w:color w:val="000000"/>
          <w:szCs w:val="22"/>
        </w:rPr>
        <w:t xml:space="preserve"> and</w:t>
      </w:r>
      <w:r w:rsidRPr="00193AC3">
        <w:rPr>
          <w:color w:val="000000"/>
          <w:szCs w:val="22"/>
        </w:rPr>
        <w:t xml:space="preserve"> </w:t>
      </w:r>
      <w:r w:rsidR="008B1ED5">
        <w:rPr>
          <w:color w:val="000000"/>
          <w:szCs w:val="22"/>
        </w:rPr>
        <w:t>Agreement</w:t>
      </w:r>
      <w:bookmarkStart w:id="3" w:name="SR;383"/>
      <w:bookmarkEnd w:id="3"/>
      <w:r w:rsidR="00193AC3" w:rsidRPr="00193AC3">
        <w:rPr>
          <w:color w:val="000000"/>
          <w:szCs w:val="22"/>
        </w:rPr>
        <w:t xml:space="preserve"> </w:t>
      </w:r>
      <w:r w:rsidRPr="00193AC3">
        <w:rPr>
          <w:color w:val="000000"/>
          <w:szCs w:val="22"/>
        </w:rPr>
        <w:t>in WC Docket No. 1</w:t>
      </w:r>
      <w:r w:rsidR="00D95C19">
        <w:rPr>
          <w:color w:val="000000"/>
          <w:szCs w:val="22"/>
        </w:rPr>
        <w:t>6-177</w:t>
      </w:r>
      <w:r w:rsidRPr="00193AC3">
        <w:rPr>
          <w:color w:val="000000"/>
          <w:szCs w:val="22"/>
        </w:rPr>
        <w:t xml:space="preserve"> on </w:t>
      </w:r>
      <w:r w:rsidR="00D95C19">
        <w:rPr>
          <w:color w:val="000000"/>
          <w:szCs w:val="22"/>
        </w:rPr>
        <w:t>September 21, 2016</w:t>
      </w:r>
      <w:r w:rsidRPr="00193AC3">
        <w:rPr>
          <w:color w:val="000000"/>
          <w:szCs w:val="22"/>
        </w:rPr>
        <w:t>.</w:t>
      </w:r>
      <w:bookmarkStart w:id="4" w:name="FN[FN8]"/>
      <w:bookmarkEnd w:id="4"/>
    </w:p>
    <w:p w:rsidR="00962B06" w:rsidRPr="00193AC3" w:rsidRDefault="00962B06" w:rsidP="00962B06">
      <w:pPr>
        <w:ind w:firstLine="720"/>
        <w:jc w:val="left"/>
        <w:rPr>
          <w:color w:val="000000"/>
          <w:szCs w:val="22"/>
        </w:rPr>
      </w:pPr>
    </w:p>
    <w:p w:rsidR="00962B06" w:rsidRPr="008B1ED5" w:rsidRDefault="00962B06" w:rsidP="008B1ED5">
      <w:pPr>
        <w:ind w:firstLine="720"/>
        <w:jc w:val="left"/>
        <w:rPr>
          <w:color w:val="000000"/>
          <w:szCs w:val="22"/>
        </w:rPr>
      </w:pPr>
      <w:bookmarkStart w:id="5" w:name="sp_999_1"/>
      <w:bookmarkStart w:id="6" w:name="SDU_1"/>
      <w:bookmarkEnd w:id="5"/>
      <w:bookmarkEnd w:id="6"/>
      <w:r w:rsidRPr="00193AC3">
        <w:rPr>
          <w:color w:val="000000"/>
          <w:szCs w:val="22"/>
        </w:rPr>
        <w:t xml:space="preserve">The Bureau finds, upon consideration of the record, that grant of the </w:t>
      </w:r>
      <w:r w:rsidR="00E841BD">
        <w:rPr>
          <w:color w:val="000000"/>
          <w:szCs w:val="22"/>
        </w:rPr>
        <w:t>A</w:t>
      </w:r>
      <w:r w:rsidRPr="00193AC3">
        <w:rPr>
          <w:color w:val="000000"/>
          <w:szCs w:val="22"/>
        </w:rPr>
        <w:t xml:space="preserve">pplication, subject to compliance with the </w:t>
      </w:r>
      <w:r w:rsidR="008B1ED5">
        <w:rPr>
          <w:color w:val="000000"/>
          <w:szCs w:val="22"/>
        </w:rPr>
        <w:t>Agreement</w:t>
      </w:r>
      <w:bookmarkStart w:id="7" w:name="SR;414"/>
      <w:bookmarkStart w:id="8" w:name="SR;416"/>
      <w:bookmarkEnd w:id="1"/>
      <w:bookmarkEnd w:id="7"/>
      <w:bookmarkEnd w:id="8"/>
      <w:r w:rsidRPr="00193AC3">
        <w:rPr>
          <w:color w:val="000000"/>
          <w:szCs w:val="22"/>
        </w:rPr>
        <w:t>, will serve the public interest, convenience, and necessity.</w:t>
      </w:r>
      <w:r w:rsidR="008B1ED5">
        <w:rPr>
          <w:rStyle w:val="FootnoteReference"/>
          <w:szCs w:val="22"/>
        </w:rPr>
        <w:footnoteReference w:id="7"/>
      </w:r>
      <w:r w:rsidRPr="00193AC3">
        <w:rPr>
          <w:color w:val="000000"/>
          <w:szCs w:val="22"/>
        </w:rPr>
        <w:t xml:space="preserve">  Consistent with Commission precedent, the Bureau accords the appropriate level of deference to the Executive Branch Agencies' expertise on national security and law enforcement issues.</w:t>
      </w:r>
      <w:bookmarkStart w:id="9" w:name="FN[FN9]"/>
      <w:bookmarkEnd w:id="9"/>
      <w:r w:rsidRPr="00193AC3">
        <w:rPr>
          <w:szCs w:val="22"/>
          <w:vertAlign w:val="superscript"/>
        </w:rPr>
        <w:t xml:space="preserve"> </w:t>
      </w:r>
      <w:r w:rsidRPr="00193AC3">
        <w:rPr>
          <w:szCs w:val="22"/>
          <w:vertAlign w:val="superscript"/>
        </w:rPr>
        <w:footnoteReference w:id="8"/>
      </w:r>
      <w:r w:rsidRPr="00193AC3">
        <w:rPr>
          <w:color w:val="000000"/>
          <w:szCs w:val="22"/>
        </w:rPr>
        <w:t xml:space="preserve">   Therefore, pursuant to section 214 of the Act, 47 U.S.C. § 214, and sections 0.91 and 0.291 of the Commission's rules, 47 C.F.R. §§ 0.91, 0.291, the Bureau hereby grants the Application discussed in this Public Notice subject to compliance with the </w:t>
      </w:r>
      <w:r w:rsidR="008B1ED5">
        <w:rPr>
          <w:color w:val="000000"/>
          <w:szCs w:val="22"/>
        </w:rPr>
        <w:t>Agreement</w:t>
      </w:r>
      <w:r w:rsidRPr="00193AC3">
        <w:rPr>
          <w:color w:val="000000"/>
          <w:szCs w:val="22"/>
        </w:rPr>
        <w:t xml:space="preserve"> described above.  </w:t>
      </w:r>
      <w:r w:rsidRPr="00193AC3">
        <w:t xml:space="preserve">A failure to comply with and/or remain in compliance with any of the provisions of the </w:t>
      </w:r>
      <w:r w:rsidR="008B1ED5">
        <w:t xml:space="preserve">Agreement </w:t>
      </w:r>
      <w:r w:rsidRPr="00193AC3">
        <w:t>shall constitute a failure to meet a condition of this authorization and thus grounds for declaring the underlying authorizations terminated without further action on the part of the Commission.  Failure to meet a condition of this authorization may also result in monetary sanctions or other enforcement action by the Commission. </w:t>
      </w:r>
    </w:p>
    <w:p w:rsidR="00962B06" w:rsidRPr="00962B06" w:rsidRDefault="00962B06" w:rsidP="00962B06">
      <w:pPr>
        <w:ind w:firstLine="720"/>
        <w:jc w:val="left"/>
        <w:rPr>
          <w:color w:val="000000"/>
          <w:szCs w:val="22"/>
        </w:rPr>
      </w:pPr>
    </w:p>
    <w:p w:rsidR="00962B06" w:rsidRPr="00962B06" w:rsidRDefault="00962B06" w:rsidP="00962B06">
      <w:pPr>
        <w:ind w:firstLine="720"/>
        <w:jc w:val="left"/>
        <w:rPr>
          <w:color w:val="000000"/>
          <w:szCs w:val="22"/>
        </w:rPr>
      </w:pPr>
      <w:r w:rsidRPr="00962B06">
        <w:rPr>
          <w:color w:val="000000"/>
          <w:szCs w:val="22"/>
        </w:rPr>
        <w:t>Pursuant to section 1.103 of the Commission's rules, 47 C.F.R. § 1.103, the grant is effective upon release of this Public Notice.</w:t>
      </w:r>
      <w:bookmarkStart w:id="10" w:name="FN[FN11]"/>
      <w:bookmarkEnd w:id="10"/>
      <w:r w:rsidRPr="00962B06">
        <w:rPr>
          <w:color w:val="000000"/>
          <w:szCs w:val="22"/>
        </w:rPr>
        <w:t xml:space="preserve">  Petitions for reconsideration under section 1.106 or applications for review under section 1.115 of the Commission's rules, 47 C.F.R. §§ 1.106, 1.115, may be filed within 30 days of the date of this Public Notice.</w:t>
      </w:r>
      <w:bookmarkStart w:id="11" w:name="FN[FN12]"/>
      <w:bookmarkEnd w:id="11"/>
    </w:p>
    <w:p w:rsidR="00962B06" w:rsidRPr="00962B06" w:rsidRDefault="00962B06" w:rsidP="00962B06">
      <w:pPr>
        <w:ind w:firstLine="720"/>
        <w:jc w:val="left"/>
        <w:rPr>
          <w:color w:val="000000"/>
          <w:szCs w:val="22"/>
        </w:rPr>
      </w:pPr>
      <w:bookmarkStart w:id="12" w:name="sp_999_2"/>
      <w:bookmarkStart w:id="13" w:name="SDU_2"/>
      <w:bookmarkEnd w:id="12"/>
      <w:bookmarkEnd w:id="13"/>
    </w:p>
    <w:p w:rsidR="00C519D4" w:rsidRDefault="00962B06" w:rsidP="00BB2182">
      <w:pPr>
        <w:ind w:firstLine="720"/>
        <w:jc w:val="left"/>
        <w:rPr>
          <w:color w:val="000000"/>
          <w:szCs w:val="22"/>
        </w:rPr>
      </w:pPr>
      <w:r w:rsidRPr="00962B06">
        <w:rPr>
          <w:color w:val="000000"/>
          <w:szCs w:val="22"/>
        </w:rPr>
        <w:t xml:space="preserve">For further information, please contact </w:t>
      </w:r>
      <w:r w:rsidR="00E841BD">
        <w:rPr>
          <w:color w:val="000000"/>
          <w:szCs w:val="22"/>
        </w:rPr>
        <w:t>Dennis Johnson</w:t>
      </w:r>
      <w:r w:rsidRPr="00962B06">
        <w:rPr>
          <w:color w:val="000000"/>
          <w:szCs w:val="22"/>
        </w:rPr>
        <w:t>, Wireline Competition Bureau, Competition Policy Division, (202) 418-0</w:t>
      </w:r>
      <w:r w:rsidR="00E841BD">
        <w:rPr>
          <w:color w:val="000000"/>
          <w:szCs w:val="22"/>
        </w:rPr>
        <w:t>809</w:t>
      </w:r>
      <w:r w:rsidRPr="00962B06">
        <w:rPr>
          <w:color w:val="000000"/>
          <w:szCs w:val="22"/>
        </w:rPr>
        <w:t>.</w:t>
      </w:r>
    </w:p>
    <w:sectPr w:rsidR="00C519D4">
      <w:endnotePr>
        <w:numFmt w:val="decimal"/>
      </w:endnotePr>
      <w:type w:val="continuous"/>
      <w:pgSz w:w="12240" w:h="15840"/>
      <w:pgMar w:top="1440" w:right="1440"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FF" w:rsidRDefault="00A51FFF">
      <w:pPr>
        <w:spacing w:line="20" w:lineRule="exact"/>
      </w:pPr>
    </w:p>
  </w:endnote>
  <w:endnote w:type="continuationSeparator" w:id="0">
    <w:p w:rsidR="00A51FFF" w:rsidRDefault="00A51FFF">
      <w:r>
        <w:t xml:space="preserve"> </w:t>
      </w:r>
    </w:p>
  </w:endnote>
  <w:endnote w:type="continuationNotice" w:id="1">
    <w:p w:rsidR="00A51FFF" w:rsidRDefault="00A51F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5BDA" w:rsidRDefault="003F5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2DFA">
      <w:rPr>
        <w:rStyle w:val="PageNumber"/>
        <w:noProof/>
      </w:rPr>
      <w:t>2</w:t>
    </w:r>
    <w:r>
      <w:rPr>
        <w:rStyle w:val="PageNumber"/>
      </w:rPr>
      <w:fldChar w:fldCharType="end"/>
    </w:r>
  </w:p>
  <w:p w:rsidR="003F5BDA" w:rsidRDefault="003F5BDA">
    <w:pPr>
      <w:pStyle w:val="Footer"/>
    </w:pPr>
  </w:p>
  <w:p w:rsidR="003F5BDA" w:rsidRDefault="003F5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FF" w:rsidRDefault="00A51FFF">
      <w:r>
        <w:separator/>
      </w:r>
    </w:p>
  </w:footnote>
  <w:footnote w:type="continuationSeparator" w:id="0">
    <w:p w:rsidR="00A51FFF" w:rsidRDefault="00A51FFF">
      <w:r>
        <w:continuationSeparator/>
      </w:r>
    </w:p>
  </w:footnote>
  <w:footnote w:id="1">
    <w:p w:rsidR="00D95C19" w:rsidRPr="00393C16" w:rsidRDefault="00D95C19" w:rsidP="00D95C19">
      <w:pPr>
        <w:pStyle w:val="FootnoteText"/>
      </w:pPr>
      <w:r w:rsidRPr="00393C16">
        <w:rPr>
          <w:rStyle w:val="FootnoteReference"/>
        </w:rPr>
        <w:footnoteRef/>
      </w:r>
      <w:r w:rsidRPr="00393C16">
        <w:t xml:space="preserve"> </w:t>
      </w:r>
      <w:r w:rsidRPr="00393C16">
        <w:rPr>
          <w:i/>
        </w:rPr>
        <w:t xml:space="preserve">See </w:t>
      </w:r>
      <w:r w:rsidRPr="00393C16">
        <w:t>47 U.S.C. § 214</w:t>
      </w:r>
      <w:r>
        <w:t xml:space="preserve">; 47 C.F.R § 63.03; </w:t>
      </w:r>
      <w:r>
        <w:rPr>
          <w:i/>
        </w:rPr>
        <w:t>Streamlined A</w:t>
      </w:r>
      <w:r w:rsidRPr="002864AB">
        <w:rPr>
          <w:i/>
        </w:rPr>
        <w:t xml:space="preserve">pplication for </w:t>
      </w:r>
      <w:r>
        <w:rPr>
          <w:i/>
        </w:rPr>
        <w:t>Authority to Assign International and Domestic Blanket Section 214 Authority</w:t>
      </w:r>
      <w:r>
        <w:t xml:space="preserve">, WC Docket No. 16-177 (filed May 31, 2016) (Application)  </w:t>
      </w:r>
      <w:r w:rsidRPr="00393C16">
        <w:t xml:space="preserve">  </w:t>
      </w:r>
    </w:p>
  </w:footnote>
  <w:footnote w:id="2">
    <w:p w:rsidR="00962B06" w:rsidRDefault="00962B06" w:rsidP="00962B06">
      <w:pPr>
        <w:pStyle w:val="FootnoteText"/>
      </w:pPr>
      <w:r>
        <w:rPr>
          <w:rStyle w:val="FootnoteReference"/>
        </w:rPr>
        <w:footnoteRef/>
      </w:r>
      <w:r>
        <w:t xml:space="preserve"> </w:t>
      </w:r>
      <w:r w:rsidR="003262F8">
        <w:rPr>
          <w:i/>
        </w:rPr>
        <w:t xml:space="preserve">Domestic Section 214 Application Filed for the Transfer of Control of </w:t>
      </w:r>
      <w:r w:rsidR="00D95C19">
        <w:rPr>
          <w:i/>
        </w:rPr>
        <w:t>i</w:t>
      </w:r>
      <w:r w:rsidR="00E841BD">
        <w:rPr>
          <w:i/>
        </w:rPr>
        <w:t>nContact, Inc. to NICE-Systems Ltd</w:t>
      </w:r>
      <w:r w:rsidR="00E841BD">
        <w:t>.</w:t>
      </w:r>
      <w:r w:rsidR="00D95C19">
        <w:t>,</w:t>
      </w:r>
      <w:r w:rsidR="00D95C19">
        <w:rPr>
          <w:i/>
        </w:rPr>
        <w:t xml:space="preserve"> </w:t>
      </w:r>
      <w:r w:rsidR="003262F8">
        <w:t>WC Docket No. 1</w:t>
      </w:r>
      <w:r w:rsidR="00D95C19">
        <w:t>6-177</w:t>
      </w:r>
      <w:r w:rsidR="003262F8">
        <w:t>, Public Notice, DA 1</w:t>
      </w:r>
      <w:r w:rsidR="00D95C19">
        <w:t>6-669</w:t>
      </w:r>
      <w:r w:rsidR="003262F8">
        <w:t xml:space="preserve"> (</w:t>
      </w:r>
      <w:r w:rsidR="00E841BD">
        <w:t>WCB</w:t>
      </w:r>
      <w:r w:rsidR="003262F8">
        <w:t xml:space="preserve"> June 1</w:t>
      </w:r>
      <w:r w:rsidR="00D95C19">
        <w:t>5</w:t>
      </w:r>
      <w:r w:rsidR="003262F8">
        <w:t>, 201</w:t>
      </w:r>
      <w:r w:rsidR="00D95C19">
        <w:t>6</w:t>
      </w:r>
      <w:r w:rsidR="003262F8">
        <w:t>)</w:t>
      </w:r>
      <w:r>
        <w:t>.</w:t>
      </w:r>
      <w:r>
        <w:rPr>
          <w:i/>
        </w:rPr>
        <w:t xml:space="preserve"> </w:t>
      </w:r>
    </w:p>
  </w:footnote>
  <w:footnote w:id="3">
    <w:p w:rsidR="00D95C19" w:rsidRDefault="00D95C19" w:rsidP="00D95C19">
      <w:pPr>
        <w:pStyle w:val="FootnoteText"/>
      </w:pPr>
      <w:r>
        <w:rPr>
          <w:rStyle w:val="FootnoteReference"/>
        </w:rPr>
        <w:footnoteRef/>
      </w:r>
      <w:r>
        <w:t xml:space="preserve">  </w:t>
      </w:r>
      <w:r>
        <w:rPr>
          <w:rFonts w:ascii="Times New (W1)" w:hAnsi="Times New (W1)"/>
        </w:rPr>
        <w:t>Letter from Hunter P. Deeley, U.S. Department of Justice, to Marlene H. Dortch, FCC, WC</w:t>
      </w:r>
      <w:r>
        <w:t xml:space="preserve"> Docket No. 16-177 </w:t>
      </w:r>
      <w:r>
        <w:rPr>
          <w:rFonts w:ascii="Times New (W1)" w:hAnsi="Times New (W1)"/>
        </w:rPr>
        <w:t>(filed June 16, 2016).</w:t>
      </w:r>
    </w:p>
  </w:footnote>
  <w:footnote w:id="4">
    <w:p w:rsidR="00962B06" w:rsidRDefault="00962B06" w:rsidP="00962B06">
      <w:pPr>
        <w:pStyle w:val="FootnoteText"/>
      </w:pPr>
      <w:r>
        <w:rPr>
          <w:rStyle w:val="FootnoteReference"/>
        </w:rPr>
        <w:footnoteRef/>
      </w:r>
      <w:r>
        <w:t xml:space="preserve"> </w:t>
      </w:r>
      <w:r w:rsidRPr="00BD7F40">
        <w:rPr>
          <w:i/>
        </w:rPr>
        <w:t>Notice of Removal of Domestic Section 214 Application</w:t>
      </w:r>
      <w:r w:rsidR="00D95C19">
        <w:rPr>
          <w:i/>
        </w:rPr>
        <w:t>s</w:t>
      </w:r>
      <w:r w:rsidRPr="00BD7F40">
        <w:rPr>
          <w:i/>
        </w:rPr>
        <w:t xml:space="preserve"> from Streamlined Treatment</w:t>
      </w:r>
      <w:r>
        <w:t>, WC Docket No</w:t>
      </w:r>
      <w:r w:rsidR="00D95C19">
        <w:t>s</w:t>
      </w:r>
      <w:r>
        <w:t xml:space="preserve">. </w:t>
      </w:r>
      <w:r w:rsidR="00D95C19">
        <w:t xml:space="preserve">16-171, </w:t>
      </w:r>
      <w:r>
        <w:t>1</w:t>
      </w:r>
      <w:r w:rsidR="00D95C19">
        <w:t>6-177,</w:t>
      </w:r>
      <w:r>
        <w:t xml:space="preserve"> Public Notice, </w:t>
      </w:r>
      <w:r w:rsidR="008B1ED5">
        <w:t>DA 1</w:t>
      </w:r>
      <w:r w:rsidR="00D95C19">
        <w:t>6-781</w:t>
      </w:r>
      <w:r w:rsidR="006539D4">
        <w:t xml:space="preserve"> </w:t>
      </w:r>
      <w:r>
        <w:t>(</w:t>
      </w:r>
      <w:r w:rsidR="00E841BD">
        <w:t>WCB</w:t>
      </w:r>
      <w:r w:rsidR="008B1ED5">
        <w:t xml:space="preserve"> July 7, 201</w:t>
      </w:r>
      <w:r w:rsidR="00D95C19">
        <w:t>6</w:t>
      </w:r>
      <w:r>
        <w:t>).</w:t>
      </w:r>
    </w:p>
  </w:footnote>
  <w:footnote w:id="5">
    <w:p w:rsidR="00962B06" w:rsidRDefault="00962B06" w:rsidP="00962B06">
      <w:pPr>
        <w:pStyle w:val="FootnoteText"/>
      </w:pPr>
      <w:r>
        <w:rPr>
          <w:rStyle w:val="FootnoteReference"/>
        </w:rPr>
        <w:footnoteRef/>
      </w:r>
      <w:r>
        <w:t xml:space="preserve"> Petition to Adopt Conditions to Authorizations and Licenses, WC Docket No. 1</w:t>
      </w:r>
      <w:r w:rsidR="00D95C19">
        <w:t>6-177</w:t>
      </w:r>
      <w:r w:rsidR="00193AC3">
        <w:t xml:space="preserve"> a</w:t>
      </w:r>
      <w:r>
        <w:t>nd File No. ITC-T/C-201</w:t>
      </w:r>
      <w:r w:rsidR="00D95C19">
        <w:t>60531-00162</w:t>
      </w:r>
      <w:r w:rsidR="008B1ED5">
        <w:t xml:space="preserve"> (</w:t>
      </w:r>
      <w:r>
        <w:t xml:space="preserve">filed </w:t>
      </w:r>
      <w:r w:rsidR="00D95C19">
        <w:t>Sept. 21, 2016</w:t>
      </w:r>
      <w:r>
        <w:t>).</w:t>
      </w:r>
    </w:p>
  </w:footnote>
  <w:footnote w:id="6">
    <w:p w:rsidR="00962B06" w:rsidRPr="00BD7F40" w:rsidRDefault="00962B06" w:rsidP="00962B06">
      <w:pPr>
        <w:pStyle w:val="FootnoteText"/>
      </w:pPr>
      <w:r>
        <w:rPr>
          <w:rStyle w:val="FootnoteReference"/>
        </w:rPr>
        <w:footnoteRef/>
      </w:r>
      <w:r>
        <w:t xml:space="preserve"> </w:t>
      </w:r>
      <w:r>
        <w:rPr>
          <w:i/>
        </w:rPr>
        <w:t>Id</w:t>
      </w:r>
      <w:r>
        <w:t>. at 1.</w:t>
      </w:r>
    </w:p>
  </w:footnote>
  <w:footnote w:id="7">
    <w:p w:rsidR="008B1ED5" w:rsidRPr="008B1ED5" w:rsidRDefault="008B1ED5">
      <w:pPr>
        <w:pStyle w:val="FootnoteText"/>
      </w:pPr>
      <w:r>
        <w:rPr>
          <w:rStyle w:val="FootnoteReference"/>
        </w:rPr>
        <w:footnoteRef/>
      </w:r>
      <w:r>
        <w:t xml:space="preserve"> </w:t>
      </w:r>
      <w:r>
        <w:rPr>
          <w:i/>
        </w:rPr>
        <w:t xml:space="preserve">See </w:t>
      </w:r>
      <w:r>
        <w:t>47 C.F.R. § 63.03(b).</w:t>
      </w:r>
    </w:p>
  </w:footnote>
  <w:footnote w:id="8">
    <w:p w:rsidR="00962B06" w:rsidRDefault="00962B06" w:rsidP="00962B06">
      <w:pPr>
        <w:pStyle w:val="FootnoteText"/>
      </w:pPr>
      <w:r>
        <w:rPr>
          <w:rStyle w:val="FootnoteReference"/>
        </w:rPr>
        <w:footnoteRef/>
      </w:r>
      <w:r>
        <w:t xml:space="preserve"> The Commission considers national security, law enforcement, foreign policy, and trade policy concerns when analyzing a transfer of control or assignment application in which foreign ownership is an issue.  </w:t>
      </w:r>
      <w:r>
        <w:rPr>
          <w:i/>
        </w:rPr>
        <w:t>See Amendment of the Commission’s Regulatory Policies to Allow Non-U.S. Licensed Satellites Providing Domestic and International Service in the United States</w:t>
      </w:r>
      <w:r>
        <w:t xml:space="preserve">, Report and Order, 12 FCC Rcd 24094, 24170-72, paras. 178-82 (1997); </w:t>
      </w:r>
      <w:r>
        <w:rPr>
          <w:i/>
        </w:rPr>
        <w:t xml:space="preserve">Rules and Policies on Foreign Participation in the U.S. </w:t>
      </w:r>
      <w:smartTag w:uri="urn:schemas-microsoft-com:office:smarttags" w:element="PersonName">
        <w:r>
          <w:rPr>
            <w:i/>
          </w:rPr>
          <w:t>Telecommunications</w:t>
        </w:r>
      </w:smartTag>
      <w:r>
        <w:rPr>
          <w:i/>
        </w:rPr>
        <w:t xml:space="preserve"> Market</w:t>
      </w:r>
      <w:r>
        <w:t>, IB Docket No. 97-142, Market Entry and Regulation of Foreign Affiliated Entities, IB Docket No. 95-22, Report and Order and Order on Reconsideration, 12 FCC Rcd 23891, 23919-21, paras. 61-66 (1997) (</w:t>
      </w:r>
      <w:r>
        <w:rPr>
          <w:i/>
        </w:rPr>
        <w:t>Foreign Participation Order</w:t>
      </w:r>
      <w:r>
        <w:t xml:space="preserve">), Order on Reconsideration, 15 FCC Rcd 18158 (2000).  In assessing the public interest, the Commission considers the record and accords the appropriate level of deference to Executive Branch expertise on national security and law enforcement issues.  </w:t>
      </w:r>
      <w:r>
        <w:rPr>
          <w:i/>
        </w:rPr>
        <w:t>See Foreign Participation Order</w:t>
      </w:r>
      <w:r>
        <w:t>, 12 FCC Rcd at 23919-21, paras. 61-66.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F2" w:rsidRDefault="005B7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F2" w:rsidRDefault="005B7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3F5BDA" w:rsidRPr="00FC365D" w:rsidRDefault="003F5BDA">
    <w:pPr>
      <w:suppressAutoHyphens/>
      <w:ind w:firstLine="1080"/>
      <w:rPr>
        <w:rFonts w:ascii="Arial" w:hAnsi="Arial" w:cs="Arial"/>
      </w:rPr>
    </w:pPr>
    <w:r w:rsidRPr="00FC365D">
      <w:rPr>
        <w:rFonts w:ascii="Arial" w:hAnsi="Arial" w:cs="Arial"/>
        <w:b/>
        <w:sz w:val="96"/>
      </w:rPr>
      <w:t>PUBLIC NOTICE</w:t>
    </w:r>
  </w:p>
  <w:p w:rsidR="003F5BDA" w:rsidRDefault="003F5BDA">
    <w:pPr>
      <w:suppressAutoHyphens/>
      <w:rPr>
        <w:rFonts w:ascii="Arial Narrow" w:hAnsi="Arial Narrow"/>
      </w:rPr>
    </w:pP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3F5BDA" w:rsidRDefault="003F5B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1E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" o:allowincell="f" filled="f" stroked="f">
              <v:textbox>
                <w:txbxContent>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3F5BDA" w:rsidRDefault="003F5BDA"/>
                </w:txbxContent>
              </v:textbox>
            </v:shape>
          </w:pict>
        </mc:Fallback>
      </mc:AlternateContent>
    </w:r>
    <w:r>
      <w:rPr>
        <w:rFonts w:ascii="Arial Narrow" w:hAnsi="Arial Narrow"/>
        <w:b/>
      </w:rPr>
      <w:tab/>
    </w:r>
    <w:r>
      <w:rPr>
        <w:rFonts w:ascii="Arial Narrow" w:hAnsi="Arial Narrow"/>
        <w:b/>
      </w:rPr>
      <w:tab/>
      <w:t>Federal Communications Commission</w:t>
    </w: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3F5BDA" w:rsidRDefault="003F5BDA">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3F5BDA" w:rsidRDefault="003F5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31B"/>
    <w:multiLevelType w:val="hybridMultilevel"/>
    <w:tmpl w:val="BE08B4F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2">
    <w:nsid w:val="02867871"/>
    <w:multiLevelType w:val="hybridMultilevel"/>
    <w:tmpl w:val="BF0CE232"/>
    <w:lvl w:ilvl="0" w:tplc="DBDAB39C">
      <w:start w:val="1"/>
      <w:numFmt w:val="decimal"/>
      <w:lvlText w:val="%1."/>
      <w:lvlJc w:val="left"/>
      <w:pPr>
        <w:tabs>
          <w:tab w:val="num" w:pos="720"/>
        </w:tabs>
        <w:ind w:left="720" w:hanging="360"/>
      </w:pPr>
    </w:lvl>
    <w:lvl w:ilvl="1" w:tplc="DE201A04" w:tentative="1">
      <w:start w:val="1"/>
      <w:numFmt w:val="lowerLetter"/>
      <w:lvlText w:val="%2."/>
      <w:lvlJc w:val="left"/>
      <w:pPr>
        <w:tabs>
          <w:tab w:val="num" w:pos="1440"/>
        </w:tabs>
        <w:ind w:left="1440" w:hanging="360"/>
      </w:pPr>
    </w:lvl>
    <w:lvl w:ilvl="2" w:tplc="8FAE8102" w:tentative="1">
      <w:start w:val="1"/>
      <w:numFmt w:val="lowerRoman"/>
      <w:lvlText w:val="%3."/>
      <w:lvlJc w:val="right"/>
      <w:pPr>
        <w:tabs>
          <w:tab w:val="num" w:pos="2160"/>
        </w:tabs>
        <w:ind w:left="2160" w:hanging="180"/>
      </w:pPr>
    </w:lvl>
    <w:lvl w:ilvl="3" w:tplc="8EF4A986" w:tentative="1">
      <w:start w:val="1"/>
      <w:numFmt w:val="decimal"/>
      <w:lvlText w:val="%4."/>
      <w:lvlJc w:val="left"/>
      <w:pPr>
        <w:tabs>
          <w:tab w:val="num" w:pos="2880"/>
        </w:tabs>
        <w:ind w:left="2880" w:hanging="360"/>
      </w:pPr>
    </w:lvl>
    <w:lvl w:ilvl="4" w:tplc="F7425F02" w:tentative="1">
      <w:start w:val="1"/>
      <w:numFmt w:val="lowerLetter"/>
      <w:lvlText w:val="%5."/>
      <w:lvlJc w:val="left"/>
      <w:pPr>
        <w:tabs>
          <w:tab w:val="num" w:pos="3600"/>
        </w:tabs>
        <w:ind w:left="3600" w:hanging="360"/>
      </w:pPr>
    </w:lvl>
    <w:lvl w:ilvl="5" w:tplc="22E6122E" w:tentative="1">
      <w:start w:val="1"/>
      <w:numFmt w:val="lowerRoman"/>
      <w:lvlText w:val="%6."/>
      <w:lvlJc w:val="right"/>
      <w:pPr>
        <w:tabs>
          <w:tab w:val="num" w:pos="4320"/>
        </w:tabs>
        <w:ind w:left="4320" w:hanging="180"/>
      </w:pPr>
    </w:lvl>
    <w:lvl w:ilvl="6" w:tplc="C72436B8" w:tentative="1">
      <w:start w:val="1"/>
      <w:numFmt w:val="decimal"/>
      <w:lvlText w:val="%7."/>
      <w:lvlJc w:val="left"/>
      <w:pPr>
        <w:tabs>
          <w:tab w:val="num" w:pos="5040"/>
        </w:tabs>
        <w:ind w:left="5040" w:hanging="360"/>
      </w:pPr>
    </w:lvl>
    <w:lvl w:ilvl="7" w:tplc="B5C610A4" w:tentative="1">
      <w:start w:val="1"/>
      <w:numFmt w:val="lowerLetter"/>
      <w:lvlText w:val="%8."/>
      <w:lvlJc w:val="left"/>
      <w:pPr>
        <w:tabs>
          <w:tab w:val="num" w:pos="5760"/>
        </w:tabs>
        <w:ind w:left="5760" w:hanging="360"/>
      </w:pPr>
    </w:lvl>
    <w:lvl w:ilvl="8" w:tplc="DB3879EE" w:tentative="1">
      <w:start w:val="1"/>
      <w:numFmt w:val="lowerRoman"/>
      <w:lvlText w:val="%9."/>
      <w:lvlJc w:val="right"/>
      <w:pPr>
        <w:tabs>
          <w:tab w:val="num" w:pos="6480"/>
        </w:tabs>
        <w:ind w:left="6480" w:hanging="180"/>
      </w:pPr>
    </w:lvl>
  </w:abstractNum>
  <w:abstractNum w:abstractNumId="3">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4">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D44120"/>
    <w:multiLevelType w:val="hybridMultilevel"/>
    <w:tmpl w:val="BE929A28"/>
    <w:lvl w:ilvl="0" w:tplc="736EA00C">
      <w:start w:val="1"/>
      <w:numFmt w:val="decimal"/>
      <w:lvlText w:val="%1."/>
      <w:lvlJc w:val="left"/>
      <w:pPr>
        <w:ind w:left="171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685427"/>
    <w:multiLevelType w:val="hybridMultilevel"/>
    <w:tmpl w:val="F9CA86B0"/>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60F0118"/>
    <w:multiLevelType w:val="hybridMultilevel"/>
    <w:tmpl w:val="7EB0ADD2"/>
    <w:lvl w:ilvl="0" w:tplc="97CCE210">
      <w:start w:val="1"/>
      <w:numFmt w:val="lowerLetter"/>
      <w:lvlText w:val="%1)"/>
      <w:lvlJc w:val="left"/>
      <w:pPr>
        <w:tabs>
          <w:tab w:val="num" w:pos="1440"/>
        </w:tabs>
        <w:ind w:left="1440" w:hanging="360"/>
      </w:pPr>
      <w:rPr>
        <w:b w:val="0"/>
        <w:i w:val="0"/>
      </w:rPr>
    </w:lvl>
    <w:lvl w:ilvl="1" w:tplc="1EA85EBA">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E2D6667"/>
    <w:multiLevelType w:val="hybridMultilevel"/>
    <w:tmpl w:val="55006EB2"/>
    <w:lvl w:ilvl="0" w:tplc="2C4A7FEA">
      <w:start w:val="1"/>
      <w:numFmt w:val="decimal"/>
      <w:lvlText w:val="%1."/>
      <w:lvlJc w:val="left"/>
      <w:pPr>
        <w:tabs>
          <w:tab w:val="num" w:pos="630"/>
        </w:tabs>
        <w:ind w:left="630" w:hanging="360"/>
      </w:pPr>
      <w:rPr>
        <w:b w:val="0"/>
      </w:rPr>
    </w:lvl>
    <w:lvl w:ilvl="1" w:tplc="987E7D9E" w:tentative="1">
      <w:start w:val="1"/>
      <w:numFmt w:val="lowerLetter"/>
      <w:lvlText w:val="%2."/>
      <w:lvlJc w:val="left"/>
      <w:pPr>
        <w:tabs>
          <w:tab w:val="num" w:pos="1350"/>
        </w:tabs>
        <w:ind w:left="1350" w:hanging="360"/>
      </w:pPr>
    </w:lvl>
    <w:lvl w:ilvl="2" w:tplc="BD9E0870" w:tentative="1">
      <w:start w:val="1"/>
      <w:numFmt w:val="lowerRoman"/>
      <w:lvlText w:val="%3."/>
      <w:lvlJc w:val="right"/>
      <w:pPr>
        <w:tabs>
          <w:tab w:val="num" w:pos="2070"/>
        </w:tabs>
        <w:ind w:left="2070" w:hanging="180"/>
      </w:pPr>
    </w:lvl>
    <w:lvl w:ilvl="3" w:tplc="348C48A8" w:tentative="1">
      <w:start w:val="1"/>
      <w:numFmt w:val="decimal"/>
      <w:lvlText w:val="%4."/>
      <w:lvlJc w:val="left"/>
      <w:pPr>
        <w:tabs>
          <w:tab w:val="num" w:pos="2790"/>
        </w:tabs>
        <w:ind w:left="2790" w:hanging="360"/>
      </w:pPr>
    </w:lvl>
    <w:lvl w:ilvl="4" w:tplc="EA86B0F6" w:tentative="1">
      <w:start w:val="1"/>
      <w:numFmt w:val="lowerLetter"/>
      <w:lvlText w:val="%5."/>
      <w:lvlJc w:val="left"/>
      <w:pPr>
        <w:tabs>
          <w:tab w:val="num" w:pos="3510"/>
        </w:tabs>
        <w:ind w:left="3510" w:hanging="360"/>
      </w:pPr>
    </w:lvl>
    <w:lvl w:ilvl="5" w:tplc="699AD8BA" w:tentative="1">
      <w:start w:val="1"/>
      <w:numFmt w:val="lowerRoman"/>
      <w:lvlText w:val="%6."/>
      <w:lvlJc w:val="right"/>
      <w:pPr>
        <w:tabs>
          <w:tab w:val="num" w:pos="4230"/>
        </w:tabs>
        <w:ind w:left="4230" w:hanging="180"/>
      </w:pPr>
    </w:lvl>
    <w:lvl w:ilvl="6" w:tplc="F14C9690" w:tentative="1">
      <w:start w:val="1"/>
      <w:numFmt w:val="decimal"/>
      <w:lvlText w:val="%7."/>
      <w:lvlJc w:val="left"/>
      <w:pPr>
        <w:tabs>
          <w:tab w:val="num" w:pos="4950"/>
        </w:tabs>
        <w:ind w:left="4950" w:hanging="360"/>
      </w:pPr>
    </w:lvl>
    <w:lvl w:ilvl="7" w:tplc="91A61AEA" w:tentative="1">
      <w:start w:val="1"/>
      <w:numFmt w:val="lowerLetter"/>
      <w:lvlText w:val="%8."/>
      <w:lvlJc w:val="left"/>
      <w:pPr>
        <w:tabs>
          <w:tab w:val="num" w:pos="5670"/>
        </w:tabs>
        <w:ind w:left="5670" w:hanging="360"/>
      </w:pPr>
    </w:lvl>
    <w:lvl w:ilvl="8" w:tplc="FF3C4CCA" w:tentative="1">
      <w:start w:val="1"/>
      <w:numFmt w:val="lowerRoman"/>
      <w:lvlText w:val="%9."/>
      <w:lvlJc w:val="right"/>
      <w:pPr>
        <w:tabs>
          <w:tab w:val="num" w:pos="6390"/>
        </w:tabs>
        <w:ind w:left="6390" w:hanging="180"/>
      </w:p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6B597F9D"/>
    <w:multiLevelType w:val="hybridMultilevel"/>
    <w:tmpl w:val="EA183FBE"/>
    <w:lvl w:ilvl="0" w:tplc="661A7274">
      <w:start w:val="1"/>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73DF0DF6"/>
    <w:multiLevelType w:val="hybridMultilevel"/>
    <w:tmpl w:val="79902C04"/>
    <w:lvl w:ilvl="0" w:tplc="01129018">
      <w:start w:val="1"/>
      <w:numFmt w:val="decimal"/>
      <w:lvlText w:val="%1."/>
      <w:lvlJc w:val="left"/>
      <w:pPr>
        <w:tabs>
          <w:tab w:val="num" w:pos="360"/>
        </w:tabs>
        <w:ind w:left="360" w:hanging="360"/>
      </w:pPr>
    </w:lvl>
    <w:lvl w:ilvl="1" w:tplc="73D89BFE" w:tentative="1">
      <w:start w:val="1"/>
      <w:numFmt w:val="lowerLetter"/>
      <w:lvlText w:val="%2."/>
      <w:lvlJc w:val="left"/>
      <w:pPr>
        <w:tabs>
          <w:tab w:val="num" w:pos="1080"/>
        </w:tabs>
        <w:ind w:left="1080" w:hanging="360"/>
      </w:pPr>
    </w:lvl>
    <w:lvl w:ilvl="2" w:tplc="F1889638" w:tentative="1">
      <w:start w:val="1"/>
      <w:numFmt w:val="lowerRoman"/>
      <w:lvlText w:val="%3."/>
      <w:lvlJc w:val="right"/>
      <w:pPr>
        <w:tabs>
          <w:tab w:val="num" w:pos="1800"/>
        </w:tabs>
        <w:ind w:left="1800" w:hanging="180"/>
      </w:pPr>
    </w:lvl>
    <w:lvl w:ilvl="3" w:tplc="7F2C260C" w:tentative="1">
      <w:start w:val="1"/>
      <w:numFmt w:val="decimal"/>
      <w:lvlText w:val="%4."/>
      <w:lvlJc w:val="left"/>
      <w:pPr>
        <w:tabs>
          <w:tab w:val="num" w:pos="2520"/>
        </w:tabs>
        <w:ind w:left="2520" w:hanging="360"/>
      </w:pPr>
    </w:lvl>
    <w:lvl w:ilvl="4" w:tplc="21B45D70" w:tentative="1">
      <w:start w:val="1"/>
      <w:numFmt w:val="lowerLetter"/>
      <w:lvlText w:val="%5."/>
      <w:lvlJc w:val="left"/>
      <w:pPr>
        <w:tabs>
          <w:tab w:val="num" w:pos="3240"/>
        </w:tabs>
        <w:ind w:left="3240" w:hanging="360"/>
      </w:pPr>
    </w:lvl>
    <w:lvl w:ilvl="5" w:tplc="E56E6646" w:tentative="1">
      <w:start w:val="1"/>
      <w:numFmt w:val="lowerRoman"/>
      <w:lvlText w:val="%6."/>
      <w:lvlJc w:val="right"/>
      <w:pPr>
        <w:tabs>
          <w:tab w:val="num" w:pos="3960"/>
        </w:tabs>
        <w:ind w:left="3960" w:hanging="180"/>
      </w:pPr>
    </w:lvl>
    <w:lvl w:ilvl="6" w:tplc="E6BA1B54" w:tentative="1">
      <w:start w:val="1"/>
      <w:numFmt w:val="decimal"/>
      <w:lvlText w:val="%7."/>
      <w:lvlJc w:val="left"/>
      <w:pPr>
        <w:tabs>
          <w:tab w:val="num" w:pos="4680"/>
        </w:tabs>
        <w:ind w:left="4680" w:hanging="360"/>
      </w:pPr>
    </w:lvl>
    <w:lvl w:ilvl="7" w:tplc="BEB48A40" w:tentative="1">
      <w:start w:val="1"/>
      <w:numFmt w:val="lowerLetter"/>
      <w:lvlText w:val="%8."/>
      <w:lvlJc w:val="left"/>
      <w:pPr>
        <w:tabs>
          <w:tab w:val="num" w:pos="5400"/>
        </w:tabs>
        <w:ind w:left="5400" w:hanging="360"/>
      </w:pPr>
    </w:lvl>
    <w:lvl w:ilvl="8" w:tplc="29BEE896" w:tentative="1">
      <w:start w:val="1"/>
      <w:numFmt w:val="lowerRoman"/>
      <w:lvlText w:val="%9."/>
      <w:lvlJc w:val="right"/>
      <w:pPr>
        <w:tabs>
          <w:tab w:val="num" w:pos="6120"/>
        </w:tabs>
        <w:ind w:left="6120" w:hanging="180"/>
      </w:pPr>
    </w:lvl>
  </w:abstractNum>
  <w:abstractNum w:abstractNumId="13">
    <w:nsid w:val="75C60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9370CEA"/>
    <w:multiLevelType w:val="hybridMultilevel"/>
    <w:tmpl w:val="5338FD5A"/>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D8120BC"/>
    <w:multiLevelType w:val="hybridMultilevel"/>
    <w:tmpl w:val="90D00BFA"/>
    <w:lvl w:ilvl="0" w:tplc="661A727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3"/>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
  </w:num>
  <w:num w:numId="30">
    <w:abstractNumId w:val="7"/>
  </w:num>
  <w:num w:numId="31">
    <w:abstractNumId w:val="13"/>
  </w:num>
  <w:num w:numId="32">
    <w:abstractNumId w:val="9"/>
  </w:num>
  <w:num w:numId="33">
    <w:abstractNumId w:val="12"/>
  </w:num>
  <w:num w:numId="34">
    <w:abstractNumId w:val="2"/>
  </w:num>
  <w:num w:numId="35">
    <w:abstractNumId w:val="10"/>
  </w:num>
  <w:num w:numId="36">
    <w:abstractNumId w:val="8"/>
  </w:num>
  <w:num w:numId="37">
    <w:abstractNumId w:val="5"/>
  </w:num>
  <w:num w:numId="38">
    <w:abstractNumId w:val="6"/>
  </w:num>
  <w:num w:numId="39">
    <w:abstractNumId w:val="15"/>
  </w:num>
  <w:num w:numId="40">
    <w:abstractNumId w:val="11"/>
  </w:num>
  <w:num w:numId="41">
    <w:abstractNumId w:val="1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D4"/>
    <w:rsid w:val="00070AA3"/>
    <w:rsid w:val="00072E51"/>
    <w:rsid w:val="000F6F61"/>
    <w:rsid w:val="0011184A"/>
    <w:rsid w:val="001313DF"/>
    <w:rsid w:val="001502AB"/>
    <w:rsid w:val="001741A2"/>
    <w:rsid w:val="00193AC3"/>
    <w:rsid w:val="00193AD9"/>
    <w:rsid w:val="001A2900"/>
    <w:rsid w:val="001D3B79"/>
    <w:rsid w:val="001E0491"/>
    <w:rsid w:val="001E2194"/>
    <w:rsid w:val="001F35A7"/>
    <w:rsid w:val="002021D9"/>
    <w:rsid w:val="002031AA"/>
    <w:rsid w:val="002332AE"/>
    <w:rsid w:val="00240FE7"/>
    <w:rsid w:val="00245958"/>
    <w:rsid w:val="0025758D"/>
    <w:rsid w:val="002660CA"/>
    <w:rsid w:val="002713ED"/>
    <w:rsid w:val="00274BFF"/>
    <w:rsid w:val="00280C79"/>
    <w:rsid w:val="002864AB"/>
    <w:rsid w:val="002A190A"/>
    <w:rsid w:val="002F1DB3"/>
    <w:rsid w:val="00302DFA"/>
    <w:rsid w:val="003262F8"/>
    <w:rsid w:val="00332A75"/>
    <w:rsid w:val="00337F45"/>
    <w:rsid w:val="00386CC8"/>
    <w:rsid w:val="003A6F7F"/>
    <w:rsid w:val="003B0DA1"/>
    <w:rsid w:val="003F5BDA"/>
    <w:rsid w:val="003F65D3"/>
    <w:rsid w:val="0042036A"/>
    <w:rsid w:val="004307A1"/>
    <w:rsid w:val="00431FEE"/>
    <w:rsid w:val="004329A8"/>
    <w:rsid w:val="0043525F"/>
    <w:rsid w:val="0046465E"/>
    <w:rsid w:val="00482113"/>
    <w:rsid w:val="0048479A"/>
    <w:rsid w:val="004A430F"/>
    <w:rsid w:val="004E3E49"/>
    <w:rsid w:val="0051444D"/>
    <w:rsid w:val="00516A52"/>
    <w:rsid w:val="0055115C"/>
    <w:rsid w:val="00561368"/>
    <w:rsid w:val="00582863"/>
    <w:rsid w:val="005A034B"/>
    <w:rsid w:val="005B45F7"/>
    <w:rsid w:val="005B7BF2"/>
    <w:rsid w:val="005C2E3A"/>
    <w:rsid w:val="005C699D"/>
    <w:rsid w:val="005D06B7"/>
    <w:rsid w:val="005D65C6"/>
    <w:rsid w:val="00613D3A"/>
    <w:rsid w:val="006539D4"/>
    <w:rsid w:val="00662087"/>
    <w:rsid w:val="006A1653"/>
    <w:rsid w:val="006B306A"/>
    <w:rsid w:val="006E1B37"/>
    <w:rsid w:val="006E676D"/>
    <w:rsid w:val="006F03B1"/>
    <w:rsid w:val="00737A33"/>
    <w:rsid w:val="00753D9B"/>
    <w:rsid w:val="00766E9D"/>
    <w:rsid w:val="00790772"/>
    <w:rsid w:val="00792D42"/>
    <w:rsid w:val="007B0B83"/>
    <w:rsid w:val="007C516C"/>
    <w:rsid w:val="007D7028"/>
    <w:rsid w:val="00811BE9"/>
    <w:rsid w:val="00811DEC"/>
    <w:rsid w:val="008156B7"/>
    <w:rsid w:val="00832582"/>
    <w:rsid w:val="00861A39"/>
    <w:rsid w:val="00882966"/>
    <w:rsid w:val="008926F3"/>
    <w:rsid w:val="008B1ED5"/>
    <w:rsid w:val="008D10DE"/>
    <w:rsid w:val="008F0F3A"/>
    <w:rsid w:val="008F40C6"/>
    <w:rsid w:val="009228DB"/>
    <w:rsid w:val="00923B0D"/>
    <w:rsid w:val="00962B06"/>
    <w:rsid w:val="00976A0D"/>
    <w:rsid w:val="009C18B5"/>
    <w:rsid w:val="009D575C"/>
    <w:rsid w:val="00A03AFB"/>
    <w:rsid w:val="00A053DD"/>
    <w:rsid w:val="00A51FFF"/>
    <w:rsid w:val="00A54227"/>
    <w:rsid w:val="00AB3613"/>
    <w:rsid w:val="00AC4D23"/>
    <w:rsid w:val="00AD00CB"/>
    <w:rsid w:val="00AD15CC"/>
    <w:rsid w:val="00AE5BD8"/>
    <w:rsid w:val="00B07540"/>
    <w:rsid w:val="00B27B33"/>
    <w:rsid w:val="00B3117E"/>
    <w:rsid w:val="00B4654A"/>
    <w:rsid w:val="00B62906"/>
    <w:rsid w:val="00B90FC6"/>
    <w:rsid w:val="00B92219"/>
    <w:rsid w:val="00B96B1D"/>
    <w:rsid w:val="00BB2182"/>
    <w:rsid w:val="00BB5ACF"/>
    <w:rsid w:val="00BD28C4"/>
    <w:rsid w:val="00BD7F40"/>
    <w:rsid w:val="00BF13D6"/>
    <w:rsid w:val="00BF72C0"/>
    <w:rsid w:val="00C0202D"/>
    <w:rsid w:val="00C17675"/>
    <w:rsid w:val="00C30043"/>
    <w:rsid w:val="00C519D4"/>
    <w:rsid w:val="00C54A49"/>
    <w:rsid w:val="00C627C4"/>
    <w:rsid w:val="00C63F47"/>
    <w:rsid w:val="00C65CB5"/>
    <w:rsid w:val="00C713CC"/>
    <w:rsid w:val="00C85D84"/>
    <w:rsid w:val="00C922CA"/>
    <w:rsid w:val="00CA2B5D"/>
    <w:rsid w:val="00CB77F1"/>
    <w:rsid w:val="00CD208C"/>
    <w:rsid w:val="00CE1B11"/>
    <w:rsid w:val="00D002F7"/>
    <w:rsid w:val="00D1029A"/>
    <w:rsid w:val="00D2187C"/>
    <w:rsid w:val="00D62A9F"/>
    <w:rsid w:val="00D95C19"/>
    <w:rsid w:val="00E00BB1"/>
    <w:rsid w:val="00E073A7"/>
    <w:rsid w:val="00E6043D"/>
    <w:rsid w:val="00E60CA9"/>
    <w:rsid w:val="00E65229"/>
    <w:rsid w:val="00E815C0"/>
    <w:rsid w:val="00E841BD"/>
    <w:rsid w:val="00E85381"/>
    <w:rsid w:val="00E90E75"/>
    <w:rsid w:val="00E95A59"/>
    <w:rsid w:val="00EB7B82"/>
    <w:rsid w:val="00EE199A"/>
    <w:rsid w:val="00F0706E"/>
    <w:rsid w:val="00F10037"/>
    <w:rsid w:val="00F41498"/>
    <w:rsid w:val="00F90C6E"/>
    <w:rsid w:val="00FA022E"/>
    <w:rsid w:val="00FA4A1D"/>
    <w:rsid w:val="00FA56B2"/>
    <w:rsid w:val="00FB2FE2"/>
    <w:rsid w:val="00FC3214"/>
    <w:rsid w:val="00FC365D"/>
    <w:rsid w:val="00FD2C22"/>
    <w:rsid w:val="00FD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semiHidden/>
    <w:pPr>
      <w:tabs>
        <w:tab w:val="left" w:pos="720"/>
        <w:tab w:val="left" w:pos="1440"/>
      </w:tabs>
      <w:spacing w:after="200"/>
      <w:ind w:right="144"/>
    </w:pPr>
  </w:style>
  <w:style w:type="character" w:styleId="FootnoteReference">
    <w:name w:val="footnote reference"/>
    <w:aliases w:val="o,fr,Style 3,Appel note de bas de p,(NECG) Footnote Reference,Style 17,FR,Style 12,Style 124"/>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documentbody">
    <w:name w:val="documentbody"/>
    <w:basedOn w:val="DefaultParagraphFont"/>
  </w:style>
  <w:style w:type="paragraph" w:customStyle="1" w:styleId="NumberedList">
    <w:name w:val="Numbered List"/>
    <w:basedOn w:val="Normal"/>
    <w:pPr>
      <w:widowControl/>
      <w:numPr>
        <w:numId w:val="35"/>
      </w:numPr>
      <w:tabs>
        <w:tab w:val="clear" w:pos="1080"/>
      </w:tabs>
      <w:spacing w:after="220"/>
      <w:ind w:firstLine="0"/>
      <w:jc w:val="left"/>
    </w:pPr>
    <w:rPr>
      <w:snapToGrid/>
      <w:kern w:val="0"/>
    </w:rPr>
  </w:style>
  <w:style w:type="character" w:customStyle="1" w:styleId="FootnoteTextChar1">
    <w:name w:val="Footnote Text Char1"/>
    <w:aliases w:val="Footnote Text Char Char,Footnote Text Char2 Char Char1,Footnote Text Char3 Char Char Char,Footnote Text Char2 Char Char Char Char,Footnote Text Char Char Char1 Char Char Char Char,Footnote Text Char1 Char1 Char Char Char Char,fn Char"/>
    <w:link w:val="FootnoteText"/>
    <w:rPr>
      <w:lang w:val="en-US" w:eastAsia="en-US" w:bidi="ar-SA"/>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Characters">
    <w:name w:val="Footnote Characters"/>
    <w:rsid w:val="00070AA3"/>
    <w:rPr>
      <w:vertAlign w:val="superscript"/>
    </w:rPr>
  </w:style>
  <w:style w:type="character" w:customStyle="1" w:styleId="apple-converted-space">
    <w:name w:val="apple-converted-space"/>
    <w:basedOn w:val="DefaultParagraphFont"/>
    <w:rsid w:val="006539D4"/>
  </w:style>
  <w:style w:type="character" w:customStyle="1" w:styleId="searchterm">
    <w:name w:val="searchterm"/>
    <w:basedOn w:val="DefaultParagraphFont"/>
    <w:rsid w:val="00653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semiHidden/>
    <w:pPr>
      <w:tabs>
        <w:tab w:val="left" w:pos="720"/>
        <w:tab w:val="left" w:pos="1440"/>
      </w:tabs>
      <w:spacing w:after="200"/>
      <w:ind w:right="144"/>
    </w:pPr>
  </w:style>
  <w:style w:type="character" w:styleId="FootnoteReference">
    <w:name w:val="footnote reference"/>
    <w:aliases w:val="o,fr,Style 3,Appel note de bas de p,(NECG) Footnote Reference,Style 17,FR,Style 12,Style 124"/>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documentbody">
    <w:name w:val="documentbody"/>
    <w:basedOn w:val="DefaultParagraphFont"/>
  </w:style>
  <w:style w:type="paragraph" w:customStyle="1" w:styleId="NumberedList">
    <w:name w:val="Numbered List"/>
    <w:basedOn w:val="Normal"/>
    <w:pPr>
      <w:widowControl/>
      <w:numPr>
        <w:numId w:val="35"/>
      </w:numPr>
      <w:tabs>
        <w:tab w:val="clear" w:pos="1080"/>
      </w:tabs>
      <w:spacing w:after="220"/>
      <w:ind w:firstLine="0"/>
      <w:jc w:val="left"/>
    </w:pPr>
    <w:rPr>
      <w:snapToGrid/>
      <w:kern w:val="0"/>
    </w:rPr>
  </w:style>
  <w:style w:type="character" w:customStyle="1" w:styleId="FootnoteTextChar1">
    <w:name w:val="Footnote Text Char1"/>
    <w:aliases w:val="Footnote Text Char Char,Footnote Text Char2 Char Char1,Footnote Text Char3 Char Char Char,Footnote Text Char2 Char Char Char Char,Footnote Text Char Char Char1 Char Char Char Char,Footnote Text Char1 Char1 Char Char Char Char,fn Char"/>
    <w:link w:val="FootnoteText"/>
    <w:rPr>
      <w:lang w:val="en-US" w:eastAsia="en-US" w:bidi="ar-SA"/>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Characters">
    <w:name w:val="Footnote Characters"/>
    <w:rsid w:val="00070AA3"/>
    <w:rPr>
      <w:vertAlign w:val="superscript"/>
    </w:rPr>
  </w:style>
  <w:style w:type="character" w:customStyle="1" w:styleId="apple-converted-space">
    <w:name w:val="apple-converted-space"/>
    <w:basedOn w:val="DefaultParagraphFont"/>
    <w:rsid w:val="006539D4"/>
  </w:style>
  <w:style w:type="character" w:customStyle="1" w:styleId="searchterm">
    <w:name w:val="searchterm"/>
    <w:basedOn w:val="DefaultParagraphFont"/>
    <w:rsid w:val="0065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2817</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3332</CharactersWithSpaces>
  <SharedDoc>false</SharedDoc>
  <HyperlinkBase> </HyperlinkBase>
  <HLinks>
    <vt:vector size="12" baseType="variant">
      <vt:variant>
        <vt:i4>6553695</vt:i4>
      </vt:variant>
      <vt:variant>
        <vt:i4>3</vt:i4>
      </vt:variant>
      <vt:variant>
        <vt:i4>0</vt:i4>
      </vt:variant>
      <vt:variant>
        <vt:i4>5</vt:i4>
      </vt:variant>
      <vt:variant>
        <vt:lpwstr>mailto:fccebaccess@fcc.gov</vt:lpwstr>
      </vt:variant>
      <vt:variant>
        <vt:lpwstr/>
      </vt:variant>
      <vt:variant>
        <vt:i4>6553695</vt:i4>
      </vt:variant>
      <vt:variant>
        <vt:i4>0</vt:i4>
      </vt:variant>
      <vt:variant>
        <vt:i4>0</vt:i4>
      </vt:variant>
      <vt:variant>
        <vt:i4>5</vt:i4>
      </vt:variant>
      <vt:variant>
        <vt:lpwstr>mailto:fccebaccess@fcc.gov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2011-05-23T21:27:00Z</cp:lastPrinted>
  <dcterms:created xsi:type="dcterms:W3CDTF">2016-09-22T19:16:00Z</dcterms:created>
  <dcterms:modified xsi:type="dcterms:W3CDTF">2016-09-22T19:16:00Z</dcterms:modified>
  <cp:category> </cp:category>
  <cp:contentStatus> </cp:contentStatus>
</cp:coreProperties>
</file>