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CFDC4" w14:textId="77777777" w:rsidR="004C2EE3" w:rsidRPr="00047B4A" w:rsidRDefault="004C2EE3">
      <w:pPr>
        <w:jc w:val="center"/>
        <w:rPr>
          <w:b/>
        </w:rPr>
      </w:pPr>
      <w:bookmarkStart w:id="0" w:name="_GoBack"/>
      <w:bookmarkEnd w:id="0"/>
      <w:r w:rsidRPr="00047B4A">
        <w:rPr>
          <w:rFonts w:ascii="Times New Roman Bold" w:hAnsi="Times New Roman Bold"/>
          <w:b/>
          <w:kern w:val="0"/>
          <w:szCs w:val="22"/>
        </w:rPr>
        <w:t>Before</w:t>
      </w:r>
      <w:r w:rsidRPr="00047B4A">
        <w:rPr>
          <w:b/>
        </w:rPr>
        <w:t xml:space="preserve"> the</w:t>
      </w:r>
    </w:p>
    <w:p w14:paraId="5CE022A4" w14:textId="77777777" w:rsidR="00921803" w:rsidRPr="00047B4A" w:rsidRDefault="00921803" w:rsidP="00921803">
      <w:pPr>
        <w:pStyle w:val="StyleBoldCentered"/>
      </w:pPr>
      <w:r w:rsidRPr="00047B4A">
        <w:t>F</w:t>
      </w:r>
      <w:r w:rsidRPr="00047B4A">
        <w:rPr>
          <w:caps w:val="0"/>
        </w:rPr>
        <w:t>ederal Communications Commission</w:t>
      </w:r>
    </w:p>
    <w:p w14:paraId="1D9DD0A3" w14:textId="77777777" w:rsidR="004C2EE3" w:rsidRPr="00047B4A" w:rsidRDefault="00810B6F" w:rsidP="00096D8C">
      <w:pPr>
        <w:pStyle w:val="StyleBoldCentered"/>
      </w:pPr>
      <w:r w:rsidRPr="00047B4A">
        <w:rPr>
          <w:caps w:val="0"/>
        </w:rPr>
        <w:t>Washington, D.C. 20554</w:t>
      </w:r>
    </w:p>
    <w:p w14:paraId="4A59B5A3" w14:textId="77777777" w:rsidR="004C2EE3" w:rsidRPr="00047B4A" w:rsidRDefault="004C2EE3" w:rsidP="0070224F"/>
    <w:p w14:paraId="6E99FF6F" w14:textId="77777777" w:rsidR="004C2EE3" w:rsidRPr="00047B4A" w:rsidRDefault="004C2EE3" w:rsidP="0070224F"/>
    <w:tbl>
      <w:tblPr>
        <w:tblW w:w="0" w:type="auto"/>
        <w:tblLayout w:type="fixed"/>
        <w:tblLook w:val="0000" w:firstRow="0" w:lastRow="0" w:firstColumn="0" w:lastColumn="0" w:noHBand="0" w:noVBand="0"/>
      </w:tblPr>
      <w:tblGrid>
        <w:gridCol w:w="4698"/>
        <w:gridCol w:w="630"/>
        <w:gridCol w:w="4248"/>
      </w:tblGrid>
      <w:tr w:rsidR="004C2EE3" w:rsidRPr="00047B4A" w14:paraId="63E5AC5D" w14:textId="77777777">
        <w:tc>
          <w:tcPr>
            <w:tcW w:w="4698" w:type="dxa"/>
          </w:tcPr>
          <w:p w14:paraId="24E941A2" w14:textId="77777777" w:rsidR="004C2EE3" w:rsidRPr="00047B4A" w:rsidRDefault="004C2EE3">
            <w:pPr>
              <w:tabs>
                <w:tab w:val="center" w:pos="4680"/>
              </w:tabs>
              <w:suppressAutoHyphens/>
              <w:rPr>
                <w:spacing w:val="-2"/>
              </w:rPr>
            </w:pPr>
            <w:r w:rsidRPr="00047B4A">
              <w:rPr>
                <w:spacing w:val="-2"/>
              </w:rPr>
              <w:t>In the Matter of</w:t>
            </w:r>
          </w:p>
          <w:p w14:paraId="2387A484" w14:textId="77777777" w:rsidR="004C2EE3" w:rsidRPr="00047B4A" w:rsidRDefault="004C2EE3">
            <w:pPr>
              <w:tabs>
                <w:tab w:val="center" w:pos="4680"/>
              </w:tabs>
              <w:suppressAutoHyphens/>
              <w:rPr>
                <w:spacing w:val="-2"/>
              </w:rPr>
            </w:pPr>
          </w:p>
          <w:p w14:paraId="25BF2C6E" w14:textId="77777777" w:rsidR="004C2EE3" w:rsidRPr="00047B4A" w:rsidRDefault="003F030B" w:rsidP="007115F7">
            <w:pPr>
              <w:tabs>
                <w:tab w:val="center" w:pos="4680"/>
              </w:tabs>
              <w:suppressAutoHyphens/>
              <w:rPr>
                <w:spacing w:val="-2"/>
              </w:rPr>
            </w:pPr>
            <w:r w:rsidRPr="00047B4A">
              <w:rPr>
                <w:spacing w:val="-2"/>
              </w:rPr>
              <w:t>Review of the Emergency Alert System</w:t>
            </w:r>
          </w:p>
        </w:tc>
        <w:tc>
          <w:tcPr>
            <w:tcW w:w="630" w:type="dxa"/>
          </w:tcPr>
          <w:p w14:paraId="32182E96" w14:textId="77777777" w:rsidR="004C2EE3" w:rsidRPr="00047B4A" w:rsidRDefault="004C2EE3">
            <w:pPr>
              <w:tabs>
                <w:tab w:val="center" w:pos="4680"/>
              </w:tabs>
              <w:suppressAutoHyphens/>
              <w:rPr>
                <w:b/>
                <w:spacing w:val="-2"/>
              </w:rPr>
            </w:pPr>
            <w:r w:rsidRPr="00047B4A">
              <w:rPr>
                <w:b/>
                <w:spacing w:val="-2"/>
              </w:rPr>
              <w:t>)</w:t>
            </w:r>
          </w:p>
          <w:p w14:paraId="64BFF3ED" w14:textId="77777777" w:rsidR="004C2EE3" w:rsidRPr="00047B4A" w:rsidRDefault="004C2EE3">
            <w:pPr>
              <w:tabs>
                <w:tab w:val="center" w:pos="4680"/>
              </w:tabs>
              <w:suppressAutoHyphens/>
              <w:rPr>
                <w:b/>
                <w:spacing w:val="-2"/>
              </w:rPr>
            </w:pPr>
            <w:r w:rsidRPr="00047B4A">
              <w:rPr>
                <w:b/>
                <w:spacing w:val="-2"/>
              </w:rPr>
              <w:t>)</w:t>
            </w:r>
          </w:p>
          <w:p w14:paraId="32FDB738" w14:textId="77777777" w:rsidR="004C2EE3" w:rsidRPr="00047B4A" w:rsidRDefault="004C2EE3">
            <w:pPr>
              <w:tabs>
                <w:tab w:val="center" w:pos="4680"/>
              </w:tabs>
              <w:suppressAutoHyphens/>
              <w:rPr>
                <w:b/>
                <w:spacing w:val="-2"/>
              </w:rPr>
            </w:pPr>
            <w:r w:rsidRPr="00047B4A">
              <w:rPr>
                <w:b/>
                <w:spacing w:val="-2"/>
              </w:rPr>
              <w:t>)</w:t>
            </w:r>
          </w:p>
          <w:p w14:paraId="4A6ABD4E" w14:textId="77777777" w:rsidR="004C2EE3" w:rsidRPr="00047B4A" w:rsidRDefault="004C2EE3" w:rsidP="0073791C">
            <w:pPr>
              <w:tabs>
                <w:tab w:val="center" w:pos="4680"/>
              </w:tabs>
              <w:suppressAutoHyphens/>
              <w:rPr>
                <w:spacing w:val="-2"/>
              </w:rPr>
            </w:pPr>
            <w:r w:rsidRPr="00047B4A">
              <w:rPr>
                <w:b/>
                <w:spacing w:val="-2"/>
              </w:rPr>
              <w:t>)</w:t>
            </w:r>
          </w:p>
        </w:tc>
        <w:tc>
          <w:tcPr>
            <w:tcW w:w="4248" w:type="dxa"/>
          </w:tcPr>
          <w:p w14:paraId="7BED2AA1" w14:textId="77777777" w:rsidR="004C2EE3" w:rsidRPr="00047B4A" w:rsidRDefault="004C2EE3">
            <w:pPr>
              <w:tabs>
                <w:tab w:val="center" w:pos="4680"/>
              </w:tabs>
              <w:suppressAutoHyphens/>
              <w:rPr>
                <w:spacing w:val="-2"/>
              </w:rPr>
            </w:pPr>
          </w:p>
          <w:p w14:paraId="548965C3" w14:textId="77777777" w:rsidR="004C2EE3" w:rsidRPr="00047B4A" w:rsidRDefault="004C2EE3">
            <w:pPr>
              <w:pStyle w:val="TOAHeading"/>
              <w:tabs>
                <w:tab w:val="clear" w:pos="9360"/>
                <w:tab w:val="center" w:pos="4680"/>
              </w:tabs>
              <w:rPr>
                <w:spacing w:val="-2"/>
              </w:rPr>
            </w:pPr>
          </w:p>
          <w:p w14:paraId="3611CCAC" w14:textId="77777777" w:rsidR="004C2EE3" w:rsidRPr="00047B4A" w:rsidRDefault="00FF17FD" w:rsidP="00FF17FD">
            <w:pPr>
              <w:tabs>
                <w:tab w:val="center" w:pos="4680"/>
              </w:tabs>
              <w:suppressAutoHyphens/>
              <w:rPr>
                <w:spacing w:val="-2"/>
              </w:rPr>
            </w:pPr>
            <w:r w:rsidRPr="00047B4A">
              <w:rPr>
                <w:spacing w:val="-2"/>
              </w:rPr>
              <w:t>PS Docket No. 15-94</w:t>
            </w:r>
          </w:p>
        </w:tc>
      </w:tr>
    </w:tbl>
    <w:p w14:paraId="7D12495E" w14:textId="77777777" w:rsidR="004C2EE3" w:rsidRPr="00047B4A" w:rsidRDefault="004C2EE3" w:rsidP="0070224F"/>
    <w:p w14:paraId="41959655" w14:textId="77777777" w:rsidR="00841AB1" w:rsidRPr="00047B4A" w:rsidRDefault="003F030B" w:rsidP="00F021FA">
      <w:pPr>
        <w:pStyle w:val="StyleBoldCentered"/>
      </w:pPr>
      <w:r w:rsidRPr="00047B4A">
        <w:t>ORDER</w:t>
      </w:r>
    </w:p>
    <w:p w14:paraId="22B50609" w14:textId="77777777" w:rsidR="004C2EE3" w:rsidRPr="00047B4A" w:rsidRDefault="004C2EE3">
      <w:pPr>
        <w:tabs>
          <w:tab w:val="left" w:pos="-720"/>
        </w:tabs>
        <w:suppressAutoHyphens/>
        <w:spacing w:line="227" w:lineRule="auto"/>
        <w:rPr>
          <w:spacing w:val="-2"/>
        </w:rPr>
      </w:pPr>
    </w:p>
    <w:p w14:paraId="15B541DE" w14:textId="03D431C5" w:rsidR="004C2EE3" w:rsidRPr="00047B4A" w:rsidRDefault="004C2EE3" w:rsidP="00133F79">
      <w:pPr>
        <w:tabs>
          <w:tab w:val="left" w:pos="720"/>
          <w:tab w:val="right" w:pos="9360"/>
        </w:tabs>
        <w:suppressAutoHyphens/>
        <w:spacing w:line="227" w:lineRule="auto"/>
        <w:rPr>
          <w:spacing w:val="-2"/>
        </w:rPr>
      </w:pPr>
      <w:r w:rsidRPr="00047B4A">
        <w:rPr>
          <w:b/>
          <w:spacing w:val="-2"/>
        </w:rPr>
        <w:t xml:space="preserve">Adopted:  </w:t>
      </w:r>
      <w:r w:rsidR="003F030B" w:rsidRPr="00047B4A">
        <w:rPr>
          <w:b/>
          <w:spacing w:val="-2"/>
        </w:rPr>
        <w:t xml:space="preserve">September </w:t>
      </w:r>
      <w:r w:rsidR="001D1C1C">
        <w:rPr>
          <w:b/>
          <w:spacing w:val="-2"/>
        </w:rPr>
        <w:t>27</w:t>
      </w:r>
      <w:r w:rsidR="003F030B" w:rsidRPr="00047B4A">
        <w:rPr>
          <w:b/>
          <w:spacing w:val="-2"/>
        </w:rPr>
        <w:t>, 2016</w:t>
      </w:r>
      <w:r w:rsidRPr="00047B4A">
        <w:rPr>
          <w:b/>
          <w:spacing w:val="-2"/>
        </w:rPr>
        <w:tab/>
      </w:r>
      <w:r w:rsidR="00822CE0" w:rsidRPr="00047B4A">
        <w:rPr>
          <w:b/>
          <w:spacing w:val="-2"/>
        </w:rPr>
        <w:t>Released</w:t>
      </w:r>
      <w:r w:rsidRPr="00047B4A">
        <w:rPr>
          <w:b/>
          <w:spacing w:val="-2"/>
        </w:rPr>
        <w:t>:</w:t>
      </w:r>
      <w:r w:rsidR="00822CE0" w:rsidRPr="00047B4A">
        <w:rPr>
          <w:b/>
          <w:spacing w:val="-2"/>
        </w:rPr>
        <w:t xml:space="preserve"> </w:t>
      </w:r>
      <w:r w:rsidRPr="00047B4A">
        <w:rPr>
          <w:b/>
          <w:spacing w:val="-2"/>
        </w:rPr>
        <w:t xml:space="preserve"> </w:t>
      </w:r>
      <w:r w:rsidR="003F030B" w:rsidRPr="00047B4A">
        <w:rPr>
          <w:b/>
          <w:spacing w:val="-2"/>
        </w:rPr>
        <w:t xml:space="preserve">September </w:t>
      </w:r>
      <w:r w:rsidR="001D1C1C">
        <w:rPr>
          <w:b/>
          <w:spacing w:val="-2"/>
        </w:rPr>
        <w:t>27</w:t>
      </w:r>
      <w:r w:rsidR="003F030B" w:rsidRPr="00047B4A">
        <w:rPr>
          <w:b/>
          <w:spacing w:val="-2"/>
        </w:rPr>
        <w:t>, 2016</w:t>
      </w:r>
    </w:p>
    <w:p w14:paraId="65AC96C5" w14:textId="77777777" w:rsidR="00822CE0" w:rsidRPr="00047B4A" w:rsidRDefault="00822CE0"/>
    <w:p w14:paraId="2920FB74" w14:textId="77777777" w:rsidR="00F70D6D" w:rsidRPr="00F70D6D" w:rsidRDefault="004C2EE3" w:rsidP="00F70D6D">
      <w:pPr>
        <w:rPr>
          <w:spacing w:val="-2"/>
        </w:rPr>
      </w:pPr>
      <w:r w:rsidRPr="00047B4A">
        <w:t xml:space="preserve">By </w:t>
      </w:r>
      <w:r w:rsidR="004E4A22" w:rsidRPr="00047B4A">
        <w:t>the</w:t>
      </w:r>
      <w:r w:rsidR="002A2D2E" w:rsidRPr="00047B4A">
        <w:t xml:space="preserve"> </w:t>
      </w:r>
      <w:r w:rsidR="003F030B" w:rsidRPr="00047B4A">
        <w:rPr>
          <w:spacing w:val="-2"/>
        </w:rPr>
        <w:t>Chief, Public Safety and Homeland Security Bureau</w:t>
      </w:r>
      <w:r w:rsidRPr="00047B4A">
        <w:rPr>
          <w:spacing w:val="-2"/>
        </w:rPr>
        <w:t>:</w:t>
      </w:r>
      <w:r w:rsidR="00F70D6D" w:rsidRPr="00F70D6D">
        <w:t xml:space="preserve"> </w:t>
      </w:r>
    </w:p>
    <w:p w14:paraId="715B5C97" w14:textId="77777777" w:rsidR="00412FC5" w:rsidRPr="00047B4A" w:rsidRDefault="00412FC5" w:rsidP="00412FC5"/>
    <w:p w14:paraId="58FC09AF" w14:textId="77777777" w:rsidR="002C00E8" w:rsidRPr="00047B4A" w:rsidRDefault="008E7ECD" w:rsidP="002C00E8">
      <w:pPr>
        <w:pStyle w:val="Heading1"/>
      </w:pPr>
      <w:r w:rsidRPr="00047B4A">
        <w:t>INTRODUCTION</w:t>
      </w:r>
    </w:p>
    <w:p w14:paraId="580C7017" w14:textId="30EC8C88" w:rsidR="008E7ECD" w:rsidRPr="00047B4A" w:rsidRDefault="00FF17FD" w:rsidP="00AE26C1">
      <w:pPr>
        <w:pStyle w:val="ParaNum"/>
      </w:pPr>
      <w:r w:rsidRPr="00047B4A">
        <w:t>In this Order, we address a request by Gorman-Redlich</w:t>
      </w:r>
      <w:r w:rsidR="00B666E9">
        <w:rPr>
          <w:rStyle w:val="FootnoteReference"/>
        </w:rPr>
        <w:footnoteReference w:id="2"/>
      </w:r>
      <w:r w:rsidRPr="00047B4A">
        <w:t xml:space="preserve"> for waiver of the requirement in Section 11.56(a)</w:t>
      </w:r>
      <w:r w:rsidR="00A273B3" w:rsidRPr="00047B4A">
        <w:t>(2)</w:t>
      </w:r>
      <w:r w:rsidRPr="00047B4A">
        <w:t xml:space="preserve"> of the Commission’s rules for </w:t>
      </w:r>
      <w:r w:rsidR="00174FAA">
        <w:t xml:space="preserve">participants in the </w:t>
      </w:r>
      <w:r w:rsidR="00A273B3" w:rsidRPr="00047B4A">
        <w:t xml:space="preserve">Emergency Alert System (EAS) to have equipment capable of converting EAS alert messages formatted </w:t>
      </w:r>
      <w:r w:rsidR="0081585C" w:rsidRPr="00047B4A">
        <w:t xml:space="preserve">in the Common Alerting Protocol (CAP) into messages that comply with the </w:t>
      </w:r>
      <w:r w:rsidR="00A273B3" w:rsidRPr="00047B4A">
        <w:t xml:space="preserve">EAS Protocol </w:t>
      </w:r>
      <w:r w:rsidR="003D713C">
        <w:t xml:space="preserve">as </w:t>
      </w:r>
      <w:r w:rsidR="00A273B3" w:rsidRPr="00047B4A">
        <w:t>set forth in the Commission’s rules.</w:t>
      </w:r>
      <w:r w:rsidR="00A273B3" w:rsidRPr="00047B4A">
        <w:rPr>
          <w:rStyle w:val="FootnoteReference"/>
        </w:rPr>
        <w:footnoteReference w:id="3"/>
      </w:r>
      <w:r w:rsidR="00A273B3" w:rsidRPr="00047B4A">
        <w:t xml:space="preserve">  </w:t>
      </w:r>
      <w:r w:rsidR="003D713C">
        <w:t xml:space="preserve">The </w:t>
      </w:r>
      <w:r w:rsidR="0081585C" w:rsidRPr="00047B4A">
        <w:t xml:space="preserve">Waiver Request </w:t>
      </w:r>
      <w:r w:rsidR="009C7C63" w:rsidRPr="00047B4A">
        <w:t xml:space="preserve">asserts </w:t>
      </w:r>
      <w:r w:rsidR="0081585C" w:rsidRPr="00047B4A">
        <w:t xml:space="preserve">that </w:t>
      </w:r>
      <w:r w:rsidR="0071694B" w:rsidRPr="00047B4A">
        <w:t>some legacy EAS equipment is not able to correctly pro</w:t>
      </w:r>
      <w:r w:rsidR="0081585C" w:rsidRPr="00047B4A">
        <w:t>ce</w:t>
      </w:r>
      <w:r w:rsidR="0071694B" w:rsidRPr="00047B4A">
        <w:t xml:space="preserve">ss </w:t>
      </w:r>
      <w:r w:rsidR="009C7C63" w:rsidRPr="00047B4A">
        <w:t xml:space="preserve">alerts with </w:t>
      </w:r>
      <w:r w:rsidR="0071694B" w:rsidRPr="00047B4A">
        <w:t xml:space="preserve">the </w:t>
      </w:r>
      <w:r w:rsidR="009C7C63" w:rsidRPr="00047B4A">
        <w:t>“six zero</w:t>
      </w:r>
      <w:r w:rsidR="00F44312">
        <w:t>e</w:t>
      </w:r>
      <w:r w:rsidR="009C7C63" w:rsidRPr="00047B4A">
        <w:t>s” national location code</w:t>
      </w:r>
      <w:r w:rsidR="003D713C">
        <w:t xml:space="preserve"> </w:t>
      </w:r>
      <w:r w:rsidR="00174FAA">
        <w:t xml:space="preserve">required under the EAS Protocol </w:t>
      </w:r>
      <w:r w:rsidR="003D713C">
        <w:t>and asks the Commission to allow operators of this equipment to use an “entire state” location code instead.</w:t>
      </w:r>
      <w:r w:rsidR="0071694B" w:rsidRPr="00047B4A">
        <w:rPr>
          <w:rStyle w:val="FootnoteReference"/>
        </w:rPr>
        <w:footnoteReference w:id="4"/>
      </w:r>
      <w:r w:rsidR="0071694B" w:rsidRPr="00047B4A">
        <w:t xml:space="preserve">  </w:t>
      </w:r>
      <w:r w:rsidR="00A273B3" w:rsidRPr="00047B4A">
        <w:t xml:space="preserve">For the reasons </w:t>
      </w:r>
      <w:r w:rsidR="0081585C" w:rsidRPr="00047B4A">
        <w:t xml:space="preserve">set forth below, we find that Gorman-Redlich has </w:t>
      </w:r>
      <w:r w:rsidRPr="00047B4A">
        <w:t xml:space="preserve">failed to make the showing required for a waiver of the Commission’s rules, and we deny the </w:t>
      </w:r>
      <w:r w:rsidR="00B60FAD" w:rsidRPr="00047B4A">
        <w:t>Waiver Request</w:t>
      </w:r>
      <w:r w:rsidRPr="00047B4A">
        <w:t>.</w:t>
      </w:r>
    </w:p>
    <w:p w14:paraId="7035034F" w14:textId="77777777" w:rsidR="008E7ECD" w:rsidRPr="00047B4A" w:rsidRDefault="003F030B" w:rsidP="008E7ECD">
      <w:pPr>
        <w:pStyle w:val="Heading1"/>
      </w:pPr>
      <w:r w:rsidRPr="00047B4A">
        <w:t>Background</w:t>
      </w:r>
    </w:p>
    <w:p w14:paraId="3CCCEF8D" w14:textId="6417F38B" w:rsidR="000E4D9C" w:rsidRPr="00047B4A" w:rsidRDefault="0071694B" w:rsidP="005C2842">
      <w:pPr>
        <w:pStyle w:val="ParaNum"/>
      </w:pPr>
      <w:r w:rsidRPr="00047B4A">
        <w:t>The EAS Protocol is a method of constructing an alert</w:t>
      </w:r>
      <w:r w:rsidR="00C119F9" w:rsidRPr="00047B4A">
        <w:t xml:space="preserve"> message that can be effectively, efficiently, and uniformly processed by EAS equipment.  An alert formatted in the EAS Protocol begins with a preamble and header codes that contain information regarding, </w:t>
      </w:r>
      <w:r w:rsidR="00C119F9" w:rsidRPr="00047B4A">
        <w:rPr>
          <w:i/>
        </w:rPr>
        <w:t>inter alia</w:t>
      </w:r>
      <w:r w:rsidR="00C119F9" w:rsidRPr="00047B4A">
        <w:t xml:space="preserve">, the identity of the alert originator, the type of emergency, and </w:t>
      </w:r>
      <w:r w:rsidR="00EA41EE">
        <w:t xml:space="preserve">the </w:t>
      </w:r>
      <w:r w:rsidR="00C119F9" w:rsidRPr="00047B4A">
        <w:t>location</w:t>
      </w:r>
      <w:r w:rsidR="00EA41EE">
        <w:t xml:space="preserve"> of the subject event</w:t>
      </w:r>
      <w:r w:rsidR="00C119F9" w:rsidRPr="00047B4A">
        <w:t xml:space="preserve"> (location code).</w:t>
      </w:r>
      <w:r w:rsidR="00C119F9" w:rsidRPr="00047B4A">
        <w:rPr>
          <w:rStyle w:val="FootnoteReference"/>
          <w:szCs w:val="22"/>
        </w:rPr>
        <w:footnoteReference w:id="5"/>
      </w:r>
      <w:r w:rsidR="00C119F9" w:rsidRPr="00047B4A">
        <w:t xml:space="preserve">  The header codes are followed by an audio attention signal, an alert message, and an end of message code.</w:t>
      </w:r>
      <w:r w:rsidR="00C119F9" w:rsidRPr="00047B4A">
        <w:rPr>
          <w:rStyle w:val="FootnoteReference"/>
          <w:szCs w:val="22"/>
        </w:rPr>
        <w:footnoteReference w:id="6"/>
      </w:r>
    </w:p>
    <w:p w14:paraId="1D0EC5D2" w14:textId="50A76C85" w:rsidR="005073D4" w:rsidRDefault="00C119F9" w:rsidP="005C2842">
      <w:pPr>
        <w:pStyle w:val="ParaNum"/>
        <w:rPr>
          <w:szCs w:val="22"/>
        </w:rPr>
      </w:pPr>
      <w:r w:rsidRPr="005073D4">
        <w:rPr>
          <w:szCs w:val="22"/>
        </w:rPr>
        <w:t xml:space="preserve">Under the EAS’s traditional </w:t>
      </w:r>
      <w:r w:rsidR="005073D4" w:rsidRPr="005073D4">
        <w:rPr>
          <w:szCs w:val="22"/>
        </w:rPr>
        <w:t xml:space="preserve">“legacy” </w:t>
      </w:r>
      <w:r w:rsidR="00047B4A" w:rsidRPr="005073D4">
        <w:rPr>
          <w:szCs w:val="22"/>
        </w:rPr>
        <w:t>structure</w:t>
      </w:r>
      <w:r w:rsidRPr="005073D4">
        <w:rPr>
          <w:szCs w:val="22"/>
        </w:rPr>
        <w:t xml:space="preserve">, alerts are distributed </w:t>
      </w:r>
      <w:r w:rsidR="005073D4" w:rsidRPr="005073D4">
        <w:rPr>
          <w:szCs w:val="22"/>
        </w:rPr>
        <w:t xml:space="preserve">over the air </w:t>
      </w:r>
      <w:r w:rsidRPr="005073D4">
        <w:rPr>
          <w:szCs w:val="22"/>
        </w:rPr>
        <w:t xml:space="preserve">through a hierarchical, broadcast-based alert message distribution system in </w:t>
      </w:r>
      <w:r w:rsidR="005073D4" w:rsidRPr="005073D4">
        <w:rPr>
          <w:szCs w:val="22"/>
        </w:rPr>
        <w:t xml:space="preserve">which a message originator at the local, state, or national level formats a message in the EAS Protocol and initiates the transmission of the message at a designated entry point into the system, from which it is relayed from one designated station </w:t>
      </w:r>
      <w:r w:rsidR="005073D4" w:rsidRPr="005073D4">
        <w:rPr>
          <w:szCs w:val="22"/>
        </w:rPr>
        <w:lastRenderedPageBreak/>
        <w:t>to another</w:t>
      </w:r>
      <w:r w:rsidR="005073D4">
        <w:rPr>
          <w:szCs w:val="22"/>
        </w:rPr>
        <w:t xml:space="preserve"> until the alert is fully distributed.</w:t>
      </w:r>
      <w:r w:rsidR="005073D4">
        <w:rPr>
          <w:rStyle w:val="FootnoteReference"/>
          <w:szCs w:val="22"/>
        </w:rPr>
        <w:footnoteReference w:id="7"/>
      </w:r>
      <w:r w:rsidR="005073D4">
        <w:rPr>
          <w:szCs w:val="22"/>
        </w:rPr>
        <w:t xml:space="preserve">  EAS alert</w:t>
      </w:r>
      <w:r w:rsidR="00CF48FC">
        <w:rPr>
          <w:szCs w:val="22"/>
        </w:rPr>
        <w:t>s</w:t>
      </w:r>
      <w:r w:rsidR="005073D4">
        <w:rPr>
          <w:szCs w:val="22"/>
        </w:rPr>
        <w:t xml:space="preserve"> may also be distributed over the Internet via the Integrated Public Alert and Warning System (IPAWS)</w:t>
      </w:r>
      <w:r w:rsidR="00CF48FC">
        <w:rPr>
          <w:szCs w:val="22"/>
        </w:rPr>
        <w:t>,</w:t>
      </w:r>
      <w:r w:rsidR="005073D4">
        <w:rPr>
          <w:szCs w:val="22"/>
        </w:rPr>
        <w:t xml:space="preserve"> </w:t>
      </w:r>
      <w:r w:rsidR="00F45E2D">
        <w:rPr>
          <w:szCs w:val="22"/>
        </w:rPr>
        <w:t xml:space="preserve">which is </w:t>
      </w:r>
      <w:r w:rsidR="005073D4">
        <w:rPr>
          <w:szCs w:val="22"/>
        </w:rPr>
        <w:t>maintained by the Federal Emergency Management Agency (FEMA).</w:t>
      </w:r>
      <w:r w:rsidR="005073D4">
        <w:rPr>
          <w:rStyle w:val="FootnoteReference"/>
          <w:szCs w:val="22"/>
        </w:rPr>
        <w:footnoteReference w:id="8"/>
      </w:r>
      <w:r w:rsidR="005073D4">
        <w:rPr>
          <w:szCs w:val="22"/>
        </w:rPr>
        <w:t xml:space="preserve">  Under this method, an EAS Participant receives an EAS alert directly from IPAWS by </w:t>
      </w:r>
      <w:r w:rsidR="00C722E1">
        <w:rPr>
          <w:szCs w:val="22"/>
        </w:rPr>
        <w:t>automatically checking</w:t>
      </w:r>
      <w:r w:rsidR="008C14FB">
        <w:rPr>
          <w:szCs w:val="22"/>
        </w:rPr>
        <w:t xml:space="preserve"> the </w:t>
      </w:r>
      <w:r w:rsidR="00B666E9">
        <w:rPr>
          <w:szCs w:val="22"/>
        </w:rPr>
        <w:t>EAS Common Alerting Protocol (CAP) feed</w:t>
      </w:r>
      <w:r w:rsidR="008C14FB">
        <w:rPr>
          <w:szCs w:val="22"/>
        </w:rPr>
        <w:t xml:space="preserve"> at regular intervals</w:t>
      </w:r>
      <w:r w:rsidR="005073D4">
        <w:rPr>
          <w:szCs w:val="22"/>
        </w:rPr>
        <w:t>.</w:t>
      </w:r>
      <w:r w:rsidR="005073D4">
        <w:rPr>
          <w:rStyle w:val="FootnoteReference"/>
          <w:szCs w:val="22"/>
        </w:rPr>
        <w:footnoteReference w:id="9"/>
      </w:r>
      <w:r w:rsidR="005073D4">
        <w:rPr>
          <w:szCs w:val="22"/>
        </w:rPr>
        <w:t xml:space="preserve">  IPAWS-based EAS alerts </w:t>
      </w:r>
      <w:r w:rsidR="00A90215">
        <w:rPr>
          <w:szCs w:val="22"/>
        </w:rPr>
        <w:t xml:space="preserve">are written in </w:t>
      </w:r>
      <w:r w:rsidR="00B666E9">
        <w:rPr>
          <w:szCs w:val="22"/>
        </w:rPr>
        <w:t>CAP</w:t>
      </w:r>
      <w:r w:rsidR="00A90215">
        <w:rPr>
          <w:szCs w:val="22"/>
        </w:rPr>
        <w:t xml:space="preserve">, an XML-based language designed to deliver alerts over the </w:t>
      </w:r>
      <w:r w:rsidR="00B734D9">
        <w:rPr>
          <w:szCs w:val="22"/>
        </w:rPr>
        <w:t>I</w:t>
      </w:r>
      <w:r w:rsidR="00A90215">
        <w:rPr>
          <w:szCs w:val="22"/>
        </w:rPr>
        <w:t>nternet.</w:t>
      </w:r>
      <w:r w:rsidR="00A90215" w:rsidRPr="00047B4A">
        <w:rPr>
          <w:vertAlign w:val="superscript"/>
        </w:rPr>
        <w:footnoteReference w:id="10"/>
      </w:r>
      <w:r w:rsidR="00A90215" w:rsidRPr="005073D4">
        <w:rPr>
          <w:szCs w:val="22"/>
        </w:rPr>
        <w:t xml:space="preserve"> </w:t>
      </w:r>
      <w:r w:rsidR="00A90215">
        <w:rPr>
          <w:szCs w:val="22"/>
        </w:rPr>
        <w:t xml:space="preserve"> Under current Commission rules, EAS CAP alerts are based on the EAS Protocol.</w:t>
      </w:r>
      <w:r w:rsidR="00A90215">
        <w:rPr>
          <w:rStyle w:val="FootnoteReference"/>
          <w:szCs w:val="22"/>
        </w:rPr>
        <w:footnoteReference w:id="11"/>
      </w:r>
      <w:r w:rsidR="005073D4">
        <w:rPr>
          <w:szCs w:val="22"/>
        </w:rPr>
        <w:t xml:space="preserve">  </w:t>
      </w:r>
      <w:r w:rsidR="000E4D9C" w:rsidRPr="005073D4">
        <w:rPr>
          <w:szCs w:val="22"/>
        </w:rPr>
        <w:t xml:space="preserve"> </w:t>
      </w:r>
    </w:p>
    <w:p w14:paraId="5AC7DBB5" w14:textId="01B28854" w:rsidR="00C119F9" w:rsidRPr="005073D4" w:rsidRDefault="00CA767A" w:rsidP="005C2842">
      <w:pPr>
        <w:pStyle w:val="ParaNum"/>
        <w:tabs>
          <w:tab w:val="num" w:pos="720"/>
        </w:tabs>
        <w:rPr>
          <w:szCs w:val="22"/>
        </w:rPr>
      </w:pPr>
      <w:r w:rsidRPr="005073D4">
        <w:rPr>
          <w:szCs w:val="22"/>
        </w:rPr>
        <w:t xml:space="preserve">The Commission’s alerting </w:t>
      </w:r>
      <w:r w:rsidR="00CF48FC">
        <w:rPr>
          <w:szCs w:val="22"/>
        </w:rPr>
        <w:t>rules</w:t>
      </w:r>
      <w:r w:rsidR="00CF48FC" w:rsidRPr="005073D4">
        <w:rPr>
          <w:szCs w:val="22"/>
        </w:rPr>
        <w:t xml:space="preserve"> </w:t>
      </w:r>
      <w:r w:rsidRPr="005073D4">
        <w:rPr>
          <w:szCs w:val="22"/>
        </w:rPr>
        <w:t>require EAS Participants</w:t>
      </w:r>
      <w:r w:rsidR="00747040">
        <w:rPr>
          <w:rStyle w:val="FootnoteReference"/>
          <w:szCs w:val="22"/>
        </w:rPr>
        <w:footnoteReference w:id="12"/>
      </w:r>
      <w:r w:rsidRPr="005073D4">
        <w:rPr>
          <w:szCs w:val="22"/>
        </w:rPr>
        <w:t xml:space="preserve"> to </w:t>
      </w:r>
      <w:r w:rsidR="005073D4">
        <w:rPr>
          <w:szCs w:val="22"/>
        </w:rPr>
        <w:t xml:space="preserve">be able to receive </w:t>
      </w:r>
      <w:r w:rsidRPr="005073D4">
        <w:rPr>
          <w:szCs w:val="22"/>
        </w:rPr>
        <w:t xml:space="preserve">CAP alerts </w:t>
      </w:r>
      <w:r w:rsidR="005073D4">
        <w:rPr>
          <w:szCs w:val="22"/>
        </w:rPr>
        <w:t xml:space="preserve">both from IPAWS </w:t>
      </w:r>
      <w:r w:rsidR="00A90215">
        <w:rPr>
          <w:szCs w:val="22"/>
        </w:rPr>
        <w:t xml:space="preserve">as well as from </w:t>
      </w:r>
      <w:r w:rsidRPr="005073D4">
        <w:rPr>
          <w:szCs w:val="22"/>
        </w:rPr>
        <w:t xml:space="preserve">the broadcast-based EAS structure.  Under Section 11.51(d) of the Commission’s rules, </w:t>
      </w:r>
      <w:r w:rsidR="000E4D9C" w:rsidRPr="005073D4">
        <w:rPr>
          <w:szCs w:val="22"/>
        </w:rPr>
        <w:t xml:space="preserve">EAS Participants </w:t>
      </w:r>
      <w:r w:rsidR="00174FAA" w:rsidRPr="005073D4">
        <w:rPr>
          <w:szCs w:val="22"/>
        </w:rPr>
        <w:t xml:space="preserve">must </w:t>
      </w:r>
      <w:r w:rsidR="000E4D9C" w:rsidRPr="005073D4">
        <w:rPr>
          <w:szCs w:val="22"/>
        </w:rPr>
        <w:t>be able to receive and retransmit CAP-formatted EAS alert messages</w:t>
      </w:r>
      <w:r w:rsidR="00174FAA" w:rsidRPr="005073D4">
        <w:rPr>
          <w:szCs w:val="22"/>
        </w:rPr>
        <w:t>.</w:t>
      </w:r>
      <w:bookmarkStart w:id="1" w:name="citeas((Cite_as:_26_F.C.C.R._13710,_*137"/>
      <w:bookmarkStart w:id="2" w:name="sp_1511_13711"/>
      <w:bookmarkStart w:id="3" w:name="SDU_13711"/>
      <w:bookmarkEnd w:id="1"/>
      <w:bookmarkEnd w:id="2"/>
      <w:bookmarkEnd w:id="3"/>
      <w:r w:rsidR="000E4D9C" w:rsidRPr="00047B4A">
        <w:rPr>
          <w:rStyle w:val="FootnoteReference"/>
          <w:szCs w:val="22"/>
        </w:rPr>
        <w:footnoteReference w:id="13"/>
      </w:r>
      <w:r>
        <w:t xml:space="preserve">  Similarly,</w:t>
      </w:r>
      <w:r w:rsidR="00BE50E7" w:rsidRPr="005073D4">
        <w:rPr>
          <w:szCs w:val="22"/>
        </w:rPr>
        <w:t xml:space="preserve"> Section 11.56(a)(2) of the</w:t>
      </w:r>
      <w:r w:rsidR="00BC1B52" w:rsidRPr="005073D4">
        <w:rPr>
          <w:szCs w:val="22"/>
        </w:rPr>
        <w:t xml:space="preserve"> Commission’s</w:t>
      </w:r>
      <w:r w:rsidR="001F7501" w:rsidRPr="005073D4">
        <w:rPr>
          <w:szCs w:val="22"/>
        </w:rPr>
        <w:t xml:space="preserve"> rules require</w:t>
      </w:r>
      <w:r w:rsidR="003E3ECC">
        <w:rPr>
          <w:szCs w:val="22"/>
        </w:rPr>
        <w:t>s</w:t>
      </w:r>
      <w:r w:rsidR="00BE50E7" w:rsidRPr="005073D4">
        <w:rPr>
          <w:szCs w:val="22"/>
        </w:rPr>
        <w:t xml:space="preserve"> EAS Participants to deploy operational equipment capable of </w:t>
      </w:r>
      <w:r w:rsidR="00B126F7" w:rsidRPr="005073D4">
        <w:rPr>
          <w:szCs w:val="22"/>
        </w:rPr>
        <w:t xml:space="preserve">(i) </w:t>
      </w:r>
      <w:r w:rsidR="00BE50E7" w:rsidRPr="005073D4">
        <w:rPr>
          <w:szCs w:val="22"/>
        </w:rPr>
        <w:t>converting CAP-formatted EAS alert messages into EAS messages that comply with the EAS Protocol</w:t>
      </w:r>
      <w:r w:rsidR="00B126F7" w:rsidRPr="005073D4">
        <w:rPr>
          <w:szCs w:val="22"/>
        </w:rPr>
        <w:t xml:space="preserve">, and (ii) </w:t>
      </w:r>
      <w:r w:rsidR="00F332FE" w:rsidRPr="005073D4">
        <w:rPr>
          <w:szCs w:val="22"/>
        </w:rPr>
        <w:t xml:space="preserve">processing such converted messages in accordance with the other </w:t>
      </w:r>
      <w:r w:rsidR="00B126F7" w:rsidRPr="005073D4">
        <w:rPr>
          <w:szCs w:val="22"/>
        </w:rPr>
        <w:t>requirements of Part 11</w:t>
      </w:r>
      <w:r w:rsidR="00F332FE" w:rsidRPr="005073D4">
        <w:rPr>
          <w:szCs w:val="22"/>
        </w:rPr>
        <w:t>.</w:t>
      </w:r>
      <w:r w:rsidR="00BE50E7" w:rsidRPr="00047B4A">
        <w:rPr>
          <w:rStyle w:val="FootnoteReference"/>
          <w:szCs w:val="22"/>
        </w:rPr>
        <w:footnoteReference w:id="14"/>
      </w:r>
    </w:p>
    <w:p w14:paraId="4044A777" w14:textId="350C4ABE" w:rsidR="00066967" w:rsidRPr="00047B4A" w:rsidRDefault="0071694B" w:rsidP="008E7ECD">
      <w:pPr>
        <w:pStyle w:val="ParaNum"/>
      </w:pPr>
      <w:r w:rsidRPr="00047B4A">
        <w:rPr>
          <w:szCs w:val="22"/>
        </w:rPr>
        <w:t xml:space="preserve"> </w:t>
      </w:r>
      <w:r w:rsidR="00C119F9" w:rsidRPr="00047B4A">
        <w:rPr>
          <w:szCs w:val="22"/>
        </w:rPr>
        <w:t>The Commission adopted the “six zero</w:t>
      </w:r>
      <w:r w:rsidR="00F44312">
        <w:rPr>
          <w:szCs w:val="22"/>
        </w:rPr>
        <w:t>e</w:t>
      </w:r>
      <w:r w:rsidR="00C119F9" w:rsidRPr="00047B4A">
        <w:rPr>
          <w:szCs w:val="22"/>
        </w:rPr>
        <w:t>s” national location code</w:t>
      </w:r>
      <w:r w:rsidR="008E0002" w:rsidRPr="00047B4A">
        <w:rPr>
          <w:szCs w:val="22"/>
        </w:rPr>
        <w:t xml:space="preserve"> as part of the EAS Protocol </w:t>
      </w:r>
      <w:r w:rsidR="002A785B" w:rsidRPr="00047B4A">
        <w:rPr>
          <w:szCs w:val="22"/>
        </w:rPr>
        <w:t xml:space="preserve">in </w:t>
      </w:r>
      <w:r w:rsidR="00C854D6" w:rsidRPr="00047B4A">
        <w:rPr>
          <w:szCs w:val="22"/>
        </w:rPr>
        <w:t xml:space="preserve">the </w:t>
      </w:r>
      <w:r w:rsidR="00C854D6" w:rsidRPr="00047B4A">
        <w:rPr>
          <w:i/>
          <w:szCs w:val="22"/>
        </w:rPr>
        <w:t>Sixth Report and Order</w:t>
      </w:r>
      <w:r w:rsidR="00C854D6" w:rsidRPr="00047B4A">
        <w:rPr>
          <w:szCs w:val="22"/>
        </w:rPr>
        <w:t>.</w:t>
      </w:r>
      <w:r w:rsidR="002A785B" w:rsidRPr="00047B4A">
        <w:rPr>
          <w:rStyle w:val="FootnoteReference"/>
          <w:szCs w:val="22"/>
        </w:rPr>
        <w:footnoteReference w:id="15"/>
      </w:r>
      <w:r w:rsidR="00C854D6" w:rsidRPr="00047B4A">
        <w:rPr>
          <w:szCs w:val="22"/>
        </w:rPr>
        <w:t xml:space="preserve">  The Commission explained that adoption of a “six zeroes” location code would improve the efficiency of the EAS by ensuring consistency between the EAS rules and industry CAP standards, which already recognize “six zeroes” as the national location code.</w:t>
      </w:r>
      <w:r w:rsidR="00C854D6" w:rsidRPr="00047B4A">
        <w:rPr>
          <w:rStyle w:val="FootnoteReference"/>
          <w:szCs w:val="22"/>
        </w:rPr>
        <w:footnoteReference w:id="16"/>
      </w:r>
      <w:r w:rsidR="007D04BC" w:rsidRPr="00047B4A">
        <w:rPr>
          <w:szCs w:val="22"/>
        </w:rPr>
        <w:t xml:space="preserve">  </w:t>
      </w:r>
      <w:r w:rsidR="0022535B">
        <w:rPr>
          <w:szCs w:val="22"/>
        </w:rPr>
        <w:t>This</w:t>
      </w:r>
      <w:r w:rsidR="002554DC" w:rsidRPr="00047B4A">
        <w:rPr>
          <w:szCs w:val="22"/>
        </w:rPr>
        <w:t>, i</w:t>
      </w:r>
      <w:r w:rsidR="007D04BC" w:rsidRPr="00047B4A">
        <w:rPr>
          <w:szCs w:val="22"/>
        </w:rPr>
        <w:t xml:space="preserve">n turn, </w:t>
      </w:r>
      <w:r w:rsidR="002554DC" w:rsidRPr="00047B4A">
        <w:rPr>
          <w:szCs w:val="22"/>
        </w:rPr>
        <w:t xml:space="preserve">would </w:t>
      </w:r>
      <w:r w:rsidR="007D04BC" w:rsidRPr="00047B4A">
        <w:rPr>
          <w:szCs w:val="22"/>
        </w:rPr>
        <w:lastRenderedPageBreak/>
        <w:t>facilitate integration of the EAS into IP-based</w:t>
      </w:r>
      <w:r w:rsidR="006D5AD6" w:rsidRPr="00047B4A">
        <w:rPr>
          <w:szCs w:val="22"/>
        </w:rPr>
        <w:t xml:space="preserve"> alerting systems</w:t>
      </w:r>
      <w:r w:rsidR="0022535B">
        <w:rPr>
          <w:szCs w:val="22"/>
        </w:rPr>
        <w:t>,</w:t>
      </w:r>
      <w:r w:rsidR="006D5AD6" w:rsidRPr="00047B4A">
        <w:rPr>
          <w:szCs w:val="22"/>
        </w:rPr>
        <w:t xml:space="preserve"> such as</w:t>
      </w:r>
      <w:r w:rsidR="007D04BC" w:rsidRPr="00047B4A">
        <w:rPr>
          <w:szCs w:val="22"/>
        </w:rPr>
        <w:t xml:space="preserve"> IPAWS.</w:t>
      </w:r>
      <w:r w:rsidR="002554DC" w:rsidRPr="00047B4A">
        <w:rPr>
          <w:rStyle w:val="FootnoteReference"/>
          <w:szCs w:val="22"/>
        </w:rPr>
        <w:footnoteReference w:id="17"/>
      </w:r>
      <w:r w:rsidR="004A1138" w:rsidRPr="00047B4A">
        <w:rPr>
          <w:szCs w:val="22"/>
        </w:rPr>
        <w:t xml:space="preserve">  The Commission also noted that using a single locality’s location code for a national alert </w:t>
      </w:r>
      <w:r w:rsidR="001B4B87">
        <w:rPr>
          <w:szCs w:val="22"/>
        </w:rPr>
        <w:t>could</w:t>
      </w:r>
      <w:r w:rsidR="004A1138" w:rsidRPr="00047B4A">
        <w:rPr>
          <w:szCs w:val="22"/>
        </w:rPr>
        <w:t xml:space="preserve"> cause confusion and </w:t>
      </w:r>
      <w:r w:rsidR="000164BB">
        <w:rPr>
          <w:szCs w:val="22"/>
        </w:rPr>
        <w:t xml:space="preserve">that this </w:t>
      </w:r>
      <w:r w:rsidR="004A1138" w:rsidRPr="00047B4A">
        <w:rPr>
          <w:szCs w:val="22"/>
        </w:rPr>
        <w:t xml:space="preserve">was one of the issues </w:t>
      </w:r>
      <w:r w:rsidR="001B4B87">
        <w:rPr>
          <w:szCs w:val="22"/>
        </w:rPr>
        <w:t>arising from</w:t>
      </w:r>
      <w:r w:rsidR="004A1138" w:rsidRPr="00047B4A">
        <w:rPr>
          <w:szCs w:val="22"/>
        </w:rPr>
        <w:t xml:space="preserve"> </w:t>
      </w:r>
      <w:r w:rsidR="001B4B87" w:rsidRPr="00047B4A">
        <w:rPr>
          <w:szCs w:val="22"/>
        </w:rPr>
        <w:t>the first nationwide EAS test in 2011</w:t>
      </w:r>
      <w:r w:rsidR="001B4B87">
        <w:rPr>
          <w:szCs w:val="22"/>
        </w:rPr>
        <w:t xml:space="preserve">, which used </w:t>
      </w:r>
      <w:r w:rsidR="004A1138" w:rsidRPr="00047B4A">
        <w:rPr>
          <w:szCs w:val="22"/>
        </w:rPr>
        <w:t>a Washington, D.C. location code.</w:t>
      </w:r>
      <w:r w:rsidR="004A1138" w:rsidRPr="00047B4A">
        <w:rPr>
          <w:rStyle w:val="FootnoteReference"/>
          <w:szCs w:val="22"/>
        </w:rPr>
        <w:footnoteReference w:id="18"/>
      </w:r>
      <w:r w:rsidR="00066967" w:rsidRPr="00047B4A">
        <w:rPr>
          <w:szCs w:val="22"/>
        </w:rPr>
        <w:t xml:space="preserve">  In addition, the Commission noted that to issue an alert for the entire United States without a national location code would require two separate alerts because </w:t>
      </w:r>
      <w:r w:rsidR="004224BF">
        <w:rPr>
          <w:szCs w:val="22"/>
        </w:rPr>
        <w:t xml:space="preserve">a single alert can only designate a portion of the fifty states (given that </w:t>
      </w:r>
      <w:r w:rsidR="00066967" w:rsidRPr="00047B4A">
        <w:rPr>
          <w:szCs w:val="22"/>
        </w:rPr>
        <w:t>the EAS alert header</w:t>
      </w:r>
      <w:r w:rsidR="004224BF">
        <w:rPr>
          <w:szCs w:val="22"/>
        </w:rPr>
        <w:t xml:space="preserve"> </w:t>
      </w:r>
      <w:r w:rsidR="00066967" w:rsidRPr="00047B4A">
        <w:rPr>
          <w:szCs w:val="22"/>
        </w:rPr>
        <w:t>can only hold thirty-one distinct location codes</w:t>
      </w:r>
      <w:r w:rsidR="004224BF">
        <w:rPr>
          <w:szCs w:val="22"/>
        </w:rPr>
        <w:t>)</w:t>
      </w:r>
      <w:r w:rsidR="00066967" w:rsidRPr="00047B4A">
        <w:rPr>
          <w:szCs w:val="22"/>
        </w:rPr>
        <w:t>.</w:t>
      </w:r>
      <w:r w:rsidR="00E00651">
        <w:rPr>
          <w:rStyle w:val="FootnoteReference"/>
          <w:szCs w:val="22"/>
        </w:rPr>
        <w:footnoteReference w:id="19"/>
      </w:r>
      <w:r w:rsidR="00066967" w:rsidRPr="00047B4A">
        <w:rPr>
          <w:szCs w:val="22"/>
        </w:rPr>
        <w:t xml:space="preserve">  </w:t>
      </w:r>
      <w:r w:rsidR="005619B9">
        <w:rPr>
          <w:szCs w:val="22"/>
        </w:rPr>
        <w:t>Accordingly, u</w:t>
      </w:r>
      <w:r w:rsidR="00066967" w:rsidRPr="00047B4A">
        <w:rPr>
          <w:szCs w:val="22"/>
        </w:rPr>
        <w:t>se of a single national location code would simplify the national alerting infrastructure.</w:t>
      </w:r>
      <w:r w:rsidR="00066967" w:rsidRPr="00047B4A">
        <w:rPr>
          <w:rStyle w:val="FootnoteReference"/>
          <w:szCs w:val="22"/>
        </w:rPr>
        <w:footnoteReference w:id="20"/>
      </w:r>
      <w:r w:rsidR="00066967" w:rsidRPr="00047B4A">
        <w:rPr>
          <w:szCs w:val="22"/>
        </w:rPr>
        <w:t xml:space="preserve">  The Commission also noted that use of a national location code would provide improved geo-targeting of an </w:t>
      </w:r>
      <w:r w:rsidR="00A9466B">
        <w:rPr>
          <w:szCs w:val="22"/>
        </w:rPr>
        <w:t xml:space="preserve">EAN </w:t>
      </w:r>
      <w:r w:rsidR="00066967" w:rsidRPr="00047B4A">
        <w:rPr>
          <w:szCs w:val="22"/>
        </w:rPr>
        <w:t>if the President wanted to address a particular part of the country</w:t>
      </w:r>
      <w:r w:rsidR="00631DD7">
        <w:rPr>
          <w:szCs w:val="22"/>
        </w:rPr>
        <w:t>,</w:t>
      </w:r>
      <w:r w:rsidR="00066967" w:rsidRPr="00047B4A">
        <w:rPr>
          <w:szCs w:val="22"/>
        </w:rPr>
        <w:t xml:space="preserve"> rather than the nation as a whole.</w:t>
      </w:r>
      <w:r w:rsidR="00066967" w:rsidRPr="00047B4A">
        <w:rPr>
          <w:rStyle w:val="FootnoteReference"/>
          <w:szCs w:val="22"/>
        </w:rPr>
        <w:footnoteReference w:id="21"/>
      </w:r>
    </w:p>
    <w:p w14:paraId="24D94B9C" w14:textId="77777777" w:rsidR="00C119F9" w:rsidRPr="00047B4A" w:rsidRDefault="00004049" w:rsidP="008E7ECD">
      <w:pPr>
        <w:pStyle w:val="ParaNum"/>
      </w:pPr>
      <w:r w:rsidRPr="00047B4A">
        <w:t>The Commission noted that commenters unanimously supported adoption of the “six zeroes” national location code</w:t>
      </w:r>
      <w:r w:rsidR="005619B9">
        <w:t>.</w:t>
      </w:r>
      <w:r w:rsidR="005619B9">
        <w:rPr>
          <w:rStyle w:val="FootnoteReference"/>
        </w:rPr>
        <w:footnoteReference w:id="22"/>
      </w:r>
      <w:r w:rsidR="005619B9">
        <w:t xml:space="preserve">  In addition, </w:t>
      </w:r>
      <w:r w:rsidR="000164BB">
        <w:t xml:space="preserve">the Commission noted that </w:t>
      </w:r>
      <w:r w:rsidRPr="00047B4A">
        <w:t xml:space="preserve">implementation of </w:t>
      </w:r>
      <w:r w:rsidR="00901314">
        <w:t>th</w:t>
      </w:r>
      <w:r w:rsidR="005619B9">
        <w:t>e</w:t>
      </w:r>
      <w:r w:rsidRPr="00047B4A">
        <w:t xml:space="preserve"> new code would present negligible costs to EAS Participants because most EAS equipment deployed in the field already supported the “six zeroes” code or would require only a software update to provide such support.</w:t>
      </w:r>
      <w:r w:rsidRPr="00047B4A">
        <w:rPr>
          <w:rStyle w:val="FootnoteReference"/>
        </w:rPr>
        <w:footnoteReference w:id="23"/>
      </w:r>
      <w:r w:rsidRPr="00047B4A">
        <w:t xml:space="preserve">  </w:t>
      </w:r>
      <w:r w:rsidR="00BF7CE3" w:rsidRPr="00047B4A">
        <w:t xml:space="preserve">Further, the Commission noted that FEMA intended to conduct a </w:t>
      </w:r>
      <w:r w:rsidR="00901314">
        <w:t xml:space="preserve">second </w:t>
      </w:r>
      <w:r w:rsidR="00BF7CE3" w:rsidRPr="00047B4A">
        <w:t xml:space="preserve">nationwide EAS test “in the near future” </w:t>
      </w:r>
      <w:r w:rsidR="000164BB">
        <w:t xml:space="preserve">and that this test </w:t>
      </w:r>
      <w:r w:rsidR="00901314">
        <w:t>would</w:t>
      </w:r>
      <w:r w:rsidR="00BF7CE3" w:rsidRPr="00047B4A">
        <w:t xml:space="preserve"> use the “six zeroes” location code.</w:t>
      </w:r>
      <w:r w:rsidR="00BF7CE3" w:rsidRPr="00047B4A">
        <w:rPr>
          <w:rStyle w:val="FootnoteReference"/>
        </w:rPr>
        <w:footnoteReference w:id="24"/>
      </w:r>
      <w:r w:rsidR="00BF7CE3" w:rsidRPr="00047B4A">
        <w:t xml:space="preserve">  Accordingly, the Commission emphasized that “it is imperative that we ensure EAS Participants are capable of processing a test with [the six zeroes code] as rapidly as possible.”</w:t>
      </w:r>
      <w:r w:rsidR="00BF7CE3" w:rsidRPr="00047B4A">
        <w:rPr>
          <w:rStyle w:val="FootnoteReference"/>
        </w:rPr>
        <w:footnoteReference w:id="25"/>
      </w:r>
      <w:r w:rsidR="00BF7CE3" w:rsidRPr="00047B4A">
        <w:t xml:space="preserve">  </w:t>
      </w:r>
      <w:r w:rsidR="000164BB">
        <w:t>Some commenters had sought an implementation timeline of six months, while others argued for a twelve-month timeline.</w:t>
      </w:r>
      <w:r w:rsidR="000164BB">
        <w:rPr>
          <w:rStyle w:val="FootnoteReference"/>
        </w:rPr>
        <w:footnoteReference w:id="26"/>
      </w:r>
      <w:r w:rsidR="000164BB">
        <w:t xml:space="preserve">  The Commission </w:t>
      </w:r>
      <w:r w:rsidR="007E77F9" w:rsidRPr="00047B4A">
        <w:t xml:space="preserve">adopted a period of </w:t>
      </w:r>
      <w:r w:rsidR="001C5644">
        <w:t>“up to, but no longer than, twelve months” for EAS Participants to come into compliance with the new requirement.</w:t>
      </w:r>
      <w:r w:rsidR="001C5644">
        <w:rPr>
          <w:rStyle w:val="FootnoteReference"/>
        </w:rPr>
        <w:footnoteReference w:id="27"/>
      </w:r>
      <w:r w:rsidR="001C5644">
        <w:t xml:space="preserve">  </w:t>
      </w:r>
      <w:r w:rsidR="00A90215">
        <w:t>This twelve month period ended July 30, 2016.</w:t>
      </w:r>
      <w:r w:rsidR="00A90215">
        <w:rPr>
          <w:rStyle w:val="FootnoteReference"/>
        </w:rPr>
        <w:footnoteReference w:id="28"/>
      </w:r>
      <w:r w:rsidR="00A90215">
        <w:t xml:space="preserve">  </w:t>
      </w:r>
      <w:r w:rsidR="007E77F9" w:rsidRPr="00047B4A">
        <w:rPr>
          <w:szCs w:val="22"/>
        </w:rPr>
        <w:t xml:space="preserve">FEMA subsequently announced that it </w:t>
      </w:r>
      <w:r w:rsidR="007E77F9" w:rsidRPr="00047B4A">
        <w:rPr>
          <w:szCs w:val="22"/>
        </w:rPr>
        <w:lastRenderedPageBreak/>
        <w:t xml:space="preserve">would conduct the second nationwide </w:t>
      </w:r>
      <w:r w:rsidR="002E1A6C">
        <w:rPr>
          <w:szCs w:val="22"/>
        </w:rPr>
        <w:t xml:space="preserve">EAS </w:t>
      </w:r>
      <w:r w:rsidR="007E77F9" w:rsidRPr="00047B4A">
        <w:rPr>
          <w:szCs w:val="22"/>
        </w:rPr>
        <w:t xml:space="preserve">test </w:t>
      </w:r>
      <w:r w:rsidR="002E1A6C">
        <w:rPr>
          <w:szCs w:val="22"/>
        </w:rPr>
        <w:t>on September</w:t>
      </w:r>
      <w:r w:rsidR="007E77F9" w:rsidRPr="00047B4A">
        <w:rPr>
          <w:szCs w:val="22"/>
        </w:rPr>
        <w:t xml:space="preserve"> 28, 2016.</w:t>
      </w:r>
      <w:r w:rsidR="007E77F9" w:rsidRPr="00047B4A">
        <w:rPr>
          <w:rStyle w:val="FootnoteReference"/>
          <w:szCs w:val="22"/>
        </w:rPr>
        <w:footnoteReference w:id="29"/>
      </w:r>
    </w:p>
    <w:p w14:paraId="3F366F2C" w14:textId="36483013" w:rsidR="00C119F9" w:rsidRPr="00047B4A" w:rsidRDefault="00901314" w:rsidP="008E7ECD">
      <w:pPr>
        <w:pStyle w:val="ParaNum"/>
      </w:pPr>
      <w:r>
        <w:rPr>
          <w:szCs w:val="22"/>
        </w:rPr>
        <w:t xml:space="preserve">In </w:t>
      </w:r>
      <w:r w:rsidR="002A0192">
        <w:rPr>
          <w:szCs w:val="22"/>
        </w:rPr>
        <w:t>its</w:t>
      </w:r>
      <w:r>
        <w:rPr>
          <w:szCs w:val="22"/>
        </w:rPr>
        <w:t xml:space="preserve"> Waiver Request, Gorman-Redlich asserts some</w:t>
      </w:r>
      <w:r w:rsidR="009E5649">
        <w:rPr>
          <w:szCs w:val="22"/>
        </w:rPr>
        <w:t xml:space="preserve"> </w:t>
      </w:r>
      <w:r w:rsidR="00A373A1">
        <w:rPr>
          <w:szCs w:val="22"/>
        </w:rPr>
        <w:t xml:space="preserve">legacy </w:t>
      </w:r>
      <w:r w:rsidR="009E5649">
        <w:rPr>
          <w:szCs w:val="22"/>
        </w:rPr>
        <w:t>EAS</w:t>
      </w:r>
      <w:r>
        <w:rPr>
          <w:szCs w:val="22"/>
        </w:rPr>
        <w:t xml:space="preserve"> equipment </w:t>
      </w:r>
      <w:r w:rsidR="00131214">
        <w:rPr>
          <w:szCs w:val="22"/>
        </w:rPr>
        <w:t xml:space="preserve">employs </w:t>
      </w:r>
      <w:r w:rsidR="00A90215">
        <w:rPr>
          <w:szCs w:val="22"/>
        </w:rPr>
        <w:t>equipment</w:t>
      </w:r>
      <w:r w:rsidR="004B6124">
        <w:rPr>
          <w:szCs w:val="22"/>
        </w:rPr>
        <w:t xml:space="preserve"> </w:t>
      </w:r>
      <w:r w:rsidR="00A90215">
        <w:rPr>
          <w:szCs w:val="22"/>
        </w:rPr>
        <w:t xml:space="preserve">that is intended to </w:t>
      </w:r>
      <w:r w:rsidR="00131214">
        <w:rPr>
          <w:szCs w:val="22"/>
        </w:rPr>
        <w:t>add CAP functionality</w:t>
      </w:r>
      <w:r w:rsidR="00A90215">
        <w:rPr>
          <w:szCs w:val="22"/>
        </w:rPr>
        <w:t xml:space="preserve"> as required by the </w:t>
      </w:r>
      <w:r w:rsidR="004B6124">
        <w:rPr>
          <w:szCs w:val="22"/>
        </w:rPr>
        <w:t>C</w:t>
      </w:r>
      <w:r w:rsidR="00A90215">
        <w:rPr>
          <w:szCs w:val="22"/>
        </w:rPr>
        <w:t>ommission’s rules,</w:t>
      </w:r>
      <w:r w:rsidR="00F575E0">
        <w:rPr>
          <w:szCs w:val="22"/>
        </w:rPr>
        <w:t xml:space="preserve"> </w:t>
      </w:r>
      <w:r w:rsidR="004B6124">
        <w:rPr>
          <w:szCs w:val="22"/>
        </w:rPr>
        <w:t xml:space="preserve">but </w:t>
      </w:r>
      <w:r w:rsidR="009E5649">
        <w:rPr>
          <w:szCs w:val="22"/>
        </w:rPr>
        <w:t>cannot</w:t>
      </w:r>
      <w:r>
        <w:rPr>
          <w:szCs w:val="22"/>
        </w:rPr>
        <w:t xml:space="preserve"> process messages</w:t>
      </w:r>
      <w:r w:rsidR="002A0192">
        <w:rPr>
          <w:szCs w:val="22"/>
        </w:rPr>
        <w:t xml:space="preserve"> addressed</w:t>
      </w:r>
      <w:r>
        <w:rPr>
          <w:szCs w:val="22"/>
        </w:rPr>
        <w:t xml:space="preserve"> </w:t>
      </w:r>
      <w:r w:rsidR="009E5649">
        <w:rPr>
          <w:szCs w:val="22"/>
        </w:rPr>
        <w:t>with</w:t>
      </w:r>
      <w:r>
        <w:rPr>
          <w:szCs w:val="22"/>
        </w:rPr>
        <w:t xml:space="preserve"> the “six zeroes” national location code.</w:t>
      </w:r>
      <w:r>
        <w:rPr>
          <w:rStyle w:val="FootnoteReference"/>
          <w:szCs w:val="22"/>
        </w:rPr>
        <w:footnoteReference w:id="30"/>
      </w:r>
      <w:r>
        <w:rPr>
          <w:szCs w:val="22"/>
        </w:rPr>
        <w:t xml:space="preserve">  </w:t>
      </w:r>
      <w:r w:rsidR="00805300">
        <w:rPr>
          <w:szCs w:val="22"/>
        </w:rPr>
        <w:t>G</w:t>
      </w:r>
      <w:r w:rsidR="00A373A1">
        <w:rPr>
          <w:szCs w:val="22"/>
        </w:rPr>
        <w:t xml:space="preserve">orman-Redlich states that “it has come to the attention of many” that “certain manufacturers” of this equipment “are unwilling or unable – for whatever reason – to update their equipment” </w:t>
      </w:r>
      <w:r w:rsidR="00F575E0">
        <w:rPr>
          <w:szCs w:val="22"/>
        </w:rPr>
        <w:t>so that it can process the “six zeroes” code.</w:t>
      </w:r>
      <w:r w:rsidR="00A373A1">
        <w:rPr>
          <w:rStyle w:val="FootnoteReference"/>
          <w:szCs w:val="22"/>
        </w:rPr>
        <w:footnoteReference w:id="31"/>
      </w:r>
      <w:r w:rsidR="0004771A">
        <w:rPr>
          <w:szCs w:val="22"/>
        </w:rPr>
        <w:t xml:space="preserve">  </w:t>
      </w:r>
      <w:r w:rsidR="00131214">
        <w:rPr>
          <w:szCs w:val="22"/>
        </w:rPr>
        <w:t xml:space="preserve">Further, </w:t>
      </w:r>
      <w:r>
        <w:rPr>
          <w:szCs w:val="22"/>
        </w:rPr>
        <w:t xml:space="preserve">Gorman-Redlich asserts that </w:t>
      </w:r>
      <w:r w:rsidR="0004771A">
        <w:rPr>
          <w:szCs w:val="22"/>
        </w:rPr>
        <w:t xml:space="preserve">many broadcast stations continue to employ this equipment and that replacing it </w:t>
      </w:r>
      <w:r w:rsidR="00A373A1">
        <w:rPr>
          <w:szCs w:val="22"/>
        </w:rPr>
        <w:t>would represent a substantial monetary outla</w:t>
      </w:r>
      <w:r w:rsidR="0004771A">
        <w:rPr>
          <w:szCs w:val="22"/>
        </w:rPr>
        <w:t>y</w:t>
      </w:r>
      <w:r w:rsidR="00A373A1">
        <w:rPr>
          <w:szCs w:val="22"/>
        </w:rPr>
        <w:t xml:space="preserve"> for these stations</w:t>
      </w:r>
      <w:r w:rsidR="0004771A">
        <w:rPr>
          <w:szCs w:val="22"/>
        </w:rPr>
        <w:t>.</w:t>
      </w:r>
      <w:r w:rsidR="0004771A">
        <w:rPr>
          <w:rStyle w:val="FootnoteReference"/>
          <w:szCs w:val="22"/>
        </w:rPr>
        <w:footnoteReference w:id="32"/>
      </w:r>
      <w:r w:rsidR="00E9166C">
        <w:rPr>
          <w:szCs w:val="22"/>
        </w:rPr>
        <w:t xml:space="preserve">  Gorman-Redlich requests a waiver </w:t>
      </w:r>
      <w:r w:rsidR="0025308F">
        <w:rPr>
          <w:szCs w:val="22"/>
        </w:rPr>
        <w:t>for</w:t>
      </w:r>
      <w:r w:rsidR="00E9166C">
        <w:rPr>
          <w:szCs w:val="22"/>
        </w:rPr>
        <w:t xml:space="preserve"> “stations that are not a LP-1 or LP-2 station and which have no down-stream monitoring assignments” in the EAS alerting system.</w:t>
      </w:r>
      <w:r w:rsidR="00E9166C">
        <w:rPr>
          <w:rStyle w:val="FootnoteReference"/>
          <w:szCs w:val="22"/>
        </w:rPr>
        <w:footnoteReference w:id="33"/>
      </w:r>
      <w:r w:rsidR="00E9166C">
        <w:rPr>
          <w:szCs w:val="22"/>
        </w:rPr>
        <w:t xml:space="preserve">  </w:t>
      </w:r>
      <w:r w:rsidR="0025308F">
        <w:rPr>
          <w:szCs w:val="22"/>
        </w:rPr>
        <w:t xml:space="preserve">For these stations, </w:t>
      </w:r>
      <w:r w:rsidR="00E9166C">
        <w:rPr>
          <w:szCs w:val="22"/>
        </w:rPr>
        <w:t>Gorman-Redlich</w:t>
      </w:r>
      <w:r w:rsidR="00701B82">
        <w:rPr>
          <w:szCs w:val="22"/>
        </w:rPr>
        <w:t xml:space="preserve"> asks the Commission to allow </w:t>
      </w:r>
      <w:r w:rsidR="00E9166C">
        <w:rPr>
          <w:szCs w:val="22"/>
        </w:rPr>
        <w:t xml:space="preserve">intermediary devices to insert state location codes into EAS header codes </w:t>
      </w:r>
      <w:r w:rsidR="002A0192">
        <w:rPr>
          <w:szCs w:val="22"/>
        </w:rPr>
        <w:t>containing</w:t>
      </w:r>
      <w:r w:rsidR="009E5649">
        <w:rPr>
          <w:szCs w:val="22"/>
        </w:rPr>
        <w:t xml:space="preserve"> the</w:t>
      </w:r>
      <w:r w:rsidR="00E9166C">
        <w:rPr>
          <w:szCs w:val="22"/>
        </w:rPr>
        <w:t xml:space="preserve"> national location code.</w:t>
      </w:r>
      <w:r w:rsidR="00E9166C">
        <w:rPr>
          <w:rStyle w:val="FootnoteReference"/>
          <w:szCs w:val="22"/>
        </w:rPr>
        <w:footnoteReference w:id="34"/>
      </w:r>
      <w:r w:rsidR="00E9166C">
        <w:rPr>
          <w:szCs w:val="22"/>
        </w:rPr>
        <w:t xml:space="preserve">  </w:t>
      </w:r>
      <w:r w:rsidR="00F575E0">
        <w:rPr>
          <w:szCs w:val="22"/>
        </w:rPr>
        <w:t>According to Gorman-Redlich, this “modification” will not result in any false activations based on location codes and will not result in the airing of duplicate alerts at any other stations.</w:t>
      </w:r>
      <w:r w:rsidR="00805300">
        <w:rPr>
          <w:rStyle w:val="FootnoteReference"/>
          <w:szCs w:val="22"/>
        </w:rPr>
        <w:footnoteReference w:id="35"/>
      </w:r>
      <w:r w:rsidR="00F575E0">
        <w:rPr>
          <w:szCs w:val="22"/>
        </w:rPr>
        <w:t xml:space="preserve">  </w:t>
      </w:r>
      <w:r w:rsidR="00E9166C">
        <w:rPr>
          <w:szCs w:val="22"/>
        </w:rPr>
        <w:t xml:space="preserve">The proposed waiver would </w:t>
      </w:r>
      <w:r w:rsidR="008D26F1">
        <w:rPr>
          <w:szCs w:val="22"/>
        </w:rPr>
        <w:t>last</w:t>
      </w:r>
      <w:r w:rsidR="00E9166C">
        <w:rPr>
          <w:szCs w:val="22"/>
        </w:rPr>
        <w:t xml:space="preserve"> </w:t>
      </w:r>
      <w:r w:rsidR="009E5649">
        <w:rPr>
          <w:szCs w:val="22"/>
        </w:rPr>
        <w:t>until</w:t>
      </w:r>
      <w:r w:rsidR="00E9166C">
        <w:rPr>
          <w:szCs w:val="22"/>
        </w:rPr>
        <w:t xml:space="preserve"> </w:t>
      </w:r>
      <w:r w:rsidR="0025308F">
        <w:rPr>
          <w:szCs w:val="22"/>
        </w:rPr>
        <w:t xml:space="preserve">these stations’ </w:t>
      </w:r>
      <w:r w:rsidR="00805300">
        <w:rPr>
          <w:szCs w:val="22"/>
        </w:rPr>
        <w:t xml:space="preserve">legacy </w:t>
      </w:r>
      <w:r w:rsidR="00E9166C">
        <w:rPr>
          <w:szCs w:val="22"/>
        </w:rPr>
        <w:t>equipment “ceases to operate as designed.”</w:t>
      </w:r>
      <w:r w:rsidR="00E9166C">
        <w:rPr>
          <w:rStyle w:val="FootnoteReference"/>
          <w:szCs w:val="22"/>
        </w:rPr>
        <w:footnoteReference w:id="36"/>
      </w:r>
    </w:p>
    <w:p w14:paraId="2653BA1C" w14:textId="53C5ACB1" w:rsidR="008E7ECD" w:rsidRPr="00047B4A" w:rsidRDefault="00701B82" w:rsidP="008E7ECD">
      <w:pPr>
        <w:pStyle w:val="ParaNum"/>
      </w:pPr>
      <w:r>
        <w:t xml:space="preserve">The Commission received </w:t>
      </w:r>
      <w:r w:rsidR="00DB3EAA">
        <w:t xml:space="preserve">seven </w:t>
      </w:r>
      <w:r w:rsidR="00AB05AA">
        <w:t xml:space="preserve">comments in </w:t>
      </w:r>
      <w:r w:rsidR="00DB3EAA">
        <w:t xml:space="preserve">response to </w:t>
      </w:r>
      <w:r>
        <w:t xml:space="preserve">the </w:t>
      </w:r>
      <w:r w:rsidR="00AB05AA">
        <w:t>Waiver Request.</w:t>
      </w:r>
      <w:r>
        <w:rPr>
          <w:rStyle w:val="FootnoteReference"/>
        </w:rPr>
        <w:footnoteReference w:id="37"/>
      </w:r>
      <w:r w:rsidR="00AB05AA">
        <w:t xml:space="preserve">  </w:t>
      </w:r>
      <w:r w:rsidR="00F06804">
        <w:t xml:space="preserve">Commenters on behalf of </w:t>
      </w:r>
      <w:r w:rsidR="002D5CC8">
        <w:t xml:space="preserve">six </w:t>
      </w:r>
      <w:r w:rsidR="00F06804">
        <w:t>radio stations state that the</w:t>
      </w:r>
      <w:r w:rsidR="0071229C">
        <w:t>ir stations serve small markets</w:t>
      </w:r>
      <w:r w:rsidR="002F007E">
        <w:t xml:space="preserve"> and that </w:t>
      </w:r>
      <w:r w:rsidR="008A3E4C">
        <w:t xml:space="preserve">upgrading or </w:t>
      </w:r>
      <w:r w:rsidR="002F007E">
        <w:t xml:space="preserve">replacing their legacy EAS equipment so that it can </w:t>
      </w:r>
      <w:r w:rsidR="008A3E4C">
        <w:t xml:space="preserve">process the “six zeroes” location code would </w:t>
      </w:r>
      <w:r w:rsidR="00FE2A1A">
        <w:t xml:space="preserve">create </w:t>
      </w:r>
      <w:r w:rsidR="002F007E">
        <w:lastRenderedPageBreak/>
        <w:t>a financial hardship.</w:t>
      </w:r>
      <w:r w:rsidR="008A3E4C">
        <w:rPr>
          <w:rStyle w:val="FootnoteReference"/>
        </w:rPr>
        <w:footnoteReference w:id="38"/>
      </w:r>
      <w:r w:rsidR="00131214">
        <w:t xml:space="preserve">  These commenters also state that their stations are not LP-1 or LP-2 stations</w:t>
      </w:r>
      <w:r w:rsidR="00805300">
        <w:t>,</w:t>
      </w:r>
      <w:r w:rsidR="00131214">
        <w:t xml:space="preserve"> and, to their knowledge, no other broadcast stations rely on their stations in the daisy chain operation of the EAS.</w:t>
      </w:r>
      <w:r w:rsidR="00131214">
        <w:rPr>
          <w:rStyle w:val="FootnoteReference"/>
        </w:rPr>
        <w:footnoteReference w:id="39"/>
      </w:r>
      <w:r w:rsidR="002D5CC8">
        <w:t xml:space="preserve">  The comment in opposition argues that the waiver request </w:t>
      </w:r>
      <w:r w:rsidR="00246894">
        <w:t>does not identify the equipment to which the waiver would apply.</w:t>
      </w:r>
      <w:r w:rsidR="00246894">
        <w:rPr>
          <w:rStyle w:val="FootnoteReference"/>
        </w:rPr>
        <w:footnoteReference w:id="40"/>
      </w:r>
      <w:r w:rsidR="00131214">
        <w:t xml:space="preserve"> </w:t>
      </w:r>
    </w:p>
    <w:p w14:paraId="751796D1" w14:textId="77777777" w:rsidR="00960766" w:rsidRPr="00047B4A" w:rsidRDefault="00960766" w:rsidP="00960766">
      <w:pPr>
        <w:pStyle w:val="Heading1"/>
      </w:pPr>
      <w:r w:rsidRPr="00047B4A">
        <w:t>DISCUSSION</w:t>
      </w:r>
    </w:p>
    <w:p w14:paraId="2501B72E" w14:textId="7C83888A" w:rsidR="0040439D" w:rsidRPr="00047B4A" w:rsidRDefault="0040439D" w:rsidP="0040439D">
      <w:pPr>
        <w:pStyle w:val="ParaNum"/>
      </w:pPr>
      <w:r w:rsidRPr="00047B4A">
        <w:t>The Commission may waive its rules upon a showing of good cause.</w:t>
      </w:r>
      <w:r w:rsidRPr="00047B4A">
        <w:rPr>
          <w:rStyle w:val="FootnoteReference"/>
        </w:rPr>
        <w:footnoteReference w:id="41"/>
      </w:r>
      <w:r w:rsidRPr="00047B4A">
        <w:t xml:space="preserve">  Waiver is appropriate only if both (i) special circumstances warrant a deviation from the general rule, and (ii)</w:t>
      </w:r>
      <w:r w:rsidR="00D1059F">
        <w:t xml:space="preserve"> </w:t>
      </w:r>
      <w:r w:rsidRPr="00047B4A">
        <w:t>such deviation will serve the public interest.</w:t>
      </w:r>
      <w:r w:rsidRPr="00047B4A">
        <w:rPr>
          <w:rStyle w:val="FootnoteReference"/>
        </w:rPr>
        <w:footnoteReference w:id="42"/>
      </w:r>
      <w:r w:rsidRPr="00047B4A">
        <w:t xml:space="preserve">  Applicants seeking a waiver face</w:t>
      </w:r>
      <w:r w:rsidR="00D1059F">
        <w:t xml:space="preserve"> a</w:t>
      </w:r>
      <w:r w:rsidRPr="00047B4A">
        <w:t xml:space="preserve"> “high hurdle” and must plead with particularity the facts and circumstances that warrant a waiver.</w:t>
      </w:r>
      <w:r w:rsidRPr="00047B4A">
        <w:rPr>
          <w:rStyle w:val="FootnoteReference"/>
        </w:rPr>
        <w:footnoteReference w:id="43"/>
      </w:r>
      <w:r w:rsidRPr="00047B4A">
        <w:t xml:space="preserve">  Gorman-Redlich has not </w:t>
      </w:r>
      <w:r w:rsidR="00472CAB">
        <w:t>satisfied this burden</w:t>
      </w:r>
      <w:r w:rsidR="00D51BCA">
        <w:t xml:space="preserve"> because </w:t>
      </w:r>
      <w:r w:rsidR="00914C83">
        <w:t>i</w:t>
      </w:r>
      <w:r w:rsidRPr="00047B4A">
        <w:t xml:space="preserve">t fails to show that special circumstances warrant </w:t>
      </w:r>
      <w:r w:rsidR="000431FF">
        <w:t>a deviation from Section 11.56(a)(2)</w:t>
      </w:r>
      <w:r w:rsidR="00D1059F">
        <w:t xml:space="preserve"> and the “six zeroes” national location code</w:t>
      </w:r>
      <w:r w:rsidR="002F7A8E">
        <w:t>,</w:t>
      </w:r>
      <w:r w:rsidR="002A5451">
        <w:t xml:space="preserve"> </w:t>
      </w:r>
      <w:r w:rsidR="000431FF">
        <w:t xml:space="preserve">or </w:t>
      </w:r>
      <w:r w:rsidR="00914C83">
        <w:t>that</w:t>
      </w:r>
      <w:r w:rsidR="00DE5481">
        <w:t xml:space="preserve"> such </w:t>
      </w:r>
      <w:r w:rsidR="000431FF">
        <w:t xml:space="preserve">deviation </w:t>
      </w:r>
      <w:r w:rsidRPr="00047B4A">
        <w:t>would serve the public interest.</w:t>
      </w:r>
    </w:p>
    <w:p w14:paraId="4DDD1EE0" w14:textId="6B294CE6" w:rsidR="00290325" w:rsidRDefault="0040439D" w:rsidP="00362C7B">
      <w:pPr>
        <w:pStyle w:val="ParaNum"/>
      </w:pPr>
      <w:r w:rsidRPr="00047B4A">
        <w:t>The Waiver Reque</w:t>
      </w:r>
      <w:r w:rsidR="00443217">
        <w:t xml:space="preserve">st </w:t>
      </w:r>
      <w:r w:rsidR="00F80247">
        <w:t xml:space="preserve">fails to show </w:t>
      </w:r>
      <w:r w:rsidR="00D1059F">
        <w:t xml:space="preserve">what, if any, special circumstances support a departure from </w:t>
      </w:r>
      <w:r w:rsidR="00F80247">
        <w:t xml:space="preserve">Section 11.56(a)(2) </w:t>
      </w:r>
      <w:r w:rsidR="0073665E">
        <w:t>and</w:t>
      </w:r>
      <w:r w:rsidR="00D1059F">
        <w:t xml:space="preserve"> </w:t>
      </w:r>
      <w:r w:rsidR="0073665E">
        <w:t xml:space="preserve">the “six zeroes” national location code.  </w:t>
      </w:r>
      <w:r w:rsidR="00F80247">
        <w:t xml:space="preserve">In particular, the </w:t>
      </w:r>
      <w:r w:rsidR="002A5451">
        <w:t>Waiver R</w:t>
      </w:r>
      <w:r w:rsidR="00F80247">
        <w:t>equest fails to state with sufficient clarity who needs relief from the rule and why.  It</w:t>
      </w:r>
      <w:r w:rsidR="00443217">
        <w:t xml:space="preserve"> asserts </w:t>
      </w:r>
      <w:r w:rsidR="000431FF">
        <w:t xml:space="preserve">that certain </w:t>
      </w:r>
      <w:r w:rsidR="00313356">
        <w:t xml:space="preserve">unidentified </w:t>
      </w:r>
      <w:r w:rsidR="000431FF">
        <w:t>manufacturers of legacy EAS equipment are “unwilling or unable</w:t>
      </w:r>
      <w:r w:rsidR="00DE5481">
        <w:t>”</w:t>
      </w:r>
      <w:r w:rsidR="000431FF">
        <w:t xml:space="preserve"> to update their equipment </w:t>
      </w:r>
      <w:r w:rsidR="00D8153F">
        <w:t xml:space="preserve">so that it can correctly process the “six zeroes” </w:t>
      </w:r>
      <w:r w:rsidR="002A5451">
        <w:t xml:space="preserve">national </w:t>
      </w:r>
      <w:r w:rsidR="00D8153F">
        <w:t>location code</w:t>
      </w:r>
      <w:r w:rsidR="004B00EC">
        <w:t xml:space="preserve">, </w:t>
      </w:r>
      <w:r w:rsidR="00313356">
        <w:t xml:space="preserve">yet </w:t>
      </w:r>
      <w:r w:rsidR="00154584">
        <w:t xml:space="preserve">it </w:t>
      </w:r>
      <w:r w:rsidR="00313356">
        <w:t xml:space="preserve">does not identify what this legacy EAS equipment is, how much of it is still in use, or why the manufacturers of this equipment </w:t>
      </w:r>
      <w:r w:rsidR="006877E5">
        <w:t xml:space="preserve">and their EAS Participant customers </w:t>
      </w:r>
      <w:r w:rsidR="00313356">
        <w:t>cannot or will not update it to comply with the Commission’s rules.</w:t>
      </w:r>
      <w:r w:rsidR="00313356">
        <w:rPr>
          <w:rStyle w:val="FootnoteReference"/>
        </w:rPr>
        <w:footnoteReference w:id="44"/>
      </w:r>
      <w:r w:rsidR="00313356">
        <w:t xml:space="preserve">  </w:t>
      </w:r>
      <w:r w:rsidR="007040B3">
        <w:t xml:space="preserve">Moreover, while it is true that commenters to the Waiver Request </w:t>
      </w:r>
      <w:r w:rsidR="00446650">
        <w:t xml:space="preserve">claim </w:t>
      </w:r>
      <w:r w:rsidR="00A176B8">
        <w:t>updat</w:t>
      </w:r>
      <w:r w:rsidR="00446650">
        <w:t xml:space="preserve">ing or </w:t>
      </w:r>
      <w:r w:rsidR="007040B3">
        <w:t>replac</w:t>
      </w:r>
      <w:r w:rsidR="00446650">
        <w:t xml:space="preserve">ing current </w:t>
      </w:r>
      <w:r w:rsidR="00112CC6">
        <w:t>equipment would</w:t>
      </w:r>
      <w:r w:rsidR="007040B3">
        <w:t xml:space="preserve"> pose a financial burden,</w:t>
      </w:r>
      <w:r w:rsidR="007040B3">
        <w:rPr>
          <w:rStyle w:val="FootnoteReference"/>
        </w:rPr>
        <w:footnoteReference w:id="45"/>
      </w:r>
      <w:r w:rsidR="007040B3">
        <w:t xml:space="preserve"> </w:t>
      </w:r>
      <w:r w:rsidR="00C722E1">
        <w:t xml:space="preserve">none </w:t>
      </w:r>
      <w:r w:rsidR="002D0D49">
        <w:t xml:space="preserve">of </w:t>
      </w:r>
      <w:r w:rsidR="007040B3">
        <w:t>the</w:t>
      </w:r>
      <w:r w:rsidR="00C52C61">
        <w:t xml:space="preserve">se commenters </w:t>
      </w:r>
      <w:r w:rsidR="00C722E1">
        <w:t>ha</w:t>
      </w:r>
      <w:r w:rsidR="00AB5189">
        <w:t>s</w:t>
      </w:r>
      <w:r w:rsidR="00C722E1">
        <w:t xml:space="preserve"> </w:t>
      </w:r>
      <w:r w:rsidR="002D0D49">
        <w:t>identif</w:t>
      </w:r>
      <w:r w:rsidR="00C722E1">
        <w:t xml:space="preserve">ied </w:t>
      </w:r>
      <w:r w:rsidR="002D0D49">
        <w:t>the equipment at issue</w:t>
      </w:r>
      <w:r w:rsidR="00C722E1">
        <w:t>,</w:t>
      </w:r>
      <w:r w:rsidR="002D0D49">
        <w:rPr>
          <w:rStyle w:val="FootnoteReference"/>
        </w:rPr>
        <w:footnoteReference w:id="46"/>
      </w:r>
      <w:r w:rsidR="00C722E1">
        <w:t xml:space="preserve"> and none has indicated wh</w:t>
      </w:r>
      <w:r w:rsidR="00FB0E25">
        <w:t xml:space="preserve">at particular costs distinguish </w:t>
      </w:r>
      <w:r w:rsidR="00AB5189">
        <w:t>its</w:t>
      </w:r>
      <w:r w:rsidR="00FB0E25">
        <w:t xml:space="preserve"> equipment from that required by the </w:t>
      </w:r>
      <w:r w:rsidR="002E3C46">
        <w:t xml:space="preserve">Commission’s rules, </w:t>
      </w:r>
      <w:r w:rsidR="00FB0E25">
        <w:t xml:space="preserve">for which the upgrade to the “six zero” national location code should require no more than the </w:t>
      </w:r>
      <w:r w:rsidR="00C722E1">
        <w:t>minimal</w:t>
      </w:r>
      <w:r w:rsidR="00FB0E25">
        <w:t xml:space="preserve"> cost of a </w:t>
      </w:r>
      <w:r w:rsidR="00C722E1">
        <w:t>software upgrade.</w:t>
      </w:r>
      <w:r w:rsidR="00C722E1">
        <w:rPr>
          <w:rStyle w:val="FootnoteReference"/>
        </w:rPr>
        <w:footnoteReference w:id="47"/>
      </w:r>
      <w:r w:rsidR="002D0D49" w:rsidRPr="002D0D49">
        <w:t xml:space="preserve"> </w:t>
      </w:r>
      <w:r w:rsidR="00FB0E25">
        <w:t xml:space="preserve"> </w:t>
      </w:r>
      <w:r w:rsidR="00313356">
        <w:t xml:space="preserve">Further, the request </w:t>
      </w:r>
      <w:r w:rsidR="004B00EC">
        <w:t>seeks a waiver on behalf of “non-LP-1/LP-2 stations with no downstream monitoring stations</w:t>
      </w:r>
      <w:r w:rsidR="00313356">
        <w:t>,</w:t>
      </w:r>
      <w:r w:rsidR="004B00EC">
        <w:t>”</w:t>
      </w:r>
      <w:r w:rsidR="00076DD7">
        <w:rPr>
          <w:rStyle w:val="FootnoteReference"/>
        </w:rPr>
        <w:footnoteReference w:id="48"/>
      </w:r>
      <w:r w:rsidR="00313356">
        <w:t xml:space="preserve"> a </w:t>
      </w:r>
      <w:r w:rsidR="006877E5">
        <w:t xml:space="preserve">class that includes most of the </w:t>
      </w:r>
      <w:r w:rsidR="006877E5">
        <w:lastRenderedPageBreak/>
        <w:t>radio stations in the country, a majority of the entities affected by the</w:t>
      </w:r>
      <w:r w:rsidR="006877E5" w:rsidRPr="006877E5">
        <w:t xml:space="preserve"> </w:t>
      </w:r>
      <w:r w:rsidR="0047774F" w:rsidRPr="0047774F">
        <w:t>“six zero</w:t>
      </w:r>
      <w:r w:rsidR="00546716">
        <w:t>es</w:t>
      </w:r>
      <w:r w:rsidR="0047774F" w:rsidRPr="0047774F">
        <w:t xml:space="preserve">” </w:t>
      </w:r>
      <w:r w:rsidR="0047774F">
        <w:t>r</w:t>
      </w:r>
      <w:r w:rsidR="006877E5">
        <w:t>equirement.</w:t>
      </w:r>
      <w:r w:rsidR="006877E5">
        <w:rPr>
          <w:rStyle w:val="FootnoteReference"/>
        </w:rPr>
        <w:footnoteReference w:id="49"/>
      </w:r>
      <w:r w:rsidR="006877E5">
        <w:t xml:space="preserve">  Granting </w:t>
      </w:r>
      <w:r w:rsidR="0047774F">
        <w:t xml:space="preserve">the requested </w:t>
      </w:r>
      <w:r w:rsidR="006877E5">
        <w:t>waiver</w:t>
      </w:r>
      <w:r w:rsidR="008E6B82">
        <w:t>, particularly as presented,</w:t>
      </w:r>
      <w:r w:rsidR="006877E5">
        <w:t xml:space="preserve"> </w:t>
      </w:r>
      <w:r w:rsidR="0047774F">
        <w:t xml:space="preserve">would thus constitute an impermissible </w:t>
      </w:r>
      <w:r w:rsidR="006877E5" w:rsidRPr="0047774F">
        <w:rPr>
          <w:i/>
        </w:rPr>
        <w:t>de facto</w:t>
      </w:r>
      <w:r w:rsidR="006877E5">
        <w:t xml:space="preserve"> </w:t>
      </w:r>
      <w:r w:rsidR="0047774F">
        <w:t>rule change</w:t>
      </w:r>
      <w:r w:rsidR="002F7A8E">
        <w:t>,</w:t>
      </w:r>
      <w:r w:rsidR="0047774F">
        <w:t xml:space="preserve"> rather than </w:t>
      </w:r>
      <w:r w:rsidR="0079196E">
        <w:t>the</w:t>
      </w:r>
      <w:r w:rsidR="0047774F">
        <w:t xml:space="preserve"> narrowly crafted deviation from the rules permitted under the Commission’s waiver standard.</w:t>
      </w:r>
      <w:r w:rsidR="002F7A8E">
        <w:rPr>
          <w:rStyle w:val="FootnoteReference"/>
        </w:rPr>
        <w:footnoteReference w:id="50"/>
      </w:r>
      <w:r w:rsidR="0047774F">
        <w:t xml:space="preserve">  </w:t>
      </w:r>
      <w:r w:rsidR="002A5451">
        <w:t>Additionally</w:t>
      </w:r>
      <w:r w:rsidR="00F80247">
        <w:t xml:space="preserve">, </w:t>
      </w:r>
      <w:r w:rsidR="00F9747E">
        <w:t xml:space="preserve">the Waiver Request does not </w:t>
      </w:r>
      <w:r w:rsidR="00290325">
        <w:t xml:space="preserve">identify with sufficient particularity the duration of the requested waiver.  </w:t>
      </w:r>
      <w:r w:rsidR="00F80247">
        <w:t xml:space="preserve">It </w:t>
      </w:r>
      <w:r w:rsidR="00290325">
        <w:t xml:space="preserve">asks the Commission to waive the rule </w:t>
      </w:r>
      <w:r w:rsidR="00F9747E">
        <w:t>until the “affected legacy equipment” ceases to operate</w:t>
      </w:r>
      <w:r w:rsidR="00290325">
        <w:t>.</w:t>
      </w:r>
      <w:r w:rsidR="00290325">
        <w:rPr>
          <w:rStyle w:val="FootnoteReference"/>
        </w:rPr>
        <w:footnoteReference w:id="51"/>
      </w:r>
      <w:r w:rsidR="00290325">
        <w:t xml:space="preserve">  However, without more information on the </w:t>
      </w:r>
      <w:r w:rsidR="00313356">
        <w:t>equipment involved</w:t>
      </w:r>
      <w:r w:rsidR="00D17CF1">
        <w:t>,</w:t>
      </w:r>
      <w:r w:rsidR="00313356">
        <w:t xml:space="preserve"> the specific </w:t>
      </w:r>
      <w:r w:rsidR="00290325">
        <w:t>EAS Participants who need the waiver,</w:t>
      </w:r>
      <w:r w:rsidR="00D17CF1">
        <w:t xml:space="preserve"> </w:t>
      </w:r>
      <w:r w:rsidR="00AB5189">
        <w:t xml:space="preserve">and </w:t>
      </w:r>
      <w:r w:rsidR="00D17CF1">
        <w:t xml:space="preserve">when </w:t>
      </w:r>
      <w:r w:rsidR="0046303C">
        <w:t>such EAS Particip</w:t>
      </w:r>
      <w:r w:rsidR="00AB5189">
        <w:t>ants</w:t>
      </w:r>
      <w:r w:rsidR="0046303C">
        <w:t xml:space="preserve"> </w:t>
      </w:r>
      <w:r w:rsidR="00D17CF1">
        <w:t>plan to upgrade their equipment,</w:t>
      </w:r>
      <w:r w:rsidR="00290325">
        <w:t xml:space="preserve"> it is </w:t>
      </w:r>
      <w:r w:rsidR="002A5451">
        <w:t>un</w:t>
      </w:r>
      <w:r w:rsidR="00290325">
        <w:t xml:space="preserve">clear </w:t>
      </w:r>
      <w:r w:rsidR="00114E30">
        <w:t xml:space="preserve">when that would be or </w:t>
      </w:r>
      <w:r w:rsidR="00290325">
        <w:t xml:space="preserve">how </w:t>
      </w:r>
      <w:r w:rsidR="00114E30">
        <w:t xml:space="preserve">we could even estimate a reasonable cut-off </w:t>
      </w:r>
      <w:r w:rsidR="002A5451">
        <w:t>date</w:t>
      </w:r>
      <w:r w:rsidR="00290325">
        <w:t>.</w:t>
      </w:r>
      <w:r w:rsidR="00273244">
        <w:rPr>
          <w:rStyle w:val="FootnoteReference"/>
        </w:rPr>
        <w:footnoteReference w:id="52"/>
      </w:r>
      <w:r w:rsidR="00290325">
        <w:t xml:space="preserve">  </w:t>
      </w:r>
      <w:r w:rsidR="003A2D73">
        <w:t xml:space="preserve">Accordingly, </w:t>
      </w:r>
      <w:r w:rsidR="002A5451">
        <w:t>the Waiver Request has not shown</w:t>
      </w:r>
      <w:r w:rsidR="003A2D73">
        <w:t xml:space="preserve"> that special circumstances warrant a waiver of Section 11.56(a)(2).</w:t>
      </w:r>
      <w:r w:rsidR="003A2D73">
        <w:rPr>
          <w:rStyle w:val="FootnoteReference"/>
        </w:rPr>
        <w:footnoteReference w:id="53"/>
      </w:r>
    </w:p>
    <w:p w14:paraId="045FD07B" w14:textId="77777777" w:rsidR="00154584" w:rsidRDefault="003A2D73" w:rsidP="00154584">
      <w:pPr>
        <w:pStyle w:val="ParaNum"/>
      </w:pPr>
      <w:r>
        <w:t xml:space="preserve">The Waiver Request also fails to show </w:t>
      </w:r>
      <w:r w:rsidR="002A5451">
        <w:t>how a deviation</w:t>
      </w:r>
      <w:r>
        <w:t xml:space="preserve"> from the Commission’s rules would serve the public interest.</w:t>
      </w:r>
      <w:r w:rsidR="000356EA">
        <w:t xml:space="preserve">  As noted above, the purpose of the “</w:t>
      </w:r>
      <w:r w:rsidR="000356EA" w:rsidRPr="006D1935">
        <w:rPr>
          <w:szCs w:val="22"/>
        </w:rPr>
        <w:t xml:space="preserve">six zeroes” location code is to improve the efficiency of the EAS by ensuring consistency between the EAS rules and industry CAP standards, which already recognize “six zeroes” as the national location code.  </w:t>
      </w:r>
      <w:r w:rsidR="008B2A00" w:rsidRPr="006D1935">
        <w:rPr>
          <w:szCs w:val="22"/>
        </w:rPr>
        <w:t>That</w:t>
      </w:r>
      <w:r w:rsidR="00D1059F">
        <w:rPr>
          <w:szCs w:val="22"/>
        </w:rPr>
        <w:t xml:space="preserve"> consistency</w:t>
      </w:r>
      <w:r w:rsidR="008B2A00" w:rsidRPr="006D1935">
        <w:rPr>
          <w:szCs w:val="22"/>
        </w:rPr>
        <w:t xml:space="preserve">, in turn, facilitates the integration of the EAS into </w:t>
      </w:r>
      <w:r w:rsidR="002A5451">
        <w:rPr>
          <w:szCs w:val="22"/>
        </w:rPr>
        <w:t xml:space="preserve">IP-based alerting systems, such as </w:t>
      </w:r>
      <w:r w:rsidR="008B2A00" w:rsidRPr="006D1935">
        <w:rPr>
          <w:szCs w:val="22"/>
        </w:rPr>
        <w:t xml:space="preserve">IPAWS.  </w:t>
      </w:r>
      <w:r w:rsidR="000356EA" w:rsidRPr="006D1935">
        <w:rPr>
          <w:szCs w:val="22"/>
        </w:rPr>
        <w:t xml:space="preserve">In addition, use of a single national location code is intended to simplify the national alerting structure </w:t>
      </w:r>
      <w:r w:rsidR="0044097C" w:rsidRPr="006D1935">
        <w:rPr>
          <w:szCs w:val="22"/>
        </w:rPr>
        <w:t xml:space="preserve">and avoid confusion </w:t>
      </w:r>
      <w:r w:rsidR="000356EA" w:rsidRPr="006D1935">
        <w:rPr>
          <w:szCs w:val="22"/>
        </w:rPr>
        <w:t xml:space="preserve">by </w:t>
      </w:r>
      <w:r w:rsidR="0044097C" w:rsidRPr="006D1935">
        <w:rPr>
          <w:szCs w:val="22"/>
        </w:rPr>
        <w:t>eliminating t</w:t>
      </w:r>
      <w:r w:rsidR="000356EA" w:rsidRPr="006D1935">
        <w:rPr>
          <w:szCs w:val="22"/>
        </w:rPr>
        <w:t xml:space="preserve">he need </w:t>
      </w:r>
      <w:r w:rsidR="0044097C" w:rsidRPr="006D1935">
        <w:rPr>
          <w:szCs w:val="22"/>
        </w:rPr>
        <w:t xml:space="preserve">to </w:t>
      </w:r>
      <w:r w:rsidR="008B2A00" w:rsidRPr="006D1935">
        <w:rPr>
          <w:szCs w:val="22"/>
        </w:rPr>
        <w:t>send multiple alerts or</w:t>
      </w:r>
      <w:r w:rsidR="002A5451">
        <w:rPr>
          <w:szCs w:val="22"/>
        </w:rPr>
        <w:t xml:space="preserve"> to</w:t>
      </w:r>
      <w:r w:rsidR="008B2A00" w:rsidRPr="006D1935">
        <w:rPr>
          <w:szCs w:val="22"/>
        </w:rPr>
        <w:t xml:space="preserve"> use </w:t>
      </w:r>
      <w:r w:rsidR="0044097C" w:rsidRPr="006D1935">
        <w:rPr>
          <w:szCs w:val="22"/>
        </w:rPr>
        <w:t xml:space="preserve">a single locality code for a </w:t>
      </w:r>
      <w:r w:rsidR="000356EA" w:rsidRPr="006D1935">
        <w:rPr>
          <w:szCs w:val="22"/>
        </w:rPr>
        <w:t>nationwide alert</w:t>
      </w:r>
      <w:r w:rsidR="0044097C" w:rsidRPr="006D1935">
        <w:rPr>
          <w:szCs w:val="22"/>
        </w:rPr>
        <w:t xml:space="preserve">.  The relief sought by the Waiver Request – </w:t>
      </w:r>
      <w:r w:rsidR="008F6465" w:rsidRPr="006D1935">
        <w:rPr>
          <w:szCs w:val="22"/>
        </w:rPr>
        <w:t xml:space="preserve">using </w:t>
      </w:r>
      <w:r w:rsidR="0044097C" w:rsidRPr="006D1935">
        <w:rPr>
          <w:szCs w:val="22"/>
        </w:rPr>
        <w:t xml:space="preserve">state location codes for </w:t>
      </w:r>
      <w:r w:rsidR="00DE5481">
        <w:rPr>
          <w:szCs w:val="22"/>
        </w:rPr>
        <w:t>a</w:t>
      </w:r>
      <w:r w:rsidR="00D521E6">
        <w:rPr>
          <w:szCs w:val="22"/>
        </w:rPr>
        <w:t xml:space="preserve"> nationwide alert </w:t>
      </w:r>
      <w:r w:rsidR="0044097C" w:rsidRPr="006D1935">
        <w:rPr>
          <w:szCs w:val="22"/>
        </w:rPr>
        <w:t xml:space="preserve">– </w:t>
      </w:r>
      <w:r w:rsidR="00D1059F">
        <w:rPr>
          <w:szCs w:val="22"/>
        </w:rPr>
        <w:t xml:space="preserve">is </w:t>
      </w:r>
      <w:r w:rsidR="00A142A1" w:rsidRPr="006D1935">
        <w:rPr>
          <w:szCs w:val="22"/>
        </w:rPr>
        <w:t xml:space="preserve">exactly the sort of </w:t>
      </w:r>
      <w:r w:rsidR="00A80644">
        <w:rPr>
          <w:szCs w:val="22"/>
        </w:rPr>
        <w:t xml:space="preserve">alternate, “workaround” </w:t>
      </w:r>
      <w:r w:rsidR="00A142A1" w:rsidRPr="006D1935">
        <w:rPr>
          <w:szCs w:val="22"/>
        </w:rPr>
        <w:t>process that</w:t>
      </w:r>
      <w:r w:rsidR="002A5451">
        <w:rPr>
          <w:szCs w:val="22"/>
        </w:rPr>
        <w:t xml:space="preserve"> </w:t>
      </w:r>
      <w:r w:rsidR="00A142A1" w:rsidRPr="006D1935">
        <w:rPr>
          <w:szCs w:val="22"/>
        </w:rPr>
        <w:t xml:space="preserve">the “six zeroes” </w:t>
      </w:r>
      <w:r w:rsidR="002A5451">
        <w:rPr>
          <w:szCs w:val="22"/>
        </w:rPr>
        <w:t xml:space="preserve">national location </w:t>
      </w:r>
      <w:r w:rsidR="00A142A1" w:rsidRPr="006D1935">
        <w:rPr>
          <w:szCs w:val="22"/>
        </w:rPr>
        <w:t xml:space="preserve">code is intended to eliminate.  </w:t>
      </w:r>
      <w:r w:rsidR="00313356">
        <w:rPr>
          <w:szCs w:val="22"/>
        </w:rPr>
        <w:t xml:space="preserve">Further, there is no indication that the requested “workaround” would be effective, </w:t>
      </w:r>
      <w:r w:rsidR="00313356" w:rsidRPr="00313356">
        <w:rPr>
          <w:szCs w:val="22"/>
        </w:rPr>
        <w:t xml:space="preserve">as it would only apply to EAS alerts received via the IPAWS </w:t>
      </w:r>
      <w:r w:rsidR="00AD0D75">
        <w:rPr>
          <w:szCs w:val="22"/>
        </w:rPr>
        <w:t>CAP f</w:t>
      </w:r>
      <w:r w:rsidR="00313356" w:rsidRPr="00313356">
        <w:rPr>
          <w:szCs w:val="22"/>
        </w:rPr>
        <w:t xml:space="preserve">eed.  Alerts delivered over the air would contain the “six zeroes” code and </w:t>
      </w:r>
      <w:r w:rsidR="00313356">
        <w:rPr>
          <w:szCs w:val="22"/>
        </w:rPr>
        <w:t xml:space="preserve">would not </w:t>
      </w:r>
      <w:r w:rsidR="00313356" w:rsidRPr="00313356">
        <w:rPr>
          <w:szCs w:val="22"/>
        </w:rPr>
        <w:t>be proce</w:t>
      </w:r>
      <w:r w:rsidR="00313356">
        <w:rPr>
          <w:szCs w:val="22"/>
        </w:rPr>
        <w:t xml:space="preserve">ssed by the old EAS equipment.  </w:t>
      </w:r>
      <w:r w:rsidR="00901DD1">
        <w:rPr>
          <w:szCs w:val="22"/>
        </w:rPr>
        <w:t>Finally, t</w:t>
      </w:r>
      <w:r w:rsidR="00A142A1" w:rsidRPr="006D1935">
        <w:rPr>
          <w:szCs w:val="22"/>
        </w:rPr>
        <w:t xml:space="preserve">he </w:t>
      </w:r>
      <w:r w:rsidR="008B2A00" w:rsidRPr="006D1935">
        <w:rPr>
          <w:szCs w:val="22"/>
        </w:rPr>
        <w:t xml:space="preserve">Commission has emphasized </w:t>
      </w:r>
      <w:r w:rsidR="008A46FD" w:rsidRPr="006D1935">
        <w:rPr>
          <w:szCs w:val="22"/>
        </w:rPr>
        <w:t xml:space="preserve">the importance of </w:t>
      </w:r>
      <w:r w:rsidR="00B52BCC">
        <w:rPr>
          <w:szCs w:val="22"/>
        </w:rPr>
        <w:t>meeting t</w:t>
      </w:r>
      <w:r w:rsidR="008A46FD" w:rsidRPr="006D1935">
        <w:rPr>
          <w:szCs w:val="22"/>
        </w:rPr>
        <w:t xml:space="preserve">he deadline for implementing the </w:t>
      </w:r>
      <w:r w:rsidR="0022170C" w:rsidRPr="006D1935">
        <w:rPr>
          <w:szCs w:val="22"/>
        </w:rPr>
        <w:t xml:space="preserve">“six zeroes” code </w:t>
      </w:r>
      <w:r w:rsidR="008A46FD" w:rsidRPr="006D1935">
        <w:rPr>
          <w:szCs w:val="22"/>
        </w:rPr>
        <w:t xml:space="preserve">so that EAS Participants can process the </w:t>
      </w:r>
      <w:r w:rsidR="00B52BCC">
        <w:rPr>
          <w:szCs w:val="22"/>
        </w:rPr>
        <w:t xml:space="preserve">new </w:t>
      </w:r>
      <w:r w:rsidR="008A46FD" w:rsidRPr="006D1935">
        <w:rPr>
          <w:szCs w:val="22"/>
        </w:rPr>
        <w:t xml:space="preserve">code during </w:t>
      </w:r>
      <w:r w:rsidR="0022170C" w:rsidRPr="006D1935">
        <w:rPr>
          <w:szCs w:val="22"/>
        </w:rPr>
        <w:t xml:space="preserve">the upcoming </w:t>
      </w:r>
      <w:r w:rsidR="008B2A00" w:rsidRPr="006D1935">
        <w:rPr>
          <w:szCs w:val="22"/>
        </w:rPr>
        <w:t>second nationwide EAS test</w:t>
      </w:r>
      <w:r w:rsidR="008A46FD" w:rsidRPr="006D1935">
        <w:rPr>
          <w:szCs w:val="22"/>
        </w:rPr>
        <w:t>.</w:t>
      </w:r>
      <w:r w:rsidR="00EC0BD3">
        <w:rPr>
          <w:rStyle w:val="FootnoteReference"/>
          <w:szCs w:val="22"/>
        </w:rPr>
        <w:footnoteReference w:id="54"/>
      </w:r>
      <w:r w:rsidR="008A46FD" w:rsidRPr="006D1935">
        <w:rPr>
          <w:szCs w:val="22"/>
        </w:rPr>
        <w:t xml:space="preserve">  Grant</w:t>
      </w:r>
      <w:r w:rsidR="0022170C" w:rsidRPr="006D1935">
        <w:rPr>
          <w:szCs w:val="22"/>
        </w:rPr>
        <w:t xml:space="preserve">ing the </w:t>
      </w:r>
      <w:r w:rsidR="008A46FD" w:rsidRPr="006D1935">
        <w:rPr>
          <w:szCs w:val="22"/>
        </w:rPr>
        <w:t>W</w:t>
      </w:r>
      <w:r w:rsidR="0022170C" w:rsidRPr="006D1935">
        <w:rPr>
          <w:szCs w:val="22"/>
        </w:rPr>
        <w:t>aiver Request would be inconsistent with the public interest goal</w:t>
      </w:r>
      <w:r w:rsidR="00D1059F">
        <w:rPr>
          <w:szCs w:val="22"/>
        </w:rPr>
        <w:t xml:space="preserve">s </w:t>
      </w:r>
      <w:r w:rsidR="00D521E6">
        <w:rPr>
          <w:szCs w:val="22"/>
        </w:rPr>
        <w:t>of t</w:t>
      </w:r>
      <w:r w:rsidR="00D1059F">
        <w:rPr>
          <w:szCs w:val="22"/>
        </w:rPr>
        <w:t xml:space="preserve">he </w:t>
      </w:r>
      <w:r w:rsidR="00D521E6">
        <w:rPr>
          <w:szCs w:val="22"/>
        </w:rPr>
        <w:t xml:space="preserve">second </w:t>
      </w:r>
      <w:r w:rsidR="00D1059F">
        <w:rPr>
          <w:szCs w:val="22"/>
        </w:rPr>
        <w:t xml:space="preserve">nationwide test, including </w:t>
      </w:r>
      <w:r w:rsidR="00B52BCC">
        <w:rPr>
          <w:szCs w:val="22"/>
        </w:rPr>
        <w:t xml:space="preserve">the goal of evaluating </w:t>
      </w:r>
      <w:r w:rsidR="00A4120E">
        <w:rPr>
          <w:szCs w:val="22"/>
        </w:rPr>
        <w:t xml:space="preserve">the reliability and effectiveness of </w:t>
      </w:r>
      <w:r w:rsidR="00B52BCC">
        <w:rPr>
          <w:szCs w:val="22"/>
        </w:rPr>
        <w:t xml:space="preserve">the “six zeroes” code and other measures adopted </w:t>
      </w:r>
      <w:r w:rsidR="00D521E6">
        <w:rPr>
          <w:szCs w:val="22"/>
        </w:rPr>
        <w:t xml:space="preserve">after the </w:t>
      </w:r>
      <w:r w:rsidR="00A4120E">
        <w:rPr>
          <w:szCs w:val="22"/>
        </w:rPr>
        <w:t>first nationwide test.</w:t>
      </w:r>
      <w:r w:rsidR="00A4120E">
        <w:rPr>
          <w:rStyle w:val="FootnoteReference"/>
          <w:szCs w:val="22"/>
        </w:rPr>
        <w:footnoteReference w:id="55"/>
      </w:r>
      <w:r w:rsidR="00A4120E">
        <w:rPr>
          <w:szCs w:val="22"/>
        </w:rPr>
        <w:t xml:space="preserve"> </w:t>
      </w:r>
      <w:r w:rsidR="008A46FD" w:rsidRPr="00A4120E">
        <w:rPr>
          <w:szCs w:val="22"/>
        </w:rPr>
        <w:t xml:space="preserve"> </w:t>
      </w:r>
      <w:r w:rsidR="002A5451">
        <w:rPr>
          <w:szCs w:val="22"/>
        </w:rPr>
        <w:t>Therefore</w:t>
      </w:r>
      <w:r w:rsidR="00E51908" w:rsidRPr="00A4120E">
        <w:rPr>
          <w:szCs w:val="22"/>
        </w:rPr>
        <w:t xml:space="preserve">, we find that the </w:t>
      </w:r>
      <w:r w:rsidR="00E51908" w:rsidRPr="00047B4A">
        <w:t xml:space="preserve">requested waiver would </w:t>
      </w:r>
      <w:r w:rsidR="0022170C">
        <w:t xml:space="preserve">be inconsistent with the public interest goals </w:t>
      </w:r>
      <w:r w:rsidR="00FF1343">
        <w:t xml:space="preserve">underlying </w:t>
      </w:r>
      <w:r w:rsidR="0022170C">
        <w:t>Section 11.56(a)(2)</w:t>
      </w:r>
      <w:r w:rsidR="00FF1343">
        <w:t xml:space="preserve"> and the “six zeroes” location code </w:t>
      </w:r>
      <w:r w:rsidR="00D521E6">
        <w:t>w</w:t>
      </w:r>
      <w:r w:rsidR="00FF1343">
        <w:t xml:space="preserve">ithout </w:t>
      </w:r>
      <w:r w:rsidR="00E51908" w:rsidRPr="00047B4A">
        <w:t xml:space="preserve">offering </w:t>
      </w:r>
      <w:r w:rsidR="00E51908">
        <w:t>a clear</w:t>
      </w:r>
      <w:r w:rsidR="00E51908" w:rsidRPr="00047B4A">
        <w:t xml:space="preserve"> benefit to the public interest.</w:t>
      </w:r>
    </w:p>
    <w:p w14:paraId="234B9482" w14:textId="77777777" w:rsidR="00A4120E" w:rsidRPr="00047B4A" w:rsidRDefault="00A4120E" w:rsidP="00A4120E">
      <w:pPr>
        <w:widowControl/>
        <w:autoSpaceDE w:val="0"/>
        <w:autoSpaceDN w:val="0"/>
        <w:adjustRightInd w:val="0"/>
      </w:pPr>
    </w:p>
    <w:p w14:paraId="258CFB2C" w14:textId="77777777" w:rsidR="0040439D" w:rsidRPr="00047B4A" w:rsidRDefault="0040439D" w:rsidP="0040439D">
      <w:pPr>
        <w:pStyle w:val="Heading1"/>
      </w:pPr>
      <w:r w:rsidRPr="00047B4A">
        <w:t>ORDERING CLAUSES</w:t>
      </w:r>
    </w:p>
    <w:p w14:paraId="2C8C8673" w14:textId="638C56BB" w:rsidR="0040439D" w:rsidRPr="00047B4A" w:rsidRDefault="0040439D" w:rsidP="0040439D">
      <w:pPr>
        <w:pStyle w:val="ParaNum"/>
      </w:pPr>
      <w:r w:rsidRPr="00047B4A">
        <w:t>Accordingly, IT IS ORDERED, pursuant to Section 1.</w:t>
      </w:r>
      <w:r w:rsidR="000E34CB">
        <w:t xml:space="preserve">3 </w:t>
      </w:r>
      <w:r w:rsidRPr="00047B4A">
        <w:t>of the Commission’s rules, 47 C</w:t>
      </w:r>
      <w:r w:rsidR="00BE01FC">
        <w:t>.</w:t>
      </w:r>
      <w:r w:rsidRPr="00047B4A">
        <w:t>F</w:t>
      </w:r>
      <w:r w:rsidR="00BE01FC">
        <w:t>.</w:t>
      </w:r>
      <w:r w:rsidRPr="00047B4A">
        <w:t>R</w:t>
      </w:r>
      <w:r w:rsidR="00BE01FC">
        <w:t>.</w:t>
      </w:r>
      <w:r w:rsidRPr="00047B4A">
        <w:t xml:space="preserve"> § 1.</w:t>
      </w:r>
      <w:r w:rsidR="000E34CB">
        <w:t>3</w:t>
      </w:r>
      <w:r w:rsidRPr="00047B4A">
        <w:t>, that the Waiver Request filed by Gorman-Redlich is DENIED.</w:t>
      </w:r>
    </w:p>
    <w:p w14:paraId="260EBDD9" w14:textId="77777777" w:rsidR="0040439D" w:rsidRPr="00047B4A" w:rsidRDefault="0040439D" w:rsidP="0040439D">
      <w:pPr>
        <w:pStyle w:val="ParaNum"/>
      </w:pPr>
      <w:r w:rsidRPr="00047B4A">
        <w:t>This action is taken under delegated authority pursuant to 47 C.F.R. §§ 0.191 and 0.392.</w:t>
      </w:r>
    </w:p>
    <w:p w14:paraId="1E960008" w14:textId="77777777" w:rsidR="00424073" w:rsidRPr="00047B4A" w:rsidRDefault="00424073" w:rsidP="00424073">
      <w:pPr>
        <w:pStyle w:val="ParaNum"/>
        <w:numPr>
          <w:ilvl w:val="0"/>
          <w:numId w:val="0"/>
        </w:numPr>
        <w:ind w:firstLine="720"/>
      </w:pPr>
    </w:p>
    <w:p w14:paraId="7B8BF058" w14:textId="77777777" w:rsidR="00424073" w:rsidRPr="00047B4A" w:rsidRDefault="00424073" w:rsidP="00424073">
      <w:pPr>
        <w:pStyle w:val="ParaNum"/>
        <w:numPr>
          <w:ilvl w:val="0"/>
          <w:numId w:val="0"/>
        </w:numPr>
        <w:spacing w:after="0"/>
        <w:ind w:left="3600" w:firstLine="720"/>
      </w:pPr>
      <w:r w:rsidRPr="00047B4A">
        <w:t>FEDERAL COMMUNICATIONS COMMISSION</w:t>
      </w:r>
    </w:p>
    <w:p w14:paraId="42905E13" w14:textId="77777777" w:rsidR="00424073" w:rsidRPr="00047B4A" w:rsidRDefault="00424073" w:rsidP="00424073">
      <w:pPr>
        <w:pStyle w:val="ParaNum"/>
        <w:numPr>
          <w:ilvl w:val="0"/>
          <w:numId w:val="0"/>
        </w:numPr>
        <w:spacing w:after="0"/>
        <w:ind w:left="3600" w:firstLine="720"/>
      </w:pPr>
    </w:p>
    <w:p w14:paraId="3775CD5A" w14:textId="77777777" w:rsidR="00424073" w:rsidRPr="00047B4A" w:rsidRDefault="00424073" w:rsidP="00424073">
      <w:pPr>
        <w:pStyle w:val="ParaNum"/>
        <w:numPr>
          <w:ilvl w:val="0"/>
          <w:numId w:val="0"/>
        </w:numPr>
        <w:spacing w:after="0"/>
        <w:ind w:left="3600" w:firstLine="720"/>
      </w:pPr>
    </w:p>
    <w:p w14:paraId="3D53D65A" w14:textId="77777777" w:rsidR="00424073" w:rsidRPr="00047B4A" w:rsidRDefault="00424073" w:rsidP="00424073">
      <w:pPr>
        <w:pStyle w:val="ParaNum"/>
        <w:numPr>
          <w:ilvl w:val="0"/>
          <w:numId w:val="0"/>
        </w:numPr>
        <w:spacing w:after="0"/>
        <w:ind w:left="3600" w:firstLine="720"/>
      </w:pPr>
    </w:p>
    <w:p w14:paraId="545320AC" w14:textId="77777777" w:rsidR="00F70D6D" w:rsidRDefault="00F70D6D" w:rsidP="00F70D6D">
      <w:pPr>
        <w:ind w:left="3600" w:firstLine="720"/>
        <w:rPr>
          <w:szCs w:val="22"/>
        </w:rPr>
      </w:pPr>
      <w:r>
        <w:rPr>
          <w:szCs w:val="22"/>
        </w:rPr>
        <w:t xml:space="preserve">David G. Simpson </w:t>
      </w:r>
    </w:p>
    <w:p w14:paraId="1419487E" w14:textId="77777777" w:rsidR="00F70D6D" w:rsidRPr="008611B9" w:rsidRDefault="00F70D6D" w:rsidP="00F70D6D">
      <w:pPr>
        <w:rPr>
          <w:szCs w:val="22"/>
        </w:rPr>
      </w:pPr>
      <w:r w:rsidRPr="008611B9">
        <w:rPr>
          <w:szCs w:val="22"/>
        </w:rPr>
        <w:tab/>
      </w:r>
      <w:r w:rsidRPr="008611B9">
        <w:rPr>
          <w:szCs w:val="22"/>
        </w:rPr>
        <w:tab/>
      </w:r>
      <w:r w:rsidRPr="008611B9">
        <w:rPr>
          <w:szCs w:val="22"/>
        </w:rPr>
        <w:tab/>
      </w:r>
      <w:r w:rsidRPr="008611B9">
        <w:rPr>
          <w:szCs w:val="22"/>
        </w:rPr>
        <w:tab/>
      </w:r>
      <w:r w:rsidRPr="008611B9">
        <w:rPr>
          <w:szCs w:val="22"/>
        </w:rPr>
        <w:tab/>
      </w:r>
      <w:r w:rsidRPr="008611B9">
        <w:rPr>
          <w:szCs w:val="22"/>
        </w:rPr>
        <w:tab/>
      </w:r>
      <w:r>
        <w:rPr>
          <w:szCs w:val="22"/>
        </w:rPr>
        <w:t>Rear Admiral, USN (ret.)</w:t>
      </w:r>
    </w:p>
    <w:p w14:paraId="28FED3BB" w14:textId="77777777" w:rsidR="00F70D6D" w:rsidRPr="008611B9" w:rsidRDefault="00F70D6D" w:rsidP="00F70D6D">
      <w:pPr>
        <w:ind w:left="3600" w:firstLine="720"/>
      </w:pPr>
      <w:r>
        <w:rPr>
          <w:szCs w:val="22"/>
        </w:rPr>
        <w:t>Chief, Public Safety and Homeland Security Bureau</w:t>
      </w:r>
    </w:p>
    <w:p w14:paraId="530D6B20" w14:textId="77777777" w:rsidR="0025482C" w:rsidRPr="00047B4A" w:rsidRDefault="0025482C" w:rsidP="00424073">
      <w:pPr>
        <w:pStyle w:val="ParaNum"/>
        <w:numPr>
          <w:ilvl w:val="0"/>
          <w:numId w:val="0"/>
        </w:numPr>
        <w:spacing w:after="0"/>
        <w:ind w:left="3600" w:firstLine="720"/>
      </w:pPr>
    </w:p>
    <w:p w14:paraId="44D37B53" w14:textId="77777777" w:rsidR="00C2552F" w:rsidRPr="00047B4A" w:rsidRDefault="00C2552F" w:rsidP="00C2552F">
      <w:pPr>
        <w:pStyle w:val="ParaNum"/>
        <w:numPr>
          <w:ilvl w:val="0"/>
          <w:numId w:val="0"/>
        </w:numPr>
        <w:ind w:left="720"/>
      </w:pPr>
    </w:p>
    <w:p w14:paraId="002EEAAF" w14:textId="77777777" w:rsidR="00424073" w:rsidRPr="00047B4A" w:rsidRDefault="00424073" w:rsidP="00C2552F">
      <w:pPr>
        <w:pStyle w:val="ParaNum"/>
        <w:numPr>
          <w:ilvl w:val="0"/>
          <w:numId w:val="0"/>
        </w:numPr>
        <w:ind w:left="720"/>
      </w:pPr>
    </w:p>
    <w:sectPr w:rsidR="00424073" w:rsidRPr="00047B4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B33B4" w14:textId="77777777" w:rsidR="00112CC6" w:rsidRDefault="00112CC6">
      <w:pPr>
        <w:spacing w:line="20" w:lineRule="exact"/>
      </w:pPr>
    </w:p>
  </w:endnote>
  <w:endnote w:type="continuationSeparator" w:id="0">
    <w:p w14:paraId="3645DFF3" w14:textId="77777777" w:rsidR="00112CC6" w:rsidRDefault="00112CC6">
      <w:r>
        <w:t xml:space="preserve"> </w:t>
      </w:r>
    </w:p>
  </w:endnote>
  <w:endnote w:type="continuationNotice" w:id="1">
    <w:p w14:paraId="5F62FD82" w14:textId="77777777" w:rsidR="00112CC6" w:rsidRDefault="00112C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A2EF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DF7ACB6"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CB74"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60A7E">
      <w:rPr>
        <w:noProof/>
      </w:rPr>
      <w:t>5</w:t>
    </w:r>
    <w:r>
      <w:fldChar w:fldCharType="end"/>
    </w:r>
  </w:p>
  <w:p w14:paraId="4739CC99"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DB3A"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6548D" w14:textId="77777777" w:rsidR="00112CC6" w:rsidRDefault="00112CC6">
      <w:r>
        <w:separator/>
      </w:r>
    </w:p>
  </w:footnote>
  <w:footnote w:type="continuationSeparator" w:id="0">
    <w:p w14:paraId="5C8FD0A7" w14:textId="77777777" w:rsidR="00112CC6" w:rsidRDefault="00112CC6" w:rsidP="00C721AC">
      <w:pPr>
        <w:spacing w:before="120"/>
        <w:rPr>
          <w:sz w:val="20"/>
        </w:rPr>
      </w:pPr>
      <w:r>
        <w:rPr>
          <w:sz w:val="20"/>
        </w:rPr>
        <w:t xml:space="preserve">(Continued from previous page)  </w:t>
      </w:r>
      <w:r>
        <w:rPr>
          <w:sz w:val="20"/>
        </w:rPr>
        <w:separator/>
      </w:r>
    </w:p>
  </w:footnote>
  <w:footnote w:type="continuationNotice" w:id="1">
    <w:p w14:paraId="255A0653" w14:textId="77777777" w:rsidR="00112CC6" w:rsidRDefault="00112CC6" w:rsidP="00C721AC">
      <w:pPr>
        <w:jc w:val="right"/>
        <w:rPr>
          <w:sz w:val="20"/>
        </w:rPr>
      </w:pPr>
      <w:r>
        <w:rPr>
          <w:sz w:val="20"/>
        </w:rPr>
        <w:t>(continued….)</w:t>
      </w:r>
    </w:p>
  </w:footnote>
  <w:footnote w:id="2">
    <w:p w14:paraId="10D57EC9" w14:textId="3AF7B6BF" w:rsidR="00B666E9" w:rsidRDefault="00B666E9">
      <w:pPr>
        <w:pStyle w:val="FootnoteText"/>
      </w:pPr>
      <w:r>
        <w:rPr>
          <w:rStyle w:val="FootnoteReference"/>
        </w:rPr>
        <w:footnoteRef/>
      </w:r>
      <w:r>
        <w:t xml:space="preserve"> The request is filed by James T. Gorman on behalf of Gorman-Redlich.  We note that Gorman-Redlich Mfg. Co. is a manufacturer of emergency alerting equipment.</w:t>
      </w:r>
    </w:p>
  </w:footnote>
  <w:footnote w:id="3">
    <w:p w14:paraId="06AFDD20" w14:textId="4B6F9BBB" w:rsidR="00A273B3" w:rsidRPr="00047B4A" w:rsidRDefault="00A273B3">
      <w:pPr>
        <w:pStyle w:val="FootnoteText"/>
      </w:pPr>
      <w:r w:rsidRPr="00047B4A">
        <w:rPr>
          <w:rStyle w:val="FootnoteReference"/>
        </w:rPr>
        <w:footnoteRef/>
      </w:r>
      <w:r w:rsidRPr="00047B4A">
        <w:t xml:space="preserve"> Gorman-Redlich Waiver Request, PS Docket No. 15-94 </w:t>
      </w:r>
      <w:r w:rsidR="00B60FAD" w:rsidRPr="00047B4A">
        <w:t>(</w:t>
      </w:r>
      <w:r w:rsidRPr="005A0831">
        <w:t xml:space="preserve">filed </w:t>
      </w:r>
      <w:r w:rsidR="00A755D3" w:rsidRPr="005A0831">
        <w:t>August 1</w:t>
      </w:r>
      <w:r w:rsidRPr="005A0831">
        <w:t>, 2016</w:t>
      </w:r>
      <w:r w:rsidR="00B60FAD" w:rsidRPr="00047B4A">
        <w:t>)</w:t>
      </w:r>
      <w:r w:rsidRPr="00047B4A">
        <w:t xml:space="preserve"> (Waiver Request).  A comprehensive overview of the EAS is contained in the </w:t>
      </w:r>
      <w:r w:rsidRPr="00047B4A">
        <w:rPr>
          <w:i/>
        </w:rPr>
        <w:t>Fifth Report and Order</w:t>
      </w:r>
      <w:r w:rsidRPr="00047B4A">
        <w:t xml:space="preserve"> in </w:t>
      </w:r>
      <w:r w:rsidR="003D713C">
        <w:t>EB Docket No. 04-296</w:t>
      </w:r>
      <w:r w:rsidRPr="00047B4A">
        <w:t xml:space="preserve">.  </w:t>
      </w:r>
      <w:r w:rsidRPr="00047B4A">
        <w:rPr>
          <w:i/>
        </w:rPr>
        <w:t>See</w:t>
      </w:r>
      <w:r w:rsidRPr="00047B4A">
        <w:t xml:space="preserve"> Review of the Emergency Alert System; Independent Spanish Broadcasters Association, The Office of Communication of the United Church of Christ, Inc., and the Minority Media and Telecommunications Council, Petition for Immediate Relief, </w:t>
      </w:r>
      <w:r w:rsidRPr="00047B4A">
        <w:rPr>
          <w:i/>
        </w:rPr>
        <w:t>Fifth Report and Order</w:t>
      </w:r>
      <w:r w:rsidRPr="00047B4A">
        <w:t xml:space="preserve">, </w:t>
      </w:r>
      <w:r w:rsidRPr="00047B4A">
        <w:rPr>
          <w:iCs/>
        </w:rPr>
        <w:t>27 FCC Rcd 642 (2012) (</w:t>
      </w:r>
      <w:r w:rsidRPr="00047B4A">
        <w:rPr>
          <w:i/>
          <w:iCs/>
        </w:rPr>
        <w:t>Fifth Report and Order</w:t>
      </w:r>
      <w:r w:rsidRPr="00047B4A">
        <w:rPr>
          <w:iCs/>
        </w:rPr>
        <w:t>).  The EAS rules can be found at 47 C.F.R. §</w:t>
      </w:r>
      <w:r w:rsidR="008A1D9B" w:rsidRPr="00047B4A">
        <w:rPr>
          <w:iCs/>
        </w:rPr>
        <w:t>§</w:t>
      </w:r>
      <w:r w:rsidRPr="00047B4A">
        <w:rPr>
          <w:iCs/>
        </w:rPr>
        <w:t xml:space="preserve"> 11.1</w:t>
      </w:r>
      <w:r w:rsidR="008A1D9B">
        <w:rPr>
          <w:iCs/>
        </w:rPr>
        <w:t xml:space="preserve">, </w:t>
      </w:r>
      <w:r w:rsidR="008A1D9B" w:rsidRPr="008A1D9B">
        <w:rPr>
          <w:i/>
          <w:iCs/>
        </w:rPr>
        <w:t>et seq.</w:t>
      </w:r>
    </w:p>
  </w:footnote>
  <w:footnote w:id="4">
    <w:p w14:paraId="23C2B8D1" w14:textId="77777777" w:rsidR="0071694B" w:rsidRPr="00047B4A" w:rsidRDefault="0071694B">
      <w:pPr>
        <w:pStyle w:val="FootnoteText"/>
      </w:pPr>
      <w:r w:rsidRPr="00047B4A">
        <w:rPr>
          <w:rStyle w:val="FootnoteReference"/>
        </w:rPr>
        <w:footnoteRef/>
      </w:r>
      <w:r w:rsidRPr="00047B4A">
        <w:t xml:space="preserve"> Waiver Request at 1</w:t>
      </w:r>
      <w:r w:rsidR="003D713C">
        <w:t>-2</w:t>
      </w:r>
      <w:r w:rsidRPr="00047B4A">
        <w:t>.</w:t>
      </w:r>
    </w:p>
  </w:footnote>
  <w:footnote w:id="5">
    <w:p w14:paraId="24C87998" w14:textId="13B6390A" w:rsidR="00C119F9" w:rsidRPr="00047B4A" w:rsidRDefault="00C119F9" w:rsidP="00C119F9">
      <w:pPr>
        <w:pStyle w:val="FootnoteText"/>
      </w:pPr>
      <w:r w:rsidRPr="00047B4A">
        <w:rPr>
          <w:rStyle w:val="FootnoteReference"/>
        </w:rPr>
        <w:footnoteRef/>
      </w:r>
      <w:r w:rsidRPr="00047B4A">
        <w:t xml:space="preserve"> </w:t>
      </w:r>
      <w:r w:rsidRPr="00047B4A">
        <w:rPr>
          <w:i/>
        </w:rPr>
        <w:t xml:space="preserve">See </w:t>
      </w:r>
      <w:r w:rsidRPr="00047B4A">
        <w:t>47 C.F.R. § 11.31</w:t>
      </w:r>
      <w:r w:rsidR="00B152F0">
        <w:t>.</w:t>
      </w:r>
    </w:p>
  </w:footnote>
  <w:footnote w:id="6">
    <w:p w14:paraId="39ED8ABF" w14:textId="65F93A01" w:rsidR="00C119F9" w:rsidRPr="007C7914" w:rsidRDefault="00C119F9" w:rsidP="00C119F9">
      <w:pPr>
        <w:pStyle w:val="FootnoteText"/>
      </w:pPr>
      <w:r w:rsidRPr="00047B4A">
        <w:rPr>
          <w:rStyle w:val="FootnoteReference"/>
        </w:rPr>
        <w:footnoteRef/>
      </w:r>
      <w:r w:rsidRPr="00047B4A">
        <w:t xml:space="preserve"> </w:t>
      </w:r>
      <w:r w:rsidRPr="00047B4A">
        <w:rPr>
          <w:i/>
        </w:rPr>
        <w:t>See id.</w:t>
      </w:r>
    </w:p>
  </w:footnote>
  <w:footnote w:id="7">
    <w:p w14:paraId="68F09109" w14:textId="51821B4A" w:rsidR="005073D4" w:rsidRDefault="005073D4">
      <w:pPr>
        <w:pStyle w:val="FootnoteText"/>
      </w:pPr>
      <w:r>
        <w:rPr>
          <w:rStyle w:val="FootnoteReference"/>
        </w:rPr>
        <w:footnoteRef/>
      </w:r>
      <w:r>
        <w:t xml:space="preserve"> </w:t>
      </w:r>
      <w:r w:rsidRPr="00901DD1">
        <w:rPr>
          <w:i/>
        </w:rPr>
        <w:t>See</w:t>
      </w:r>
      <w:r>
        <w:t xml:space="preserve"> </w:t>
      </w:r>
      <w:r w:rsidRPr="005073D4">
        <w:rPr>
          <w:i/>
          <w:iCs/>
        </w:rPr>
        <w:t>Fifth Report and Order</w:t>
      </w:r>
      <w:r>
        <w:rPr>
          <w:iCs/>
        </w:rPr>
        <w:t xml:space="preserve">, </w:t>
      </w:r>
      <w:r w:rsidRPr="005073D4">
        <w:rPr>
          <w:iCs/>
        </w:rPr>
        <w:t>27 FCC Rcd at 646-47, para. 7.</w:t>
      </w:r>
    </w:p>
  </w:footnote>
  <w:footnote w:id="8">
    <w:p w14:paraId="6FF8E354" w14:textId="20EBF573" w:rsidR="005073D4" w:rsidRDefault="005073D4">
      <w:pPr>
        <w:pStyle w:val="FootnoteText"/>
      </w:pPr>
      <w:r>
        <w:rPr>
          <w:rStyle w:val="FootnoteReference"/>
        </w:rPr>
        <w:footnoteRef/>
      </w:r>
      <w:r>
        <w:t xml:space="preserve"> </w:t>
      </w:r>
      <w:r w:rsidR="00EB19CB">
        <w:t xml:space="preserve">FEMA, </w:t>
      </w:r>
      <w:r w:rsidR="00F45E2D" w:rsidRPr="00E7344F">
        <w:t>Integrated Public Alert &amp; Warning System</w:t>
      </w:r>
      <w:r w:rsidR="00F45E2D">
        <w:t xml:space="preserve">, </w:t>
      </w:r>
      <w:r w:rsidR="00F45E2D" w:rsidRPr="003C590B">
        <w:t>https://www.fema.gov/integrated-public-alert-warning-system</w:t>
      </w:r>
      <w:r w:rsidR="00F45E2D">
        <w:t xml:space="preserve"> </w:t>
      </w:r>
      <w:r w:rsidR="00F45E2D" w:rsidRPr="00F45E2D">
        <w:t>(</w:t>
      </w:r>
      <w:r w:rsidR="00F45E2D" w:rsidRPr="00E7344F">
        <w:t>last visited Sept. 15, 2016</w:t>
      </w:r>
      <w:r w:rsidR="00F45E2D" w:rsidRPr="00F45E2D">
        <w:t>)</w:t>
      </w:r>
      <w:r w:rsidR="00E34E25">
        <w:t>.</w:t>
      </w:r>
      <w:r w:rsidR="005A53EC">
        <w:t xml:space="preserve">  </w:t>
      </w:r>
      <w:r w:rsidR="004F5461">
        <w:t xml:space="preserve">With this system, FEMA provides a gateway </w:t>
      </w:r>
      <w:r w:rsidR="007F2053">
        <w:t xml:space="preserve">that can convey emergency alerts, drawn from a variety of public alerting systems, to all </w:t>
      </w:r>
      <w:r w:rsidR="004F5461">
        <w:t>EAS Participants simultaneously</w:t>
      </w:r>
      <w:r w:rsidR="007F2053">
        <w:t>.</w:t>
      </w:r>
    </w:p>
  </w:footnote>
  <w:footnote w:id="9">
    <w:p w14:paraId="3A35FE49" w14:textId="52D33ED4" w:rsidR="005073D4" w:rsidRDefault="005073D4">
      <w:pPr>
        <w:pStyle w:val="FootnoteText"/>
      </w:pPr>
      <w:r>
        <w:rPr>
          <w:rStyle w:val="FootnoteReference"/>
        </w:rPr>
        <w:footnoteRef/>
      </w:r>
      <w:r>
        <w:t xml:space="preserve"> </w:t>
      </w:r>
      <w:r w:rsidR="003B1535">
        <w:t xml:space="preserve">FEMA, Common Alerting Protocol (CAP) Information for EAS Participants at 1, </w:t>
      </w:r>
      <w:r w:rsidR="003B1535" w:rsidRPr="003B1535">
        <w:t>http://www.fema.gov/</w:t>
      </w:r>
      <w:r w:rsidR="003B1535">
        <w:br/>
      </w:r>
      <w:r w:rsidR="003B1535" w:rsidRPr="003B1535">
        <w:t>pdf/emergency/ipaws/cap_for_eas.pdf</w:t>
      </w:r>
      <w:r w:rsidR="003B1535">
        <w:t>.</w:t>
      </w:r>
    </w:p>
  </w:footnote>
  <w:footnote w:id="10">
    <w:p w14:paraId="4468F83B" w14:textId="29649DF3" w:rsidR="00A90215" w:rsidRPr="00047B4A" w:rsidRDefault="00A90215" w:rsidP="00A90215">
      <w:pPr>
        <w:pStyle w:val="FootnoteText"/>
      </w:pPr>
      <w:r w:rsidRPr="00047B4A">
        <w:rPr>
          <w:rStyle w:val="FootnoteReference"/>
        </w:rPr>
        <w:footnoteRef/>
      </w:r>
      <w:r w:rsidRPr="00047B4A">
        <w:t xml:space="preserve"> </w:t>
      </w:r>
      <w:r w:rsidR="00FE7F8F">
        <w:rPr>
          <w:i/>
        </w:rPr>
        <w:t>Id.</w:t>
      </w:r>
      <w:r w:rsidR="00140762">
        <w:t xml:space="preserve">  </w:t>
      </w:r>
      <w:r w:rsidRPr="00A90215">
        <w:t>CAP is an open, interoperable standard that can include multimedia, such as streaming audio or video.</w:t>
      </w:r>
      <w:r>
        <w:t xml:space="preserve">  </w:t>
      </w:r>
      <w:r w:rsidRPr="00047B4A">
        <w:rPr>
          <w:i/>
        </w:rPr>
        <w:t>See Fifth Report and Order</w:t>
      </w:r>
      <w:r w:rsidRPr="00047B4A">
        <w:t>, 27 FCC Rcd at 648</w:t>
      </w:r>
      <w:r>
        <w:t>,</w:t>
      </w:r>
      <w:r w:rsidRPr="00047B4A">
        <w:t xml:space="preserve"> para. 10.</w:t>
      </w:r>
      <w:r w:rsidR="00FE7F8F">
        <w:t xml:space="preserve">  </w:t>
      </w:r>
    </w:p>
  </w:footnote>
  <w:footnote w:id="11">
    <w:p w14:paraId="0A07D4BE" w14:textId="50B701E2" w:rsidR="00A90215" w:rsidRDefault="00A90215">
      <w:pPr>
        <w:pStyle w:val="FootnoteText"/>
      </w:pPr>
      <w:r>
        <w:rPr>
          <w:rStyle w:val="FootnoteReference"/>
        </w:rPr>
        <w:footnoteRef/>
      </w:r>
      <w:r>
        <w:t xml:space="preserve"> </w:t>
      </w:r>
      <w:r w:rsidR="003739D5">
        <w:rPr>
          <w:i/>
        </w:rPr>
        <w:t xml:space="preserve">See </w:t>
      </w:r>
      <w:r w:rsidR="0052139D" w:rsidRPr="0052139D">
        <w:rPr>
          <w:i/>
        </w:rPr>
        <w:t>Fifth Report and Order</w:t>
      </w:r>
      <w:r w:rsidR="0052139D" w:rsidRPr="00140762">
        <w:t>, 27 FCC Rcd at 648, para. 10</w:t>
      </w:r>
      <w:r w:rsidR="00E401B0">
        <w:t xml:space="preserve">; </w:t>
      </w:r>
      <w:r w:rsidR="00E401B0">
        <w:rPr>
          <w:i/>
        </w:rPr>
        <w:t xml:space="preserve">see also </w:t>
      </w:r>
      <w:r w:rsidR="00E401B0">
        <w:t>47 C.F.R. § 11.56.</w:t>
      </w:r>
    </w:p>
  </w:footnote>
  <w:footnote w:id="12">
    <w:p w14:paraId="0BB27672" w14:textId="5ACAD4EF" w:rsidR="00747040" w:rsidRDefault="00747040">
      <w:pPr>
        <w:pStyle w:val="FootnoteText"/>
      </w:pPr>
      <w:r>
        <w:rPr>
          <w:rStyle w:val="FootnoteReference"/>
        </w:rPr>
        <w:footnoteRef/>
      </w:r>
      <w:r>
        <w:t xml:space="preserve"> </w:t>
      </w:r>
      <w:r w:rsidRPr="00747040">
        <w:t xml:space="preserve">EAS Participants are the regulated entities that receive and broadcast alerts.  These entities are defined in Section 11.11(a) of the Commission’s rules and include radio and television broadcast stations, cable systems, wireline video systems, wireless cable systems, direct broadcast satellite service providers, and digital audio radio service providers.  </w:t>
      </w:r>
      <w:r w:rsidRPr="00747040">
        <w:rPr>
          <w:i/>
        </w:rPr>
        <w:t xml:space="preserve">See </w:t>
      </w:r>
      <w:r w:rsidRPr="00747040">
        <w:t>47 C.F.R. § 11.11(a).</w:t>
      </w:r>
    </w:p>
  </w:footnote>
  <w:footnote w:id="13">
    <w:p w14:paraId="66D98C1B" w14:textId="36AC787E" w:rsidR="000E4D9C" w:rsidRPr="00047B4A" w:rsidRDefault="000E4D9C" w:rsidP="000E4D9C">
      <w:pPr>
        <w:pStyle w:val="FootnoteText"/>
        <w:rPr>
          <w:i/>
        </w:rPr>
      </w:pPr>
      <w:r w:rsidRPr="00047B4A">
        <w:rPr>
          <w:rStyle w:val="FootnoteReference"/>
        </w:rPr>
        <w:footnoteRef/>
      </w:r>
      <w:r w:rsidRPr="00047B4A">
        <w:t xml:space="preserve"> </w:t>
      </w:r>
      <w:r w:rsidRPr="00047B4A">
        <w:rPr>
          <w:i/>
        </w:rPr>
        <w:t xml:space="preserve">See </w:t>
      </w:r>
      <w:r w:rsidRPr="00047B4A">
        <w:t>47 C.F.R. § 11.51(d)</w:t>
      </w:r>
      <w:r w:rsidR="00BF0508" w:rsidRPr="00047B4A">
        <w:t xml:space="preserve">.  </w:t>
      </w:r>
    </w:p>
  </w:footnote>
  <w:footnote w:id="14">
    <w:p w14:paraId="42E0C8FE" w14:textId="51A23940" w:rsidR="00BE50E7" w:rsidRPr="00047B4A" w:rsidRDefault="00BE50E7">
      <w:pPr>
        <w:pStyle w:val="FootnoteText"/>
      </w:pPr>
      <w:r w:rsidRPr="00047B4A">
        <w:rPr>
          <w:rStyle w:val="FootnoteReference"/>
        </w:rPr>
        <w:footnoteRef/>
      </w:r>
      <w:r w:rsidRPr="00047B4A">
        <w:t xml:space="preserve"> </w:t>
      </w:r>
      <w:r w:rsidR="00F30109">
        <w:rPr>
          <w:i/>
        </w:rPr>
        <w:t>Id.</w:t>
      </w:r>
      <w:r w:rsidR="00F30109">
        <w:t xml:space="preserve"> </w:t>
      </w:r>
      <w:r w:rsidR="00E874C1">
        <w:t>§</w:t>
      </w:r>
      <w:r w:rsidRPr="00047B4A">
        <w:t xml:space="preserve"> 11.56(a)(2)</w:t>
      </w:r>
      <w:r w:rsidR="00E874C1">
        <w:t>-</w:t>
      </w:r>
      <w:r w:rsidR="00F332FE" w:rsidRPr="00047B4A">
        <w:t xml:space="preserve">(3).  Section 11.56(a)(2) </w:t>
      </w:r>
      <w:r w:rsidR="00D15E36" w:rsidRPr="00047B4A">
        <w:t xml:space="preserve">specifically </w:t>
      </w:r>
      <w:r w:rsidR="00F332FE" w:rsidRPr="00047B4A">
        <w:t xml:space="preserve">states </w:t>
      </w:r>
      <w:r w:rsidRPr="00047B4A">
        <w:t xml:space="preserve">that on or by June 30, 2012, EAS Participants must have deployed operational equipment capable of converting EAS alert messages formatted in CAP into EAS alert messages that comply with the EAS Protocol, “such that </w:t>
      </w:r>
      <w:r w:rsidR="00F332FE" w:rsidRPr="00047B4A">
        <w:t>the Preamble and EAS Header Codes, audio Attention Signal, audio message, and Preamble and EAS End of Message (EOM) Codes of such messages are rendered equivalent to the EAS Protocol (set forth in §11.31), in accordance with the technical specifications governing such conversion process set forth in the EAS-CAP Industry Group's (ECIG) Recommendations for a CAP EAS Implementation Guide, Version 1.0 (May 17, 2010) (except that any and all specifications set forth therein related to g</w:t>
      </w:r>
      <w:r w:rsidR="00E874C1">
        <w:t>ubernatorial ‘must carry’</w:t>
      </w:r>
      <w:r w:rsidR="00F332FE" w:rsidRPr="00047B4A">
        <w:t xml:space="preserve"> shall not be followed, and that EAS Participants may adhere to the specifications related to text-to-speech on a voluntary basis)</w:t>
      </w:r>
      <w:r w:rsidR="00B077B4" w:rsidRPr="00047B4A">
        <w:t xml:space="preserve">.”  </w:t>
      </w:r>
      <w:r w:rsidR="001D5324">
        <w:rPr>
          <w:i/>
        </w:rPr>
        <w:t>Id.</w:t>
      </w:r>
      <w:r w:rsidR="001D5324">
        <w:t xml:space="preserve"> </w:t>
      </w:r>
      <w:r w:rsidR="00B077B4" w:rsidRPr="00047B4A">
        <w:t>§ 11.56(a)(2).</w:t>
      </w:r>
      <w:r w:rsidRPr="00047B4A">
        <w:t xml:space="preserve">   </w:t>
      </w:r>
    </w:p>
  </w:footnote>
  <w:footnote w:id="15">
    <w:p w14:paraId="448B824D" w14:textId="77777777" w:rsidR="002A785B" w:rsidRPr="00047B4A" w:rsidRDefault="002A785B">
      <w:pPr>
        <w:pStyle w:val="FootnoteText"/>
      </w:pPr>
      <w:r w:rsidRPr="00047B4A">
        <w:rPr>
          <w:rStyle w:val="FootnoteReference"/>
        </w:rPr>
        <w:footnoteRef/>
      </w:r>
      <w:r w:rsidRPr="00047B4A">
        <w:t xml:space="preserve"> Review of the Emergency Alert System, </w:t>
      </w:r>
      <w:r w:rsidRPr="00047B4A">
        <w:rPr>
          <w:i/>
        </w:rPr>
        <w:t>Sixth Report and Order</w:t>
      </w:r>
      <w:r w:rsidRPr="00047B4A">
        <w:t>, 30 FCC Rcd 6520</w:t>
      </w:r>
      <w:r w:rsidR="00004049" w:rsidRPr="00047B4A">
        <w:t>, 6526-27</w:t>
      </w:r>
      <w:r w:rsidR="00E874C1">
        <w:t>,</w:t>
      </w:r>
      <w:r w:rsidR="00004049" w:rsidRPr="00047B4A">
        <w:t xml:space="preserve"> para. 16 </w:t>
      </w:r>
      <w:r w:rsidR="00F838F4" w:rsidRPr="00047B4A">
        <w:t>(2015) (</w:t>
      </w:r>
      <w:r w:rsidR="00F838F4" w:rsidRPr="00047B4A">
        <w:rPr>
          <w:i/>
        </w:rPr>
        <w:t>Sixth Report and Order</w:t>
      </w:r>
      <w:r w:rsidR="00F838F4" w:rsidRPr="00047B4A">
        <w:t xml:space="preserve">) </w:t>
      </w:r>
      <w:r w:rsidR="00004049" w:rsidRPr="00047B4A">
        <w:t>(adopting “six zeroes” as the national location code for any future nationwide EAS test, as well as for any future nationwide EAS alerts)</w:t>
      </w:r>
      <w:r w:rsidR="008E0002" w:rsidRPr="00047B4A">
        <w:t xml:space="preserve">; </w:t>
      </w:r>
      <w:r w:rsidR="008E0002" w:rsidRPr="00047B4A">
        <w:rPr>
          <w:i/>
        </w:rPr>
        <w:t>see also</w:t>
      </w:r>
      <w:r w:rsidR="008E0002" w:rsidRPr="00047B4A">
        <w:t xml:space="preserve"> 47 C.F.R. § 11.31(f).</w:t>
      </w:r>
    </w:p>
  </w:footnote>
  <w:footnote w:id="16">
    <w:p w14:paraId="3712AF7F" w14:textId="77777777" w:rsidR="00C854D6" w:rsidRPr="00047B4A" w:rsidRDefault="00C854D6">
      <w:pPr>
        <w:pStyle w:val="FootnoteText"/>
      </w:pPr>
      <w:r w:rsidRPr="00047B4A">
        <w:rPr>
          <w:rStyle w:val="FootnoteReference"/>
        </w:rPr>
        <w:footnoteRef/>
      </w:r>
      <w:r w:rsidRPr="00047B4A">
        <w:t xml:space="preserve"> </w:t>
      </w:r>
      <w:r w:rsidRPr="00047B4A">
        <w:rPr>
          <w:i/>
        </w:rPr>
        <w:t>Sixth Report and Order</w:t>
      </w:r>
      <w:r w:rsidRPr="00047B4A">
        <w:t>, 30 FCC Rcd at 6527</w:t>
      </w:r>
      <w:r w:rsidR="00E874C1">
        <w:t>,</w:t>
      </w:r>
      <w:r w:rsidRPr="00047B4A">
        <w:t xml:space="preserve"> para. 18.</w:t>
      </w:r>
    </w:p>
  </w:footnote>
  <w:footnote w:id="17">
    <w:p w14:paraId="62E367B6" w14:textId="1860DF9F" w:rsidR="002554DC" w:rsidRPr="00047B4A" w:rsidRDefault="002554DC">
      <w:pPr>
        <w:pStyle w:val="FootnoteText"/>
      </w:pPr>
      <w:r w:rsidRPr="00047B4A">
        <w:rPr>
          <w:rStyle w:val="FootnoteReference"/>
        </w:rPr>
        <w:footnoteRef/>
      </w:r>
      <w:r w:rsidRPr="00047B4A">
        <w:t xml:space="preserve"> </w:t>
      </w:r>
      <w:r w:rsidRPr="00047B4A">
        <w:rPr>
          <w:i/>
        </w:rPr>
        <w:t>Id</w:t>
      </w:r>
      <w:r w:rsidR="00E874C1">
        <w:t xml:space="preserve">. </w:t>
      </w:r>
      <w:r w:rsidRPr="00047B4A">
        <w:t>at 6527-28</w:t>
      </w:r>
      <w:r w:rsidR="00E874C1">
        <w:t>,</w:t>
      </w:r>
      <w:r w:rsidRPr="00047B4A">
        <w:t xml:space="preserve"> para. 18. </w:t>
      </w:r>
    </w:p>
  </w:footnote>
  <w:footnote w:id="18">
    <w:p w14:paraId="490EA362" w14:textId="6C174357" w:rsidR="004A1138" w:rsidRPr="00047B4A" w:rsidRDefault="004A1138">
      <w:pPr>
        <w:pStyle w:val="FootnoteText"/>
      </w:pPr>
      <w:r w:rsidRPr="00047B4A">
        <w:rPr>
          <w:rStyle w:val="FootnoteReference"/>
        </w:rPr>
        <w:footnoteRef/>
      </w:r>
      <w:r w:rsidRPr="00047B4A">
        <w:t xml:space="preserve"> </w:t>
      </w:r>
      <w:r w:rsidR="002A6B57">
        <w:rPr>
          <w:i/>
        </w:rPr>
        <w:t>Id</w:t>
      </w:r>
      <w:r w:rsidR="002A6B57">
        <w:t>.</w:t>
      </w:r>
      <w:r w:rsidR="002A6B57">
        <w:rPr>
          <w:i/>
        </w:rPr>
        <w:t xml:space="preserve"> </w:t>
      </w:r>
      <w:r w:rsidR="0097160B" w:rsidRPr="00047B4A">
        <w:t>at 6528</w:t>
      </w:r>
      <w:r w:rsidR="002D33A5">
        <w:t>,</w:t>
      </w:r>
      <w:r w:rsidR="0097160B" w:rsidRPr="00047B4A">
        <w:t xml:space="preserve"> para. 18.  The Commission and FEMA conducted the first nationwide EAS test on November 9, 2011 to assess how the national EAS architecture would perform in practice and to implement any necessary improvements to ensure that the EAS, if activated in a real emergency, would perform as designed.  The test involved the simultaneous transmission, receipt</w:t>
      </w:r>
      <w:r w:rsidR="00F73AE1">
        <w:t>,</w:t>
      </w:r>
      <w:r w:rsidR="0097160B" w:rsidRPr="00047B4A">
        <w:t xml:space="preserve"> and broadcast of a “live” national EAS alert by FEMA and thousands of EAS Participants across the United States and its territories.  FEMA successfully initiated an Emergency Action Notification (EAN), the EAS event code that would be used for an actual Presidential activation of the nationwide EAS, and delivered the EAN to the EAS Primary Entry Point (PEP) stations.  The PEP stations, in turn, distributed the EAN throughout the nation via the EAS’s so-called “daisy chain” process.  The Commission’s Public Safety and Homeland Security Bureau received and analyzed data from participants in the test and</w:t>
      </w:r>
      <w:r w:rsidR="002D33A5">
        <w:t>,</w:t>
      </w:r>
      <w:r w:rsidR="0097160B" w:rsidRPr="00047B4A">
        <w:t xml:space="preserve"> in 2013</w:t>
      </w:r>
      <w:r w:rsidR="002D33A5">
        <w:t>,</w:t>
      </w:r>
      <w:r w:rsidR="0097160B" w:rsidRPr="00047B4A">
        <w:t xml:space="preserve"> released a report summarizing lessons learned from the test and the Bureau’s recommendations for strengthening the EAS</w:t>
      </w:r>
      <w:r w:rsidR="00066967" w:rsidRPr="00047B4A">
        <w:t xml:space="preserve">.  </w:t>
      </w:r>
      <w:r w:rsidR="00066967" w:rsidRPr="00047B4A">
        <w:rPr>
          <w:i/>
        </w:rPr>
        <w:t>See</w:t>
      </w:r>
      <w:r w:rsidR="0097160B" w:rsidRPr="00047B4A">
        <w:t xml:space="preserve"> </w:t>
      </w:r>
      <w:r w:rsidR="00066967" w:rsidRPr="00047B4A">
        <w:t>Federal Communications Commission Public Safety and Homeland Security Bureau, Strengthening the Emergency Alert System (EAS):  Lessons Learned from the Nationwide EAS Test (2013),</w:t>
      </w:r>
      <w:r w:rsidR="00066967" w:rsidRPr="002D33A5">
        <w:t xml:space="preserve"> </w:t>
      </w:r>
      <w:r w:rsidR="002D33A5" w:rsidRPr="002D33A5">
        <w:t>http://transition.fcc.gov/Daily_Releases/Daily_Business/2013/</w:t>
      </w:r>
      <w:r w:rsidR="002D33A5" w:rsidRPr="002D33A5">
        <w:br/>
        <w:t>db0412/DOC-320152A1.pdf</w:t>
      </w:r>
      <w:r w:rsidR="00066967" w:rsidRPr="00047B4A">
        <w:t>.</w:t>
      </w:r>
      <w:r w:rsidR="00FC6BAB">
        <w:t xml:space="preserve"> </w:t>
      </w:r>
    </w:p>
  </w:footnote>
  <w:footnote w:id="19">
    <w:p w14:paraId="629AD024" w14:textId="410923D2" w:rsidR="00E00651" w:rsidRDefault="00E00651">
      <w:pPr>
        <w:pStyle w:val="FootnoteText"/>
      </w:pPr>
      <w:r>
        <w:rPr>
          <w:rStyle w:val="FootnoteReference"/>
        </w:rPr>
        <w:footnoteRef/>
      </w:r>
      <w:r>
        <w:t xml:space="preserve"> </w:t>
      </w:r>
      <w:r w:rsidRPr="00E374BD">
        <w:rPr>
          <w:i/>
        </w:rPr>
        <w:t>Sixth Report and Order</w:t>
      </w:r>
      <w:r>
        <w:t>, 30 FCC Rcd at 6528, para. 18.</w:t>
      </w:r>
    </w:p>
  </w:footnote>
  <w:footnote w:id="20">
    <w:p w14:paraId="519EC084" w14:textId="79834A74" w:rsidR="00066967" w:rsidRPr="00047B4A" w:rsidRDefault="00066967">
      <w:pPr>
        <w:pStyle w:val="FootnoteText"/>
      </w:pPr>
      <w:r w:rsidRPr="00047B4A">
        <w:rPr>
          <w:rStyle w:val="FootnoteReference"/>
        </w:rPr>
        <w:footnoteRef/>
      </w:r>
      <w:r w:rsidRPr="00047B4A">
        <w:t xml:space="preserve"> </w:t>
      </w:r>
      <w:r w:rsidR="004224BF">
        <w:rPr>
          <w:i/>
        </w:rPr>
        <w:t>Id</w:t>
      </w:r>
      <w:r w:rsidR="004224BF">
        <w:t>.</w:t>
      </w:r>
    </w:p>
  </w:footnote>
  <w:footnote w:id="21">
    <w:p w14:paraId="524C6098" w14:textId="77777777" w:rsidR="00066967" w:rsidRPr="00047B4A" w:rsidRDefault="00066967">
      <w:pPr>
        <w:pStyle w:val="FootnoteText"/>
      </w:pPr>
      <w:r w:rsidRPr="00047B4A">
        <w:rPr>
          <w:rStyle w:val="FootnoteReference"/>
        </w:rPr>
        <w:footnoteRef/>
      </w:r>
      <w:r w:rsidRPr="00047B4A">
        <w:t xml:space="preserve"> </w:t>
      </w:r>
      <w:r w:rsidRPr="00047B4A">
        <w:rPr>
          <w:i/>
        </w:rPr>
        <w:t>Id</w:t>
      </w:r>
      <w:r w:rsidRPr="00047B4A">
        <w:t xml:space="preserve">. </w:t>
      </w:r>
    </w:p>
  </w:footnote>
  <w:footnote w:id="22">
    <w:p w14:paraId="57227C7C" w14:textId="77777777" w:rsidR="005619B9" w:rsidRDefault="005619B9">
      <w:pPr>
        <w:pStyle w:val="FootnoteText"/>
      </w:pPr>
      <w:r>
        <w:rPr>
          <w:rStyle w:val="FootnoteReference"/>
        </w:rPr>
        <w:footnoteRef/>
      </w:r>
      <w:r>
        <w:t xml:space="preserve"> </w:t>
      </w:r>
      <w:r w:rsidRPr="005619B9">
        <w:rPr>
          <w:i/>
        </w:rPr>
        <w:t>Id</w:t>
      </w:r>
      <w:r>
        <w:t>. at 6526</w:t>
      </w:r>
      <w:r w:rsidR="002D33A5">
        <w:t>,</w:t>
      </w:r>
      <w:r>
        <w:t xml:space="preserve"> para. 16.</w:t>
      </w:r>
    </w:p>
  </w:footnote>
  <w:footnote w:id="23">
    <w:p w14:paraId="610E9602" w14:textId="77777777" w:rsidR="00004049" w:rsidRPr="00047B4A" w:rsidRDefault="00004049">
      <w:pPr>
        <w:pStyle w:val="FootnoteText"/>
      </w:pPr>
      <w:r w:rsidRPr="00047B4A">
        <w:rPr>
          <w:rStyle w:val="FootnoteReference"/>
        </w:rPr>
        <w:footnoteRef/>
      </w:r>
      <w:r w:rsidRPr="00047B4A">
        <w:t xml:space="preserve"> </w:t>
      </w:r>
      <w:r w:rsidRPr="00047B4A">
        <w:rPr>
          <w:i/>
        </w:rPr>
        <w:t>Id</w:t>
      </w:r>
      <w:r w:rsidRPr="00047B4A">
        <w:t>. at 652</w:t>
      </w:r>
      <w:r w:rsidR="005619B9">
        <w:t>7</w:t>
      </w:r>
      <w:r w:rsidR="002D33A5">
        <w:t>,</w:t>
      </w:r>
      <w:r w:rsidRPr="00047B4A">
        <w:t xml:space="preserve"> para. 17.</w:t>
      </w:r>
    </w:p>
  </w:footnote>
  <w:footnote w:id="24">
    <w:p w14:paraId="079DB953" w14:textId="77777777" w:rsidR="00BF7CE3" w:rsidRPr="00047B4A" w:rsidRDefault="00BF7CE3">
      <w:pPr>
        <w:pStyle w:val="FootnoteText"/>
      </w:pPr>
      <w:r w:rsidRPr="00047B4A">
        <w:rPr>
          <w:rStyle w:val="FootnoteReference"/>
        </w:rPr>
        <w:footnoteRef/>
      </w:r>
      <w:r w:rsidRPr="00047B4A">
        <w:t xml:space="preserve"> </w:t>
      </w:r>
      <w:r w:rsidRPr="00047B4A">
        <w:rPr>
          <w:i/>
        </w:rPr>
        <w:t>Id</w:t>
      </w:r>
      <w:r w:rsidRPr="00047B4A">
        <w:t>. at 6545</w:t>
      </w:r>
      <w:r w:rsidR="002D33A5">
        <w:t>,</w:t>
      </w:r>
      <w:r w:rsidRPr="00047B4A">
        <w:t xml:space="preserve"> para. 54.</w:t>
      </w:r>
    </w:p>
  </w:footnote>
  <w:footnote w:id="25">
    <w:p w14:paraId="48DB5C86" w14:textId="77777777" w:rsidR="00BF7CE3" w:rsidRPr="00047B4A" w:rsidRDefault="00BF7CE3">
      <w:pPr>
        <w:pStyle w:val="FootnoteText"/>
      </w:pPr>
      <w:r w:rsidRPr="00047B4A">
        <w:rPr>
          <w:rStyle w:val="FootnoteReference"/>
        </w:rPr>
        <w:footnoteRef/>
      </w:r>
      <w:r w:rsidRPr="00047B4A">
        <w:t xml:space="preserve"> </w:t>
      </w:r>
      <w:r w:rsidRPr="00047B4A">
        <w:rPr>
          <w:i/>
        </w:rPr>
        <w:t>Id</w:t>
      </w:r>
      <w:r w:rsidRPr="00047B4A">
        <w:t>.</w:t>
      </w:r>
    </w:p>
  </w:footnote>
  <w:footnote w:id="26">
    <w:p w14:paraId="22796370" w14:textId="309B6A6A" w:rsidR="000164BB" w:rsidRPr="00E7344F" w:rsidRDefault="000164BB">
      <w:pPr>
        <w:pStyle w:val="FootnoteText"/>
      </w:pPr>
      <w:r w:rsidRPr="00E7344F">
        <w:rPr>
          <w:rStyle w:val="FootnoteReference"/>
        </w:rPr>
        <w:footnoteRef/>
      </w:r>
      <w:r w:rsidRPr="00E7344F">
        <w:t xml:space="preserve"> </w:t>
      </w:r>
      <w:r w:rsidRPr="00E7344F">
        <w:rPr>
          <w:i/>
        </w:rPr>
        <w:t>Id</w:t>
      </w:r>
      <w:r w:rsidRPr="00E7344F">
        <w:t>. at 6545-46</w:t>
      </w:r>
      <w:r w:rsidR="004214BB" w:rsidRPr="00E7344F">
        <w:t>,</w:t>
      </w:r>
      <w:r w:rsidRPr="00E7344F">
        <w:t xml:space="preserve"> para. 54.</w:t>
      </w:r>
    </w:p>
  </w:footnote>
  <w:footnote w:id="27">
    <w:p w14:paraId="25E8829A" w14:textId="0D5C7FB1" w:rsidR="001C5644" w:rsidRDefault="001C5644">
      <w:pPr>
        <w:pStyle w:val="FootnoteText"/>
      </w:pPr>
      <w:r w:rsidRPr="00E7344F">
        <w:rPr>
          <w:rStyle w:val="FootnoteReference"/>
        </w:rPr>
        <w:footnoteRef/>
      </w:r>
      <w:r w:rsidRPr="00E7344F">
        <w:t xml:space="preserve"> </w:t>
      </w:r>
      <w:r w:rsidRPr="00E7344F">
        <w:rPr>
          <w:i/>
        </w:rPr>
        <w:t>Id</w:t>
      </w:r>
      <w:r w:rsidRPr="00E7344F">
        <w:t>. at 6546</w:t>
      </w:r>
      <w:r w:rsidR="004214BB" w:rsidRPr="00E7344F">
        <w:t>,</w:t>
      </w:r>
      <w:r w:rsidRPr="00E7344F">
        <w:t xml:space="preserve"> para. 55.</w:t>
      </w:r>
      <w:r>
        <w:t xml:space="preserve">  </w:t>
      </w:r>
    </w:p>
  </w:footnote>
  <w:footnote w:id="28">
    <w:p w14:paraId="63E70949" w14:textId="0A23405D" w:rsidR="00A90215" w:rsidRDefault="00A90215">
      <w:pPr>
        <w:pStyle w:val="FootnoteText"/>
      </w:pPr>
      <w:r>
        <w:rPr>
          <w:rStyle w:val="FootnoteReference"/>
        </w:rPr>
        <w:footnoteRef/>
      </w:r>
      <w:r>
        <w:t xml:space="preserve"> </w:t>
      </w:r>
      <w:r w:rsidRPr="00A90215">
        <w:t xml:space="preserve">The Commission provided that the </w:t>
      </w:r>
      <w:r w:rsidR="004C06AB">
        <w:t>twelve</w:t>
      </w:r>
      <w:r w:rsidR="009A65AA">
        <w:t>-</w:t>
      </w:r>
      <w:r w:rsidRPr="00A90215">
        <w:t xml:space="preserve">month period would run from the effective date of the rule amendments, which would be </w:t>
      </w:r>
      <w:r w:rsidR="004C06AB">
        <w:t>thirty</w:t>
      </w:r>
      <w:r w:rsidR="004C06AB" w:rsidRPr="00A90215">
        <w:t xml:space="preserve"> </w:t>
      </w:r>
      <w:r w:rsidRPr="00A90215">
        <w:t xml:space="preserve">days after publication in </w:t>
      </w:r>
      <w:r w:rsidRPr="004C06AB">
        <w:t>the</w:t>
      </w:r>
      <w:r w:rsidRPr="00127020">
        <w:rPr>
          <w:i/>
        </w:rPr>
        <w:t xml:space="preserve"> Federal Register</w:t>
      </w:r>
      <w:r w:rsidRPr="00A90215">
        <w:t xml:space="preserve">.  </w:t>
      </w:r>
      <w:r w:rsidRPr="00A90215">
        <w:rPr>
          <w:i/>
        </w:rPr>
        <w:t>Id</w:t>
      </w:r>
      <w:r w:rsidRPr="00A90215">
        <w:t xml:space="preserve">.  The new rules appeared in the </w:t>
      </w:r>
      <w:r w:rsidRPr="00127020">
        <w:rPr>
          <w:i/>
        </w:rPr>
        <w:t>Federal Register</w:t>
      </w:r>
      <w:r w:rsidRPr="00A90215">
        <w:t xml:space="preserve"> on June 30, 2015, so the deadline for complying with the “six zeroes” location code was July 30, 2016.  </w:t>
      </w:r>
      <w:r w:rsidRPr="00A90215">
        <w:rPr>
          <w:i/>
        </w:rPr>
        <w:t>See</w:t>
      </w:r>
      <w:r w:rsidRPr="00A90215">
        <w:t xml:space="preserve"> 80 Fed. Reg. 37</w:t>
      </w:r>
      <w:r w:rsidR="001D0FF9">
        <w:t>,</w:t>
      </w:r>
      <w:r w:rsidRPr="00A90215">
        <w:t>167</w:t>
      </w:r>
      <w:r w:rsidR="001D0FF9">
        <w:t>, 37,167</w:t>
      </w:r>
      <w:r w:rsidRPr="00A90215">
        <w:t xml:space="preserve"> (June 30, 2015).</w:t>
      </w:r>
    </w:p>
  </w:footnote>
  <w:footnote w:id="29">
    <w:p w14:paraId="315C3054" w14:textId="01BD567F" w:rsidR="007E77F9" w:rsidRPr="00047B4A" w:rsidRDefault="007E77F9" w:rsidP="006124A3">
      <w:pPr>
        <w:pStyle w:val="FootnoteText"/>
      </w:pPr>
      <w:r w:rsidRPr="00047B4A">
        <w:rPr>
          <w:rStyle w:val="FootnoteReference"/>
        </w:rPr>
        <w:footnoteRef/>
      </w:r>
      <w:r w:rsidRPr="00047B4A">
        <w:t xml:space="preserve"> </w:t>
      </w:r>
      <w:r w:rsidRPr="00047B4A">
        <w:rPr>
          <w:i/>
        </w:rPr>
        <w:t xml:space="preserve">See </w:t>
      </w:r>
      <w:r w:rsidRPr="00047B4A">
        <w:t xml:space="preserve">Letter from Roger L. Stone, Assistant Administrator (Acting), National Continuity Programs, Federal Emergency Management Agency, to David Simpson, Bureau Chief, FCC Public Safety &amp; Homeland Security Bureau, PS Docket No. 15-94 (filed </w:t>
      </w:r>
      <w:r w:rsidR="002D33A5">
        <w:t>Apr.</w:t>
      </w:r>
      <w:r w:rsidRPr="00047B4A">
        <w:t xml:space="preserve"> 14, 2016)</w:t>
      </w:r>
      <w:r w:rsidR="005672BE">
        <w:t xml:space="preserve">; </w:t>
      </w:r>
      <w:r w:rsidR="005672BE" w:rsidRPr="00F73AE1">
        <w:rPr>
          <w:i/>
        </w:rPr>
        <w:t>see also</w:t>
      </w:r>
      <w:r w:rsidR="005672BE" w:rsidRPr="00127020">
        <w:t xml:space="preserve"> </w:t>
      </w:r>
      <w:r w:rsidR="005672BE" w:rsidRPr="00F73AE1">
        <w:rPr>
          <w:i/>
        </w:rPr>
        <w:t>Public Safety and Homeland Security Bureau Announces Nationwide Test of the Emergency Alert System on September 28, 2016</w:t>
      </w:r>
      <w:r w:rsidR="005672BE" w:rsidRPr="00F73AE1">
        <w:t xml:space="preserve">, Public Notice, 31 FCC Rcd </w:t>
      </w:r>
      <w:r w:rsidR="00416FCD" w:rsidRPr="00F73AE1">
        <w:t>7664</w:t>
      </w:r>
      <w:r w:rsidR="005672BE" w:rsidRPr="00F73AE1">
        <w:t xml:space="preserve"> (PSHSB 2016)</w:t>
      </w:r>
      <w:r w:rsidR="00A4120E" w:rsidRPr="00F73AE1">
        <w:t xml:space="preserve"> (</w:t>
      </w:r>
      <w:r w:rsidR="00A4120E" w:rsidRPr="00F73AE1">
        <w:rPr>
          <w:i/>
        </w:rPr>
        <w:t>EAS Test Announcement PN</w:t>
      </w:r>
      <w:r w:rsidR="00A4120E" w:rsidRPr="00F73AE1">
        <w:t>)</w:t>
      </w:r>
      <w:r w:rsidR="005672BE" w:rsidRPr="00F73AE1">
        <w:t>.</w:t>
      </w:r>
      <w:r w:rsidR="006124A3" w:rsidRPr="00F73AE1">
        <w:t xml:space="preserve">  </w:t>
      </w:r>
      <w:r w:rsidR="006124A3">
        <w:t xml:space="preserve">The primary test date is scheduled for September 28, 2016, and the secondary test date is scheduled for October 5, 2016, if necessary.  </w:t>
      </w:r>
      <w:r w:rsidR="001D0FF9">
        <w:rPr>
          <w:i/>
        </w:rPr>
        <w:t>EAS Test Announcement PN</w:t>
      </w:r>
      <w:r w:rsidR="001D0FF9">
        <w:t xml:space="preserve"> at </w:t>
      </w:r>
      <w:r w:rsidR="00472E48">
        <w:t>7664.</w:t>
      </w:r>
      <w:r w:rsidRPr="00047B4A">
        <w:t xml:space="preserve"> </w:t>
      </w:r>
    </w:p>
  </w:footnote>
  <w:footnote w:id="30">
    <w:p w14:paraId="38B6D531" w14:textId="247A1EBC" w:rsidR="00901314" w:rsidRPr="00901314" w:rsidRDefault="00901314">
      <w:pPr>
        <w:pStyle w:val="FootnoteText"/>
        <w:rPr>
          <w:i/>
        </w:rPr>
      </w:pPr>
      <w:r w:rsidRPr="00E7344F">
        <w:rPr>
          <w:rStyle w:val="FootnoteReference"/>
        </w:rPr>
        <w:footnoteRef/>
      </w:r>
      <w:r w:rsidRPr="00E7344F">
        <w:t xml:space="preserve"> </w:t>
      </w:r>
      <w:r w:rsidR="00A90215" w:rsidRPr="00E7344F">
        <w:t>Waiver Request at 1.</w:t>
      </w:r>
    </w:p>
  </w:footnote>
  <w:footnote w:id="31">
    <w:p w14:paraId="591D8800" w14:textId="77777777" w:rsidR="00A373A1" w:rsidRDefault="00A373A1">
      <w:pPr>
        <w:pStyle w:val="FootnoteText"/>
      </w:pPr>
      <w:r>
        <w:rPr>
          <w:rStyle w:val="FootnoteReference"/>
        </w:rPr>
        <w:footnoteRef/>
      </w:r>
      <w:r>
        <w:t xml:space="preserve"> </w:t>
      </w:r>
      <w:r w:rsidRPr="00A373A1">
        <w:rPr>
          <w:i/>
        </w:rPr>
        <w:t>Id</w:t>
      </w:r>
      <w:r>
        <w:t>.</w:t>
      </w:r>
    </w:p>
  </w:footnote>
  <w:footnote w:id="32">
    <w:p w14:paraId="5CF7419D" w14:textId="77777777" w:rsidR="0004771A" w:rsidRDefault="0004771A">
      <w:pPr>
        <w:pStyle w:val="FootnoteText"/>
      </w:pPr>
      <w:r>
        <w:rPr>
          <w:rStyle w:val="FootnoteReference"/>
        </w:rPr>
        <w:footnoteRef/>
      </w:r>
      <w:r>
        <w:t xml:space="preserve"> </w:t>
      </w:r>
      <w:r w:rsidRPr="00F575E0">
        <w:rPr>
          <w:i/>
        </w:rPr>
        <w:t>Id</w:t>
      </w:r>
      <w:r>
        <w:t>.  The Waiver Request also states that replacing this equipment would present the issue of how to dispose of it without detriment to the environment and without allowing it to fall into the hands of someone who could misuse it intentionally.</w:t>
      </w:r>
      <w:r w:rsidR="00F575E0">
        <w:t xml:space="preserve">  </w:t>
      </w:r>
      <w:r w:rsidR="00F575E0" w:rsidRPr="00F575E0">
        <w:rPr>
          <w:i/>
        </w:rPr>
        <w:t>Id</w:t>
      </w:r>
      <w:r w:rsidR="00F575E0">
        <w:t>.</w:t>
      </w:r>
      <w:r>
        <w:t xml:space="preserve"> </w:t>
      </w:r>
    </w:p>
  </w:footnote>
  <w:footnote w:id="33">
    <w:p w14:paraId="149D072B" w14:textId="4DDECB93" w:rsidR="00E9166C" w:rsidRPr="00805810" w:rsidRDefault="00E9166C">
      <w:pPr>
        <w:pStyle w:val="FootnoteText"/>
      </w:pPr>
      <w:r>
        <w:rPr>
          <w:rStyle w:val="FootnoteReference"/>
        </w:rPr>
        <w:footnoteRef/>
      </w:r>
      <w:r>
        <w:t xml:space="preserve"> </w:t>
      </w:r>
      <w:r>
        <w:rPr>
          <w:i/>
        </w:rPr>
        <w:t>Id.</w:t>
      </w:r>
      <w:r w:rsidR="00805810">
        <w:t xml:space="preserve"> at 1-2.</w:t>
      </w:r>
    </w:p>
  </w:footnote>
  <w:footnote w:id="34">
    <w:p w14:paraId="6728BC02" w14:textId="77777777" w:rsidR="00E9166C" w:rsidRPr="00E9166C" w:rsidRDefault="00E9166C">
      <w:pPr>
        <w:pStyle w:val="FootnoteText"/>
      </w:pPr>
      <w:r>
        <w:rPr>
          <w:rStyle w:val="FootnoteReference"/>
        </w:rPr>
        <w:footnoteRef/>
      </w:r>
      <w:r>
        <w:t xml:space="preserve"> </w:t>
      </w:r>
      <w:r>
        <w:rPr>
          <w:i/>
        </w:rPr>
        <w:t>Id.</w:t>
      </w:r>
      <w:r>
        <w:t xml:space="preserve"> at 2.</w:t>
      </w:r>
    </w:p>
  </w:footnote>
  <w:footnote w:id="35">
    <w:p w14:paraId="20C18C31" w14:textId="77777777" w:rsidR="00805300" w:rsidRDefault="00805300">
      <w:pPr>
        <w:pStyle w:val="FootnoteText"/>
      </w:pPr>
      <w:r>
        <w:rPr>
          <w:rStyle w:val="FootnoteReference"/>
        </w:rPr>
        <w:footnoteRef/>
      </w:r>
      <w:r>
        <w:t xml:space="preserve"> </w:t>
      </w:r>
      <w:r w:rsidRPr="00805300">
        <w:rPr>
          <w:i/>
        </w:rPr>
        <w:t>Id</w:t>
      </w:r>
      <w:r>
        <w:t xml:space="preserve">.  </w:t>
      </w:r>
    </w:p>
  </w:footnote>
  <w:footnote w:id="36">
    <w:p w14:paraId="3C2C0A1E" w14:textId="77777777" w:rsidR="00E9166C" w:rsidRPr="00E9166C" w:rsidRDefault="00E9166C">
      <w:pPr>
        <w:pStyle w:val="FootnoteText"/>
        <w:rPr>
          <w:i/>
        </w:rPr>
      </w:pPr>
      <w:r>
        <w:rPr>
          <w:rStyle w:val="FootnoteReference"/>
        </w:rPr>
        <w:footnoteRef/>
      </w:r>
      <w:r>
        <w:t xml:space="preserve"> </w:t>
      </w:r>
      <w:r>
        <w:rPr>
          <w:i/>
        </w:rPr>
        <w:t>Id.</w:t>
      </w:r>
    </w:p>
  </w:footnote>
  <w:footnote w:id="37">
    <w:p w14:paraId="008D0455" w14:textId="46428631" w:rsidR="00701B82" w:rsidRPr="00027147" w:rsidRDefault="00701B82">
      <w:pPr>
        <w:pStyle w:val="FootnoteText"/>
      </w:pPr>
      <w:r>
        <w:rPr>
          <w:rStyle w:val="FootnoteReference"/>
        </w:rPr>
        <w:footnoteRef/>
      </w:r>
      <w:r>
        <w:t xml:space="preserve"> Comments </w:t>
      </w:r>
      <w:r w:rsidR="00DB3EAA">
        <w:t xml:space="preserve">in support of the waiver request </w:t>
      </w:r>
      <w:r>
        <w:t xml:space="preserve">were filed by </w:t>
      </w:r>
      <w:r w:rsidR="00F06804">
        <w:t xml:space="preserve">William M. Donati, owner of </w:t>
      </w:r>
      <w:r>
        <w:t>Radio Station KRTN in Raton, N</w:t>
      </w:r>
      <w:r w:rsidR="005061E5">
        <w:t xml:space="preserve">ew </w:t>
      </w:r>
      <w:r>
        <w:t>M</w:t>
      </w:r>
      <w:r w:rsidR="005061E5">
        <w:t>exico</w:t>
      </w:r>
      <w:r>
        <w:t xml:space="preserve"> (KRTN Comments); </w:t>
      </w:r>
      <w:r w:rsidR="00F06804">
        <w:t xml:space="preserve">Kenneth Bass, President of </w:t>
      </w:r>
      <w:r>
        <w:t xml:space="preserve">South Western Trails Cultural Heritage Association, Inc., licensee of Radio Station KALH-LP in Alamagordo, </w:t>
      </w:r>
      <w:r w:rsidR="005061E5">
        <w:t>New Mexico</w:t>
      </w:r>
      <w:r>
        <w:t xml:space="preserve"> (KALH Comments); John Malone, General Manager of Radio Station WLNX in Lincoln, </w:t>
      </w:r>
      <w:r w:rsidR="005061E5">
        <w:t>Illinois</w:t>
      </w:r>
      <w:r>
        <w:t xml:space="preserve"> (WL</w:t>
      </w:r>
      <w:r w:rsidR="00F06804">
        <w:t xml:space="preserve">NX Comments); and Claude B. Parker, Vice President of the Garden Villas Community </w:t>
      </w:r>
      <w:r w:rsidR="00F06804" w:rsidRPr="00027147">
        <w:t xml:space="preserve">Association, Inc. and General Manager of Radio Station KHGV-LP in Houston, </w:t>
      </w:r>
      <w:r w:rsidR="005061E5">
        <w:t>Texas</w:t>
      </w:r>
      <w:r w:rsidR="00F06804" w:rsidRPr="00027147">
        <w:t xml:space="preserve"> (KHGV Comments)</w:t>
      </w:r>
      <w:r w:rsidR="00F407D9">
        <w:t xml:space="preserve">; Keith D. Learn, </w:t>
      </w:r>
      <w:r w:rsidR="00F407D9" w:rsidRPr="00F407D9">
        <w:t>owner of Radio Station K</w:t>
      </w:r>
      <w:r w:rsidR="00F407D9">
        <w:t xml:space="preserve">PLZ </w:t>
      </w:r>
      <w:r w:rsidR="00F407D9" w:rsidRPr="00F407D9">
        <w:t xml:space="preserve">in </w:t>
      </w:r>
      <w:r w:rsidR="00F407D9">
        <w:t xml:space="preserve">Parker Arizona </w:t>
      </w:r>
      <w:r w:rsidR="00F407D9" w:rsidRPr="00F407D9">
        <w:t>(</w:t>
      </w:r>
      <w:r w:rsidR="00F407D9">
        <w:t xml:space="preserve">KPLZ </w:t>
      </w:r>
      <w:r w:rsidR="00F407D9" w:rsidRPr="00F407D9">
        <w:t>Comments)</w:t>
      </w:r>
      <w:r w:rsidR="00F407D9">
        <w:t xml:space="preserve">; </w:t>
      </w:r>
      <w:r w:rsidR="00DB3EAA">
        <w:t xml:space="preserve">and Donald Ash, Board Member of </w:t>
      </w:r>
      <w:r w:rsidR="00DB3EAA" w:rsidRPr="00DB3EAA">
        <w:t>WRAQ</w:t>
      </w:r>
      <w:r w:rsidR="00DB3EAA">
        <w:t xml:space="preserve"> in </w:t>
      </w:r>
      <w:r w:rsidR="00DB3EAA" w:rsidRPr="00DB3EAA">
        <w:t xml:space="preserve">Angelica, NY </w:t>
      </w:r>
      <w:r w:rsidR="00F407D9" w:rsidRPr="00F407D9">
        <w:t>(</w:t>
      </w:r>
      <w:r w:rsidR="00DB3EAA">
        <w:t xml:space="preserve">WRAQ </w:t>
      </w:r>
      <w:r w:rsidR="00F407D9" w:rsidRPr="00F407D9">
        <w:t>Comments)</w:t>
      </w:r>
      <w:r w:rsidR="00DB3EAA">
        <w:t xml:space="preserve">.  </w:t>
      </w:r>
      <w:r w:rsidR="00DD38DC">
        <w:t>One comment was filed in opposition to the request by Sean Donelan</w:t>
      </w:r>
      <w:r w:rsidR="000605A7">
        <w:t xml:space="preserve"> (Donelan Comment).</w:t>
      </w:r>
    </w:p>
  </w:footnote>
  <w:footnote w:id="38">
    <w:p w14:paraId="3CEBE5C7" w14:textId="57ABFE7B" w:rsidR="008A3E4C" w:rsidRPr="00027147" w:rsidRDefault="008A3E4C" w:rsidP="00027147">
      <w:pPr>
        <w:pStyle w:val="FootnoteText"/>
        <w:rPr>
          <w:color w:val="FF0000"/>
        </w:rPr>
      </w:pPr>
      <w:r w:rsidRPr="005061E5">
        <w:rPr>
          <w:rStyle w:val="FootnoteReference"/>
        </w:rPr>
        <w:footnoteRef/>
      </w:r>
      <w:r w:rsidRPr="005061E5">
        <w:t xml:space="preserve"> </w:t>
      </w:r>
      <w:r w:rsidR="00027147" w:rsidRPr="005061E5">
        <w:t xml:space="preserve"> </w:t>
      </w:r>
      <w:r w:rsidR="002D5CC8" w:rsidRPr="00401BEB">
        <w:rPr>
          <w:i/>
        </w:rPr>
        <w:t>See e.g.</w:t>
      </w:r>
      <w:r w:rsidR="002D5CC8">
        <w:t xml:space="preserve">, </w:t>
      </w:r>
      <w:r w:rsidR="00027147" w:rsidRPr="005061E5">
        <w:t xml:space="preserve">KALH Comments </w:t>
      </w:r>
      <w:r w:rsidR="00027147" w:rsidRPr="00027147">
        <w:t xml:space="preserve">at </w:t>
      </w:r>
      <w:r w:rsidR="00743D40">
        <w:t xml:space="preserve">1 </w:t>
      </w:r>
      <w:r w:rsidR="00027147">
        <w:t>(</w:t>
      </w:r>
      <w:r w:rsidR="00743D40">
        <w:t>noting that the cost of updating its equipment would be “virtually prohibitive”)</w:t>
      </w:r>
      <w:r w:rsidR="00027147" w:rsidRPr="00027147">
        <w:t>; KHGV Comments at 1</w:t>
      </w:r>
      <w:r w:rsidR="00743D40">
        <w:t xml:space="preserve"> (noting that KHGV is a non-profit station</w:t>
      </w:r>
      <w:r w:rsidR="0056404D">
        <w:t>,</w:t>
      </w:r>
      <w:r w:rsidR="00743D40">
        <w:t xml:space="preserve"> and that updating its equipment would require a “substantial monetary outlay”)</w:t>
      </w:r>
      <w:r w:rsidR="00027147" w:rsidRPr="00027147">
        <w:t>; KRTN Comments at 1</w:t>
      </w:r>
      <w:r w:rsidR="00743D40">
        <w:t xml:space="preserve"> (noting that </w:t>
      </w:r>
      <w:r w:rsidR="00807832">
        <w:t>“[r]eplacing the equipment would be very costly for us and would put an extra financial burden on us which, at this time in our business, is difficult”</w:t>
      </w:r>
      <w:r w:rsidR="00743D40">
        <w:t>)</w:t>
      </w:r>
      <w:r w:rsidR="00027147" w:rsidRPr="00027147">
        <w:t>; WLNX Comments at 1</w:t>
      </w:r>
      <w:r w:rsidR="00743D40">
        <w:t xml:space="preserve"> (noting that WLNX is a non-commercial educational station</w:t>
      </w:r>
      <w:r w:rsidR="0056404D">
        <w:t>,</w:t>
      </w:r>
      <w:r w:rsidR="00743D40">
        <w:t xml:space="preserve"> and that updating its equipment would require a “substantial monetary outlay”)</w:t>
      </w:r>
      <w:r w:rsidR="00027147" w:rsidRPr="00027147">
        <w:t>.</w:t>
      </w:r>
      <w:r w:rsidR="002D33A5" w:rsidRPr="002D33A5">
        <w:rPr>
          <w:color w:val="FF0000"/>
        </w:rPr>
        <w:t xml:space="preserve"> </w:t>
      </w:r>
    </w:p>
  </w:footnote>
  <w:footnote w:id="39">
    <w:p w14:paraId="40DAE646" w14:textId="77777777" w:rsidR="00131214" w:rsidRPr="002D33A5" w:rsidRDefault="00131214" w:rsidP="00131214">
      <w:pPr>
        <w:pStyle w:val="FootnoteText"/>
        <w:rPr>
          <w:color w:val="FF0000"/>
        </w:rPr>
      </w:pPr>
      <w:r w:rsidRPr="00027147">
        <w:rPr>
          <w:rStyle w:val="FootnoteReference"/>
        </w:rPr>
        <w:footnoteRef/>
      </w:r>
      <w:r w:rsidRPr="00027147">
        <w:t xml:space="preserve">  KALH Comments at 2; KHGV Comments at 1; KRTN Comments at 1; WLNX Comments at 1.</w:t>
      </w:r>
    </w:p>
  </w:footnote>
  <w:footnote w:id="40">
    <w:p w14:paraId="0BC9A386" w14:textId="16AE8ECA" w:rsidR="00246894" w:rsidRDefault="00246894">
      <w:pPr>
        <w:pStyle w:val="FootnoteText"/>
      </w:pPr>
      <w:r>
        <w:rPr>
          <w:rStyle w:val="FootnoteReference"/>
        </w:rPr>
        <w:footnoteRef/>
      </w:r>
      <w:r>
        <w:t xml:space="preserve"> Donelan Comment at 1.</w:t>
      </w:r>
    </w:p>
  </w:footnote>
  <w:footnote w:id="41">
    <w:p w14:paraId="28C0EEB6" w14:textId="77777777" w:rsidR="0040439D" w:rsidRPr="00047B4A" w:rsidRDefault="0040439D" w:rsidP="0040439D">
      <w:pPr>
        <w:pStyle w:val="FootnoteText"/>
        <w:widowControl w:val="0"/>
      </w:pPr>
      <w:r w:rsidRPr="00047B4A">
        <w:rPr>
          <w:rStyle w:val="FootnoteReference"/>
        </w:rPr>
        <w:footnoteRef/>
      </w:r>
      <w:r w:rsidRPr="00047B4A">
        <w:t xml:space="preserve"> </w:t>
      </w:r>
      <w:r w:rsidRPr="00047B4A">
        <w:rPr>
          <w:i/>
        </w:rPr>
        <w:t>See</w:t>
      </w:r>
      <w:r w:rsidRPr="00047B4A">
        <w:t xml:space="preserve"> 47 C.F.R. § 1.3; </w:t>
      </w:r>
      <w:r w:rsidRPr="00047B4A">
        <w:rPr>
          <w:i/>
        </w:rPr>
        <w:t>Northeast Cellular Telephone Co. v. FCC</w:t>
      </w:r>
      <w:r w:rsidRPr="00047B4A">
        <w:t>, 897 F.2d 1164, 1166 (D.C. Cir. 1990) (</w:t>
      </w:r>
      <w:r w:rsidRPr="00047B4A">
        <w:rPr>
          <w:i/>
        </w:rPr>
        <w:t>Northeast Cellular</w:t>
      </w:r>
      <w:r w:rsidRPr="00047B4A">
        <w:t xml:space="preserve">). </w:t>
      </w:r>
    </w:p>
  </w:footnote>
  <w:footnote w:id="42">
    <w:p w14:paraId="0C928972" w14:textId="77777777" w:rsidR="0040439D" w:rsidRPr="00047B4A" w:rsidRDefault="0040439D" w:rsidP="0040439D">
      <w:pPr>
        <w:pStyle w:val="FootnoteText"/>
        <w:widowControl w:val="0"/>
      </w:pPr>
      <w:r w:rsidRPr="00047B4A">
        <w:rPr>
          <w:rStyle w:val="FootnoteReference"/>
        </w:rPr>
        <w:footnoteRef/>
      </w:r>
      <w:r w:rsidRPr="00047B4A">
        <w:t xml:space="preserve"> </w:t>
      </w:r>
      <w:r w:rsidRPr="00047B4A">
        <w:rPr>
          <w:i/>
        </w:rPr>
        <w:t>Northeast Cellular</w:t>
      </w:r>
      <w:r w:rsidRPr="00047B4A">
        <w:t>, 897 F.2d at 1166.</w:t>
      </w:r>
    </w:p>
  </w:footnote>
  <w:footnote w:id="43">
    <w:p w14:paraId="6CAF9F45" w14:textId="27B5C828" w:rsidR="0040439D" w:rsidRPr="00047B4A" w:rsidRDefault="0040439D" w:rsidP="0040439D">
      <w:pPr>
        <w:widowControl/>
        <w:autoSpaceDE w:val="0"/>
        <w:autoSpaceDN w:val="0"/>
        <w:adjustRightInd w:val="0"/>
        <w:spacing w:after="120"/>
        <w:rPr>
          <w:sz w:val="20"/>
        </w:rPr>
      </w:pPr>
      <w:r w:rsidRPr="00047B4A">
        <w:rPr>
          <w:rStyle w:val="FootnoteReference"/>
        </w:rPr>
        <w:footnoteRef/>
      </w:r>
      <w:r w:rsidRPr="00047B4A">
        <w:t xml:space="preserve"> </w:t>
      </w:r>
      <w:r w:rsidRPr="00047B4A">
        <w:rPr>
          <w:i/>
          <w:sz w:val="20"/>
        </w:rPr>
        <w:t>WAIT Radio v. FCC</w:t>
      </w:r>
      <w:r w:rsidRPr="00047B4A">
        <w:rPr>
          <w:sz w:val="20"/>
        </w:rPr>
        <w:t xml:space="preserve">, 418 F.2d 1153, 1157 (D.C. Cir. 1969) </w:t>
      </w:r>
      <w:r w:rsidR="00B24E0D">
        <w:rPr>
          <w:sz w:val="20"/>
        </w:rPr>
        <w:t>(</w:t>
      </w:r>
      <w:r w:rsidR="00B24E0D" w:rsidRPr="00B24E0D">
        <w:rPr>
          <w:i/>
          <w:sz w:val="20"/>
        </w:rPr>
        <w:t>WAIT Radio</w:t>
      </w:r>
      <w:r w:rsidR="00B24E0D">
        <w:rPr>
          <w:sz w:val="20"/>
        </w:rPr>
        <w:t xml:space="preserve">) </w:t>
      </w:r>
      <w:r w:rsidRPr="00047B4A">
        <w:rPr>
          <w:sz w:val="20"/>
        </w:rPr>
        <w:t xml:space="preserve">(quoting </w:t>
      </w:r>
      <w:r w:rsidRPr="00047B4A">
        <w:rPr>
          <w:i/>
          <w:sz w:val="20"/>
        </w:rPr>
        <w:t>Rio Grande Family Radio Fellowship, Inc. v. FCC</w:t>
      </w:r>
      <w:r w:rsidRPr="00047B4A">
        <w:rPr>
          <w:sz w:val="20"/>
        </w:rPr>
        <w:t>, 406 F.2d 664 (</w:t>
      </w:r>
      <w:r w:rsidR="0087735E">
        <w:rPr>
          <w:sz w:val="20"/>
        </w:rPr>
        <w:t xml:space="preserve">D.C. Cir. </w:t>
      </w:r>
      <w:r w:rsidRPr="00047B4A">
        <w:rPr>
          <w:sz w:val="20"/>
        </w:rPr>
        <w:t>1968)).</w:t>
      </w:r>
    </w:p>
  </w:footnote>
  <w:footnote w:id="44">
    <w:p w14:paraId="287E1780" w14:textId="2BEB5EC0" w:rsidR="00313356" w:rsidRDefault="00313356" w:rsidP="00313356">
      <w:pPr>
        <w:pStyle w:val="FootnoteText"/>
      </w:pPr>
      <w:r>
        <w:rPr>
          <w:rStyle w:val="FootnoteReference"/>
        </w:rPr>
        <w:footnoteRef/>
      </w:r>
      <w:r>
        <w:t xml:space="preserve"> Waiver Request at 1</w:t>
      </w:r>
      <w:r w:rsidR="00A0643C">
        <w:t>-2</w:t>
      </w:r>
      <w:r>
        <w:t>.</w:t>
      </w:r>
    </w:p>
  </w:footnote>
  <w:footnote w:id="45">
    <w:p w14:paraId="766EE756" w14:textId="4F0C4FBE" w:rsidR="007040B3" w:rsidRPr="007040B3" w:rsidRDefault="007040B3" w:rsidP="006C3B51">
      <w:pPr>
        <w:pStyle w:val="CommentText"/>
        <w:spacing w:after="120"/>
      </w:pPr>
      <w:r>
        <w:rPr>
          <w:rStyle w:val="FootnoteReference"/>
        </w:rPr>
        <w:footnoteRef/>
      </w:r>
      <w:r w:rsidRPr="007040B3">
        <w:t xml:space="preserve"> </w:t>
      </w:r>
      <w:r>
        <w:t xml:space="preserve">KALH Comments at </w:t>
      </w:r>
      <w:r w:rsidR="00B9584B">
        <w:t>1, 3;</w:t>
      </w:r>
      <w:r w:rsidRPr="007040B3">
        <w:rPr>
          <w:rStyle w:val="CommentReference"/>
          <w:sz w:val="20"/>
          <w:szCs w:val="20"/>
        </w:rPr>
        <w:t xml:space="preserve"> </w:t>
      </w:r>
      <w:r w:rsidR="00B9584B">
        <w:rPr>
          <w:rStyle w:val="CommentReference"/>
          <w:sz w:val="20"/>
          <w:szCs w:val="20"/>
        </w:rPr>
        <w:t xml:space="preserve">KHGV Comments at 1; KLPZ Comments at 2; KRTN Comments at 1; </w:t>
      </w:r>
      <w:r w:rsidRPr="007040B3">
        <w:rPr>
          <w:rStyle w:val="CommentReference"/>
          <w:sz w:val="20"/>
          <w:szCs w:val="20"/>
        </w:rPr>
        <w:t>WLNX Comments at 1; WRAQ Comments at 1.</w:t>
      </w:r>
    </w:p>
  </w:footnote>
  <w:footnote w:id="46">
    <w:p w14:paraId="3B500FEA" w14:textId="6403CE5F" w:rsidR="002D0D49" w:rsidRDefault="002D0D49">
      <w:pPr>
        <w:pStyle w:val="FootnoteText"/>
      </w:pPr>
      <w:r>
        <w:rPr>
          <w:rStyle w:val="FootnoteReference"/>
        </w:rPr>
        <w:footnoteRef/>
      </w:r>
      <w:r>
        <w:t xml:space="preserve"> </w:t>
      </w:r>
      <w:r w:rsidRPr="002D0D49">
        <w:rPr>
          <w:i/>
        </w:rPr>
        <w:t>See</w:t>
      </w:r>
      <w:r>
        <w:t xml:space="preserve"> Donelan Comment at 1.</w:t>
      </w:r>
    </w:p>
  </w:footnote>
  <w:footnote w:id="47">
    <w:p w14:paraId="16AA5B9D" w14:textId="5F72B54C" w:rsidR="00C722E1" w:rsidRDefault="00C722E1" w:rsidP="0046303C">
      <w:pPr>
        <w:pStyle w:val="FootnoteText"/>
      </w:pPr>
      <w:r>
        <w:rPr>
          <w:rStyle w:val="FootnoteReference"/>
        </w:rPr>
        <w:footnoteRef/>
      </w:r>
      <w:r>
        <w:t xml:space="preserve"> </w:t>
      </w:r>
      <w:r w:rsidRPr="00EA6316">
        <w:rPr>
          <w:i/>
        </w:rPr>
        <w:t>See</w:t>
      </w:r>
      <w:r>
        <w:t xml:space="preserve"> </w:t>
      </w:r>
      <w:r w:rsidR="00EA6316" w:rsidRPr="003578C5">
        <w:rPr>
          <w:i/>
        </w:rPr>
        <w:t>Sixth Report and Order</w:t>
      </w:r>
      <w:r w:rsidR="00EA6316" w:rsidRPr="00EA6316">
        <w:t xml:space="preserve">, 30 FCC Rcd </w:t>
      </w:r>
      <w:r w:rsidR="00277C0A">
        <w:t xml:space="preserve">at </w:t>
      </w:r>
      <w:r w:rsidR="00EA6316" w:rsidRPr="00EA6316">
        <w:t>652</w:t>
      </w:r>
      <w:r w:rsidR="00277C0A">
        <w:t>7</w:t>
      </w:r>
      <w:r w:rsidR="00EA6316" w:rsidRPr="00EA6316">
        <w:t xml:space="preserve">, </w:t>
      </w:r>
      <w:r w:rsidR="00277C0A">
        <w:t>para. 1</w:t>
      </w:r>
      <w:r w:rsidR="00EA6316" w:rsidRPr="00EA6316">
        <w:t>7</w:t>
      </w:r>
      <w:r w:rsidR="00EA6316">
        <w:t xml:space="preserve"> (“Implementation of ‘six zeroes’ as the national location code will present negligible costs to EAS Participants because most EAS equipment deployed in the field already supports the ‘six zeroes’”</w:t>
      </w:r>
      <w:r w:rsidR="00FB0E25">
        <w:t>).</w:t>
      </w:r>
    </w:p>
  </w:footnote>
  <w:footnote w:id="48">
    <w:p w14:paraId="28E8FEDB" w14:textId="3B78C485" w:rsidR="00076DD7" w:rsidRPr="00924DB5" w:rsidRDefault="00076DD7">
      <w:pPr>
        <w:pStyle w:val="FootnoteText"/>
      </w:pPr>
      <w:r>
        <w:rPr>
          <w:rStyle w:val="FootnoteReference"/>
        </w:rPr>
        <w:footnoteRef/>
      </w:r>
      <w:r w:rsidR="00F53382">
        <w:t xml:space="preserve"> </w:t>
      </w:r>
      <w:r w:rsidR="007C33E0">
        <w:t>Waiver Request</w:t>
      </w:r>
      <w:r w:rsidR="00E61540">
        <w:t xml:space="preserve"> </w:t>
      </w:r>
      <w:r w:rsidR="00924DB5">
        <w:t xml:space="preserve">at </w:t>
      </w:r>
      <w:r w:rsidR="00924DB5" w:rsidRPr="00924DB5">
        <w:t>2</w:t>
      </w:r>
      <w:r w:rsidR="00E61540" w:rsidRPr="00924DB5">
        <w:t>.</w:t>
      </w:r>
    </w:p>
  </w:footnote>
  <w:footnote w:id="49">
    <w:p w14:paraId="08583FAD" w14:textId="460DFCFA" w:rsidR="006877E5" w:rsidRPr="00127020" w:rsidRDefault="006877E5">
      <w:pPr>
        <w:pStyle w:val="FootnoteText"/>
        <w:rPr>
          <w:i/>
        </w:rPr>
      </w:pPr>
      <w:r>
        <w:rPr>
          <w:rStyle w:val="FootnoteReference"/>
        </w:rPr>
        <w:footnoteRef/>
      </w:r>
      <w:r>
        <w:t xml:space="preserve"> </w:t>
      </w:r>
      <w:r w:rsidR="009A665D">
        <w:t>There are 550 EAS local areas, each</w:t>
      </w:r>
      <w:r w:rsidR="00B02626">
        <w:t xml:space="preserve"> of which</w:t>
      </w:r>
      <w:r w:rsidR="009A665D">
        <w:t xml:space="preserve"> may have one LP-1 station and one LP-2 station, for a maximum potential</w:t>
      </w:r>
      <w:r w:rsidR="00B02626">
        <w:t xml:space="preserve"> total</w:t>
      </w:r>
      <w:r w:rsidR="009A665D">
        <w:t xml:space="preserve"> of 1,100 LP-1 and LP-2 stations.  FCC, </w:t>
      </w:r>
      <w:r w:rsidR="009A665D" w:rsidRPr="00E7344F">
        <w:t>Public Safet</w:t>
      </w:r>
      <w:r w:rsidR="009A665D">
        <w:t xml:space="preserve">y Tech Topic #21 – Emergency Alert System (EAS), </w:t>
      </w:r>
      <w:r w:rsidR="00E7344F" w:rsidRPr="00E7344F">
        <w:t>https://www.fcc.gov/help/public-safety-tech-topic-21-emergency-alert-system-eas#fn6</w:t>
      </w:r>
      <w:r w:rsidR="009A665D">
        <w:t xml:space="preserve"> (last visited Sept. 15, 2016).  </w:t>
      </w:r>
      <w:r w:rsidR="00B02626">
        <w:t>T</w:t>
      </w:r>
      <w:r w:rsidR="000D7C5C">
        <w:t>here are 11,390 commercial radio stations in the United States.  FCC, B</w:t>
      </w:r>
      <w:r w:rsidR="0054462D">
        <w:t>roadcast Station T</w:t>
      </w:r>
      <w:r w:rsidR="00B02626">
        <w:t xml:space="preserve">otals as of June 30, 2016 at 1, </w:t>
      </w:r>
      <w:r w:rsidR="00E7344F" w:rsidRPr="00E7344F">
        <w:t>https://apps.fcc.gov/edocs_public</w:t>
      </w:r>
      <w:r w:rsidR="0054462D" w:rsidRPr="0054462D">
        <w:t>/attachmatch/DOC-340211A1.pdf</w:t>
      </w:r>
      <w:r w:rsidR="00457E0C">
        <w:t>.  Therefore, a majority of commercial radio stations are not LP-1 or LP-2 stations.</w:t>
      </w:r>
    </w:p>
  </w:footnote>
  <w:footnote w:id="50">
    <w:p w14:paraId="79989DF9" w14:textId="43B193B0" w:rsidR="002F7A8E" w:rsidRDefault="002F7A8E">
      <w:pPr>
        <w:pStyle w:val="FootnoteText"/>
      </w:pPr>
      <w:r>
        <w:rPr>
          <w:rStyle w:val="FootnoteReference"/>
        </w:rPr>
        <w:footnoteRef/>
      </w:r>
      <w:r w:rsidR="009A665D">
        <w:rPr>
          <w:i/>
        </w:rPr>
        <w:t xml:space="preserve"> See Industrial Broad. Co. v. FCC</w:t>
      </w:r>
      <w:r w:rsidR="009A665D">
        <w:t>, 437 F.2d 680, 683 (D.C. Cir. 1970)</w:t>
      </w:r>
      <w:r w:rsidR="000A4026">
        <w:t xml:space="preserve"> (per curiam)</w:t>
      </w:r>
      <w:r w:rsidR="009A665D">
        <w:rPr>
          <w:i/>
        </w:rPr>
        <w:t xml:space="preserve"> </w:t>
      </w:r>
      <w:r w:rsidR="009A665D">
        <w:t>(declining to require the FCC to “carry out extensive waiver proceedings” after already “carefully promulgat[ing] a general rule”)</w:t>
      </w:r>
      <w:r w:rsidR="009A665D" w:rsidRPr="009A665D">
        <w:t>.</w:t>
      </w:r>
    </w:p>
  </w:footnote>
  <w:footnote w:id="51">
    <w:p w14:paraId="3C8F8FD6" w14:textId="0C93CE3E" w:rsidR="00290325" w:rsidRDefault="00290325">
      <w:pPr>
        <w:pStyle w:val="FootnoteText"/>
      </w:pPr>
      <w:r>
        <w:rPr>
          <w:rStyle w:val="FootnoteReference"/>
        </w:rPr>
        <w:footnoteRef/>
      </w:r>
      <w:r>
        <w:t xml:space="preserve"> </w:t>
      </w:r>
      <w:r w:rsidR="005268FF">
        <w:t xml:space="preserve">Waiver Request </w:t>
      </w:r>
      <w:r>
        <w:t>at 2.</w:t>
      </w:r>
    </w:p>
  </w:footnote>
  <w:footnote w:id="52">
    <w:p w14:paraId="2A209859" w14:textId="1307A6E5" w:rsidR="00273244" w:rsidRDefault="00273244">
      <w:pPr>
        <w:pStyle w:val="FootnoteText"/>
      </w:pPr>
      <w:r>
        <w:rPr>
          <w:rStyle w:val="FootnoteReference"/>
        </w:rPr>
        <w:footnoteRef/>
      </w:r>
      <w:r>
        <w:t xml:space="preserve"> The comments in support of the Waiver Request do not supply </w:t>
      </w:r>
      <w:r w:rsidR="00D17CF1">
        <w:t xml:space="preserve">much </w:t>
      </w:r>
      <w:r>
        <w:t xml:space="preserve">information that would help to clarify the scope or duration of the requested waiver.  We note that if these commenters </w:t>
      </w:r>
      <w:r w:rsidR="00AC3A0C">
        <w:t xml:space="preserve">believe they </w:t>
      </w:r>
      <w:r>
        <w:t xml:space="preserve">have a basis upon which to seek an individual waiver, they may file such a request. </w:t>
      </w:r>
      <w:r w:rsidR="003B5A98">
        <w:t xml:space="preserve"> </w:t>
      </w:r>
    </w:p>
  </w:footnote>
  <w:footnote w:id="53">
    <w:p w14:paraId="6A8DE339" w14:textId="62EE7C5C" w:rsidR="003A2D73" w:rsidRDefault="003A2D73">
      <w:pPr>
        <w:pStyle w:val="FootnoteText"/>
      </w:pPr>
      <w:r>
        <w:rPr>
          <w:rStyle w:val="FootnoteReference"/>
        </w:rPr>
        <w:footnoteRef/>
      </w:r>
      <w:r>
        <w:t xml:space="preserve"> </w:t>
      </w:r>
      <w:r w:rsidRPr="003A2D73">
        <w:rPr>
          <w:i/>
        </w:rPr>
        <w:t>See</w:t>
      </w:r>
      <w:r>
        <w:t xml:space="preserve"> </w:t>
      </w:r>
      <w:r w:rsidRPr="00AA5580">
        <w:rPr>
          <w:i/>
        </w:rPr>
        <w:t>WAIT Radio</w:t>
      </w:r>
      <w:r>
        <w:t xml:space="preserve">, 418 F.2d at 1157; </w:t>
      </w:r>
      <w:r w:rsidRPr="003A2D73">
        <w:rPr>
          <w:i/>
        </w:rPr>
        <w:t>see also</w:t>
      </w:r>
      <w:r>
        <w:t xml:space="preserve"> </w:t>
      </w:r>
      <w:r w:rsidRPr="00047B4A">
        <w:t xml:space="preserve">Closed Captioning of Internet Protocol-Delivered Video Programming:  Implementation of the Twenty-First Century Communications and Video Accessibility Act of 2010, Petitions for Temporary Partial Exemption or Limited Waiver, </w:t>
      </w:r>
      <w:r w:rsidRPr="00047B4A">
        <w:rPr>
          <w:i/>
        </w:rPr>
        <w:t>Memorandum Opinion and Order</w:t>
      </w:r>
      <w:r w:rsidRPr="00047B4A">
        <w:t>, 27 FCC Rcd 9630</w:t>
      </w:r>
      <w:r w:rsidR="007A7EF3">
        <w:t>, 9638</w:t>
      </w:r>
      <w:r w:rsidR="00AB5189">
        <w:t>-39</w:t>
      </w:r>
      <w:r w:rsidR="002D33A5">
        <w:t>,</w:t>
      </w:r>
      <w:r w:rsidR="007A7EF3">
        <w:t xml:space="preserve"> para. 16 </w:t>
      </w:r>
      <w:r w:rsidRPr="00047B4A">
        <w:t>(MB 2012) (</w:t>
      </w:r>
      <w:r w:rsidR="002D33A5">
        <w:t xml:space="preserve">finding </w:t>
      </w:r>
      <w:r w:rsidR="0056404D">
        <w:t xml:space="preserve">a </w:t>
      </w:r>
      <w:r w:rsidR="007A7EF3">
        <w:t xml:space="preserve">waiver request </w:t>
      </w:r>
      <w:r w:rsidR="002D33A5">
        <w:t xml:space="preserve">overbroad where some of </w:t>
      </w:r>
      <w:r w:rsidR="007A7EF3">
        <w:t xml:space="preserve">entities covered by the request </w:t>
      </w:r>
      <w:r w:rsidRPr="00047B4A">
        <w:t>would not need the relief sought).</w:t>
      </w:r>
      <w:r>
        <w:t xml:space="preserve"> </w:t>
      </w:r>
    </w:p>
  </w:footnote>
  <w:footnote w:id="54">
    <w:p w14:paraId="18007D8E" w14:textId="09E4CB12" w:rsidR="00EC0BD3" w:rsidRDefault="00EC0BD3">
      <w:pPr>
        <w:pStyle w:val="FootnoteText"/>
      </w:pPr>
      <w:r>
        <w:rPr>
          <w:rStyle w:val="FootnoteReference"/>
        </w:rPr>
        <w:footnoteRef/>
      </w:r>
      <w:r>
        <w:t xml:space="preserve"> </w:t>
      </w:r>
      <w:r w:rsidR="002258AA">
        <w:t xml:space="preserve">  In the </w:t>
      </w:r>
      <w:r w:rsidR="002258AA" w:rsidRPr="00373339">
        <w:rPr>
          <w:i/>
        </w:rPr>
        <w:t>Sixth Report and Order</w:t>
      </w:r>
      <w:r w:rsidR="002258AA">
        <w:t xml:space="preserve">, the Commission noted that the most important goal of the proceeding was “to ready the national alerting infrastructure for a test that FEMA intends to conduct in the near future.”  </w:t>
      </w:r>
      <w:r w:rsidR="00A52505" w:rsidRPr="00BF1D1D">
        <w:rPr>
          <w:i/>
        </w:rPr>
        <w:t>See</w:t>
      </w:r>
      <w:r w:rsidR="00A52505">
        <w:t xml:space="preserve"> </w:t>
      </w:r>
      <w:r w:rsidRPr="00970EB8">
        <w:rPr>
          <w:i/>
        </w:rPr>
        <w:t>Sixth Report and Order</w:t>
      </w:r>
      <w:r>
        <w:t>, 30 FCC Rcd at 65</w:t>
      </w:r>
      <w:r w:rsidR="002258AA">
        <w:t xml:space="preserve">31, para. 23; </w:t>
      </w:r>
      <w:r w:rsidR="002258AA" w:rsidRPr="00BF1D1D">
        <w:rPr>
          <w:i/>
        </w:rPr>
        <w:t>see also id</w:t>
      </w:r>
      <w:r w:rsidR="002258AA">
        <w:t>. at 6545, para. 54 (“[i]n light of the fact that FEMA intends to conduct a nationwide EAS test ‘in the near future,’ and that such a test will use …the ‘six zeroes’ location code, it is imperative that we ensure that EAS Participants are capable of processing a test with these characteristics as rapidly as possible”).</w:t>
      </w:r>
    </w:p>
  </w:footnote>
  <w:footnote w:id="55">
    <w:p w14:paraId="605303C8" w14:textId="77777777" w:rsidR="00A4120E" w:rsidRDefault="00A4120E">
      <w:pPr>
        <w:pStyle w:val="FootnoteText"/>
      </w:pPr>
      <w:r>
        <w:rPr>
          <w:rStyle w:val="FootnoteReference"/>
        </w:rPr>
        <w:footnoteRef/>
      </w:r>
      <w:r>
        <w:t xml:space="preserve"> </w:t>
      </w:r>
      <w:r w:rsidRPr="00A4120E">
        <w:rPr>
          <w:i/>
        </w:rPr>
        <w:t>See EAS Test Announcement PN</w:t>
      </w:r>
      <w:r>
        <w:t xml:space="preserve">, 31 FCC Rcd at 7664.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CFD29" w14:textId="77777777" w:rsidR="00E45FE1" w:rsidRDefault="00E45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BA01" w14:textId="77777777" w:rsidR="00901DD1" w:rsidRDefault="00901DD1" w:rsidP="00901DD1">
    <w:pPr>
      <w:pStyle w:val="Header"/>
    </w:pPr>
  </w:p>
  <w:p w14:paraId="5A16ADC6" w14:textId="3BE56F84" w:rsidR="00D25FB5" w:rsidRDefault="00D25FB5" w:rsidP="00901DD1">
    <w:pPr>
      <w:pStyle w:val="Header"/>
    </w:pPr>
    <w:r>
      <w:tab/>
      <w:t>Federal Communications Commission</w:t>
    </w:r>
    <w:r>
      <w:tab/>
    </w:r>
    <w:r w:rsidR="00F0422C">
      <w:t>DA 16-</w:t>
    </w:r>
    <w:r w:rsidR="004B2268">
      <w:t>1093</w:t>
    </w:r>
  </w:p>
  <w:p w14:paraId="331576F9" w14:textId="77777777" w:rsidR="00D25FB5" w:rsidRDefault="00197F2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950CF29" wp14:editId="4C281D5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0E4A9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981F377"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4CFE" w14:textId="77777777" w:rsidR="00901DD1" w:rsidRDefault="00901DD1" w:rsidP="00901DD1">
    <w:pPr>
      <w:pStyle w:val="Header"/>
    </w:pPr>
  </w:p>
  <w:p w14:paraId="789C7134" w14:textId="016C898C" w:rsidR="00D25FB5" w:rsidRDefault="00197F22" w:rsidP="00901DD1">
    <w:pPr>
      <w:pStyle w:val="Header"/>
    </w:pPr>
    <w:r>
      <w:rPr>
        <w:noProof/>
      </w:rPr>
      <mc:AlternateContent>
        <mc:Choice Requires="wps">
          <w:drawing>
            <wp:anchor distT="0" distB="0" distL="114300" distR="114300" simplePos="0" relativeHeight="251658240" behindDoc="1" locked="0" layoutInCell="0" allowOverlap="1" wp14:anchorId="39FAEE25" wp14:editId="6A8EE33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94F0C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w:t>
    </w:r>
    <w:r w:rsidR="008E7ECD">
      <w:rPr>
        <w:spacing w:val="-2"/>
      </w:rPr>
      <w:t xml:space="preserve"> 16-</w:t>
    </w:r>
    <w:r w:rsidR="004B2268">
      <w:rPr>
        <w:spacing w:val="-2"/>
      </w:rPr>
      <w:t>1093</w:t>
    </w:r>
    <w:r>
      <w:rPr>
        <w:spacing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num>
  <w:num w:numId="10">
    <w:abstractNumId w:val="5"/>
  </w:num>
  <w:num w:numId="11">
    <w:abstractNumId w:val="5"/>
  </w:num>
  <w:num w:numId="12">
    <w:abstractNumId w:val="5"/>
  </w:num>
  <w:num w:numId="13">
    <w:abstractNumId w:val="5"/>
  </w:num>
  <w:num w:numId="14">
    <w:abstractNumId w:val="5"/>
    <w:lvlOverride w:ilvl="0">
      <w:startOverride w:val="1"/>
    </w:lvlOverride>
  </w:num>
  <w:num w:numId="15">
    <w:abstractNumId w:val="5"/>
    <w:lvlOverride w:ilvl="0">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22"/>
    <w:rsid w:val="0000292E"/>
    <w:rsid w:val="00004049"/>
    <w:rsid w:val="000164BB"/>
    <w:rsid w:val="00027147"/>
    <w:rsid w:val="000356EA"/>
    <w:rsid w:val="00036039"/>
    <w:rsid w:val="00036422"/>
    <w:rsid w:val="00037F90"/>
    <w:rsid w:val="000431FF"/>
    <w:rsid w:val="0004771A"/>
    <w:rsid w:val="00047B4A"/>
    <w:rsid w:val="0005225D"/>
    <w:rsid w:val="00055C95"/>
    <w:rsid w:val="000605A7"/>
    <w:rsid w:val="00065164"/>
    <w:rsid w:val="00066967"/>
    <w:rsid w:val="0007571A"/>
    <w:rsid w:val="00076DD7"/>
    <w:rsid w:val="0007716F"/>
    <w:rsid w:val="000827C7"/>
    <w:rsid w:val="00085BB5"/>
    <w:rsid w:val="000875BF"/>
    <w:rsid w:val="00090180"/>
    <w:rsid w:val="00096D8C"/>
    <w:rsid w:val="000A4026"/>
    <w:rsid w:val="000A413F"/>
    <w:rsid w:val="000C0B4B"/>
    <w:rsid w:val="000C0B65"/>
    <w:rsid w:val="000C41CB"/>
    <w:rsid w:val="000D2273"/>
    <w:rsid w:val="000D7C5C"/>
    <w:rsid w:val="000E05FE"/>
    <w:rsid w:val="000E34CB"/>
    <w:rsid w:val="000E3D42"/>
    <w:rsid w:val="000E4D9C"/>
    <w:rsid w:val="000F352E"/>
    <w:rsid w:val="0010558D"/>
    <w:rsid w:val="00111615"/>
    <w:rsid w:val="00112CC6"/>
    <w:rsid w:val="00114E30"/>
    <w:rsid w:val="001163E8"/>
    <w:rsid w:val="00122BD5"/>
    <w:rsid w:val="00125C66"/>
    <w:rsid w:val="00127020"/>
    <w:rsid w:val="0012724B"/>
    <w:rsid w:val="00131214"/>
    <w:rsid w:val="00133E26"/>
    <w:rsid w:val="00133F79"/>
    <w:rsid w:val="00140762"/>
    <w:rsid w:val="001407C7"/>
    <w:rsid w:val="001426D3"/>
    <w:rsid w:val="0014289C"/>
    <w:rsid w:val="00147483"/>
    <w:rsid w:val="00154333"/>
    <w:rsid w:val="00154584"/>
    <w:rsid w:val="001569A8"/>
    <w:rsid w:val="00161D84"/>
    <w:rsid w:val="00162D0E"/>
    <w:rsid w:val="00164325"/>
    <w:rsid w:val="0017255A"/>
    <w:rsid w:val="00174FAA"/>
    <w:rsid w:val="0018360E"/>
    <w:rsid w:val="00190296"/>
    <w:rsid w:val="0019339D"/>
    <w:rsid w:val="0019460F"/>
    <w:rsid w:val="00194A66"/>
    <w:rsid w:val="00197F22"/>
    <w:rsid w:val="001B3B0E"/>
    <w:rsid w:val="001B48D6"/>
    <w:rsid w:val="001B4B87"/>
    <w:rsid w:val="001B5185"/>
    <w:rsid w:val="001C5644"/>
    <w:rsid w:val="001C5D9D"/>
    <w:rsid w:val="001D0FF9"/>
    <w:rsid w:val="001D1C1C"/>
    <w:rsid w:val="001D5324"/>
    <w:rsid w:val="001D6BCF"/>
    <w:rsid w:val="001E01CA"/>
    <w:rsid w:val="001E2432"/>
    <w:rsid w:val="001E35E4"/>
    <w:rsid w:val="001E3EB3"/>
    <w:rsid w:val="001F7501"/>
    <w:rsid w:val="002051ED"/>
    <w:rsid w:val="00210109"/>
    <w:rsid w:val="0022170C"/>
    <w:rsid w:val="0022535B"/>
    <w:rsid w:val="002258AA"/>
    <w:rsid w:val="0024650B"/>
    <w:rsid w:val="00246894"/>
    <w:rsid w:val="0025308F"/>
    <w:rsid w:val="0025482C"/>
    <w:rsid w:val="002554DC"/>
    <w:rsid w:val="00273244"/>
    <w:rsid w:val="00275CF5"/>
    <w:rsid w:val="00277C0A"/>
    <w:rsid w:val="00280D84"/>
    <w:rsid w:val="0028301F"/>
    <w:rsid w:val="00283922"/>
    <w:rsid w:val="00285017"/>
    <w:rsid w:val="00290325"/>
    <w:rsid w:val="00294763"/>
    <w:rsid w:val="002963AB"/>
    <w:rsid w:val="002A0192"/>
    <w:rsid w:val="002A26CC"/>
    <w:rsid w:val="002A2D2E"/>
    <w:rsid w:val="002A2D82"/>
    <w:rsid w:val="002A5451"/>
    <w:rsid w:val="002A6B57"/>
    <w:rsid w:val="002A785B"/>
    <w:rsid w:val="002B7234"/>
    <w:rsid w:val="002C00E8"/>
    <w:rsid w:val="002C0211"/>
    <w:rsid w:val="002C340D"/>
    <w:rsid w:val="002C594C"/>
    <w:rsid w:val="002D0D49"/>
    <w:rsid w:val="002D33A5"/>
    <w:rsid w:val="002D5CC8"/>
    <w:rsid w:val="002E1A6C"/>
    <w:rsid w:val="002E3C46"/>
    <w:rsid w:val="002E7FC9"/>
    <w:rsid w:val="002F007E"/>
    <w:rsid w:val="002F7A8E"/>
    <w:rsid w:val="003071A3"/>
    <w:rsid w:val="00307E0B"/>
    <w:rsid w:val="00307FAC"/>
    <w:rsid w:val="00313356"/>
    <w:rsid w:val="003314D3"/>
    <w:rsid w:val="00332C5A"/>
    <w:rsid w:val="00333439"/>
    <w:rsid w:val="00343749"/>
    <w:rsid w:val="00343AF7"/>
    <w:rsid w:val="0034596E"/>
    <w:rsid w:val="00356749"/>
    <w:rsid w:val="003578C5"/>
    <w:rsid w:val="0036129A"/>
    <w:rsid w:val="00362C7B"/>
    <w:rsid w:val="00365BD5"/>
    <w:rsid w:val="003660ED"/>
    <w:rsid w:val="003739D5"/>
    <w:rsid w:val="00384F16"/>
    <w:rsid w:val="003858CF"/>
    <w:rsid w:val="00385F99"/>
    <w:rsid w:val="003A2D73"/>
    <w:rsid w:val="003A6312"/>
    <w:rsid w:val="003B0550"/>
    <w:rsid w:val="003B1535"/>
    <w:rsid w:val="003B406B"/>
    <w:rsid w:val="003B5A98"/>
    <w:rsid w:val="003B694F"/>
    <w:rsid w:val="003C3025"/>
    <w:rsid w:val="003D3F3A"/>
    <w:rsid w:val="003D713C"/>
    <w:rsid w:val="003E3ECC"/>
    <w:rsid w:val="003F030B"/>
    <w:rsid w:val="003F171C"/>
    <w:rsid w:val="00400E1E"/>
    <w:rsid w:val="00401BEB"/>
    <w:rsid w:val="0040439D"/>
    <w:rsid w:val="00411BB9"/>
    <w:rsid w:val="004122A5"/>
    <w:rsid w:val="00412FC5"/>
    <w:rsid w:val="00416FCD"/>
    <w:rsid w:val="00420BEB"/>
    <w:rsid w:val="004214BB"/>
    <w:rsid w:val="00421EA8"/>
    <w:rsid w:val="00422276"/>
    <w:rsid w:val="004224BF"/>
    <w:rsid w:val="00424073"/>
    <w:rsid w:val="004242F1"/>
    <w:rsid w:val="0044097C"/>
    <w:rsid w:val="00443217"/>
    <w:rsid w:val="00443566"/>
    <w:rsid w:val="00445A00"/>
    <w:rsid w:val="00446650"/>
    <w:rsid w:val="00451B0F"/>
    <w:rsid w:val="00457E0C"/>
    <w:rsid w:val="0046303C"/>
    <w:rsid w:val="00472CAB"/>
    <w:rsid w:val="00472E48"/>
    <w:rsid w:val="0047774F"/>
    <w:rsid w:val="00482D58"/>
    <w:rsid w:val="00486E83"/>
    <w:rsid w:val="00492262"/>
    <w:rsid w:val="0049325C"/>
    <w:rsid w:val="004A1138"/>
    <w:rsid w:val="004A5C1B"/>
    <w:rsid w:val="004B00EC"/>
    <w:rsid w:val="004B2268"/>
    <w:rsid w:val="004B2533"/>
    <w:rsid w:val="004B6124"/>
    <w:rsid w:val="004C06AB"/>
    <w:rsid w:val="004C2EE3"/>
    <w:rsid w:val="004C5CB0"/>
    <w:rsid w:val="004D3082"/>
    <w:rsid w:val="004D38B9"/>
    <w:rsid w:val="004D4DC0"/>
    <w:rsid w:val="004E30E6"/>
    <w:rsid w:val="004E4A22"/>
    <w:rsid w:val="004E7873"/>
    <w:rsid w:val="004F5461"/>
    <w:rsid w:val="004F576B"/>
    <w:rsid w:val="005061E5"/>
    <w:rsid w:val="005073D4"/>
    <w:rsid w:val="00511968"/>
    <w:rsid w:val="00517923"/>
    <w:rsid w:val="0052139D"/>
    <w:rsid w:val="005268FF"/>
    <w:rsid w:val="00533FE3"/>
    <w:rsid w:val="0053480C"/>
    <w:rsid w:val="0054462D"/>
    <w:rsid w:val="00546716"/>
    <w:rsid w:val="0055614C"/>
    <w:rsid w:val="00560105"/>
    <w:rsid w:val="005619B9"/>
    <w:rsid w:val="0056404D"/>
    <w:rsid w:val="005672BE"/>
    <w:rsid w:val="00577336"/>
    <w:rsid w:val="0059250A"/>
    <w:rsid w:val="005970EC"/>
    <w:rsid w:val="005A0831"/>
    <w:rsid w:val="005A53EC"/>
    <w:rsid w:val="005B3057"/>
    <w:rsid w:val="005B74BE"/>
    <w:rsid w:val="005C2842"/>
    <w:rsid w:val="005C6860"/>
    <w:rsid w:val="005D45EE"/>
    <w:rsid w:val="005D7795"/>
    <w:rsid w:val="005E06D7"/>
    <w:rsid w:val="005E14C2"/>
    <w:rsid w:val="005E34EF"/>
    <w:rsid w:val="005E5523"/>
    <w:rsid w:val="005F3909"/>
    <w:rsid w:val="00604009"/>
    <w:rsid w:val="00607BA5"/>
    <w:rsid w:val="0061180A"/>
    <w:rsid w:val="006124A3"/>
    <w:rsid w:val="00615DE3"/>
    <w:rsid w:val="00622D9E"/>
    <w:rsid w:val="00626EB6"/>
    <w:rsid w:val="00631DD7"/>
    <w:rsid w:val="00634A97"/>
    <w:rsid w:val="00636B81"/>
    <w:rsid w:val="00641FF6"/>
    <w:rsid w:val="00655D03"/>
    <w:rsid w:val="006658B7"/>
    <w:rsid w:val="00680427"/>
    <w:rsid w:val="00683388"/>
    <w:rsid w:val="00683F84"/>
    <w:rsid w:val="00684EDF"/>
    <w:rsid w:val="006877E5"/>
    <w:rsid w:val="006A6A81"/>
    <w:rsid w:val="006C3B51"/>
    <w:rsid w:val="006D1935"/>
    <w:rsid w:val="006D3BAF"/>
    <w:rsid w:val="006D5AD6"/>
    <w:rsid w:val="006F4728"/>
    <w:rsid w:val="006F7393"/>
    <w:rsid w:val="00701B82"/>
    <w:rsid w:val="0070224F"/>
    <w:rsid w:val="007040B3"/>
    <w:rsid w:val="007115F7"/>
    <w:rsid w:val="007116C1"/>
    <w:rsid w:val="0071229C"/>
    <w:rsid w:val="0071694B"/>
    <w:rsid w:val="00720205"/>
    <w:rsid w:val="007233B5"/>
    <w:rsid w:val="007255C2"/>
    <w:rsid w:val="0073665E"/>
    <w:rsid w:val="0073791C"/>
    <w:rsid w:val="007429BB"/>
    <w:rsid w:val="00743D40"/>
    <w:rsid w:val="00747040"/>
    <w:rsid w:val="007576C4"/>
    <w:rsid w:val="00771579"/>
    <w:rsid w:val="00785689"/>
    <w:rsid w:val="00786641"/>
    <w:rsid w:val="0079196E"/>
    <w:rsid w:val="0079754B"/>
    <w:rsid w:val="007A1E6D"/>
    <w:rsid w:val="007A7EF3"/>
    <w:rsid w:val="007B0EB2"/>
    <w:rsid w:val="007B1CA5"/>
    <w:rsid w:val="007C042E"/>
    <w:rsid w:val="007C26D1"/>
    <w:rsid w:val="007C33E0"/>
    <w:rsid w:val="007C7914"/>
    <w:rsid w:val="007D04BC"/>
    <w:rsid w:val="007D400C"/>
    <w:rsid w:val="007E2AC7"/>
    <w:rsid w:val="007E77F9"/>
    <w:rsid w:val="007F06F3"/>
    <w:rsid w:val="007F2053"/>
    <w:rsid w:val="007F7203"/>
    <w:rsid w:val="00805300"/>
    <w:rsid w:val="00805810"/>
    <w:rsid w:val="00807832"/>
    <w:rsid w:val="00810B6F"/>
    <w:rsid w:val="00813701"/>
    <w:rsid w:val="0081585C"/>
    <w:rsid w:val="00815916"/>
    <w:rsid w:val="00820092"/>
    <w:rsid w:val="00822CE0"/>
    <w:rsid w:val="008323CE"/>
    <w:rsid w:val="0083423C"/>
    <w:rsid w:val="00841AB1"/>
    <w:rsid w:val="00842257"/>
    <w:rsid w:val="00852EF7"/>
    <w:rsid w:val="00860A7E"/>
    <w:rsid w:val="00863819"/>
    <w:rsid w:val="0087735E"/>
    <w:rsid w:val="008869EA"/>
    <w:rsid w:val="00887382"/>
    <w:rsid w:val="00890050"/>
    <w:rsid w:val="008909DA"/>
    <w:rsid w:val="008A1D9B"/>
    <w:rsid w:val="008A3E4C"/>
    <w:rsid w:val="008A46FD"/>
    <w:rsid w:val="008A54B1"/>
    <w:rsid w:val="008B27D2"/>
    <w:rsid w:val="008B2A00"/>
    <w:rsid w:val="008B75D6"/>
    <w:rsid w:val="008C14FB"/>
    <w:rsid w:val="008C38B6"/>
    <w:rsid w:val="008C5D8F"/>
    <w:rsid w:val="008C68F1"/>
    <w:rsid w:val="008C6B1F"/>
    <w:rsid w:val="008D14D9"/>
    <w:rsid w:val="008D26F1"/>
    <w:rsid w:val="008D28BD"/>
    <w:rsid w:val="008D2FF9"/>
    <w:rsid w:val="008E0002"/>
    <w:rsid w:val="008E34C3"/>
    <w:rsid w:val="008E6B82"/>
    <w:rsid w:val="008E7ECD"/>
    <w:rsid w:val="008F354E"/>
    <w:rsid w:val="008F6465"/>
    <w:rsid w:val="00901314"/>
    <w:rsid w:val="00901DD1"/>
    <w:rsid w:val="00914C83"/>
    <w:rsid w:val="00920E4C"/>
    <w:rsid w:val="00921803"/>
    <w:rsid w:val="00924DB5"/>
    <w:rsid w:val="00926503"/>
    <w:rsid w:val="00944F9E"/>
    <w:rsid w:val="00951972"/>
    <w:rsid w:val="00960766"/>
    <w:rsid w:val="0097160B"/>
    <w:rsid w:val="009726D8"/>
    <w:rsid w:val="009767B4"/>
    <w:rsid w:val="00982218"/>
    <w:rsid w:val="009876B0"/>
    <w:rsid w:val="009973D7"/>
    <w:rsid w:val="009A65AA"/>
    <w:rsid w:val="009A665D"/>
    <w:rsid w:val="009C141C"/>
    <w:rsid w:val="009C7C63"/>
    <w:rsid w:val="009E5649"/>
    <w:rsid w:val="009F76DB"/>
    <w:rsid w:val="00A0643C"/>
    <w:rsid w:val="00A1406A"/>
    <w:rsid w:val="00A142A1"/>
    <w:rsid w:val="00A1609A"/>
    <w:rsid w:val="00A176B8"/>
    <w:rsid w:val="00A22F18"/>
    <w:rsid w:val="00A273B3"/>
    <w:rsid w:val="00A32C3B"/>
    <w:rsid w:val="00A36843"/>
    <w:rsid w:val="00A373A1"/>
    <w:rsid w:val="00A40E4E"/>
    <w:rsid w:val="00A4118E"/>
    <w:rsid w:val="00A4120E"/>
    <w:rsid w:val="00A45F4F"/>
    <w:rsid w:val="00A469C8"/>
    <w:rsid w:val="00A52505"/>
    <w:rsid w:val="00A5280C"/>
    <w:rsid w:val="00A55F28"/>
    <w:rsid w:val="00A600A9"/>
    <w:rsid w:val="00A67B3E"/>
    <w:rsid w:val="00A755D3"/>
    <w:rsid w:val="00A80644"/>
    <w:rsid w:val="00A8079D"/>
    <w:rsid w:val="00A83ABA"/>
    <w:rsid w:val="00A85A35"/>
    <w:rsid w:val="00A90215"/>
    <w:rsid w:val="00A9466B"/>
    <w:rsid w:val="00AA0086"/>
    <w:rsid w:val="00AA5580"/>
    <w:rsid w:val="00AA55B7"/>
    <w:rsid w:val="00AA5B9E"/>
    <w:rsid w:val="00AB05AA"/>
    <w:rsid w:val="00AB2407"/>
    <w:rsid w:val="00AB5189"/>
    <w:rsid w:val="00AB53DF"/>
    <w:rsid w:val="00AC2D86"/>
    <w:rsid w:val="00AC3A0C"/>
    <w:rsid w:val="00AC697D"/>
    <w:rsid w:val="00AD0D75"/>
    <w:rsid w:val="00AD2F50"/>
    <w:rsid w:val="00AD74CB"/>
    <w:rsid w:val="00AF7404"/>
    <w:rsid w:val="00B02626"/>
    <w:rsid w:val="00B0733A"/>
    <w:rsid w:val="00B077B4"/>
    <w:rsid w:val="00B07E5C"/>
    <w:rsid w:val="00B126F7"/>
    <w:rsid w:val="00B152F0"/>
    <w:rsid w:val="00B16E0D"/>
    <w:rsid w:val="00B24E0D"/>
    <w:rsid w:val="00B3044C"/>
    <w:rsid w:val="00B32EBF"/>
    <w:rsid w:val="00B41462"/>
    <w:rsid w:val="00B52BCC"/>
    <w:rsid w:val="00B55D2F"/>
    <w:rsid w:val="00B60FAD"/>
    <w:rsid w:val="00B666E9"/>
    <w:rsid w:val="00B734D9"/>
    <w:rsid w:val="00B74737"/>
    <w:rsid w:val="00B80B8B"/>
    <w:rsid w:val="00B811F7"/>
    <w:rsid w:val="00B947A2"/>
    <w:rsid w:val="00B9584B"/>
    <w:rsid w:val="00B95EBD"/>
    <w:rsid w:val="00BA143F"/>
    <w:rsid w:val="00BA5DC6"/>
    <w:rsid w:val="00BA6196"/>
    <w:rsid w:val="00BB0CE6"/>
    <w:rsid w:val="00BC1B52"/>
    <w:rsid w:val="00BC39A5"/>
    <w:rsid w:val="00BC5EB8"/>
    <w:rsid w:val="00BC6D8C"/>
    <w:rsid w:val="00BC7D08"/>
    <w:rsid w:val="00BE01FC"/>
    <w:rsid w:val="00BE50E7"/>
    <w:rsid w:val="00BF0508"/>
    <w:rsid w:val="00BF1D1D"/>
    <w:rsid w:val="00BF7CE3"/>
    <w:rsid w:val="00C119F9"/>
    <w:rsid w:val="00C20ECE"/>
    <w:rsid w:val="00C2552F"/>
    <w:rsid w:val="00C34006"/>
    <w:rsid w:val="00C36C52"/>
    <w:rsid w:val="00C426B1"/>
    <w:rsid w:val="00C52C61"/>
    <w:rsid w:val="00C53359"/>
    <w:rsid w:val="00C571AB"/>
    <w:rsid w:val="00C66160"/>
    <w:rsid w:val="00C66B5A"/>
    <w:rsid w:val="00C721AC"/>
    <w:rsid w:val="00C722E1"/>
    <w:rsid w:val="00C7252C"/>
    <w:rsid w:val="00C75FC6"/>
    <w:rsid w:val="00C76173"/>
    <w:rsid w:val="00C854D6"/>
    <w:rsid w:val="00C90D6A"/>
    <w:rsid w:val="00C91A33"/>
    <w:rsid w:val="00C929E6"/>
    <w:rsid w:val="00C94FA7"/>
    <w:rsid w:val="00C96D95"/>
    <w:rsid w:val="00CA0510"/>
    <w:rsid w:val="00CA247E"/>
    <w:rsid w:val="00CA6C85"/>
    <w:rsid w:val="00CA767A"/>
    <w:rsid w:val="00CB439B"/>
    <w:rsid w:val="00CB56C9"/>
    <w:rsid w:val="00CB63DB"/>
    <w:rsid w:val="00CB7B91"/>
    <w:rsid w:val="00CC72B6"/>
    <w:rsid w:val="00CD2FC8"/>
    <w:rsid w:val="00CF0810"/>
    <w:rsid w:val="00CF48FC"/>
    <w:rsid w:val="00D0218D"/>
    <w:rsid w:val="00D052BB"/>
    <w:rsid w:val="00D07940"/>
    <w:rsid w:val="00D1059F"/>
    <w:rsid w:val="00D15E36"/>
    <w:rsid w:val="00D1798D"/>
    <w:rsid w:val="00D17CF1"/>
    <w:rsid w:val="00D25FB5"/>
    <w:rsid w:val="00D261FF"/>
    <w:rsid w:val="00D27111"/>
    <w:rsid w:val="00D342AE"/>
    <w:rsid w:val="00D44223"/>
    <w:rsid w:val="00D4442D"/>
    <w:rsid w:val="00D51BCA"/>
    <w:rsid w:val="00D521E6"/>
    <w:rsid w:val="00D61883"/>
    <w:rsid w:val="00D7435D"/>
    <w:rsid w:val="00D74EF1"/>
    <w:rsid w:val="00D8153F"/>
    <w:rsid w:val="00D94429"/>
    <w:rsid w:val="00D97196"/>
    <w:rsid w:val="00DA08DF"/>
    <w:rsid w:val="00DA2529"/>
    <w:rsid w:val="00DB130A"/>
    <w:rsid w:val="00DB2EBB"/>
    <w:rsid w:val="00DB3D10"/>
    <w:rsid w:val="00DB3EAA"/>
    <w:rsid w:val="00DC10A1"/>
    <w:rsid w:val="00DC4BD8"/>
    <w:rsid w:val="00DC5A47"/>
    <w:rsid w:val="00DC655F"/>
    <w:rsid w:val="00DD0B59"/>
    <w:rsid w:val="00DD38DC"/>
    <w:rsid w:val="00DD7EBD"/>
    <w:rsid w:val="00DE5481"/>
    <w:rsid w:val="00DE7E55"/>
    <w:rsid w:val="00DF3EAC"/>
    <w:rsid w:val="00DF62B6"/>
    <w:rsid w:val="00DF6D9B"/>
    <w:rsid w:val="00E00651"/>
    <w:rsid w:val="00E07225"/>
    <w:rsid w:val="00E2673D"/>
    <w:rsid w:val="00E32F85"/>
    <w:rsid w:val="00E34E25"/>
    <w:rsid w:val="00E35FE0"/>
    <w:rsid w:val="00E36FCF"/>
    <w:rsid w:val="00E374BD"/>
    <w:rsid w:val="00E401B0"/>
    <w:rsid w:val="00E40E3D"/>
    <w:rsid w:val="00E45FE1"/>
    <w:rsid w:val="00E51908"/>
    <w:rsid w:val="00E5409F"/>
    <w:rsid w:val="00E561C6"/>
    <w:rsid w:val="00E6081A"/>
    <w:rsid w:val="00E61540"/>
    <w:rsid w:val="00E71C2C"/>
    <w:rsid w:val="00E7344F"/>
    <w:rsid w:val="00E74A40"/>
    <w:rsid w:val="00E7522F"/>
    <w:rsid w:val="00E80DF5"/>
    <w:rsid w:val="00E84167"/>
    <w:rsid w:val="00E874C1"/>
    <w:rsid w:val="00E9166C"/>
    <w:rsid w:val="00E953B2"/>
    <w:rsid w:val="00E97293"/>
    <w:rsid w:val="00EA3C4D"/>
    <w:rsid w:val="00EA41EE"/>
    <w:rsid w:val="00EA45F1"/>
    <w:rsid w:val="00EA6316"/>
    <w:rsid w:val="00EB19CB"/>
    <w:rsid w:val="00EB5D4B"/>
    <w:rsid w:val="00EC0BD3"/>
    <w:rsid w:val="00EC20DD"/>
    <w:rsid w:val="00ED57A8"/>
    <w:rsid w:val="00EE1B1F"/>
    <w:rsid w:val="00EE3371"/>
    <w:rsid w:val="00EE6488"/>
    <w:rsid w:val="00F021FA"/>
    <w:rsid w:val="00F0422C"/>
    <w:rsid w:val="00F05DAA"/>
    <w:rsid w:val="00F06804"/>
    <w:rsid w:val="00F24448"/>
    <w:rsid w:val="00F24FE0"/>
    <w:rsid w:val="00F30109"/>
    <w:rsid w:val="00F332FE"/>
    <w:rsid w:val="00F363AC"/>
    <w:rsid w:val="00F373AA"/>
    <w:rsid w:val="00F407D9"/>
    <w:rsid w:val="00F4280A"/>
    <w:rsid w:val="00F44312"/>
    <w:rsid w:val="00F45E2D"/>
    <w:rsid w:val="00F53382"/>
    <w:rsid w:val="00F575E0"/>
    <w:rsid w:val="00F62E97"/>
    <w:rsid w:val="00F64209"/>
    <w:rsid w:val="00F70D6D"/>
    <w:rsid w:val="00F73AE1"/>
    <w:rsid w:val="00F74B1B"/>
    <w:rsid w:val="00F80247"/>
    <w:rsid w:val="00F81E5C"/>
    <w:rsid w:val="00F838F4"/>
    <w:rsid w:val="00F9000D"/>
    <w:rsid w:val="00F91E67"/>
    <w:rsid w:val="00F93BF5"/>
    <w:rsid w:val="00F94A03"/>
    <w:rsid w:val="00F96976"/>
    <w:rsid w:val="00F9747E"/>
    <w:rsid w:val="00FA4A96"/>
    <w:rsid w:val="00FB0E25"/>
    <w:rsid w:val="00FB320C"/>
    <w:rsid w:val="00FC1788"/>
    <w:rsid w:val="00FC6BAB"/>
    <w:rsid w:val="00FC7D5F"/>
    <w:rsid w:val="00FD28E3"/>
    <w:rsid w:val="00FD685A"/>
    <w:rsid w:val="00FD7539"/>
    <w:rsid w:val="00FE2A1A"/>
    <w:rsid w:val="00FE3856"/>
    <w:rsid w:val="00FE4C5E"/>
    <w:rsid w:val="00FE7F8F"/>
    <w:rsid w:val="00FF1343"/>
    <w:rsid w:val="00FF17FD"/>
    <w:rsid w:val="00FF1A67"/>
    <w:rsid w:val="00FF2C17"/>
    <w:rsid w:val="00FF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DE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0E3D42"/>
    <w:pPr>
      <w:spacing w:after="120"/>
    </w:pPr>
  </w:style>
  <w:style w:type="character" w:styleId="FootnoteReference">
    <w:name w:val="footnote reference"/>
    <w:aliases w:val="Style 12,(NECG) Footnote Reference,o,fr,Style 3,Appel note de bas de p,Style 124,Style 17,FR,Style 13,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901DD1"/>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FF17FD"/>
  </w:style>
  <w:style w:type="character" w:customStyle="1" w:styleId="ParaNumChar">
    <w:name w:val="ParaNum Char"/>
    <w:link w:val="ParaNum"/>
    <w:locked/>
    <w:rsid w:val="00C119F9"/>
    <w:rPr>
      <w:snapToGrid w:val="0"/>
      <w:kern w:val="28"/>
      <w:sz w:val="22"/>
    </w:rPr>
  </w:style>
  <w:style w:type="character" w:customStyle="1" w:styleId="Heading1Char">
    <w:name w:val="Heading 1 Char"/>
    <w:basedOn w:val="DefaultParagraphFont"/>
    <w:link w:val="Heading1"/>
    <w:rsid w:val="0040439D"/>
    <w:rPr>
      <w:rFonts w:ascii="Times New Roman Bold" w:hAnsi="Times New Roman Bold"/>
      <w:b/>
      <w:caps/>
      <w:snapToGrid w:val="0"/>
      <w:kern w:val="28"/>
      <w:sz w:val="22"/>
    </w:rPr>
  </w:style>
  <w:style w:type="character" w:styleId="CommentReference">
    <w:name w:val="annotation reference"/>
    <w:basedOn w:val="DefaultParagraphFont"/>
    <w:rsid w:val="00047B4A"/>
    <w:rPr>
      <w:sz w:val="16"/>
      <w:szCs w:val="16"/>
    </w:rPr>
  </w:style>
  <w:style w:type="paragraph" w:styleId="CommentText">
    <w:name w:val="annotation text"/>
    <w:basedOn w:val="Normal"/>
    <w:link w:val="CommentTextChar"/>
    <w:rsid w:val="00047B4A"/>
    <w:rPr>
      <w:sz w:val="20"/>
    </w:rPr>
  </w:style>
  <w:style w:type="character" w:customStyle="1" w:styleId="CommentTextChar">
    <w:name w:val="Comment Text Char"/>
    <w:basedOn w:val="DefaultParagraphFont"/>
    <w:link w:val="CommentText"/>
    <w:rsid w:val="00047B4A"/>
    <w:rPr>
      <w:snapToGrid w:val="0"/>
      <w:kern w:val="28"/>
    </w:rPr>
  </w:style>
  <w:style w:type="paragraph" w:styleId="CommentSubject">
    <w:name w:val="annotation subject"/>
    <w:basedOn w:val="CommentText"/>
    <w:next w:val="CommentText"/>
    <w:link w:val="CommentSubjectChar"/>
    <w:rsid w:val="00047B4A"/>
    <w:rPr>
      <w:b/>
      <w:bCs/>
    </w:rPr>
  </w:style>
  <w:style w:type="character" w:customStyle="1" w:styleId="CommentSubjectChar">
    <w:name w:val="Comment Subject Char"/>
    <w:basedOn w:val="CommentTextChar"/>
    <w:link w:val="CommentSubject"/>
    <w:rsid w:val="00047B4A"/>
    <w:rPr>
      <w:b/>
      <w:bCs/>
      <w:snapToGrid w:val="0"/>
      <w:kern w:val="28"/>
    </w:rPr>
  </w:style>
  <w:style w:type="paragraph" w:styleId="BalloonText">
    <w:name w:val="Balloon Text"/>
    <w:basedOn w:val="Normal"/>
    <w:link w:val="BalloonTextChar"/>
    <w:rsid w:val="00047B4A"/>
    <w:rPr>
      <w:rFonts w:ascii="Segoe UI" w:hAnsi="Segoe UI" w:cs="Segoe UI"/>
      <w:sz w:val="18"/>
      <w:szCs w:val="18"/>
    </w:rPr>
  </w:style>
  <w:style w:type="character" w:customStyle="1" w:styleId="BalloonTextChar">
    <w:name w:val="Balloon Text Char"/>
    <w:basedOn w:val="DefaultParagraphFont"/>
    <w:link w:val="BalloonText"/>
    <w:rsid w:val="00047B4A"/>
    <w:rPr>
      <w:rFonts w:ascii="Segoe UI" w:hAnsi="Segoe UI" w:cs="Segoe UI"/>
      <w:snapToGrid w:val="0"/>
      <w:kern w:val="28"/>
      <w:sz w:val="18"/>
      <w:szCs w:val="18"/>
    </w:rPr>
  </w:style>
  <w:style w:type="paragraph" w:styleId="Revision">
    <w:name w:val="Revision"/>
    <w:hidden/>
    <w:uiPriority w:val="99"/>
    <w:semiHidden/>
    <w:rsid w:val="0014076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0E3D42"/>
    <w:pPr>
      <w:spacing w:after="120"/>
    </w:pPr>
  </w:style>
  <w:style w:type="character" w:styleId="FootnoteReference">
    <w:name w:val="footnote reference"/>
    <w:aliases w:val="Style 12,(NECG) Footnote Reference,o,fr,Style 3,Appel note de bas de p,Style 124,Style 17,FR,Style 13,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901DD1"/>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FF17FD"/>
  </w:style>
  <w:style w:type="character" w:customStyle="1" w:styleId="ParaNumChar">
    <w:name w:val="ParaNum Char"/>
    <w:link w:val="ParaNum"/>
    <w:locked/>
    <w:rsid w:val="00C119F9"/>
    <w:rPr>
      <w:snapToGrid w:val="0"/>
      <w:kern w:val="28"/>
      <w:sz w:val="22"/>
    </w:rPr>
  </w:style>
  <w:style w:type="character" w:customStyle="1" w:styleId="Heading1Char">
    <w:name w:val="Heading 1 Char"/>
    <w:basedOn w:val="DefaultParagraphFont"/>
    <w:link w:val="Heading1"/>
    <w:rsid w:val="0040439D"/>
    <w:rPr>
      <w:rFonts w:ascii="Times New Roman Bold" w:hAnsi="Times New Roman Bold"/>
      <w:b/>
      <w:caps/>
      <w:snapToGrid w:val="0"/>
      <w:kern w:val="28"/>
      <w:sz w:val="22"/>
    </w:rPr>
  </w:style>
  <w:style w:type="character" w:styleId="CommentReference">
    <w:name w:val="annotation reference"/>
    <w:basedOn w:val="DefaultParagraphFont"/>
    <w:rsid w:val="00047B4A"/>
    <w:rPr>
      <w:sz w:val="16"/>
      <w:szCs w:val="16"/>
    </w:rPr>
  </w:style>
  <w:style w:type="paragraph" w:styleId="CommentText">
    <w:name w:val="annotation text"/>
    <w:basedOn w:val="Normal"/>
    <w:link w:val="CommentTextChar"/>
    <w:rsid w:val="00047B4A"/>
    <w:rPr>
      <w:sz w:val="20"/>
    </w:rPr>
  </w:style>
  <w:style w:type="character" w:customStyle="1" w:styleId="CommentTextChar">
    <w:name w:val="Comment Text Char"/>
    <w:basedOn w:val="DefaultParagraphFont"/>
    <w:link w:val="CommentText"/>
    <w:rsid w:val="00047B4A"/>
    <w:rPr>
      <w:snapToGrid w:val="0"/>
      <w:kern w:val="28"/>
    </w:rPr>
  </w:style>
  <w:style w:type="paragraph" w:styleId="CommentSubject">
    <w:name w:val="annotation subject"/>
    <w:basedOn w:val="CommentText"/>
    <w:next w:val="CommentText"/>
    <w:link w:val="CommentSubjectChar"/>
    <w:rsid w:val="00047B4A"/>
    <w:rPr>
      <w:b/>
      <w:bCs/>
    </w:rPr>
  </w:style>
  <w:style w:type="character" w:customStyle="1" w:styleId="CommentSubjectChar">
    <w:name w:val="Comment Subject Char"/>
    <w:basedOn w:val="CommentTextChar"/>
    <w:link w:val="CommentSubject"/>
    <w:rsid w:val="00047B4A"/>
    <w:rPr>
      <w:b/>
      <w:bCs/>
      <w:snapToGrid w:val="0"/>
      <w:kern w:val="28"/>
    </w:rPr>
  </w:style>
  <w:style w:type="paragraph" w:styleId="BalloonText">
    <w:name w:val="Balloon Text"/>
    <w:basedOn w:val="Normal"/>
    <w:link w:val="BalloonTextChar"/>
    <w:rsid w:val="00047B4A"/>
    <w:rPr>
      <w:rFonts w:ascii="Segoe UI" w:hAnsi="Segoe UI" w:cs="Segoe UI"/>
      <w:sz w:val="18"/>
      <w:szCs w:val="18"/>
    </w:rPr>
  </w:style>
  <w:style w:type="character" w:customStyle="1" w:styleId="BalloonTextChar">
    <w:name w:val="Balloon Text Char"/>
    <w:basedOn w:val="DefaultParagraphFont"/>
    <w:link w:val="BalloonText"/>
    <w:rsid w:val="00047B4A"/>
    <w:rPr>
      <w:rFonts w:ascii="Segoe UI" w:hAnsi="Segoe UI" w:cs="Segoe UI"/>
      <w:snapToGrid w:val="0"/>
      <w:kern w:val="28"/>
      <w:sz w:val="18"/>
      <w:szCs w:val="18"/>
    </w:rPr>
  </w:style>
  <w:style w:type="paragraph" w:styleId="Revision">
    <w:name w:val="Revision"/>
    <w:hidden/>
    <w:uiPriority w:val="99"/>
    <w:semiHidden/>
    <w:rsid w:val="0014076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10910</Characters>
  <Application>Microsoft Office Word</Application>
  <DocSecurity>0</DocSecurity>
  <Lines>166</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2016-09-27T14:23:00Z</dcterms:created>
  <dcterms:modified xsi:type="dcterms:W3CDTF">2016-09-27T14:23:00Z</dcterms:modified>
  <cp:category> </cp:category>
  <cp:contentStatus> </cp:contentStatus>
</cp:coreProperties>
</file>